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3EEBD" w14:textId="77777777" w:rsidR="00C57390" w:rsidRPr="00707064" w:rsidRDefault="00C57390" w:rsidP="00C57390">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71C0CF2E" wp14:editId="0CD918A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1AAA87E" w14:textId="77777777" w:rsidR="00C57390" w:rsidRPr="00F715D1" w:rsidRDefault="00C57390" w:rsidP="00C57390">
      <w:pPr>
        <w:pStyle w:val="Title"/>
        <w:tabs>
          <w:tab w:val="left" w:pos="1926"/>
          <w:tab w:val="center" w:pos="4513"/>
        </w:tabs>
        <w:jc w:val="left"/>
      </w:pPr>
      <w:r>
        <w:tab/>
      </w:r>
      <w:r>
        <w:tab/>
      </w:r>
      <w:r w:rsidRPr="00F715D1">
        <w:t>Public Summary Document</w:t>
      </w:r>
    </w:p>
    <w:p w14:paraId="4B0ECFD3" w14:textId="77777777" w:rsidR="00C57390" w:rsidRPr="00F715D1" w:rsidRDefault="00C57390" w:rsidP="00C57390">
      <w:pPr>
        <w:pStyle w:val="Subtitle"/>
      </w:pPr>
      <w:r w:rsidRPr="00F715D1">
        <w:t xml:space="preserve">Application No. </w:t>
      </w:r>
      <w:r>
        <w:t>1523</w:t>
      </w:r>
      <w:r w:rsidRPr="00F715D1">
        <w:t xml:space="preserve"> – </w:t>
      </w:r>
      <w:r w:rsidRPr="00C57390">
        <w:t>Transluminal insertion, management, repositioning, and removal of an intravascular microaxial blood pump (Impella</w:t>
      </w:r>
      <w:r w:rsidRPr="00763108">
        <w:rPr>
          <w:vertAlign w:val="superscript"/>
        </w:rPr>
        <w:t>®</w:t>
      </w:r>
      <w:r w:rsidRPr="00C57390">
        <w:t>), for patients requiring mechanical circulatory support</w:t>
      </w:r>
    </w:p>
    <w:p w14:paraId="1247BAA1" w14:textId="5A11E87B" w:rsidR="00C57390" w:rsidRPr="00F715D1" w:rsidRDefault="00C57390" w:rsidP="00C57390">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DA1112">
        <w:rPr>
          <w:rFonts w:ascii="Arial" w:hAnsi="Arial" w:cs="Arial"/>
          <w:b/>
          <w:szCs w:val="24"/>
        </w:rPr>
        <w:tab/>
      </w:r>
      <w:r>
        <w:rPr>
          <w:rFonts w:ascii="Arial" w:hAnsi="Arial" w:cs="Arial"/>
          <w:b/>
          <w:szCs w:val="24"/>
        </w:rPr>
        <w:t>Abiomed Inc.</w:t>
      </w:r>
    </w:p>
    <w:p w14:paraId="64CF7852" w14:textId="77777777" w:rsidR="00C57390" w:rsidRPr="00F715D1" w:rsidRDefault="00C57390" w:rsidP="00C57390">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0647C6B9" w14:textId="77777777" w:rsidR="00C57390" w:rsidRPr="00B03EAB" w:rsidRDefault="00C57390" w:rsidP="00C57390">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0A9F4E06" w14:textId="77777777" w:rsidR="00C57390" w:rsidRPr="00F715D1" w:rsidRDefault="00C57390" w:rsidP="00C57390">
      <w:pPr>
        <w:pStyle w:val="Heading1"/>
      </w:pPr>
      <w:r w:rsidRPr="00F715D1">
        <w:t xml:space="preserve">Purpose of application </w:t>
      </w:r>
    </w:p>
    <w:p w14:paraId="1C80F31B" w14:textId="171C5C70" w:rsidR="006507E7" w:rsidRPr="006507E7" w:rsidRDefault="006507E7" w:rsidP="006507E7">
      <w:pPr>
        <w:pStyle w:val="NormalWeb"/>
        <w:spacing w:line="210" w:lineRule="atLeast"/>
        <w:rPr>
          <w:bCs/>
        </w:rPr>
      </w:pPr>
      <w:r>
        <w:t>An a</w:t>
      </w:r>
      <w:r w:rsidRPr="00DD39CE">
        <w:t xml:space="preserve">pplication requesting </w:t>
      </w:r>
      <w:r w:rsidR="006032B0">
        <w:t>Medicare Benefits Schedule (</w:t>
      </w:r>
      <w:r w:rsidRPr="00DD39CE">
        <w:t>MBS</w:t>
      </w:r>
      <w:r w:rsidR="006032B0">
        <w:t>)</w:t>
      </w:r>
      <w:r w:rsidRPr="00DD39CE">
        <w:t xml:space="preserve"> listing of </w:t>
      </w:r>
      <w:r>
        <w:t>t</w:t>
      </w:r>
      <w:r w:rsidRPr="00DD39CE">
        <w:t xml:space="preserve">ransluminal insertion, management, repositioning, and removal of an intravascular microaxial </w:t>
      </w:r>
      <w:r>
        <w:t xml:space="preserve">ventricular assist device ([IMVAD] </w:t>
      </w:r>
      <w:r w:rsidRPr="00DD39CE">
        <w:t>Impella</w:t>
      </w:r>
      <w:r w:rsidRPr="000D2AA1">
        <w:rPr>
          <w:vertAlign w:val="superscript"/>
        </w:rPr>
        <w:t>®</w:t>
      </w:r>
      <w:r w:rsidRPr="00DD39CE">
        <w:t>), for patients requiring mechanical circulatory support</w:t>
      </w:r>
      <w:r>
        <w:t xml:space="preserve"> was received from Abiomed Inc. by the Department of Health.</w:t>
      </w:r>
    </w:p>
    <w:p w14:paraId="19FB0BC2" w14:textId="77777777" w:rsidR="00C57390" w:rsidRPr="00F715D1" w:rsidRDefault="00C57390" w:rsidP="00C57390">
      <w:pPr>
        <w:pStyle w:val="Heading1"/>
      </w:pPr>
      <w:r w:rsidRPr="00F715D1">
        <w:t>MSAC’s advice to the Minister</w:t>
      </w:r>
    </w:p>
    <w:p w14:paraId="7AFCAE32" w14:textId="7461CC56" w:rsidR="00DC1117" w:rsidRPr="00DC1117" w:rsidRDefault="004763BC" w:rsidP="00DC1117">
      <w:pPr>
        <w:spacing w:after="240"/>
      </w:pPr>
      <w:r w:rsidRPr="00DC1117">
        <w:t xml:space="preserve">After considering the strength of the available evidence in relation to comparative safety, clinical effectiveness and cost-effectiveness, MSAC did not support public funding of transluminal insertion, management, repositioning and removal of an </w:t>
      </w:r>
      <w:r w:rsidR="005A6A4D" w:rsidRPr="00DC1117">
        <w:t>IMVAD</w:t>
      </w:r>
      <w:r w:rsidRPr="00DC1117">
        <w:t xml:space="preserve"> (Impella®) for patients requiring mechanical circulatory support. MSAC considered that the evidence for comparative safety and effectiveness was too uncertain relative to standard care in all three populations (high-risk percutaneous coronary interventions [HR-PCI], cardiogenic shock</w:t>
      </w:r>
      <w:r w:rsidR="00B73596" w:rsidRPr="00DC1117">
        <w:t xml:space="preserve"> [CS] </w:t>
      </w:r>
      <w:r w:rsidRPr="00DC1117">
        <w:t>and right-heart failure [RHF]), which had flow-on effects to the economic analyses. MSAC considered the financial estimates were also highly uncertain and likely underestimated for all three populations. MSAC considered that additional data from randomised controlled trials</w:t>
      </w:r>
      <w:r w:rsidR="00B93497" w:rsidRPr="00DC1117">
        <w:t xml:space="preserve"> (RCTs)</w:t>
      </w:r>
      <w:r w:rsidRPr="00DC1117">
        <w:t xml:space="preserve"> would be required to give greater certainty regarding comparative safety, effectiveness and cost-effectiveness.</w:t>
      </w:r>
    </w:p>
    <w:p w14:paraId="78AC2121" w14:textId="77777777" w:rsidR="004763BC" w:rsidRPr="00DA1112" w:rsidRDefault="004763BC" w:rsidP="00DA1112">
      <w:pPr>
        <w:pStyle w:val="Heading2"/>
        <w:pBdr>
          <w:top w:val="single" w:sz="4" w:space="1" w:color="auto"/>
          <w:left w:val="single" w:sz="4" w:space="4" w:color="auto"/>
          <w:bottom w:val="single" w:sz="4" w:space="8" w:color="auto"/>
          <w:right w:val="single" w:sz="4" w:space="4" w:color="auto"/>
        </w:pBdr>
        <w:spacing w:before="120" w:after="120"/>
        <w:rPr>
          <w:b/>
          <w:i w:val="0"/>
        </w:rPr>
      </w:pPr>
      <w:r w:rsidRPr="00DA1112">
        <w:rPr>
          <w:b/>
          <w:i w:val="0"/>
        </w:rPr>
        <w:t>Consumer summary</w:t>
      </w:r>
    </w:p>
    <w:p w14:paraId="7E7FE466" w14:textId="177FDCB4" w:rsidR="004763BC" w:rsidRDefault="004763BC" w:rsidP="00DA1112">
      <w:pPr>
        <w:pBdr>
          <w:top w:val="single" w:sz="4" w:space="1" w:color="auto"/>
          <w:left w:val="single" w:sz="4" w:space="4" w:color="auto"/>
          <w:bottom w:val="single" w:sz="4" w:space="8" w:color="auto"/>
          <w:right w:val="single" w:sz="4" w:space="4" w:color="auto"/>
        </w:pBdr>
      </w:pPr>
      <w:r>
        <w:t xml:space="preserve">Abiomed </w:t>
      </w:r>
      <w:r w:rsidR="00F1219B">
        <w:t xml:space="preserve">Inc. </w:t>
      </w:r>
      <w:r>
        <w:t>applied for public funding through the Medicare Benefits Schedule (MBS) for the procedure to insert, manage, reposition and remove the Impella</w:t>
      </w:r>
      <w:r w:rsidRPr="006F7916">
        <w:rPr>
          <w:vertAlign w:val="superscript"/>
        </w:rPr>
        <w:t>®</w:t>
      </w:r>
      <w:r>
        <w:t xml:space="preserve"> device in people who have heart failure or heart shock, or who need heart surgery but have a high risk of their heart failing during the surgery. </w:t>
      </w:r>
    </w:p>
    <w:p w14:paraId="0B6A0F2D" w14:textId="21C32564" w:rsidR="004763BC" w:rsidRDefault="004763BC" w:rsidP="00202335">
      <w:pPr>
        <w:pBdr>
          <w:top w:val="single" w:sz="4" w:space="1" w:color="auto"/>
          <w:left w:val="single" w:sz="4" w:space="4" w:color="auto"/>
          <w:bottom w:val="single" w:sz="4" w:space="8" w:color="auto"/>
          <w:right w:val="single" w:sz="4" w:space="4" w:color="auto"/>
        </w:pBdr>
        <w:spacing w:before="240"/>
      </w:pPr>
      <w:r>
        <w:t>Impella</w:t>
      </w:r>
      <w:r w:rsidRPr="006F7916">
        <w:rPr>
          <w:vertAlign w:val="superscript"/>
        </w:rPr>
        <w:t>®</w:t>
      </w:r>
      <w:r>
        <w:t xml:space="preserve"> aims to help circulate blood through the heart. The device is placed inside the heart and uses a pump with a motor to move blood </w:t>
      </w:r>
      <w:r w:rsidR="00B73596">
        <w:t xml:space="preserve">from </w:t>
      </w:r>
      <w:r>
        <w:t xml:space="preserve">the heart to </w:t>
      </w:r>
      <w:r w:rsidR="00202335">
        <w:t xml:space="preserve">the main artery that leaves the </w:t>
      </w:r>
      <w:r w:rsidR="00202335">
        <w:lastRenderedPageBreak/>
        <w:t>heart</w:t>
      </w:r>
      <w:r>
        <w:t>. It is inserted through an artery in the leg, or directly into the heart through surgery</w:t>
      </w:r>
      <w:r w:rsidR="00A738C7">
        <w:t xml:space="preserve"> </w:t>
      </w:r>
      <w:r w:rsidR="00A738C7" w:rsidRPr="00A738C7">
        <w:t>that requires general anaesthetic</w:t>
      </w:r>
      <w:r>
        <w:t>. It stays in the heart for a short time (hours or days), then it is removed.</w:t>
      </w:r>
    </w:p>
    <w:p w14:paraId="7ED4D708" w14:textId="4C44E084" w:rsidR="004763BC" w:rsidRDefault="004763BC" w:rsidP="00202335">
      <w:pPr>
        <w:pBdr>
          <w:top w:val="single" w:sz="4" w:space="1" w:color="auto"/>
          <w:left w:val="single" w:sz="4" w:space="4" w:color="auto"/>
          <w:bottom w:val="single" w:sz="4" w:space="8" w:color="auto"/>
          <w:right w:val="single" w:sz="4" w:space="4" w:color="auto"/>
        </w:pBdr>
        <w:spacing w:before="240" w:after="240"/>
      </w:pPr>
      <w:r>
        <w:t xml:space="preserve">MSAC considered that </w:t>
      </w:r>
      <w:r w:rsidR="00202335">
        <w:t xml:space="preserve">the available evidence showed that </w:t>
      </w:r>
      <w:r>
        <w:t>Impella</w:t>
      </w:r>
      <w:r w:rsidRPr="00B73596">
        <w:rPr>
          <w:vertAlign w:val="superscript"/>
        </w:rPr>
        <w:t xml:space="preserve">® </w:t>
      </w:r>
      <w:r>
        <w:t xml:space="preserve">might be </w:t>
      </w:r>
      <w:r w:rsidR="00202335">
        <w:t xml:space="preserve">less effective or </w:t>
      </w:r>
      <w:r>
        <w:t xml:space="preserve">no better than other </w:t>
      </w:r>
      <w:r w:rsidR="00202335">
        <w:t xml:space="preserve">treatment </w:t>
      </w:r>
      <w:r>
        <w:t>options. It might also be less safe. MSAC thought that Impella</w:t>
      </w:r>
      <w:r w:rsidRPr="00012603">
        <w:rPr>
          <w:vertAlign w:val="superscript"/>
        </w:rPr>
        <w:t>®</w:t>
      </w:r>
      <w:r>
        <w:t xml:space="preserve"> </w:t>
      </w:r>
      <w:r w:rsidR="00202335">
        <w:t xml:space="preserve">could </w:t>
      </w:r>
      <w:r>
        <w:t xml:space="preserve">cost more to the MBS than the applicant had estimated. </w:t>
      </w:r>
    </w:p>
    <w:p w14:paraId="464A5C1F" w14:textId="3941B101" w:rsidR="004763BC" w:rsidRPr="00694EF7" w:rsidRDefault="004763BC" w:rsidP="00DA1112">
      <w:pPr>
        <w:pBdr>
          <w:top w:val="single" w:sz="4" w:space="1" w:color="auto"/>
          <w:left w:val="single" w:sz="4" w:space="4" w:color="auto"/>
          <w:bottom w:val="single" w:sz="4" w:space="8" w:color="auto"/>
          <w:right w:val="single" w:sz="4" w:space="4" w:color="auto"/>
        </w:pBdr>
        <w:spacing w:after="120"/>
        <w:rPr>
          <w:b/>
          <w:bCs/>
        </w:rPr>
      </w:pPr>
      <w:r w:rsidRPr="00694EF7">
        <w:rPr>
          <w:b/>
          <w:bCs/>
        </w:rPr>
        <w:t xml:space="preserve">MSAC’s </w:t>
      </w:r>
      <w:r w:rsidR="00DA1112">
        <w:rPr>
          <w:b/>
          <w:bCs/>
        </w:rPr>
        <w:t>advice</w:t>
      </w:r>
      <w:r w:rsidRPr="00694EF7">
        <w:rPr>
          <w:b/>
          <w:bCs/>
        </w:rPr>
        <w:t xml:space="preserve"> to the Commonwealth Minister</w:t>
      </w:r>
      <w:r w:rsidR="00DA1112">
        <w:rPr>
          <w:b/>
          <w:bCs/>
        </w:rPr>
        <w:t xml:space="preserve"> for Health</w:t>
      </w:r>
    </w:p>
    <w:p w14:paraId="2DBCE1D0" w14:textId="77777777" w:rsidR="004763BC" w:rsidRPr="00156088" w:rsidRDefault="004763BC" w:rsidP="00DA1112">
      <w:pPr>
        <w:pBdr>
          <w:top w:val="single" w:sz="4" w:space="1" w:color="auto"/>
          <w:left w:val="single" w:sz="4" w:space="4" w:color="auto"/>
          <w:bottom w:val="single" w:sz="4" w:space="8" w:color="auto"/>
          <w:right w:val="single" w:sz="4" w:space="4" w:color="auto"/>
        </w:pBdr>
      </w:pPr>
      <w:r>
        <w:t>MSAC did not support public funding for Impella</w:t>
      </w:r>
      <w:r w:rsidRPr="006F7916">
        <w:rPr>
          <w:vertAlign w:val="superscript"/>
        </w:rPr>
        <w:t>®</w:t>
      </w:r>
      <w:r>
        <w:t xml:space="preserve"> because the evidence was not high-quality enough to show that it is safe and effective. The economic evaluation and financial impact were also uncertain.</w:t>
      </w:r>
    </w:p>
    <w:p w14:paraId="401E8663" w14:textId="77777777" w:rsidR="00C57390" w:rsidRPr="00F715D1" w:rsidRDefault="00C57390" w:rsidP="00C57390">
      <w:pPr>
        <w:pStyle w:val="Heading1"/>
      </w:pPr>
      <w:r w:rsidRPr="00F715D1">
        <w:t xml:space="preserve">Summary of consideration and rationale for MSAC’s advice </w:t>
      </w:r>
    </w:p>
    <w:p w14:paraId="6328D5F3" w14:textId="28AC7414" w:rsidR="005A6A4D" w:rsidRPr="00DC1117" w:rsidRDefault="005A6A4D" w:rsidP="00DC1117">
      <w:pPr>
        <w:spacing w:after="120"/>
        <w:rPr>
          <w:b/>
        </w:rPr>
      </w:pPr>
      <w:r w:rsidRPr="00DC1117">
        <w:rPr>
          <w:b/>
        </w:rPr>
        <w:t>Applicant hearing</w:t>
      </w:r>
    </w:p>
    <w:p w14:paraId="1AACD9FB" w14:textId="36E4D86A" w:rsidR="005A6A4D" w:rsidRDefault="00FB35CE" w:rsidP="002B1B73">
      <w:pPr>
        <w:spacing w:after="240"/>
      </w:pPr>
      <w:r w:rsidRPr="000C2437">
        <w:t>The applicant was granted a hearing,</w:t>
      </w:r>
      <w:r w:rsidR="005A6A4D">
        <w:t xml:space="preserve"> </w:t>
      </w:r>
      <w:r w:rsidR="00455376">
        <w:t xml:space="preserve">during which time they </w:t>
      </w:r>
      <w:r w:rsidRPr="000C2437">
        <w:t xml:space="preserve">presented information to MSAC on the </w:t>
      </w:r>
      <w:r>
        <w:t>Impella</w:t>
      </w:r>
      <w:r w:rsidRPr="00DA1112">
        <w:rPr>
          <w:vertAlign w:val="superscript"/>
        </w:rPr>
        <w:t>®</w:t>
      </w:r>
      <w:r>
        <w:t xml:space="preserve"> </w:t>
      </w:r>
      <w:r w:rsidRPr="000C2437">
        <w:t>device and data on its effectiveness.</w:t>
      </w:r>
    </w:p>
    <w:p w14:paraId="71733040" w14:textId="5A7874F1" w:rsidR="00437DCA" w:rsidRDefault="005A6A4D" w:rsidP="002B1B73">
      <w:pPr>
        <w:spacing w:after="240"/>
      </w:pPr>
      <w:r>
        <w:t>MSAC heard from an Australian clinician who has treated a number</w:t>
      </w:r>
      <w:r w:rsidR="008665E1">
        <w:t xml:space="preserve"> of patients requiring mechanical circulatory support with Impella</w:t>
      </w:r>
      <w:r w:rsidR="008665E1" w:rsidRPr="002C2469">
        <w:rPr>
          <w:vertAlign w:val="superscript"/>
        </w:rPr>
        <w:t>®</w:t>
      </w:r>
      <w:r w:rsidR="008665E1">
        <w:t>.</w:t>
      </w:r>
      <w:r w:rsidR="00C255BF">
        <w:t xml:space="preserve"> </w:t>
      </w:r>
      <w:r w:rsidR="008665E1">
        <w:t>The clinician described their experience using this therapy and presented a clinical vignette for one patient treated recently for HR-PCI. Overall, the clinician considered Impella</w:t>
      </w:r>
      <w:r w:rsidR="008665E1" w:rsidRPr="002C2469">
        <w:rPr>
          <w:vertAlign w:val="superscript"/>
        </w:rPr>
        <w:t>®</w:t>
      </w:r>
      <w:r w:rsidR="008665E1">
        <w:t xml:space="preserve"> provides an important new therapeutic option for patients requiring mechanical circulatory support who have limited other </w:t>
      </w:r>
      <w:r w:rsidR="00437DCA">
        <w:t xml:space="preserve">effective </w:t>
      </w:r>
      <w:r w:rsidR="008665E1">
        <w:t>treatment options.</w:t>
      </w:r>
    </w:p>
    <w:p w14:paraId="4AEFB6F5" w14:textId="3F1AAF3C" w:rsidR="002B400B" w:rsidRDefault="00437DCA" w:rsidP="002B1B73">
      <w:pPr>
        <w:spacing w:after="240"/>
      </w:pPr>
      <w:r>
        <w:t xml:space="preserve">MSAC heard from the </w:t>
      </w:r>
      <w:r w:rsidR="00B73596">
        <w:t>a</w:t>
      </w:r>
      <w:r>
        <w:t>pplicant who indicated that with the right patient selection, Impella</w:t>
      </w:r>
      <w:r w:rsidRPr="002C2469">
        <w:rPr>
          <w:vertAlign w:val="superscript"/>
        </w:rPr>
        <w:t>®</w:t>
      </w:r>
      <w:r w:rsidR="002B400B">
        <w:rPr>
          <w:vertAlign w:val="superscript"/>
        </w:rPr>
        <w:t xml:space="preserve"> </w:t>
      </w:r>
      <w:r w:rsidR="002B400B">
        <w:t>has shown to improve outcomes and be cost-effective to the healthcare system. In addition,</w:t>
      </w:r>
      <w:r w:rsidR="00B73596">
        <w:t xml:space="preserve"> the a</w:t>
      </w:r>
      <w:r w:rsidR="002B400B">
        <w:t xml:space="preserve">pplicant expected that as adoption and skills </w:t>
      </w:r>
      <w:r w:rsidR="00B73596">
        <w:t>with</w:t>
      </w:r>
      <w:r w:rsidR="002B400B">
        <w:t xml:space="preserve"> Impella</w:t>
      </w:r>
      <w:r w:rsidR="002B400B" w:rsidRPr="002C2469">
        <w:rPr>
          <w:vertAlign w:val="superscript"/>
        </w:rPr>
        <w:t>®</w:t>
      </w:r>
      <w:r w:rsidR="002B400B">
        <w:rPr>
          <w:vertAlign w:val="superscript"/>
        </w:rPr>
        <w:t xml:space="preserve"> </w:t>
      </w:r>
      <w:r w:rsidR="002B400B">
        <w:t>therapy improves, it can bring equitable healthcare to remote and under-served populations for a morbid indication in Australia.</w:t>
      </w:r>
    </w:p>
    <w:p w14:paraId="183FAC94" w14:textId="5A12D2C8" w:rsidR="00B33044" w:rsidRDefault="00B73596" w:rsidP="002B1B73">
      <w:pPr>
        <w:spacing w:after="240"/>
      </w:pPr>
      <w:r>
        <w:t>MSAC asked the a</w:t>
      </w:r>
      <w:r w:rsidR="00190C0F">
        <w:t>pp</w:t>
      </w:r>
      <w:r w:rsidR="002B400B">
        <w:t xml:space="preserve">licant </w:t>
      </w:r>
      <w:r w:rsidR="00190C0F">
        <w:t xml:space="preserve">if </w:t>
      </w:r>
      <w:r w:rsidR="00190C0F" w:rsidRPr="001013C7">
        <w:t>Impella CP</w:t>
      </w:r>
      <w:r w:rsidR="00190C0F">
        <w:t xml:space="preserve"> is identical to Impella 2.5</w:t>
      </w:r>
      <w:r w:rsidR="00190C0F">
        <w:rPr>
          <w:vertAlign w:val="superscript"/>
        </w:rPr>
        <w:t xml:space="preserve"> </w:t>
      </w:r>
      <w:r w:rsidR="00190C0F">
        <w:t xml:space="preserve">for effectiveness. The clinician indicated </w:t>
      </w:r>
      <w:r w:rsidR="00190C0F" w:rsidRPr="001013C7">
        <w:t>Impella CP</w:t>
      </w:r>
      <w:r w:rsidR="00190C0F">
        <w:t xml:space="preserve"> is </w:t>
      </w:r>
      <w:r w:rsidR="00455376">
        <w:t>a similar device</w:t>
      </w:r>
      <w:r w:rsidR="00C255BF">
        <w:t xml:space="preserve"> to the</w:t>
      </w:r>
      <w:r w:rsidR="00190C0F">
        <w:t xml:space="preserve"> </w:t>
      </w:r>
      <w:r w:rsidR="00190C0F" w:rsidRPr="001013C7">
        <w:t>Impella 2.5</w:t>
      </w:r>
      <w:r w:rsidR="00455376">
        <w:t xml:space="preserve"> that has been developed to </w:t>
      </w:r>
      <w:r w:rsidR="00C255BF">
        <w:t>pump more blood</w:t>
      </w:r>
      <w:r w:rsidR="00190C0F">
        <w:t xml:space="preserve"> (</w:t>
      </w:r>
      <w:r w:rsidR="00C255BF">
        <w:t xml:space="preserve">flow rate: </w:t>
      </w:r>
      <w:r w:rsidR="00190C0F">
        <w:t xml:space="preserve">3.8-4.0 L/min </w:t>
      </w:r>
      <w:r w:rsidR="00190C0F" w:rsidRPr="00DA1112">
        <w:rPr>
          <w:i/>
        </w:rPr>
        <w:t>vs.</w:t>
      </w:r>
      <w:r w:rsidR="00190C0F">
        <w:t xml:space="preserve"> 2.5 L/min, respectively). In CS,</w:t>
      </w:r>
      <w:r w:rsidR="00190C0F" w:rsidRPr="00190C0F">
        <w:t xml:space="preserve"> </w:t>
      </w:r>
      <w:r w:rsidR="00C255BF">
        <w:t xml:space="preserve">the clinician indicated </w:t>
      </w:r>
      <w:r w:rsidR="00B33044">
        <w:t xml:space="preserve">Impella 2.5 would provide insufficient mechanical circulatory support and </w:t>
      </w:r>
      <w:r w:rsidR="00190C0F" w:rsidRPr="001013C7">
        <w:t>Impella CP</w:t>
      </w:r>
      <w:r w:rsidR="00190C0F">
        <w:t xml:space="preserve"> would be the most suitable device</w:t>
      </w:r>
      <w:r w:rsidR="00C255BF">
        <w:t>.</w:t>
      </w:r>
    </w:p>
    <w:p w14:paraId="51B34960" w14:textId="0B0B0AC6" w:rsidR="00B93497" w:rsidRDefault="00B93497" w:rsidP="002B1B73">
      <w:pPr>
        <w:spacing w:after="240"/>
      </w:pPr>
      <w:r>
        <w:t xml:space="preserve">MSAC </w:t>
      </w:r>
      <w:r w:rsidR="00B33044">
        <w:t xml:space="preserve">asked the clinician about what proportion of extracorporeal membrane oxygenation (ECMO) supported </w:t>
      </w:r>
      <w:r>
        <w:t xml:space="preserve">HR-PCI </w:t>
      </w:r>
      <w:r w:rsidR="00B33044">
        <w:t xml:space="preserve">patients are performed in Australia. The clinician indicated that </w:t>
      </w:r>
      <w:r>
        <w:t xml:space="preserve">due to the complexity of performing ECMO that </w:t>
      </w:r>
      <w:r w:rsidR="00B33044">
        <w:t xml:space="preserve">numbers are very low in </w:t>
      </w:r>
      <w:r w:rsidR="00C02E4D">
        <w:t>Australia</w:t>
      </w:r>
      <w:r w:rsidR="00B33044">
        <w:t xml:space="preserve"> and recalled two patients that have been supported with ECMO</w:t>
      </w:r>
      <w:r>
        <w:t xml:space="preserve"> in the HR-PCI population.</w:t>
      </w:r>
    </w:p>
    <w:p w14:paraId="5CEA023A" w14:textId="53E121DD" w:rsidR="00FB35CE" w:rsidRDefault="00B73596" w:rsidP="00FB35CE">
      <w:r>
        <w:t>MSAC asked the a</w:t>
      </w:r>
      <w:r w:rsidR="00B93497">
        <w:t xml:space="preserve">pplicant about their interest in performing </w:t>
      </w:r>
      <w:r w:rsidR="00455376">
        <w:t xml:space="preserve">future Impella </w:t>
      </w:r>
      <w:r w:rsidR="00B93497">
        <w:t>RCT</w:t>
      </w:r>
      <w:r w:rsidR="00455376">
        <w:t>s</w:t>
      </w:r>
      <w:r w:rsidR="00B93497">
        <w:t xml:space="preserve"> in </w:t>
      </w:r>
      <w:r w:rsidR="00455376">
        <w:t xml:space="preserve">the </w:t>
      </w:r>
      <w:r w:rsidR="00B93497">
        <w:t>HR-PCI</w:t>
      </w:r>
      <w:r w:rsidR="00455376">
        <w:t xml:space="preserve"> population</w:t>
      </w:r>
      <w:r>
        <w:t>. The a</w:t>
      </w:r>
      <w:r w:rsidR="00B93497">
        <w:t xml:space="preserve">pplicant indicated that no RCT was planned, but highlighted that prospective real-world data was available to inform on safety and effectiveness of </w:t>
      </w:r>
      <w:r w:rsidR="000C7356">
        <w:t>Impella</w:t>
      </w:r>
      <w:r w:rsidR="000C7356" w:rsidRPr="002C2469">
        <w:rPr>
          <w:vertAlign w:val="superscript"/>
        </w:rPr>
        <w:t>®</w:t>
      </w:r>
      <w:r>
        <w:t>. The a</w:t>
      </w:r>
      <w:r w:rsidR="000C7356">
        <w:t>pplicant also</w:t>
      </w:r>
      <w:r w:rsidR="00B93497">
        <w:t xml:space="preserve"> highlighted the difficulty in completing RCT</w:t>
      </w:r>
      <w:r w:rsidR="00455376">
        <w:t>s</w:t>
      </w:r>
      <w:r w:rsidR="000C7356">
        <w:t xml:space="preserve"> in the requested three patient populations, in particular in CS due to difficulty with obtaining</w:t>
      </w:r>
      <w:r w:rsidR="002B1B73">
        <w:t xml:space="preserve"> patient consent and enrolment.</w:t>
      </w:r>
    </w:p>
    <w:p w14:paraId="1866111A" w14:textId="439AD824" w:rsidR="00FB35CE" w:rsidRPr="00DC1117" w:rsidRDefault="005A6A4D" w:rsidP="00DC1117">
      <w:pPr>
        <w:keepNext/>
        <w:keepLines/>
        <w:spacing w:after="120"/>
        <w:rPr>
          <w:b/>
        </w:rPr>
      </w:pPr>
      <w:r w:rsidRPr="00DC1117">
        <w:rPr>
          <w:b/>
        </w:rPr>
        <w:lastRenderedPageBreak/>
        <w:t>MSAC discussion</w:t>
      </w:r>
    </w:p>
    <w:p w14:paraId="03000BCC" w14:textId="639E1433" w:rsidR="00246988" w:rsidRDefault="00C255BF" w:rsidP="002B1B73">
      <w:pPr>
        <w:keepNext/>
        <w:keepLines/>
        <w:spacing w:after="240"/>
      </w:pPr>
      <w:r>
        <w:t xml:space="preserve">MSAC noted the </w:t>
      </w:r>
      <w:r w:rsidR="00A672E6">
        <w:t xml:space="preserve">three proposed populations: </w:t>
      </w:r>
      <w:r>
        <w:t>HR-PCI, CS and isolated RHF</w:t>
      </w:r>
      <w:r w:rsidR="00A672E6">
        <w:t xml:space="preserve"> were extremely</w:t>
      </w:r>
      <w:r>
        <w:t xml:space="preserve"> </w:t>
      </w:r>
      <w:r w:rsidR="00A672E6">
        <w:t xml:space="preserve">heterogeneous </w:t>
      </w:r>
      <w:r>
        <w:t xml:space="preserve">conditions. </w:t>
      </w:r>
      <w:r w:rsidR="00A672E6">
        <w:t xml:space="preserve">However, MSAC acknowledged the clinical need in these populations </w:t>
      </w:r>
      <w:r w:rsidR="00246988">
        <w:t xml:space="preserve">with </w:t>
      </w:r>
      <w:r w:rsidR="00A672E6">
        <w:t xml:space="preserve">limited </w:t>
      </w:r>
      <w:r w:rsidR="00246988">
        <w:t xml:space="preserve">treatment </w:t>
      </w:r>
      <w:r w:rsidR="00A672E6">
        <w:t>options (particularly for CS</w:t>
      </w:r>
      <w:r w:rsidR="002B1B73">
        <w:t>).</w:t>
      </w:r>
    </w:p>
    <w:p w14:paraId="4DA68962" w14:textId="25F4D769" w:rsidR="00455376" w:rsidRDefault="00246988" w:rsidP="002B1B73">
      <w:pPr>
        <w:spacing w:after="240"/>
      </w:pPr>
      <w:r>
        <w:t>MSAC noted that Impella</w:t>
      </w:r>
      <w:r w:rsidRPr="002C2469">
        <w:rPr>
          <w:vertAlign w:val="superscript"/>
        </w:rPr>
        <w:t>®</w:t>
      </w:r>
      <w:r>
        <w:t xml:space="preserve"> provides short-term treatment, mainly provid</w:t>
      </w:r>
      <w:r w:rsidR="002B1B73">
        <w:t>ed in large teaching hospitals.</w:t>
      </w:r>
    </w:p>
    <w:p w14:paraId="4F58E65F" w14:textId="49048267" w:rsidR="00246988" w:rsidRDefault="00C255BF" w:rsidP="00FB35CE">
      <w:r>
        <w:t xml:space="preserve">MSAC noted </w:t>
      </w:r>
      <w:r w:rsidR="00B73596">
        <w:t xml:space="preserve">that </w:t>
      </w:r>
      <w:r>
        <w:t>t</w:t>
      </w:r>
      <w:r w:rsidR="00FB35CE">
        <w:t>here are four types of device</w:t>
      </w:r>
      <w:r>
        <w:t>s</w:t>
      </w:r>
      <w:r w:rsidR="00FB35CE">
        <w:t xml:space="preserve"> </w:t>
      </w:r>
      <w:r w:rsidR="00B73596">
        <w:t>which</w:t>
      </w:r>
      <w:r w:rsidR="00FB35CE">
        <w:t xml:space="preserve"> vary in the level of circulatory support they provide</w:t>
      </w:r>
      <w:r w:rsidR="00246988">
        <w:t xml:space="preserve"> (see Figure 1 below)</w:t>
      </w:r>
      <w:r w:rsidR="00FB35CE">
        <w:t xml:space="preserve">: </w:t>
      </w:r>
      <w:r w:rsidR="00FB35CE" w:rsidRPr="001013C7">
        <w:t>Impella 2.5, Impella CP, Impella 5.0 and Impella RP</w:t>
      </w:r>
      <w:r w:rsidR="00FB35CE">
        <w:t>. Impella CP and Impella 5.0 are listed on the Australian Register of Therapeutic Goods</w:t>
      </w:r>
      <w:r w:rsidR="00B73596">
        <w:t> (ARTG)</w:t>
      </w:r>
      <w:r w:rsidR="00FB35CE">
        <w:t>, and Impella RP is currently under application for registration. MSAC noted that all the clinical studies used in the application for the HR-PCI population used Impella 2.5, but that registration of this model had not yet been applied for in Australia</w:t>
      </w:r>
      <w:r w:rsidR="00D723D6">
        <w:t xml:space="preserve"> at the time of the </w:t>
      </w:r>
      <w:r w:rsidR="00B73596">
        <w:t>application</w:t>
      </w:r>
      <w:r w:rsidR="00FB35CE">
        <w:t xml:space="preserve">. However, MSAC also noted that the 2.5 model was </w:t>
      </w:r>
      <w:r w:rsidR="00D723D6">
        <w:t xml:space="preserve">considered </w:t>
      </w:r>
      <w:r w:rsidR="00FB35CE">
        <w:t>biologic</w:t>
      </w:r>
      <w:r w:rsidR="002B1B73">
        <w:t>ally identical to the CP model.</w:t>
      </w:r>
    </w:p>
    <w:p w14:paraId="45831E1C" w14:textId="135AB275" w:rsidR="00246988" w:rsidRDefault="00246988" w:rsidP="00FB35CE">
      <w:r>
        <w:rPr>
          <w:noProof/>
        </w:rPr>
        <w:drawing>
          <wp:inline distT="0" distB="0" distL="0" distR="0" wp14:anchorId="197CE6CE" wp14:editId="5D12C653">
            <wp:extent cx="5731510" cy="3103880"/>
            <wp:effectExtent l="0" t="0" r="2540" b="1270"/>
            <wp:docPr id="1" name="Picture 1" descr="Flow rates provided for devices that provide mechanical circulatory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103880"/>
                    </a:xfrm>
                    <a:prstGeom prst="rect">
                      <a:avLst/>
                    </a:prstGeom>
                  </pic:spPr>
                </pic:pic>
              </a:graphicData>
            </a:graphic>
          </wp:inline>
        </w:drawing>
      </w:r>
    </w:p>
    <w:p w14:paraId="6D0F86E2" w14:textId="0112B547" w:rsidR="00246988" w:rsidRPr="002B1B73" w:rsidRDefault="00246988" w:rsidP="002B1B73">
      <w:pPr>
        <w:spacing w:after="240"/>
        <w:rPr>
          <w:rFonts w:ascii="Arial Narrow" w:hAnsi="Arial Narrow"/>
          <w:b/>
          <w:sz w:val="20"/>
        </w:rPr>
      </w:pPr>
      <w:r w:rsidRPr="00DC1117">
        <w:rPr>
          <w:rFonts w:ascii="Arial Narrow" w:hAnsi="Arial Narrow"/>
          <w:b/>
          <w:sz w:val="20"/>
        </w:rPr>
        <w:t>Figure 1 Flow rates provided for devices that provide</w:t>
      </w:r>
      <w:r w:rsidR="002B1B73">
        <w:rPr>
          <w:rFonts w:ascii="Arial Narrow" w:hAnsi="Arial Narrow"/>
          <w:b/>
          <w:sz w:val="20"/>
        </w:rPr>
        <w:t xml:space="preserve"> mechanical circulatory support</w:t>
      </w:r>
    </w:p>
    <w:p w14:paraId="498C7350" w14:textId="26825F5A" w:rsidR="00246988" w:rsidRDefault="00246988" w:rsidP="00246988">
      <w:pPr>
        <w:pStyle w:val="NormalBeforeBullet"/>
      </w:pPr>
      <w:r>
        <w:t>MSAC agreed with the comparators as assessed by ESC – that is:</w:t>
      </w:r>
    </w:p>
    <w:p w14:paraId="2C309609" w14:textId="77777777" w:rsidR="00246988" w:rsidRDefault="00246988" w:rsidP="00246988">
      <w:pPr>
        <w:pStyle w:val="Bullet"/>
        <w:tabs>
          <w:tab w:val="clear" w:pos="360"/>
          <w:tab w:val="num" w:pos="-720"/>
        </w:tabs>
      </w:pPr>
      <w:r>
        <w:t>for HR-PCI, the appropriate comparators were intra-aortic balloon pump (IABP) and ECMO</w:t>
      </w:r>
    </w:p>
    <w:p w14:paraId="5EF8A62B" w14:textId="77777777" w:rsidR="00246988" w:rsidRDefault="00246988" w:rsidP="00246988">
      <w:pPr>
        <w:pStyle w:val="Bullet"/>
        <w:tabs>
          <w:tab w:val="clear" w:pos="360"/>
          <w:tab w:val="num" w:pos="-720"/>
        </w:tabs>
      </w:pPr>
      <w:r>
        <w:t>for cardiogenic shock, the appropriate comparator was ECMO; although MSAC noted the lack of evidence to support this, and also considered that the use of IMVAD in conjunction with ECMO would require justification in a narrower population</w:t>
      </w:r>
    </w:p>
    <w:p w14:paraId="0FB4059E" w14:textId="42E5077D" w:rsidR="00246988" w:rsidRDefault="00246988" w:rsidP="00DA1112">
      <w:pPr>
        <w:pStyle w:val="BulletLast"/>
        <w:tabs>
          <w:tab w:val="clear" w:pos="360"/>
          <w:tab w:val="num" w:pos="-720"/>
        </w:tabs>
      </w:pPr>
      <w:r>
        <w:t>for RHF, the appropriate comparator was ECMO.</w:t>
      </w:r>
    </w:p>
    <w:p w14:paraId="3F4EA0AE" w14:textId="5CE34DA3" w:rsidR="00FB35CE" w:rsidRDefault="00FB35CE" w:rsidP="002B1B73">
      <w:pPr>
        <w:spacing w:after="240"/>
      </w:pPr>
      <w:r>
        <w:t>Regarding comparative safety, MSAC noted no significant differences overall for IMVAD compared with IABP in the HR-PCI population</w:t>
      </w:r>
      <w:r w:rsidR="0000509D">
        <w:t xml:space="preserve"> (although </w:t>
      </w:r>
      <w:r w:rsidR="009C33E4">
        <w:t>lower rates of stroke and revascularisation were noted)</w:t>
      </w:r>
      <w:r>
        <w:t xml:space="preserve">. For </w:t>
      </w:r>
      <w:r w:rsidR="00455376">
        <w:t xml:space="preserve">the </w:t>
      </w:r>
      <w:r w:rsidR="00AB0E2D">
        <w:t>CS population</w:t>
      </w:r>
      <w:r>
        <w:t xml:space="preserve">, IMVAD was associated with higher rates of major bleeding complications (8/24 patients, 33.3%) than IABP (2/24 patients, 8.3%) in one study (Ouweneel 2017). Evidence for comparative safety in the RHF population was poor quality. MSAC noted the absence of </w:t>
      </w:r>
      <w:r w:rsidR="00B73596">
        <w:t>randomised controlled trials (</w:t>
      </w:r>
      <w:r w:rsidR="00AB0E2D">
        <w:t>RCTs</w:t>
      </w:r>
      <w:r w:rsidR="00B73596">
        <w:t>)</w:t>
      </w:r>
      <w:r>
        <w:t xml:space="preserve"> that directly compare IMVAD and ECMO. Overall, MSAC considered the comparative safety to be </w:t>
      </w:r>
      <w:r>
        <w:lastRenderedPageBreak/>
        <w:t>uncertain, but noted that IMVAD is less invasive than ECMO. High-quality randomised controlled trials would be required to reduce unc</w:t>
      </w:r>
      <w:r w:rsidR="002B1B73">
        <w:t>ertainty in comparative safety.</w:t>
      </w:r>
    </w:p>
    <w:p w14:paraId="66A92EE7" w14:textId="3CA17C35" w:rsidR="00FB35CE" w:rsidRDefault="00FB35CE" w:rsidP="002B1B73">
      <w:pPr>
        <w:spacing w:after="240"/>
      </w:pPr>
      <w:r>
        <w:t xml:space="preserve">Regarding clinical effectiveness, MSAC noted several issues, including use of per-protocol analyses rather than intention-to-treat, small studies, low-quality naive indirect comparisons using flawed methodology, and an absence of </w:t>
      </w:r>
      <w:r w:rsidR="00AB0E2D">
        <w:t>RCTs</w:t>
      </w:r>
      <w:r>
        <w:t xml:space="preserve"> comparing IMVAD with ECMO. For HR-PCI, MSAC noted no significant difference in 30-day mortality in the PROTECT II study, although the results favoured IABP. MSAC also noted that the PROTECT II study was stopped due to futility. For RHF, MSAC noted the poor quality of evidence to in</w:t>
      </w:r>
      <w:r w:rsidR="002B1B73">
        <w:t>form comparative effectiveness.</w:t>
      </w:r>
    </w:p>
    <w:p w14:paraId="2DEB8E4D" w14:textId="320EBB57" w:rsidR="00FB35CE" w:rsidRDefault="00FB35CE" w:rsidP="002B1B73">
      <w:pPr>
        <w:spacing w:after="240"/>
      </w:pPr>
      <w:r>
        <w:t xml:space="preserve">For the </w:t>
      </w:r>
      <w:r w:rsidR="00AB0E2D">
        <w:t>CS</w:t>
      </w:r>
      <w:r>
        <w:t xml:space="preserve"> population, 30-day mortality was similar for IMVAD and IABP, although numbers were small. MSAC noted that recent studies have shown that IABP has limited value in this context and is no longer recommended for this indication. Comparative clinical effectiveness in the application showed that IMVAD is non</w:t>
      </w:r>
      <w:r w:rsidR="00AB0E2D">
        <w:t>-</w:t>
      </w:r>
      <w:r>
        <w:t xml:space="preserve">inferior or less effective compared with IABP, indicating that IMVAD would also be of limited value to patients with </w:t>
      </w:r>
      <w:r w:rsidR="00F27E20">
        <w:t>CS</w:t>
      </w:r>
      <w:r>
        <w:t xml:space="preserve">. MSAC noted that the included studies were small, low quality and used naive indirect comparisons with flawed methodology, but also acknowledged the difficulties in conducting clinical trials in patients with </w:t>
      </w:r>
      <w:r w:rsidR="00F27E20">
        <w:t>CS</w:t>
      </w:r>
      <w:r>
        <w:t>.</w:t>
      </w:r>
    </w:p>
    <w:p w14:paraId="3E5AE178" w14:textId="6EB4A9C3" w:rsidR="00FB35CE" w:rsidRDefault="00FB35CE" w:rsidP="002B1B73">
      <w:pPr>
        <w:spacing w:after="240"/>
      </w:pPr>
      <w:r>
        <w:t>Overall, MSAC considered that IMVAD was non</w:t>
      </w:r>
      <w:r w:rsidR="00F27E20">
        <w:t>-</w:t>
      </w:r>
      <w:r>
        <w:t>inferior or less effective compared with IABP, and uncertain compared with ECMO. The number of patients who would be eligibl</w:t>
      </w:r>
      <w:r w:rsidR="002B1B73">
        <w:t>e for IMVAD was also uncertain.</w:t>
      </w:r>
    </w:p>
    <w:p w14:paraId="1F5CC2AD" w14:textId="242426EC" w:rsidR="00FB35CE" w:rsidRDefault="00FB35CE" w:rsidP="00FB35CE">
      <w:pPr>
        <w:pStyle w:val="NormalBeforeBullet"/>
      </w:pPr>
      <w:r>
        <w:t>In the economic model, IMVAD was dominant in all populations according to the base</w:t>
      </w:r>
      <w:r w:rsidR="00F27E20">
        <w:t>-</w:t>
      </w:r>
      <w:r>
        <w:t>case analys</w:t>
      </w:r>
      <w:r w:rsidR="00F27E20">
        <w:t>e</w:t>
      </w:r>
      <w:r>
        <w:t xml:space="preserve">s. </w:t>
      </w:r>
      <w:r w:rsidR="00B73596">
        <w:t>However, MSAC noted that the a</w:t>
      </w:r>
      <w:r w:rsidR="002B577A">
        <w:t>pplicant revised the economic (base</w:t>
      </w:r>
      <w:r w:rsidR="00455376">
        <w:t>-</w:t>
      </w:r>
      <w:r w:rsidR="002B577A">
        <w:t xml:space="preserve">case) models in their pre-ESC response, acknowledging multiple errors made in </w:t>
      </w:r>
      <w:r w:rsidR="00B73596">
        <w:t xml:space="preserve">the </w:t>
      </w:r>
      <w:r w:rsidR="002B577A">
        <w:t>analysis and estimates. In addition</w:t>
      </w:r>
      <w:r>
        <w:t>, MSAC noted several issues or areas of uncertainty:</w:t>
      </w:r>
    </w:p>
    <w:p w14:paraId="44A53659" w14:textId="77777777" w:rsidR="00FB35CE" w:rsidRPr="00931A2F" w:rsidRDefault="00FB35CE" w:rsidP="00FB35CE">
      <w:pPr>
        <w:pStyle w:val="Bullet"/>
        <w:tabs>
          <w:tab w:val="clear" w:pos="360"/>
          <w:tab w:val="num" w:pos="-720"/>
        </w:tabs>
      </w:pPr>
      <w:r>
        <w:t xml:space="preserve">The </w:t>
      </w:r>
      <w:r w:rsidRPr="00931A2F">
        <w:t>economic models have several structural flaws and use highly uncertain inputs</w:t>
      </w:r>
      <w:r>
        <w:t>, resulting in them not being</w:t>
      </w:r>
      <w:r w:rsidRPr="00931A2F">
        <w:t xml:space="preserve"> informative for decision making</w:t>
      </w:r>
      <w:r>
        <w:t>.</w:t>
      </w:r>
    </w:p>
    <w:p w14:paraId="1122C376" w14:textId="77777777" w:rsidR="00FB35CE" w:rsidRPr="00931A2F" w:rsidRDefault="00FB35CE" w:rsidP="00FB35CE">
      <w:pPr>
        <w:pStyle w:val="Bullet"/>
        <w:tabs>
          <w:tab w:val="clear" w:pos="360"/>
          <w:tab w:val="num" w:pos="-720"/>
        </w:tabs>
      </w:pPr>
      <w:r>
        <w:t xml:space="preserve">The applicant </w:t>
      </w:r>
      <w:r w:rsidRPr="00931A2F">
        <w:t>use</w:t>
      </w:r>
      <w:r>
        <w:t>d per-protocol</w:t>
      </w:r>
      <w:r w:rsidRPr="00931A2F">
        <w:t xml:space="preserve"> analyses for IMVAD</w:t>
      </w:r>
      <w:r>
        <w:t xml:space="preserve"> compared with</w:t>
      </w:r>
      <w:r w:rsidRPr="00931A2F">
        <w:t xml:space="preserve"> IABP at 30</w:t>
      </w:r>
      <w:r>
        <w:t> </w:t>
      </w:r>
      <w:r w:rsidRPr="00931A2F">
        <w:t>d</w:t>
      </w:r>
      <w:r>
        <w:t>ays, and included variable use of per-protocol or intention-to-treat analyses for adverse events.</w:t>
      </w:r>
    </w:p>
    <w:p w14:paraId="7DB13225" w14:textId="4625ADEA" w:rsidR="00FB35CE" w:rsidRPr="00931A2F" w:rsidRDefault="00FB35CE" w:rsidP="00FB35CE">
      <w:pPr>
        <w:pStyle w:val="Bullet"/>
        <w:tabs>
          <w:tab w:val="clear" w:pos="360"/>
          <w:tab w:val="num" w:pos="-720"/>
        </w:tabs>
      </w:pPr>
      <w:r>
        <w:t>E</w:t>
      </w:r>
      <w:r w:rsidRPr="00931A2F">
        <w:t xml:space="preserve">ffectiveness </w:t>
      </w:r>
      <w:r w:rsidR="00F27E20">
        <w:t xml:space="preserve">parameters </w:t>
      </w:r>
      <w:r>
        <w:t>compared with</w:t>
      </w:r>
      <w:r w:rsidRPr="00931A2F">
        <w:t xml:space="preserve"> ECMO </w:t>
      </w:r>
      <w:r>
        <w:t xml:space="preserve">was </w:t>
      </w:r>
      <w:r w:rsidRPr="00931A2F">
        <w:t xml:space="preserve">based on </w:t>
      </w:r>
      <w:r w:rsidR="00F27E20">
        <w:t xml:space="preserve">naïve </w:t>
      </w:r>
      <w:r w:rsidRPr="00931A2F">
        <w:t>indirect comparisons</w:t>
      </w:r>
      <w:r>
        <w:t>.</w:t>
      </w:r>
    </w:p>
    <w:p w14:paraId="11DDC30F" w14:textId="6942DE39" w:rsidR="00FB35CE" w:rsidRPr="00931A2F" w:rsidRDefault="00FB35CE" w:rsidP="00FB35CE">
      <w:pPr>
        <w:pStyle w:val="Bullet"/>
        <w:tabs>
          <w:tab w:val="clear" w:pos="360"/>
          <w:tab w:val="num" w:pos="-720"/>
        </w:tabs>
      </w:pPr>
      <w:r>
        <w:t>C</w:t>
      </w:r>
      <w:r w:rsidRPr="00931A2F">
        <w:t xml:space="preserve">ost-offsets </w:t>
      </w:r>
      <w:r>
        <w:t xml:space="preserve">were </w:t>
      </w:r>
      <w:r w:rsidRPr="00931A2F">
        <w:t xml:space="preserve">uncertain </w:t>
      </w:r>
      <w:r>
        <w:t xml:space="preserve">– MSAC considered the use of </w:t>
      </w:r>
      <w:r w:rsidRPr="00931A2F">
        <w:t xml:space="preserve">ECMO in 38% </w:t>
      </w:r>
      <w:r>
        <w:t>of HR-PCI patients</w:t>
      </w:r>
      <w:r w:rsidRPr="00931A2F">
        <w:t xml:space="preserve"> and 100% </w:t>
      </w:r>
      <w:r>
        <w:t xml:space="preserve">of </w:t>
      </w:r>
      <w:r w:rsidRPr="00931A2F">
        <w:t xml:space="preserve">cardiogenic shock </w:t>
      </w:r>
      <w:r>
        <w:t xml:space="preserve">patients to be overestimates, particularly given the applicant’s advice that ECMO-assisted HR-PCI numbers are very low (1 or 2 patients per year in a large Melbourne hospital). One-way sensitivity analysis on the proportion of ECMO-supported HR-PCI patients showed that the ICER was highly sensitive to this parameter. MSAC also noted </w:t>
      </w:r>
      <w:r w:rsidRPr="00931A2F">
        <w:t>differences in hospital</w:t>
      </w:r>
      <w:r>
        <w:t xml:space="preserve"> or intensive care unit</w:t>
      </w:r>
      <w:r w:rsidRPr="00931A2F">
        <w:t xml:space="preserve"> length of stay </w:t>
      </w:r>
      <w:r>
        <w:t>compared with</w:t>
      </w:r>
      <w:r w:rsidRPr="00931A2F">
        <w:t xml:space="preserve"> ECMO</w:t>
      </w:r>
      <w:r w:rsidR="002B577A">
        <w:t xml:space="preserve"> (relative to IMVAD)</w:t>
      </w:r>
      <w:r>
        <w:t>.</w:t>
      </w:r>
    </w:p>
    <w:p w14:paraId="0390D59E" w14:textId="16916723" w:rsidR="00FB35CE" w:rsidRPr="00931A2F" w:rsidRDefault="00FB35CE" w:rsidP="00FB35CE">
      <w:pPr>
        <w:pStyle w:val="BulletLast"/>
        <w:tabs>
          <w:tab w:val="clear" w:pos="360"/>
          <w:tab w:val="num" w:pos="-720"/>
        </w:tabs>
      </w:pPr>
      <w:r>
        <w:t xml:space="preserve">The applicant used </w:t>
      </w:r>
      <w:r w:rsidR="002B577A">
        <w:t>short</w:t>
      </w:r>
      <w:r w:rsidR="00455376">
        <w:t>-</w:t>
      </w:r>
      <w:r w:rsidR="002B577A">
        <w:t xml:space="preserve">term </w:t>
      </w:r>
      <w:r w:rsidR="00455376">
        <w:t>(</w:t>
      </w:r>
      <w:r w:rsidR="00455376" w:rsidRPr="00931A2F">
        <w:t>30</w:t>
      </w:r>
      <w:r w:rsidR="00455376">
        <w:t>-</w:t>
      </w:r>
      <w:r w:rsidR="00455376" w:rsidRPr="00931A2F">
        <w:t>d</w:t>
      </w:r>
      <w:r w:rsidR="00455376">
        <w:t xml:space="preserve">ay) </w:t>
      </w:r>
      <w:r w:rsidR="006032B0">
        <w:t>follow-up data</w:t>
      </w:r>
      <w:r>
        <w:t xml:space="preserve">, when </w:t>
      </w:r>
      <w:r w:rsidR="002B577A">
        <w:t>longer follow-up data (</w:t>
      </w:r>
      <w:r>
        <w:t>90-day</w:t>
      </w:r>
      <w:r w:rsidR="002B577A">
        <w:t>)</w:t>
      </w:r>
      <w:r>
        <w:t xml:space="preserve"> data were available for</w:t>
      </w:r>
      <w:r w:rsidR="002B577A">
        <w:t xml:space="preserve"> mortality and adverse event data in</w:t>
      </w:r>
      <w:r>
        <w:t xml:space="preserve"> HR-PCI patients in the PROTECT II trial.</w:t>
      </w:r>
    </w:p>
    <w:p w14:paraId="3418F7C7" w14:textId="35F270BD" w:rsidR="00FB35CE" w:rsidRDefault="00FB35CE" w:rsidP="002B1B73">
      <w:pPr>
        <w:spacing w:after="240"/>
      </w:pPr>
      <w:r>
        <w:t>MSAC considered that these issues either favour IMVAD or have uncertain effects on the model, result</w:t>
      </w:r>
      <w:r w:rsidR="002B1B73">
        <w:t>ing in a highly uncertain ICER.</w:t>
      </w:r>
    </w:p>
    <w:p w14:paraId="3D44DC89" w14:textId="371034AE" w:rsidR="00FB35CE" w:rsidRDefault="00FB35CE" w:rsidP="002B1B73">
      <w:pPr>
        <w:spacing w:after="240"/>
      </w:pPr>
      <w:r>
        <w:lastRenderedPageBreak/>
        <w:t>MSAC agreed with ESC that, while</w:t>
      </w:r>
      <w:r w:rsidRPr="00240534">
        <w:t xml:space="preserve"> the time for surgical IMVAD insertion and removal is higher than percutaneous methods, the quantum of reimbursement is not adequately justified</w:t>
      </w:r>
      <w:r>
        <w:t>. MSAC also agreed that it was reasonable to delete the fee for perc</w:t>
      </w:r>
      <w:r w:rsidR="002B1B73">
        <w:t>utaneous removal of the device.</w:t>
      </w:r>
    </w:p>
    <w:p w14:paraId="212B6758" w14:textId="062F4208" w:rsidR="00FB35CE" w:rsidRDefault="00FB35CE" w:rsidP="002B1B73">
      <w:pPr>
        <w:spacing w:after="240"/>
      </w:pPr>
      <w:r>
        <w:t xml:space="preserve">In the applicant’s pre-MSAC response, the applicant confirmed that </w:t>
      </w:r>
      <w:r w:rsidR="002B577A">
        <w:t>CS</w:t>
      </w:r>
      <w:r>
        <w:t xml:space="preserve"> is not listed as an indication in the TGA registrations for IABP or ECMO. The applicant also noted ongoing trials using IMVAD for acute myocardial infarction with cardiogenic shock, and HR-PCI (PROTECT III study). However, MSAC noted two recent US studies (Dhruva et al. and Amin et al.) that show that IMVAD is associated with higher rates of bleeding complications and death compared with IABP. The applicant considered this analysis to be flawed because of differences in patient risk at baseline and during procedures, and limitations in the data source and analysis (including excluding the most costly IABP patients who were escalated to other therapies). MSAC also noted the rapid adoption and high use of Impella</w:t>
      </w:r>
      <w:r w:rsidRPr="00DA1112">
        <w:rPr>
          <w:vertAlign w:val="superscript"/>
        </w:rPr>
        <w:t>®</w:t>
      </w:r>
      <w:r>
        <w:t xml:space="preserve"> in the United States (where more than 30% of PCI patients</w:t>
      </w:r>
      <w:r w:rsidR="00923978">
        <w:t xml:space="preserve"> requiring mechanical circulatory support</w:t>
      </w:r>
      <w:r>
        <w:t xml:space="preserve"> receive the device), but also the large variation in use among hospitals,</w:t>
      </w:r>
      <w:r w:rsidR="002B1B73">
        <w:t xml:space="preserve"> suggesting clinical equipoise.</w:t>
      </w:r>
    </w:p>
    <w:p w14:paraId="10AFE6E8" w14:textId="239A2C95" w:rsidR="00FB35CE" w:rsidRDefault="00FB35CE" w:rsidP="002B1B73">
      <w:pPr>
        <w:spacing w:after="240"/>
      </w:pPr>
      <w:r>
        <w:t>MSAC noted that the applicant’s revised financial estimates provided to ESC had been reviewed and verified by the assessment group. MSAC considered the financial and budgetary impacts to be uncertain for all three populations, and likely to be underestimated. This was particularly influenced by the proposed cost offsets attributed to reduced ECMO u</w:t>
      </w:r>
      <w:r w:rsidR="002B1B73">
        <w:t>se.</w:t>
      </w:r>
    </w:p>
    <w:p w14:paraId="750F812E" w14:textId="0B82CC06" w:rsidR="00FB35CE" w:rsidRDefault="00FB35CE" w:rsidP="002B1B73">
      <w:pPr>
        <w:spacing w:after="240"/>
      </w:pPr>
      <w:r>
        <w:t xml:space="preserve">MSAC acknowledged the clinical need for effective interventions in these populations, who currently have limited options (particularly for </w:t>
      </w:r>
      <w:r w:rsidR="00A672E6">
        <w:t>CS</w:t>
      </w:r>
      <w:r>
        <w:t>). However, MSAC considered the need to balance treatment benefit with futility of intervention. MSAC noted the ongoing investigator-run trial in Denmark and Germany for patients with cardiogenic shock (the DanGer Shock trial) and accepted that this was a well-designed trial; res</w:t>
      </w:r>
      <w:r w:rsidR="002B1B73">
        <w:t>ults are expected in 3–4 years.</w:t>
      </w:r>
    </w:p>
    <w:p w14:paraId="713FE0C8" w14:textId="57A0EAA5" w:rsidR="00FB35CE" w:rsidRPr="00B407E1" w:rsidRDefault="00FB35CE" w:rsidP="00FB35CE">
      <w:r>
        <w:t xml:space="preserve">Overall, </w:t>
      </w:r>
      <w:r w:rsidRPr="005C3030">
        <w:t>MSAC did not support public funding of Impella</w:t>
      </w:r>
      <w:r w:rsidRPr="006F7916">
        <w:rPr>
          <w:vertAlign w:val="superscript"/>
        </w:rPr>
        <w:t>®</w:t>
      </w:r>
      <w:r w:rsidRPr="005C3030">
        <w:t xml:space="preserve"> because of </w:t>
      </w:r>
      <w:r>
        <w:t xml:space="preserve">poor-quality evidence leading to </w:t>
      </w:r>
      <w:r w:rsidRPr="005C3030">
        <w:t>uncertain safety, clinical effectiveness and cost-effectiveness in all proposed populations. MSAC considered that additional data from randomised controlled trials would be required to give greater certainty regarding comparative safety and effectiveness</w:t>
      </w:r>
      <w:r w:rsidR="002B577A">
        <w:t xml:space="preserve"> and cost-effectiveness.</w:t>
      </w:r>
    </w:p>
    <w:p w14:paraId="3853C557" w14:textId="77777777" w:rsidR="00C57390" w:rsidRPr="00F715D1" w:rsidRDefault="00C57390" w:rsidP="00C57390">
      <w:pPr>
        <w:pStyle w:val="Heading1"/>
      </w:pPr>
      <w:r w:rsidRPr="00F715D1">
        <w:t>Background</w:t>
      </w:r>
    </w:p>
    <w:p w14:paraId="00C6628A" w14:textId="273985A5" w:rsidR="006507E7" w:rsidRPr="007779AF" w:rsidRDefault="006507E7" w:rsidP="006507E7">
      <w:r>
        <w:t>This is the first submission (submission based assessment [SBA]) for t</w:t>
      </w:r>
      <w:r w:rsidRPr="007779AF">
        <w:t xml:space="preserve">ransluminal insertion, management, repositioning, and removal of an </w:t>
      </w:r>
      <w:r>
        <w:t>IMVAD</w:t>
      </w:r>
      <w:r w:rsidRPr="007779AF">
        <w:t xml:space="preserve"> (Impella</w:t>
      </w:r>
      <w:r w:rsidRPr="009B30C1">
        <w:rPr>
          <w:vertAlign w:val="superscript"/>
        </w:rPr>
        <w:t>®</w:t>
      </w:r>
      <w:r w:rsidRPr="007779AF">
        <w:t>), for patients requiring mechanical circulatory support</w:t>
      </w:r>
      <w:r>
        <w:t xml:space="preserve">. </w:t>
      </w:r>
      <w:r w:rsidR="00246999">
        <w:rPr>
          <w:bCs/>
        </w:rPr>
        <w:t>MSAC has not previously considered this application.</w:t>
      </w:r>
    </w:p>
    <w:p w14:paraId="55BF09FE" w14:textId="77777777" w:rsidR="00C57390" w:rsidRPr="00F715D1" w:rsidRDefault="00C57390" w:rsidP="00C57390">
      <w:pPr>
        <w:pStyle w:val="Heading1"/>
      </w:pPr>
      <w:r w:rsidRPr="00F715D1">
        <w:t>Prerequisites to implementation of any funding advice</w:t>
      </w:r>
    </w:p>
    <w:p w14:paraId="1CEF4884" w14:textId="2C12E551" w:rsidR="006507E7" w:rsidRPr="007779AF" w:rsidRDefault="006507E7" w:rsidP="00AE6936">
      <w:r w:rsidRPr="002A6972">
        <w:t xml:space="preserve">The </w:t>
      </w:r>
      <w:r>
        <w:t>Impella </w:t>
      </w:r>
      <w:r w:rsidRPr="002A6972">
        <w:t>CP and 5.0 models</w:t>
      </w:r>
      <w:r>
        <w:t xml:space="preserve">, and </w:t>
      </w:r>
      <w:r w:rsidRPr="002A6972">
        <w:t>the</w:t>
      </w:r>
      <w:r w:rsidR="00AE6936">
        <w:t xml:space="preserve"> control unit are listed on the </w:t>
      </w:r>
      <w:r w:rsidRPr="002A6972">
        <w:t xml:space="preserve">ARTG. </w:t>
      </w:r>
      <w:r w:rsidR="00AE6936">
        <w:t>At the time of this application to MSAC, t</w:t>
      </w:r>
      <w:r w:rsidRPr="002A6972">
        <w:t>he RP model for right ventricular support is currently under application, while registration of the 2.5 model has not yet been applied for</w:t>
      </w:r>
      <w:r>
        <w:t>.</w:t>
      </w:r>
    </w:p>
    <w:p w14:paraId="22BDBCD5" w14:textId="77777777" w:rsidR="00C57390" w:rsidRPr="00F715D1" w:rsidRDefault="00C57390" w:rsidP="00C57390">
      <w:pPr>
        <w:pStyle w:val="Heading1"/>
      </w:pPr>
      <w:r w:rsidRPr="00F715D1">
        <w:t>Proposal for public funding</w:t>
      </w:r>
    </w:p>
    <w:p w14:paraId="3AB24D2D" w14:textId="6D3857E2" w:rsidR="006507E7" w:rsidRPr="00FA2539" w:rsidRDefault="006507E7" w:rsidP="002B1B73">
      <w:pPr>
        <w:pStyle w:val="Default"/>
        <w:spacing w:after="240"/>
      </w:pPr>
      <w:r w:rsidRPr="00FA2539">
        <w:t>Separate MBS item numbers were proposed for the insertion</w:t>
      </w:r>
      <w:r>
        <w:t xml:space="preserve"> (percutaneous [Table 1]; surgical [Table 2])</w:t>
      </w:r>
      <w:r w:rsidRPr="00FA2539">
        <w:t>, management</w:t>
      </w:r>
      <w:r>
        <w:t xml:space="preserve"> (Table 3)</w:t>
      </w:r>
      <w:r w:rsidRPr="00FA2539">
        <w:t>, repositioning</w:t>
      </w:r>
      <w:r>
        <w:t xml:space="preserve"> (Table 4)</w:t>
      </w:r>
      <w:r w:rsidRPr="00FA2539">
        <w:t xml:space="preserve"> and removal</w:t>
      </w:r>
      <w:r>
        <w:t xml:space="preserve"> (percutaneous [Table 5]; surgical [Table 6])</w:t>
      </w:r>
      <w:r w:rsidRPr="00FA2539">
        <w:t xml:space="preserve"> of the device in line with current item codes for </w:t>
      </w:r>
      <w:r w:rsidRPr="00FA2539">
        <w:lastRenderedPageBreak/>
        <w:t>intra-aortic balloon pump (IABP) and v</w:t>
      </w:r>
      <w:r>
        <w:t>entricular assist devices (VAD)</w:t>
      </w:r>
      <w:r w:rsidRPr="00FA2539">
        <w:t xml:space="preserve">. </w:t>
      </w:r>
      <w:r>
        <w:t xml:space="preserve">The </w:t>
      </w:r>
      <w:r w:rsidR="00296D8C">
        <w:t>application</w:t>
      </w:r>
      <w:r>
        <w:t xml:space="preserve"> stated that p</w:t>
      </w:r>
      <w:r w:rsidRPr="00A6560B">
        <w:t xml:space="preserve">ercutaneous removal of the microaxial ventricular assist device is a simple procedure and it was considered that a fee and hence an item for this was not required and has been removed from the </w:t>
      </w:r>
      <w:r w:rsidR="00296D8C">
        <w:t>application</w:t>
      </w:r>
      <w:r w:rsidRPr="00A6560B">
        <w:t xml:space="preserve">. </w:t>
      </w:r>
      <w:r>
        <w:t xml:space="preserve">The </w:t>
      </w:r>
      <w:r w:rsidR="00296D8C">
        <w:t>application</w:t>
      </w:r>
      <w:r>
        <w:t xml:space="preserve"> stated that s</w:t>
      </w:r>
      <w:r w:rsidRPr="00A6560B">
        <w:t>urgical insertion of a right</w:t>
      </w:r>
      <w:r w:rsidR="00CE7A1F">
        <w:t>-</w:t>
      </w:r>
      <w:r w:rsidR="003D7E9C">
        <w:t xml:space="preserve">sided </w:t>
      </w:r>
      <w:r w:rsidRPr="00A6560B">
        <w:t xml:space="preserve">intravascular microaxial ventricular assist device cannot be conducted by arteriotomy and the term venotomy has been added to the item descriptor </w:t>
      </w:r>
      <w:r>
        <w:t>i</w:t>
      </w:r>
      <w:r w:rsidR="002B1B73">
        <w:t>n Table 2 (highlighted in red).</w:t>
      </w:r>
    </w:p>
    <w:p w14:paraId="6547917C" w14:textId="77777777" w:rsidR="006507E7" w:rsidRPr="00DC1117" w:rsidRDefault="006507E7" w:rsidP="00DC1117">
      <w:pPr>
        <w:rPr>
          <w:rFonts w:ascii="Arial Narrow" w:hAnsi="Arial Narrow"/>
          <w:b/>
          <w:sz w:val="20"/>
        </w:rPr>
      </w:pPr>
      <w:bookmarkStart w:id="1" w:name="_Ref16709703"/>
      <w:r w:rsidRPr="00DC1117">
        <w:rPr>
          <w:rFonts w:ascii="Arial Narrow" w:hAnsi="Arial Narrow"/>
          <w:b/>
          <w:sz w:val="20"/>
        </w:rPr>
        <w:t xml:space="preserve">Table </w:t>
      </w:r>
      <w:bookmarkEnd w:id="1"/>
      <w:r w:rsidRPr="00DC1117">
        <w:rPr>
          <w:rFonts w:ascii="Arial Narrow" w:hAnsi="Arial Narrow"/>
          <w:b/>
          <w:sz w:val="20"/>
        </w:rPr>
        <w:t>1</w:t>
      </w:r>
      <w:r w:rsidRPr="00DC1117">
        <w:rPr>
          <w:rFonts w:ascii="Arial Narrow" w:hAnsi="Arial Narrow"/>
          <w:b/>
          <w:sz w:val="20"/>
        </w:rPr>
        <w:tab/>
        <w:t>Proposed MBS item descriptor, percutaneous insertion</w:t>
      </w:r>
    </w:p>
    <w:tbl>
      <w:tblPr>
        <w:tblStyle w:val="TableGrid2"/>
        <w:tblW w:w="5000" w:type="pct"/>
        <w:tblLook w:val="04A0" w:firstRow="1" w:lastRow="0" w:firstColumn="1" w:lastColumn="0" w:noHBand="0" w:noVBand="1"/>
        <w:tblDescription w:val="Proposed MBS item descriptor, percutaneous insertion"/>
      </w:tblPr>
      <w:tblGrid>
        <w:gridCol w:w="9016"/>
      </w:tblGrid>
      <w:tr w:rsidR="006507E7" w:rsidRPr="00D33FC3" w14:paraId="2D1FA320" w14:textId="77777777" w:rsidTr="0083785E">
        <w:trPr>
          <w:cnfStyle w:val="100000000000" w:firstRow="1" w:lastRow="0" w:firstColumn="0" w:lastColumn="0" w:oddVBand="0" w:evenVBand="0" w:oddHBand="0" w:evenHBand="0" w:firstRowFirstColumn="0" w:firstRowLastColumn="0" w:lastRowFirstColumn="0" w:lastRowLastColumn="0"/>
          <w:tblHeader/>
        </w:trPr>
        <w:tc>
          <w:tcPr>
            <w:tcW w:w="5000" w:type="pct"/>
          </w:tcPr>
          <w:p w14:paraId="05A52F99" w14:textId="77777777" w:rsidR="006507E7" w:rsidRPr="00D33FC3" w:rsidRDefault="006507E7" w:rsidP="008C2A2E">
            <w:pPr>
              <w:pStyle w:val="Tabletextright"/>
              <w:rPr>
                <w:sz w:val="24"/>
              </w:rPr>
            </w:pPr>
            <w:r>
              <w:t>Category 3 – THERAPEUTIC PROCEDURES</w:t>
            </w:r>
          </w:p>
        </w:tc>
      </w:tr>
      <w:tr w:rsidR="006507E7" w:rsidRPr="00C03585" w14:paraId="11292A60" w14:textId="77777777" w:rsidTr="0083785E">
        <w:tc>
          <w:tcPr>
            <w:tcW w:w="5000" w:type="pct"/>
          </w:tcPr>
          <w:p w14:paraId="31C1D25A" w14:textId="77777777" w:rsidR="006507E7" w:rsidRDefault="006507E7" w:rsidP="008C2A2E">
            <w:pPr>
              <w:pStyle w:val="Tabletext0"/>
              <w:rPr>
                <w:snapToGrid w:val="0"/>
              </w:rPr>
            </w:pPr>
            <w:r w:rsidRPr="00DF586E">
              <w:rPr>
                <w:snapToGrid w:val="0"/>
              </w:rPr>
              <w:t>Percutaneous insertion of a left</w:t>
            </w:r>
            <w:r>
              <w:rPr>
                <w:snapToGrid w:val="0"/>
              </w:rPr>
              <w:t>-</w:t>
            </w:r>
            <w:r w:rsidRPr="00DF586E">
              <w:rPr>
                <w:snapToGrid w:val="0"/>
              </w:rPr>
              <w:t xml:space="preserve"> or right</w:t>
            </w:r>
            <w:r>
              <w:rPr>
                <w:snapToGrid w:val="0"/>
              </w:rPr>
              <w:t>-sided</w:t>
            </w:r>
            <w:r w:rsidRPr="00DF586E">
              <w:rPr>
                <w:snapToGrid w:val="0"/>
              </w:rPr>
              <w:t xml:space="preserve"> intravascular microaxial ventricular assist device </w:t>
            </w:r>
            <w:r w:rsidRPr="005661F2">
              <w:rPr>
                <w:snapToGrid w:val="0"/>
              </w:rPr>
              <w:t xml:space="preserve">by arteriotomy/venotomy </w:t>
            </w:r>
            <w:r w:rsidRPr="00DF586E">
              <w:rPr>
                <w:snapToGrid w:val="0"/>
              </w:rPr>
              <w:t>in patients with cardiogenic shock (with no evidence of significant anoxic neurological injury), right heart failure or who are undergoing high-risk percutaneous coronary intervention.</w:t>
            </w:r>
          </w:p>
          <w:p w14:paraId="73AF845C" w14:textId="77777777" w:rsidR="006507E7" w:rsidRPr="00C37D43" w:rsidRDefault="006507E7" w:rsidP="008C2A2E">
            <w:pPr>
              <w:pStyle w:val="Tabletext0"/>
              <w:rPr>
                <w:snapToGrid w:val="0"/>
              </w:rPr>
            </w:pPr>
            <w:r w:rsidRPr="00C37D43">
              <w:rPr>
                <w:snapToGrid w:val="0"/>
              </w:rPr>
              <w:t>The criteria for high-risk percutaneous coronary intervention are:</w:t>
            </w:r>
          </w:p>
          <w:p w14:paraId="2F75AA12" w14:textId="77777777" w:rsidR="006507E7" w:rsidRPr="00C37D43" w:rsidRDefault="006507E7" w:rsidP="008C2A2E">
            <w:pPr>
              <w:pStyle w:val="Tabletext0"/>
              <w:rPr>
                <w:snapToGrid w:val="0"/>
              </w:rPr>
            </w:pPr>
            <w:r w:rsidRPr="00C37D43">
              <w:rPr>
                <w:snapToGrid w:val="0"/>
              </w:rPr>
              <w:t>comorbidities; and</w:t>
            </w:r>
          </w:p>
          <w:p w14:paraId="500A36B3" w14:textId="77777777" w:rsidR="006507E7" w:rsidRPr="00C37D43" w:rsidRDefault="006507E7" w:rsidP="008C2A2E">
            <w:pPr>
              <w:pStyle w:val="Tabletext0"/>
              <w:rPr>
                <w:snapToGrid w:val="0"/>
              </w:rPr>
            </w:pPr>
            <w:r w:rsidRPr="00C37D43">
              <w:rPr>
                <w:snapToGrid w:val="0"/>
              </w:rPr>
              <w:t>-</w:t>
            </w:r>
            <w:r w:rsidRPr="00C37D43">
              <w:rPr>
                <w:snapToGrid w:val="0"/>
              </w:rPr>
              <w:tab/>
              <w:t>left ventricular ejection fraction ≤35%; and</w:t>
            </w:r>
          </w:p>
          <w:p w14:paraId="32E159C7" w14:textId="77777777" w:rsidR="006507E7" w:rsidRPr="00C37D43" w:rsidRDefault="006507E7" w:rsidP="008C2A2E">
            <w:pPr>
              <w:pStyle w:val="Tabletext0"/>
              <w:rPr>
                <w:snapToGrid w:val="0"/>
              </w:rPr>
            </w:pPr>
            <w:r w:rsidRPr="00C37D43">
              <w:rPr>
                <w:snapToGrid w:val="0"/>
              </w:rPr>
              <w:t>-</w:t>
            </w:r>
            <w:r w:rsidRPr="00C37D43">
              <w:rPr>
                <w:snapToGrid w:val="0"/>
              </w:rPr>
              <w:tab/>
              <w:t>unprotected left main; or</w:t>
            </w:r>
          </w:p>
          <w:p w14:paraId="0A3DFE97" w14:textId="77777777" w:rsidR="006507E7" w:rsidRPr="00C37D43" w:rsidRDefault="006507E7" w:rsidP="008C2A2E">
            <w:pPr>
              <w:pStyle w:val="Tabletext0"/>
              <w:rPr>
                <w:snapToGrid w:val="0"/>
              </w:rPr>
            </w:pPr>
            <w:r w:rsidRPr="00C37D43">
              <w:rPr>
                <w:snapToGrid w:val="0"/>
              </w:rPr>
              <w:t>-</w:t>
            </w:r>
            <w:r w:rsidRPr="00C37D43">
              <w:rPr>
                <w:snapToGrid w:val="0"/>
              </w:rPr>
              <w:tab/>
              <w:t>last patent coronary vessel; or</w:t>
            </w:r>
          </w:p>
          <w:p w14:paraId="075C8B6D" w14:textId="77777777" w:rsidR="006507E7" w:rsidRDefault="006507E7" w:rsidP="008C2A2E">
            <w:pPr>
              <w:pStyle w:val="Tabletext0"/>
              <w:rPr>
                <w:snapToGrid w:val="0"/>
              </w:rPr>
            </w:pPr>
            <w:r w:rsidRPr="00C37D43">
              <w:rPr>
                <w:snapToGrid w:val="0"/>
              </w:rPr>
              <w:t>-</w:t>
            </w:r>
            <w:r w:rsidRPr="00C37D43">
              <w:rPr>
                <w:snapToGrid w:val="0"/>
              </w:rPr>
              <w:tab/>
              <w:t>three-vessel disease.</w:t>
            </w:r>
          </w:p>
          <w:p w14:paraId="045D7A4A" w14:textId="77777777" w:rsidR="006507E7" w:rsidRDefault="006507E7" w:rsidP="008C2A2E">
            <w:pPr>
              <w:pStyle w:val="Tabletext0"/>
              <w:rPr>
                <w:snapToGrid w:val="0"/>
                <w:sz w:val="24"/>
              </w:rPr>
            </w:pPr>
            <w:r w:rsidRPr="0056160A">
              <w:rPr>
                <w:snapToGrid w:val="0"/>
              </w:rPr>
              <w:t>The criteria for right heart failure is isolated right heart failure after LVAD implantation or after cardiac surgery or myocardial infarction</w:t>
            </w:r>
          </w:p>
        </w:tc>
      </w:tr>
      <w:tr w:rsidR="006507E7" w:rsidRPr="00C03585" w14:paraId="2B1F16AA" w14:textId="77777777" w:rsidTr="0083785E">
        <w:tc>
          <w:tcPr>
            <w:tcW w:w="5000" w:type="pct"/>
          </w:tcPr>
          <w:p w14:paraId="734B4EE8" w14:textId="77777777" w:rsidR="006507E7" w:rsidRDefault="006507E7" w:rsidP="008C2A2E">
            <w:pPr>
              <w:pStyle w:val="Tabletext0"/>
              <w:rPr>
                <w:sz w:val="24"/>
              </w:rPr>
            </w:pPr>
            <w:r w:rsidRPr="00F503C4">
              <w:t>Fee: $384.95</w:t>
            </w:r>
          </w:p>
        </w:tc>
      </w:tr>
    </w:tbl>
    <w:p w14:paraId="3C2C329D" w14:textId="696F93BB" w:rsidR="00DA1112" w:rsidRDefault="006507E7" w:rsidP="006032B0">
      <w:pPr>
        <w:spacing w:after="240"/>
        <w:rPr>
          <w:rFonts w:ascii="Arial Narrow" w:hAnsi="Arial Narrow" w:cs="Arial"/>
          <w:sz w:val="18"/>
          <w:szCs w:val="18"/>
          <w:lang w:eastAsia="en-US"/>
        </w:rPr>
      </w:pPr>
      <w:r w:rsidRPr="007469CE">
        <w:rPr>
          <w:rFonts w:ascii="Arial Narrow" w:hAnsi="Arial Narrow" w:cs="Arial"/>
          <w:sz w:val="18"/>
          <w:szCs w:val="18"/>
          <w:lang w:eastAsia="en-US"/>
        </w:rPr>
        <w:t>Source: p49 of the SBA</w:t>
      </w:r>
    </w:p>
    <w:p w14:paraId="7679A5AE" w14:textId="77777777" w:rsidR="006507E7" w:rsidRPr="00DC1117" w:rsidRDefault="006507E7" w:rsidP="00DC1117">
      <w:pPr>
        <w:rPr>
          <w:rFonts w:ascii="Arial Narrow" w:hAnsi="Arial Narrow"/>
          <w:b/>
          <w:sz w:val="20"/>
        </w:rPr>
      </w:pPr>
      <w:bookmarkStart w:id="2" w:name="_Ref16709705"/>
      <w:r w:rsidRPr="00DC1117">
        <w:rPr>
          <w:rFonts w:ascii="Arial Narrow" w:hAnsi="Arial Narrow"/>
          <w:b/>
          <w:sz w:val="20"/>
        </w:rPr>
        <w:t xml:space="preserve">Table </w:t>
      </w:r>
      <w:bookmarkEnd w:id="2"/>
      <w:r w:rsidRPr="00DC1117">
        <w:rPr>
          <w:rFonts w:ascii="Arial Narrow" w:hAnsi="Arial Narrow"/>
          <w:b/>
          <w:sz w:val="20"/>
        </w:rPr>
        <w:t>2</w:t>
      </w:r>
      <w:r w:rsidRPr="00DC1117">
        <w:rPr>
          <w:rFonts w:ascii="Arial Narrow" w:hAnsi="Arial Narrow"/>
          <w:b/>
          <w:sz w:val="20"/>
        </w:rPr>
        <w:tab/>
        <w:t>Proposed MBS item descriptor, surgical insertion</w:t>
      </w:r>
    </w:p>
    <w:tbl>
      <w:tblPr>
        <w:tblStyle w:val="TableGrid2"/>
        <w:tblW w:w="5000" w:type="pct"/>
        <w:tblLook w:val="04A0" w:firstRow="1" w:lastRow="0" w:firstColumn="1" w:lastColumn="0" w:noHBand="0" w:noVBand="1"/>
        <w:tblDescription w:val="Proposed MBS item descriptor, surgical insertion"/>
      </w:tblPr>
      <w:tblGrid>
        <w:gridCol w:w="9016"/>
      </w:tblGrid>
      <w:tr w:rsidR="006507E7" w:rsidRPr="00D33FC3" w14:paraId="30833593" w14:textId="77777777" w:rsidTr="0083785E">
        <w:trPr>
          <w:cnfStyle w:val="100000000000" w:firstRow="1" w:lastRow="0" w:firstColumn="0" w:lastColumn="0" w:oddVBand="0" w:evenVBand="0" w:oddHBand="0" w:evenHBand="0" w:firstRowFirstColumn="0" w:firstRowLastColumn="0" w:lastRowFirstColumn="0" w:lastRowLastColumn="0"/>
          <w:tblHeader/>
        </w:trPr>
        <w:tc>
          <w:tcPr>
            <w:tcW w:w="5000" w:type="pct"/>
          </w:tcPr>
          <w:p w14:paraId="33D5EA1D" w14:textId="77777777" w:rsidR="006507E7" w:rsidRPr="00D33FC3" w:rsidRDefault="006507E7" w:rsidP="008C2A2E">
            <w:pPr>
              <w:pStyle w:val="Tabletextright"/>
              <w:rPr>
                <w:sz w:val="24"/>
              </w:rPr>
            </w:pPr>
            <w:r>
              <w:t>Category 3 – THERAPEUTIC PROCEDURES</w:t>
            </w:r>
          </w:p>
        </w:tc>
      </w:tr>
      <w:tr w:rsidR="006507E7" w:rsidRPr="00C03585" w14:paraId="6B24AF28" w14:textId="77777777" w:rsidTr="0083785E">
        <w:tc>
          <w:tcPr>
            <w:tcW w:w="5000" w:type="pct"/>
          </w:tcPr>
          <w:p w14:paraId="34AB167B" w14:textId="77777777" w:rsidR="006507E7" w:rsidRPr="00C0049C" w:rsidRDefault="006507E7" w:rsidP="008C2A2E">
            <w:pPr>
              <w:pStyle w:val="Tabletext0"/>
              <w:rPr>
                <w:snapToGrid w:val="0"/>
              </w:rPr>
            </w:pPr>
            <w:r w:rsidRPr="00C0049C">
              <w:rPr>
                <w:snapToGrid w:val="0"/>
              </w:rPr>
              <w:t>Surgical insertion of a left</w:t>
            </w:r>
            <w:r>
              <w:rPr>
                <w:snapToGrid w:val="0"/>
              </w:rPr>
              <w:t>-</w:t>
            </w:r>
            <w:r w:rsidRPr="00C0049C">
              <w:rPr>
                <w:snapToGrid w:val="0"/>
              </w:rPr>
              <w:t xml:space="preserve"> or right</w:t>
            </w:r>
            <w:r>
              <w:rPr>
                <w:snapToGrid w:val="0"/>
              </w:rPr>
              <w:t>-sided</w:t>
            </w:r>
            <w:r w:rsidRPr="00C0049C">
              <w:rPr>
                <w:snapToGrid w:val="0"/>
              </w:rPr>
              <w:t xml:space="preserve"> intravascular microaxial ventricular assist device by arteriotomy/</w:t>
            </w:r>
            <w:r w:rsidRPr="00E26B08">
              <w:rPr>
                <w:snapToGrid w:val="0"/>
                <w:color w:val="FF0000"/>
              </w:rPr>
              <w:t>venotomy</w:t>
            </w:r>
            <w:r w:rsidRPr="00C0049C">
              <w:rPr>
                <w:snapToGrid w:val="0"/>
              </w:rPr>
              <w:t xml:space="preserve"> in patients with cardiogenic shock (with no evidence of significant anoxic neurological injury), right heart failure or who are undergoing high- risk percutaneous coronary intervention.</w:t>
            </w:r>
          </w:p>
          <w:p w14:paraId="228A2A80" w14:textId="77777777" w:rsidR="006507E7" w:rsidRPr="00C0049C" w:rsidRDefault="006507E7" w:rsidP="008C2A2E">
            <w:pPr>
              <w:pStyle w:val="Tabletext0"/>
              <w:rPr>
                <w:snapToGrid w:val="0"/>
              </w:rPr>
            </w:pPr>
            <w:r w:rsidRPr="00C0049C">
              <w:rPr>
                <w:snapToGrid w:val="0"/>
              </w:rPr>
              <w:t>The criteria for high-risk percutaneous coronary intervention are:</w:t>
            </w:r>
          </w:p>
          <w:p w14:paraId="298D44B9" w14:textId="77777777" w:rsidR="006507E7" w:rsidRPr="00C0049C" w:rsidRDefault="006507E7" w:rsidP="008C2A2E">
            <w:pPr>
              <w:pStyle w:val="Tabletext0"/>
              <w:rPr>
                <w:snapToGrid w:val="0"/>
              </w:rPr>
            </w:pPr>
            <w:r w:rsidRPr="00C0049C">
              <w:rPr>
                <w:snapToGrid w:val="0"/>
              </w:rPr>
              <w:t>-</w:t>
            </w:r>
            <w:r w:rsidRPr="00C0049C">
              <w:rPr>
                <w:snapToGrid w:val="0"/>
              </w:rPr>
              <w:tab/>
              <w:t>comorbidities; and</w:t>
            </w:r>
          </w:p>
          <w:p w14:paraId="2B9226FA" w14:textId="77777777" w:rsidR="006507E7" w:rsidRPr="00C0049C" w:rsidRDefault="006507E7" w:rsidP="008C2A2E">
            <w:pPr>
              <w:pStyle w:val="Tabletext0"/>
              <w:rPr>
                <w:snapToGrid w:val="0"/>
              </w:rPr>
            </w:pPr>
            <w:r w:rsidRPr="00C0049C">
              <w:rPr>
                <w:snapToGrid w:val="0"/>
              </w:rPr>
              <w:t>-</w:t>
            </w:r>
            <w:r w:rsidRPr="00C0049C">
              <w:rPr>
                <w:snapToGrid w:val="0"/>
              </w:rPr>
              <w:tab/>
              <w:t>left ventricular ejection fraction ≤35%; and</w:t>
            </w:r>
          </w:p>
          <w:p w14:paraId="20EE2063" w14:textId="77777777" w:rsidR="006507E7" w:rsidRPr="00C0049C" w:rsidRDefault="006507E7" w:rsidP="008C2A2E">
            <w:pPr>
              <w:pStyle w:val="Tabletext0"/>
              <w:rPr>
                <w:snapToGrid w:val="0"/>
              </w:rPr>
            </w:pPr>
            <w:r w:rsidRPr="00C0049C">
              <w:rPr>
                <w:snapToGrid w:val="0"/>
              </w:rPr>
              <w:t>-</w:t>
            </w:r>
            <w:r w:rsidRPr="00C0049C">
              <w:rPr>
                <w:snapToGrid w:val="0"/>
              </w:rPr>
              <w:tab/>
              <w:t>unprotected left main; or</w:t>
            </w:r>
          </w:p>
          <w:p w14:paraId="6A5D2817" w14:textId="77777777" w:rsidR="006507E7" w:rsidRPr="00C0049C" w:rsidRDefault="006507E7" w:rsidP="008C2A2E">
            <w:pPr>
              <w:pStyle w:val="Tabletext0"/>
              <w:rPr>
                <w:snapToGrid w:val="0"/>
              </w:rPr>
            </w:pPr>
            <w:r w:rsidRPr="00C0049C">
              <w:rPr>
                <w:snapToGrid w:val="0"/>
              </w:rPr>
              <w:t>-</w:t>
            </w:r>
            <w:r w:rsidRPr="00C0049C">
              <w:rPr>
                <w:snapToGrid w:val="0"/>
              </w:rPr>
              <w:tab/>
              <w:t>last patent coronary vessel; or</w:t>
            </w:r>
          </w:p>
          <w:p w14:paraId="12D7E80E" w14:textId="77777777" w:rsidR="006507E7" w:rsidRPr="00C0049C" w:rsidRDefault="006507E7" w:rsidP="008C2A2E">
            <w:pPr>
              <w:pStyle w:val="Tabletext0"/>
              <w:rPr>
                <w:snapToGrid w:val="0"/>
              </w:rPr>
            </w:pPr>
            <w:r w:rsidRPr="00C0049C">
              <w:rPr>
                <w:snapToGrid w:val="0"/>
              </w:rPr>
              <w:t>-</w:t>
            </w:r>
            <w:r w:rsidRPr="00C0049C">
              <w:rPr>
                <w:snapToGrid w:val="0"/>
              </w:rPr>
              <w:tab/>
              <w:t>three-vessel disease.</w:t>
            </w:r>
          </w:p>
          <w:p w14:paraId="7FEE1190" w14:textId="77777777" w:rsidR="006507E7" w:rsidRDefault="006507E7" w:rsidP="008C2A2E">
            <w:pPr>
              <w:pStyle w:val="Tabletext0"/>
              <w:rPr>
                <w:snapToGrid w:val="0"/>
                <w:sz w:val="24"/>
              </w:rPr>
            </w:pPr>
            <w:r w:rsidRPr="00C0049C">
              <w:rPr>
                <w:snapToGrid w:val="0"/>
              </w:rPr>
              <w:t>The criteria for right heart failure is isolated right heart failure after LVAD implantation or after cardiac surgery or myocardial infarction.</w:t>
            </w:r>
          </w:p>
        </w:tc>
      </w:tr>
      <w:tr w:rsidR="006507E7" w:rsidRPr="00C03585" w14:paraId="04AD5A1F" w14:textId="77777777" w:rsidTr="0083785E">
        <w:tc>
          <w:tcPr>
            <w:tcW w:w="5000" w:type="pct"/>
          </w:tcPr>
          <w:p w14:paraId="79607675" w14:textId="77777777" w:rsidR="006507E7" w:rsidRDefault="006507E7" w:rsidP="008C2A2E">
            <w:pPr>
              <w:pStyle w:val="Tabletext0"/>
              <w:rPr>
                <w:sz w:val="24"/>
              </w:rPr>
            </w:pPr>
            <w:r w:rsidRPr="00C0049C">
              <w:rPr>
                <w:snapToGrid w:val="0"/>
              </w:rPr>
              <w:t>Fee: $1,480.00</w:t>
            </w:r>
          </w:p>
        </w:tc>
      </w:tr>
    </w:tbl>
    <w:p w14:paraId="52A6343A" w14:textId="6ED7C9D0" w:rsidR="006507E7" w:rsidRPr="002B1B73" w:rsidRDefault="006507E7" w:rsidP="002B1B73">
      <w:pPr>
        <w:spacing w:after="240"/>
        <w:rPr>
          <w:sz w:val="20"/>
        </w:rPr>
      </w:pPr>
      <w:r w:rsidRPr="007469CE">
        <w:rPr>
          <w:rFonts w:ascii="Arial Narrow" w:hAnsi="Arial Narrow" w:cs="Arial"/>
          <w:sz w:val="18"/>
          <w:szCs w:val="18"/>
          <w:lang w:eastAsia="en-US"/>
        </w:rPr>
        <w:t>Source: p49 of the SBA</w:t>
      </w:r>
    </w:p>
    <w:p w14:paraId="4D2E6CF6" w14:textId="77777777" w:rsidR="006507E7" w:rsidRPr="00DC1117" w:rsidRDefault="006507E7" w:rsidP="00DC1117">
      <w:pPr>
        <w:rPr>
          <w:rFonts w:ascii="Arial Narrow" w:hAnsi="Arial Narrow"/>
          <w:b/>
          <w:sz w:val="20"/>
        </w:rPr>
      </w:pPr>
      <w:bookmarkStart w:id="3" w:name="_Ref16709707"/>
      <w:r w:rsidRPr="00DC1117">
        <w:rPr>
          <w:rFonts w:ascii="Arial Narrow" w:hAnsi="Arial Narrow"/>
          <w:b/>
          <w:sz w:val="20"/>
        </w:rPr>
        <w:t xml:space="preserve">Table </w:t>
      </w:r>
      <w:bookmarkEnd w:id="3"/>
      <w:r w:rsidRPr="00DC1117">
        <w:rPr>
          <w:rFonts w:ascii="Arial Narrow" w:hAnsi="Arial Narrow"/>
          <w:b/>
          <w:sz w:val="20"/>
        </w:rPr>
        <w:t>3</w:t>
      </w:r>
      <w:r w:rsidRPr="00DC1117">
        <w:rPr>
          <w:rFonts w:ascii="Arial Narrow" w:hAnsi="Arial Narrow"/>
          <w:b/>
          <w:sz w:val="20"/>
        </w:rPr>
        <w:tab/>
        <w:t>Proposed MBS Item descriptor, management and monitoring</w:t>
      </w:r>
    </w:p>
    <w:tbl>
      <w:tblPr>
        <w:tblStyle w:val="TableGrid2"/>
        <w:tblW w:w="4981" w:type="pct"/>
        <w:tblLook w:val="04A0" w:firstRow="1" w:lastRow="0" w:firstColumn="1" w:lastColumn="0" w:noHBand="0" w:noVBand="1"/>
        <w:tblDescription w:val="Proposed MBS Item descriptor, management and monitoring"/>
      </w:tblPr>
      <w:tblGrid>
        <w:gridCol w:w="8982"/>
      </w:tblGrid>
      <w:tr w:rsidR="006507E7" w:rsidRPr="00D33FC3" w14:paraId="50DBE5A8" w14:textId="77777777" w:rsidTr="0083785E">
        <w:trPr>
          <w:cnfStyle w:val="100000000000" w:firstRow="1" w:lastRow="0" w:firstColumn="0" w:lastColumn="0" w:oddVBand="0" w:evenVBand="0" w:oddHBand="0" w:evenHBand="0" w:firstRowFirstColumn="0" w:firstRowLastColumn="0" w:lastRowFirstColumn="0" w:lastRowLastColumn="0"/>
          <w:tblHeader/>
        </w:trPr>
        <w:tc>
          <w:tcPr>
            <w:tcW w:w="5000" w:type="pct"/>
          </w:tcPr>
          <w:p w14:paraId="0916F5AF" w14:textId="77777777" w:rsidR="006507E7" w:rsidRPr="00D33FC3" w:rsidRDefault="006507E7" w:rsidP="008C2A2E">
            <w:pPr>
              <w:pStyle w:val="Tabletextright"/>
              <w:rPr>
                <w:sz w:val="24"/>
              </w:rPr>
            </w:pPr>
            <w:r>
              <w:t>Category 3 – THERAPEUTIC PROCEDURES</w:t>
            </w:r>
          </w:p>
        </w:tc>
      </w:tr>
      <w:tr w:rsidR="006507E7" w:rsidRPr="00C03585" w14:paraId="4F26BA53" w14:textId="77777777" w:rsidTr="0083785E">
        <w:tc>
          <w:tcPr>
            <w:tcW w:w="5000" w:type="pct"/>
          </w:tcPr>
          <w:p w14:paraId="1F0648E2" w14:textId="77777777" w:rsidR="006507E7" w:rsidRDefault="006507E7" w:rsidP="008C2A2E">
            <w:pPr>
              <w:pStyle w:val="Tabletext0"/>
              <w:rPr>
                <w:snapToGrid w:val="0"/>
                <w:sz w:val="24"/>
              </w:rPr>
            </w:pPr>
            <w:r w:rsidRPr="001D7E55">
              <w:rPr>
                <w:snapToGrid w:val="0"/>
              </w:rPr>
              <w:t>Initial and subsequent daily management and monitoring of parameters of the controller for a left</w:t>
            </w:r>
            <w:r>
              <w:rPr>
                <w:snapToGrid w:val="0"/>
              </w:rPr>
              <w:t>-</w:t>
            </w:r>
            <w:r w:rsidRPr="001D7E55">
              <w:rPr>
                <w:snapToGrid w:val="0"/>
              </w:rPr>
              <w:t xml:space="preserve"> or right</w:t>
            </w:r>
            <w:r>
              <w:rPr>
                <w:snapToGrid w:val="0"/>
              </w:rPr>
              <w:t>-sided</w:t>
            </w:r>
            <w:r w:rsidRPr="001D7E55">
              <w:rPr>
                <w:snapToGrid w:val="0"/>
              </w:rPr>
              <w:t xml:space="preserve"> intravascular microaxial ventricular assist device</w:t>
            </w:r>
          </w:p>
        </w:tc>
      </w:tr>
      <w:tr w:rsidR="006507E7" w:rsidRPr="00C03585" w14:paraId="3A6AA8FC" w14:textId="77777777" w:rsidTr="0083785E">
        <w:tc>
          <w:tcPr>
            <w:tcW w:w="5000" w:type="pct"/>
          </w:tcPr>
          <w:p w14:paraId="1BC6F326" w14:textId="77777777" w:rsidR="006507E7" w:rsidRDefault="006507E7" w:rsidP="008C2A2E">
            <w:pPr>
              <w:pStyle w:val="Tabletext0"/>
              <w:rPr>
                <w:sz w:val="24"/>
              </w:rPr>
            </w:pPr>
            <w:r w:rsidRPr="009D1EDF">
              <w:t>Fee: $156.10</w:t>
            </w:r>
          </w:p>
        </w:tc>
      </w:tr>
    </w:tbl>
    <w:p w14:paraId="7264C637" w14:textId="2578E459" w:rsidR="006507E7" w:rsidRPr="002B1B73" w:rsidRDefault="006507E7" w:rsidP="002B1B73">
      <w:pPr>
        <w:spacing w:after="240"/>
        <w:rPr>
          <w:rFonts w:ascii="Arial Narrow" w:hAnsi="Arial Narrow" w:cs="Arial"/>
          <w:sz w:val="18"/>
          <w:szCs w:val="18"/>
          <w:lang w:eastAsia="en-US"/>
        </w:rPr>
      </w:pPr>
      <w:r w:rsidRPr="007469CE">
        <w:rPr>
          <w:rFonts w:ascii="Arial Narrow" w:hAnsi="Arial Narrow" w:cs="Arial"/>
          <w:sz w:val="18"/>
          <w:szCs w:val="18"/>
          <w:lang w:eastAsia="en-US"/>
        </w:rPr>
        <w:t>Source: p49 of the SBA</w:t>
      </w:r>
    </w:p>
    <w:p w14:paraId="1F151016" w14:textId="77777777" w:rsidR="006507E7" w:rsidRPr="00DC1117" w:rsidRDefault="006507E7" w:rsidP="002F439F">
      <w:pPr>
        <w:keepNext/>
        <w:keepLines/>
        <w:rPr>
          <w:rFonts w:ascii="Arial Narrow" w:hAnsi="Arial Narrow"/>
          <w:b/>
          <w:sz w:val="20"/>
        </w:rPr>
      </w:pPr>
      <w:bookmarkStart w:id="4" w:name="_Ref16709708"/>
      <w:r w:rsidRPr="00DC1117">
        <w:rPr>
          <w:rFonts w:ascii="Arial Narrow" w:hAnsi="Arial Narrow"/>
          <w:b/>
          <w:sz w:val="20"/>
        </w:rPr>
        <w:t xml:space="preserve">Table </w:t>
      </w:r>
      <w:bookmarkEnd w:id="4"/>
      <w:r w:rsidRPr="00DC1117">
        <w:rPr>
          <w:rFonts w:ascii="Arial Narrow" w:hAnsi="Arial Narrow"/>
          <w:b/>
          <w:sz w:val="20"/>
        </w:rPr>
        <w:t>4</w:t>
      </w:r>
      <w:r w:rsidRPr="00DC1117">
        <w:rPr>
          <w:rFonts w:ascii="Arial Narrow" w:hAnsi="Arial Narrow"/>
          <w:b/>
          <w:sz w:val="20"/>
        </w:rPr>
        <w:tab/>
        <w:t>Proposed MBS Item descriptor, adjustment and repositioning</w:t>
      </w:r>
    </w:p>
    <w:tbl>
      <w:tblPr>
        <w:tblStyle w:val="TableGrid2"/>
        <w:tblW w:w="4981" w:type="pct"/>
        <w:tblLook w:val="04A0" w:firstRow="1" w:lastRow="0" w:firstColumn="1" w:lastColumn="0" w:noHBand="0" w:noVBand="1"/>
        <w:tblDescription w:val="Proposed MBS Item descriptor, adjustment and repositioning"/>
      </w:tblPr>
      <w:tblGrid>
        <w:gridCol w:w="8982"/>
      </w:tblGrid>
      <w:tr w:rsidR="006507E7" w:rsidRPr="00D33FC3" w14:paraId="37FED3C7" w14:textId="77777777" w:rsidTr="0083785E">
        <w:trPr>
          <w:cnfStyle w:val="100000000000" w:firstRow="1" w:lastRow="0" w:firstColumn="0" w:lastColumn="0" w:oddVBand="0" w:evenVBand="0" w:oddHBand="0" w:evenHBand="0" w:firstRowFirstColumn="0" w:firstRowLastColumn="0" w:lastRowFirstColumn="0" w:lastRowLastColumn="0"/>
          <w:tblHeader/>
        </w:trPr>
        <w:tc>
          <w:tcPr>
            <w:tcW w:w="5000" w:type="pct"/>
          </w:tcPr>
          <w:p w14:paraId="0616E93F" w14:textId="77777777" w:rsidR="006507E7" w:rsidRPr="00D33FC3" w:rsidRDefault="006507E7" w:rsidP="002F439F">
            <w:pPr>
              <w:pStyle w:val="Tabletextright"/>
              <w:keepLines/>
              <w:rPr>
                <w:sz w:val="24"/>
              </w:rPr>
            </w:pPr>
            <w:r>
              <w:t>Category 3 – THERAPEUTIC PROCEDURES</w:t>
            </w:r>
          </w:p>
        </w:tc>
      </w:tr>
      <w:tr w:rsidR="006507E7" w:rsidRPr="00C03585" w14:paraId="5528CEB2" w14:textId="77777777" w:rsidTr="0083785E">
        <w:tc>
          <w:tcPr>
            <w:tcW w:w="5000" w:type="pct"/>
          </w:tcPr>
          <w:p w14:paraId="460F547B" w14:textId="77777777" w:rsidR="006507E7" w:rsidRDefault="006507E7" w:rsidP="002F439F">
            <w:pPr>
              <w:pStyle w:val="Tabletext0"/>
              <w:keepNext/>
              <w:keepLines/>
              <w:rPr>
                <w:snapToGrid w:val="0"/>
                <w:sz w:val="24"/>
              </w:rPr>
            </w:pPr>
            <w:r w:rsidRPr="00C67AA9">
              <w:rPr>
                <w:snapToGrid w:val="0"/>
              </w:rPr>
              <w:t>Adjustment and repositioning, in patients supported by of a left</w:t>
            </w:r>
            <w:r>
              <w:rPr>
                <w:snapToGrid w:val="0"/>
              </w:rPr>
              <w:t>-</w:t>
            </w:r>
            <w:r w:rsidRPr="00C67AA9">
              <w:rPr>
                <w:snapToGrid w:val="0"/>
              </w:rPr>
              <w:t xml:space="preserve"> or right</w:t>
            </w:r>
            <w:r>
              <w:rPr>
                <w:snapToGrid w:val="0"/>
              </w:rPr>
              <w:t xml:space="preserve">-sided </w:t>
            </w:r>
            <w:r w:rsidRPr="00C67AA9">
              <w:rPr>
                <w:snapToGrid w:val="0"/>
              </w:rPr>
              <w:t>intravascular microaxial ventricular assist device.</w:t>
            </w:r>
          </w:p>
        </w:tc>
      </w:tr>
      <w:tr w:rsidR="006507E7" w:rsidRPr="00C03585" w14:paraId="05D00EEB" w14:textId="77777777" w:rsidTr="0083785E">
        <w:tc>
          <w:tcPr>
            <w:tcW w:w="5000" w:type="pct"/>
          </w:tcPr>
          <w:p w14:paraId="198E5E9B" w14:textId="77777777" w:rsidR="006507E7" w:rsidRDefault="006507E7" w:rsidP="002F439F">
            <w:pPr>
              <w:pStyle w:val="Tabletext0"/>
              <w:keepNext/>
              <w:keepLines/>
              <w:rPr>
                <w:sz w:val="24"/>
              </w:rPr>
            </w:pPr>
            <w:r w:rsidRPr="00C67AA9">
              <w:rPr>
                <w:snapToGrid w:val="0"/>
              </w:rPr>
              <w:t>Fee: $156.10</w:t>
            </w:r>
          </w:p>
        </w:tc>
      </w:tr>
    </w:tbl>
    <w:p w14:paraId="0269947E" w14:textId="3F8BBB5B" w:rsidR="002F439F" w:rsidRDefault="002F439F" w:rsidP="002F439F">
      <w:pPr>
        <w:pStyle w:val="Tablecaption"/>
        <w:spacing w:after="240"/>
        <w:rPr>
          <w:sz w:val="18"/>
          <w:szCs w:val="18"/>
        </w:rPr>
      </w:pPr>
      <w:r>
        <w:rPr>
          <w:sz w:val="18"/>
          <w:szCs w:val="18"/>
        </w:rPr>
        <w:t>Source: p50 of the SBA</w:t>
      </w:r>
      <w:r>
        <w:rPr>
          <w:sz w:val="18"/>
          <w:szCs w:val="18"/>
        </w:rPr>
        <w:br w:type="page"/>
      </w:r>
    </w:p>
    <w:p w14:paraId="66FD4958" w14:textId="45463DAD" w:rsidR="006507E7" w:rsidRPr="00DC1117" w:rsidRDefault="006507E7" w:rsidP="002F439F">
      <w:pPr>
        <w:spacing w:before="240"/>
        <w:rPr>
          <w:rFonts w:ascii="Arial Narrow" w:hAnsi="Arial Narrow"/>
          <w:b/>
          <w:sz w:val="20"/>
        </w:rPr>
      </w:pPr>
      <w:bookmarkStart w:id="5" w:name="_Ref16709710"/>
      <w:r w:rsidRPr="00DC1117">
        <w:rPr>
          <w:rFonts w:ascii="Arial Narrow" w:hAnsi="Arial Narrow"/>
          <w:b/>
          <w:sz w:val="20"/>
        </w:rPr>
        <w:lastRenderedPageBreak/>
        <w:t xml:space="preserve">Table </w:t>
      </w:r>
      <w:bookmarkEnd w:id="5"/>
      <w:r w:rsidRPr="00DC1117">
        <w:rPr>
          <w:rFonts w:ascii="Arial Narrow" w:hAnsi="Arial Narrow"/>
          <w:b/>
          <w:sz w:val="20"/>
        </w:rPr>
        <w:t>5</w:t>
      </w:r>
      <w:r w:rsidRPr="00DC1117">
        <w:rPr>
          <w:rFonts w:ascii="Arial Narrow" w:hAnsi="Arial Narrow"/>
          <w:b/>
          <w:sz w:val="20"/>
        </w:rPr>
        <w:tab/>
      </w:r>
      <w:r w:rsidR="0083785E" w:rsidRPr="00DC1117">
        <w:rPr>
          <w:rFonts w:ascii="Arial Narrow" w:hAnsi="Arial Narrow"/>
          <w:b/>
          <w:sz w:val="20"/>
        </w:rPr>
        <w:t>Proposed MBS Item descriptor, adjustment and repositioning</w:t>
      </w:r>
    </w:p>
    <w:tbl>
      <w:tblPr>
        <w:tblStyle w:val="TableGrid2"/>
        <w:tblW w:w="4981" w:type="pct"/>
        <w:tblLook w:val="04A0" w:firstRow="1" w:lastRow="0" w:firstColumn="1" w:lastColumn="0" w:noHBand="0" w:noVBand="1"/>
        <w:tblDescription w:val="Proposed MBS Item descriptor, adjustment and repositioning"/>
      </w:tblPr>
      <w:tblGrid>
        <w:gridCol w:w="8982"/>
      </w:tblGrid>
      <w:tr w:rsidR="006507E7" w:rsidRPr="00D33FC3" w14:paraId="272CE52B" w14:textId="77777777" w:rsidTr="0083785E">
        <w:trPr>
          <w:cnfStyle w:val="100000000000" w:firstRow="1" w:lastRow="0" w:firstColumn="0" w:lastColumn="0" w:oddVBand="0" w:evenVBand="0" w:oddHBand="0" w:evenHBand="0" w:firstRowFirstColumn="0" w:firstRowLastColumn="0" w:lastRowFirstColumn="0" w:lastRowLastColumn="0"/>
          <w:tblHeader/>
        </w:trPr>
        <w:tc>
          <w:tcPr>
            <w:tcW w:w="5000" w:type="pct"/>
          </w:tcPr>
          <w:p w14:paraId="1DF3A5D0" w14:textId="77777777" w:rsidR="006507E7" w:rsidRPr="00D33FC3" w:rsidRDefault="006507E7" w:rsidP="00DC1117">
            <w:pPr>
              <w:pStyle w:val="Tabletextright"/>
              <w:keepLines/>
              <w:rPr>
                <w:sz w:val="24"/>
              </w:rPr>
            </w:pPr>
            <w:r>
              <w:t>Category 3 – THERAPEUTIC PROCEDURES</w:t>
            </w:r>
          </w:p>
        </w:tc>
      </w:tr>
      <w:tr w:rsidR="006507E7" w:rsidRPr="00C03585" w14:paraId="10A1EBE5" w14:textId="77777777" w:rsidTr="0083785E">
        <w:tc>
          <w:tcPr>
            <w:tcW w:w="5000" w:type="pct"/>
          </w:tcPr>
          <w:p w14:paraId="00607CD7" w14:textId="77777777" w:rsidR="006507E7" w:rsidRDefault="006507E7" w:rsidP="00DC1117">
            <w:pPr>
              <w:pStyle w:val="Tabletext0"/>
              <w:keepNext/>
              <w:keepLines/>
              <w:rPr>
                <w:snapToGrid w:val="0"/>
                <w:sz w:val="24"/>
              </w:rPr>
            </w:pPr>
            <w:r w:rsidRPr="00F2214E">
              <w:rPr>
                <w:snapToGrid w:val="0"/>
              </w:rPr>
              <w:t>Percutaneous removal of a left</w:t>
            </w:r>
            <w:r>
              <w:rPr>
                <w:snapToGrid w:val="0"/>
              </w:rPr>
              <w:t>-</w:t>
            </w:r>
            <w:r w:rsidRPr="00F2214E">
              <w:rPr>
                <w:snapToGrid w:val="0"/>
              </w:rPr>
              <w:t xml:space="preserve"> or right</w:t>
            </w:r>
            <w:r>
              <w:rPr>
                <w:snapToGrid w:val="0"/>
              </w:rPr>
              <w:t>-sided</w:t>
            </w:r>
            <w:r w:rsidRPr="00F2214E">
              <w:rPr>
                <w:snapToGrid w:val="0"/>
              </w:rPr>
              <w:t xml:space="preserve"> intravascular microaxial ventricular assist device.</w:t>
            </w:r>
          </w:p>
        </w:tc>
      </w:tr>
      <w:tr w:rsidR="006507E7" w:rsidRPr="00C03585" w14:paraId="670B7949" w14:textId="77777777" w:rsidTr="0083785E">
        <w:tc>
          <w:tcPr>
            <w:tcW w:w="5000" w:type="pct"/>
          </w:tcPr>
          <w:p w14:paraId="2EE374FA" w14:textId="77777777" w:rsidR="006507E7" w:rsidRDefault="006507E7" w:rsidP="008C2A2E">
            <w:pPr>
              <w:pStyle w:val="Tabletext0"/>
              <w:rPr>
                <w:sz w:val="24"/>
              </w:rPr>
            </w:pPr>
            <w:r w:rsidRPr="00111E5D">
              <w:t>Fee: $156.10</w:t>
            </w:r>
          </w:p>
        </w:tc>
      </w:tr>
    </w:tbl>
    <w:p w14:paraId="2387AD49" w14:textId="1147CECB" w:rsidR="006507E7" w:rsidRPr="007469CE" w:rsidRDefault="006507E7" w:rsidP="002F439F">
      <w:pPr>
        <w:spacing w:after="240"/>
        <w:rPr>
          <w:rFonts w:ascii="Arial Narrow" w:hAnsi="Arial Narrow" w:cs="Arial"/>
          <w:sz w:val="18"/>
          <w:szCs w:val="18"/>
          <w:lang w:eastAsia="en-US"/>
        </w:rPr>
      </w:pPr>
      <w:r w:rsidRPr="007469CE">
        <w:rPr>
          <w:rFonts w:ascii="Arial Narrow" w:hAnsi="Arial Narrow" w:cs="Arial"/>
          <w:sz w:val="18"/>
          <w:szCs w:val="18"/>
          <w:lang w:eastAsia="en-US"/>
        </w:rPr>
        <w:t>Source: p50 of the SBA</w:t>
      </w:r>
    </w:p>
    <w:p w14:paraId="270F7DE5" w14:textId="2FDA182F" w:rsidR="006507E7" w:rsidRPr="00DC1117" w:rsidRDefault="006507E7" w:rsidP="00DC1117">
      <w:pPr>
        <w:rPr>
          <w:rFonts w:ascii="Arial Narrow" w:hAnsi="Arial Narrow"/>
          <w:b/>
          <w:sz w:val="20"/>
        </w:rPr>
      </w:pPr>
      <w:bookmarkStart w:id="6" w:name="_Ref16709712"/>
      <w:r w:rsidRPr="00DC1117">
        <w:rPr>
          <w:rFonts w:ascii="Arial Narrow" w:hAnsi="Arial Narrow"/>
          <w:b/>
          <w:sz w:val="20"/>
        </w:rPr>
        <w:t xml:space="preserve">Table </w:t>
      </w:r>
      <w:bookmarkEnd w:id="6"/>
      <w:r w:rsidR="0083785E">
        <w:rPr>
          <w:rFonts w:ascii="Arial Narrow" w:hAnsi="Arial Narrow"/>
          <w:b/>
          <w:sz w:val="20"/>
        </w:rPr>
        <w:t>6</w:t>
      </w:r>
      <w:r w:rsidR="0083785E">
        <w:rPr>
          <w:rFonts w:ascii="Arial Narrow" w:hAnsi="Arial Narrow"/>
          <w:b/>
          <w:sz w:val="20"/>
        </w:rPr>
        <w:tab/>
      </w:r>
      <w:r w:rsidRPr="00DC1117">
        <w:rPr>
          <w:rFonts w:ascii="Arial Narrow" w:hAnsi="Arial Narrow"/>
          <w:b/>
          <w:sz w:val="20"/>
        </w:rPr>
        <w:t>Proposed MBS Item descriptor, surgical removal</w:t>
      </w:r>
    </w:p>
    <w:tbl>
      <w:tblPr>
        <w:tblStyle w:val="TableGrid2"/>
        <w:tblW w:w="4981" w:type="pct"/>
        <w:tblLook w:val="04A0" w:firstRow="1" w:lastRow="0" w:firstColumn="1" w:lastColumn="0" w:noHBand="0" w:noVBand="1"/>
        <w:tblDescription w:val="Proposed MBS Item descriptor, surgical removal"/>
      </w:tblPr>
      <w:tblGrid>
        <w:gridCol w:w="8982"/>
      </w:tblGrid>
      <w:tr w:rsidR="006507E7" w:rsidRPr="00D33FC3" w14:paraId="58D3EAC7" w14:textId="77777777" w:rsidTr="0083785E">
        <w:trPr>
          <w:cnfStyle w:val="100000000000" w:firstRow="1" w:lastRow="0" w:firstColumn="0" w:lastColumn="0" w:oddVBand="0" w:evenVBand="0" w:oddHBand="0" w:evenHBand="0" w:firstRowFirstColumn="0" w:firstRowLastColumn="0" w:lastRowFirstColumn="0" w:lastRowLastColumn="0"/>
          <w:tblHeader/>
        </w:trPr>
        <w:tc>
          <w:tcPr>
            <w:tcW w:w="5000" w:type="pct"/>
          </w:tcPr>
          <w:p w14:paraId="185D92C2" w14:textId="77777777" w:rsidR="006507E7" w:rsidRPr="00D33FC3" w:rsidRDefault="006507E7" w:rsidP="008C2A2E">
            <w:pPr>
              <w:pStyle w:val="Tabletextright"/>
              <w:rPr>
                <w:sz w:val="24"/>
              </w:rPr>
            </w:pPr>
            <w:r>
              <w:t>Category 3 – THERAPEUTIC PROCEDURES</w:t>
            </w:r>
          </w:p>
        </w:tc>
      </w:tr>
      <w:tr w:rsidR="006507E7" w:rsidRPr="00C03585" w14:paraId="162E0C50" w14:textId="77777777" w:rsidTr="0083785E">
        <w:tc>
          <w:tcPr>
            <w:tcW w:w="5000" w:type="pct"/>
          </w:tcPr>
          <w:p w14:paraId="54E2A703" w14:textId="77777777" w:rsidR="006507E7" w:rsidRDefault="006507E7" w:rsidP="008C2A2E">
            <w:pPr>
              <w:pStyle w:val="Tabletext0"/>
              <w:rPr>
                <w:snapToGrid w:val="0"/>
                <w:sz w:val="24"/>
              </w:rPr>
            </w:pPr>
            <w:r w:rsidRPr="005F7323">
              <w:rPr>
                <w:snapToGrid w:val="0"/>
              </w:rPr>
              <w:t>Surgical removal of a left</w:t>
            </w:r>
            <w:r>
              <w:rPr>
                <w:snapToGrid w:val="0"/>
              </w:rPr>
              <w:t>-</w:t>
            </w:r>
            <w:r w:rsidRPr="005F7323">
              <w:rPr>
                <w:snapToGrid w:val="0"/>
              </w:rPr>
              <w:t xml:space="preserve"> or right</w:t>
            </w:r>
            <w:r>
              <w:rPr>
                <w:snapToGrid w:val="0"/>
              </w:rPr>
              <w:t>-sided</w:t>
            </w:r>
            <w:r w:rsidRPr="005F7323">
              <w:rPr>
                <w:snapToGrid w:val="0"/>
              </w:rPr>
              <w:t xml:space="preserve"> intravascular microaxial ventricular assist device.</w:t>
            </w:r>
          </w:p>
        </w:tc>
      </w:tr>
      <w:tr w:rsidR="006507E7" w:rsidRPr="00C03585" w14:paraId="7B596F00" w14:textId="77777777" w:rsidTr="0083785E">
        <w:tc>
          <w:tcPr>
            <w:tcW w:w="5000" w:type="pct"/>
          </w:tcPr>
          <w:p w14:paraId="7F9B13F4" w14:textId="77777777" w:rsidR="006507E7" w:rsidRDefault="006507E7" w:rsidP="008C2A2E">
            <w:pPr>
              <w:pStyle w:val="Tabletext0"/>
              <w:rPr>
                <w:sz w:val="24"/>
              </w:rPr>
            </w:pPr>
            <w:r w:rsidRPr="005F7323">
              <w:rPr>
                <w:snapToGrid w:val="0"/>
              </w:rPr>
              <w:t>Fee: $740.00</w:t>
            </w:r>
          </w:p>
        </w:tc>
      </w:tr>
    </w:tbl>
    <w:p w14:paraId="31043A7A" w14:textId="77777777" w:rsidR="00B60F40" w:rsidRDefault="006507E7" w:rsidP="00B60F40">
      <w:pPr>
        <w:spacing w:after="240"/>
        <w:rPr>
          <w:rFonts w:ascii="Arial Narrow" w:hAnsi="Arial Narrow" w:cs="Arial"/>
          <w:sz w:val="18"/>
          <w:szCs w:val="18"/>
          <w:lang w:eastAsia="en-US"/>
        </w:rPr>
      </w:pPr>
      <w:r w:rsidRPr="007469CE">
        <w:rPr>
          <w:rFonts w:ascii="Arial Narrow" w:hAnsi="Arial Narrow" w:cs="Arial"/>
          <w:sz w:val="18"/>
          <w:szCs w:val="18"/>
          <w:lang w:eastAsia="en-US"/>
        </w:rPr>
        <w:t>Source: p50 of the SBA</w:t>
      </w:r>
    </w:p>
    <w:p w14:paraId="419ACF61" w14:textId="65139E56" w:rsidR="00DA1112" w:rsidRDefault="00296D8C" w:rsidP="006032B0">
      <w:pPr>
        <w:spacing w:after="240"/>
        <w:rPr>
          <w:szCs w:val="24"/>
        </w:rPr>
      </w:pPr>
      <w:r>
        <w:rPr>
          <w:lang w:eastAsia="en-US"/>
        </w:rPr>
        <w:t>The a</w:t>
      </w:r>
      <w:r w:rsidR="00B60F40">
        <w:rPr>
          <w:lang w:eastAsia="en-US"/>
        </w:rPr>
        <w:t xml:space="preserve">pplicant provided </w:t>
      </w:r>
      <w:r>
        <w:rPr>
          <w:lang w:eastAsia="en-US"/>
        </w:rPr>
        <w:t xml:space="preserve">the below </w:t>
      </w:r>
      <w:r w:rsidR="00B60F40">
        <w:rPr>
          <w:szCs w:val="24"/>
        </w:rPr>
        <w:t>justification for the proposed MBS fees</w:t>
      </w:r>
      <w:r w:rsidR="00B60F40" w:rsidRPr="00DD39CE">
        <w:rPr>
          <w:szCs w:val="24"/>
        </w:rPr>
        <w:t xml:space="preserve"> for the insertion, management, repositioning and removal of Impella</w:t>
      </w:r>
      <w:r w:rsidR="00B60F40" w:rsidRPr="00B55A32">
        <w:rPr>
          <w:szCs w:val="24"/>
          <w:vertAlign w:val="superscript"/>
        </w:rPr>
        <w:t>®</w:t>
      </w:r>
      <w:r w:rsidR="00B60F40">
        <w:rPr>
          <w:szCs w:val="24"/>
        </w:rPr>
        <w:t xml:space="preserve"> (Table 7).</w:t>
      </w:r>
    </w:p>
    <w:p w14:paraId="5E068298" w14:textId="77777777" w:rsidR="00B60F40" w:rsidRPr="002F439F" w:rsidRDefault="00B60F40" w:rsidP="00DC1117">
      <w:pPr>
        <w:rPr>
          <w:rFonts w:ascii="Arial Narrow" w:hAnsi="Arial Narrow"/>
          <w:b/>
          <w:sz w:val="20"/>
        </w:rPr>
      </w:pPr>
      <w:r w:rsidRPr="002F439F">
        <w:rPr>
          <w:rFonts w:ascii="Arial Narrow" w:hAnsi="Arial Narrow"/>
          <w:b/>
          <w:sz w:val="20"/>
        </w:rPr>
        <w:t>Table 7</w:t>
      </w:r>
      <w:r w:rsidRPr="002F439F">
        <w:rPr>
          <w:rFonts w:ascii="Arial Narrow" w:hAnsi="Arial Narrow"/>
          <w:b/>
          <w:sz w:val="20"/>
        </w:rPr>
        <w:tab/>
        <w:t>Justification for fees applied for in the submission</w:t>
      </w:r>
    </w:p>
    <w:tbl>
      <w:tblPr>
        <w:tblStyle w:val="TableGrid"/>
        <w:tblW w:w="5000" w:type="pct"/>
        <w:tblInd w:w="-147" w:type="dxa"/>
        <w:tblLook w:val="04A0" w:firstRow="1" w:lastRow="0" w:firstColumn="1" w:lastColumn="0" w:noHBand="0" w:noVBand="1"/>
        <w:tblCaption w:val="Justification for fees applied for in the submission"/>
      </w:tblPr>
      <w:tblGrid>
        <w:gridCol w:w="3111"/>
        <w:gridCol w:w="5905"/>
      </w:tblGrid>
      <w:tr w:rsidR="00B60F40" w:rsidRPr="00DD39CE" w14:paraId="30CA6227" w14:textId="77777777" w:rsidTr="00525682">
        <w:trPr>
          <w:tblHeader/>
        </w:trPr>
        <w:tc>
          <w:tcPr>
            <w:tcW w:w="3209" w:type="dxa"/>
          </w:tcPr>
          <w:p w14:paraId="3ACCD8A9" w14:textId="77777777" w:rsidR="00B60F40" w:rsidRPr="00B55A32" w:rsidRDefault="00B60F40" w:rsidP="00525682">
            <w:pPr>
              <w:pStyle w:val="Tabletext0"/>
              <w:rPr>
                <w:b/>
              </w:rPr>
            </w:pPr>
            <w:r w:rsidRPr="00B55A32">
              <w:rPr>
                <w:b/>
              </w:rPr>
              <w:t xml:space="preserve">Proposed service </w:t>
            </w:r>
          </w:p>
        </w:tc>
        <w:tc>
          <w:tcPr>
            <w:tcW w:w="6147" w:type="dxa"/>
          </w:tcPr>
          <w:p w14:paraId="5FA0A442" w14:textId="77777777" w:rsidR="00B60F40" w:rsidRPr="00B55A32" w:rsidRDefault="00B60F40" w:rsidP="00525682">
            <w:pPr>
              <w:pStyle w:val="Tabletext0"/>
              <w:rPr>
                <w:b/>
              </w:rPr>
            </w:pPr>
            <w:r w:rsidRPr="00B55A32">
              <w:rPr>
                <w:b/>
              </w:rPr>
              <w:t xml:space="preserve">MBS fee </w:t>
            </w:r>
          </w:p>
        </w:tc>
      </w:tr>
      <w:tr w:rsidR="00B60F40" w:rsidRPr="00DD39CE" w14:paraId="644B68E2" w14:textId="77777777" w:rsidTr="00525682">
        <w:tc>
          <w:tcPr>
            <w:tcW w:w="3209" w:type="dxa"/>
          </w:tcPr>
          <w:p w14:paraId="5F243467" w14:textId="77777777" w:rsidR="00B60F40" w:rsidRPr="00B55A32" w:rsidRDefault="00B60F40" w:rsidP="00525682">
            <w:pPr>
              <w:pStyle w:val="Tabletext0"/>
            </w:pPr>
            <w:r w:rsidRPr="00B55A32">
              <w:t xml:space="preserve">Percutaneous insertion of device </w:t>
            </w:r>
          </w:p>
        </w:tc>
        <w:tc>
          <w:tcPr>
            <w:tcW w:w="6147" w:type="dxa"/>
          </w:tcPr>
          <w:p w14:paraId="0AFB4324" w14:textId="77777777" w:rsidR="00B60F40" w:rsidRPr="00B55A32" w:rsidRDefault="00B60F40" w:rsidP="00525682">
            <w:pPr>
              <w:pStyle w:val="Tabletext0"/>
            </w:pPr>
            <w:r w:rsidRPr="00B55A32">
              <w:t>$384.95 – based on item 38362 (percutaneous insertion of IABP)</w:t>
            </w:r>
          </w:p>
        </w:tc>
      </w:tr>
      <w:tr w:rsidR="00B60F40" w:rsidRPr="00DD39CE" w14:paraId="2F4F7754" w14:textId="77777777" w:rsidTr="00525682">
        <w:tc>
          <w:tcPr>
            <w:tcW w:w="3209" w:type="dxa"/>
          </w:tcPr>
          <w:p w14:paraId="3C0397C5" w14:textId="77777777" w:rsidR="00B60F40" w:rsidRPr="00B55A32" w:rsidRDefault="00B60F40" w:rsidP="00525682">
            <w:pPr>
              <w:pStyle w:val="Tabletext0"/>
            </w:pPr>
            <w:r w:rsidRPr="00B55A32">
              <w:t xml:space="preserve">Surgical insertion of device </w:t>
            </w:r>
          </w:p>
        </w:tc>
        <w:tc>
          <w:tcPr>
            <w:tcW w:w="6147" w:type="dxa"/>
          </w:tcPr>
          <w:p w14:paraId="70E22918" w14:textId="77777777" w:rsidR="00B60F40" w:rsidRPr="00B55A32" w:rsidRDefault="00B60F40" w:rsidP="00525682">
            <w:pPr>
              <w:pStyle w:val="Tabletext0"/>
            </w:pPr>
            <w:r w:rsidRPr="00B55A32">
              <w:t>$1,480.00 – an amount $1,000 more than item 38609 (insertion of IABP via arteriotomy $479.15), but $50 less than item 38615 (insertion of VAD $1,532.00)</w:t>
            </w:r>
          </w:p>
        </w:tc>
      </w:tr>
      <w:tr w:rsidR="00B60F40" w:rsidRPr="00DD39CE" w14:paraId="02A9E943" w14:textId="77777777" w:rsidTr="00525682">
        <w:tc>
          <w:tcPr>
            <w:tcW w:w="3209" w:type="dxa"/>
          </w:tcPr>
          <w:p w14:paraId="16A1A3DD" w14:textId="77777777" w:rsidR="00B60F40" w:rsidRPr="00B55A32" w:rsidRDefault="00B60F40" w:rsidP="00525682">
            <w:pPr>
              <w:pStyle w:val="Tabletext0"/>
            </w:pPr>
            <w:r w:rsidRPr="00B55A32">
              <w:t>Surgical removal of device</w:t>
            </w:r>
          </w:p>
        </w:tc>
        <w:tc>
          <w:tcPr>
            <w:tcW w:w="6147" w:type="dxa"/>
          </w:tcPr>
          <w:p w14:paraId="521820AA" w14:textId="77777777" w:rsidR="00B60F40" w:rsidRPr="00B55A32" w:rsidRDefault="00B60F40" w:rsidP="00525682">
            <w:pPr>
              <w:pStyle w:val="Tabletext0"/>
            </w:pPr>
            <w:r w:rsidRPr="00B55A32">
              <w:t>$740.00 – based on item 38612 (removal of IABP), but the applicant stated removal of Impella</w:t>
            </w:r>
            <w:r w:rsidRPr="006F7916">
              <w:rPr>
                <w:vertAlign w:val="superscript"/>
              </w:rPr>
              <w:t xml:space="preserve">® </w:t>
            </w:r>
            <w:r w:rsidRPr="00B55A32">
              <w:t>is more complex than IABP removal</w:t>
            </w:r>
          </w:p>
        </w:tc>
      </w:tr>
      <w:tr w:rsidR="00B60F40" w:rsidRPr="00DD39CE" w14:paraId="55C6609C" w14:textId="77777777" w:rsidTr="00525682">
        <w:tc>
          <w:tcPr>
            <w:tcW w:w="3209" w:type="dxa"/>
          </w:tcPr>
          <w:p w14:paraId="4B66581A" w14:textId="77777777" w:rsidR="00B60F40" w:rsidRPr="00B55A32" w:rsidRDefault="00B60F40" w:rsidP="00525682">
            <w:pPr>
              <w:pStyle w:val="Tabletext0"/>
            </w:pPr>
            <w:r w:rsidRPr="00B55A32">
              <w:t>Repositioning of device</w:t>
            </w:r>
          </w:p>
        </w:tc>
        <w:tc>
          <w:tcPr>
            <w:tcW w:w="6147" w:type="dxa"/>
          </w:tcPr>
          <w:p w14:paraId="304EB018" w14:textId="77777777" w:rsidR="00B60F40" w:rsidRPr="00B55A32" w:rsidRDefault="00B60F40" w:rsidP="00525682">
            <w:pPr>
              <w:pStyle w:val="Tabletext0"/>
            </w:pPr>
            <w:r w:rsidRPr="00B55A32">
              <w:t>$156.10 – based on item 13847* (IABP management on first day)</w:t>
            </w:r>
          </w:p>
        </w:tc>
      </w:tr>
    </w:tbl>
    <w:p w14:paraId="45E5C0FE" w14:textId="33B5EC14" w:rsidR="00B60F40" w:rsidRPr="002F439F" w:rsidRDefault="00B60F40" w:rsidP="002F439F">
      <w:pPr>
        <w:spacing w:after="240"/>
        <w:rPr>
          <w:rFonts w:ascii="Arial Narrow" w:hAnsi="Arial Narrow"/>
          <w:sz w:val="18"/>
          <w:szCs w:val="18"/>
        </w:rPr>
      </w:pPr>
      <w:r w:rsidRPr="009C36B2">
        <w:rPr>
          <w:rFonts w:ascii="Arial Narrow" w:hAnsi="Arial Narrow"/>
          <w:sz w:val="18"/>
          <w:szCs w:val="18"/>
        </w:rPr>
        <w:t>*The Intensive Care and Emergency Medicine Clinical Committee of the MBS Review Taskforce recommended item 13847 be deleted and combined with 13848 (management of IABP on subsequent days, MBS fee $131.05). This is because there is no significant difference in clinical input required on the first and subsequent days of management, other than that already reflected in the separate item covering inser</w:t>
      </w:r>
      <w:r w:rsidR="002F439F">
        <w:rPr>
          <w:rFonts w:ascii="Arial Narrow" w:hAnsi="Arial Narrow"/>
          <w:sz w:val="18"/>
          <w:szCs w:val="18"/>
        </w:rPr>
        <w:t xml:space="preserve">tion of the IABP (item 38609). </w:t>
      </w:r>
    </w:p>
    <w:p w14:paraId="4DFC6ED9" w14:textId="7DF81059" w:rsidR="00B60F40" w:rsidRDefault="00296D8C" w:rsidP="002F439F">
      <w:pPr>
        <w:spacing w:after="240"/>
      </w:pPr>
      <w:r>
        <w:t>It was</w:t>
      </w:r>
      <w:r w:rsidR="00B60F40" w:rsidRPr="00B55A32">
        <w:t xml:space="preserve"> queried whether the price discrepancy in </w:t>
      </w:r>
      <w:r>
        <w:t xml:space="preserve">the </w:t>
      </w:r>
      <w:r w:rsidR="00B60F40" w:rsidRPr="00B55A32">
        <w:t xml:space="preserve">insertion method would lead to changes in practice. </w:t>
      </w:r>
      <w:r>
        <w:t>The discrepancy in price</w:t>
      </w:r>
      <w:r w:rsidR="00B60F40" w:rsidRPr="00B55A32">
        <w:t xml:space="preserve"> reflect</w:t>
      </w:r>
      <w:r>
        <w:t>s</w:t>
      </w:r>
      <w:r w:rsidR="00B60F40" w:rsidRPr="00B55A32">
        <w:t xml:space="preserve"> the increased time and complexity of surgical insertion vs percutaneous insertion. </w:t>
      </w:r>
      <w:r w:rsidR="00B60F40">
        <w:t xml:space="preserve">The </w:t>
      </w:r>
      <w:r>
        <w:t>application</w:t>
      </w:r>
      <w:r w:rsidR="00B60F40">
        <w:t xml:space="preserve"> stated that s</w:t>
      </w:r>
      <w:r w:rsidR="00B60F40" w:rsidRPr="00B55A32">
        <w:t xml:space="preserve">urgical insertion requires a cut-down to expose an artery, then anastomotic connection of a graft conduit. These steps take a long time and therefore justify the reimbursement, given the complexity and length of time required, clinical experts have advised that the surgical procedure would only be conducted if absolutely necessary and the price difference would therefore not influence practice. </w:t>
      </w:r>
      <w:r w:rsidR="00B60F40">
        <w:t xml:space="preserve">However, the Critique stated that the </w:t>
      </w:r>
      <w:r>
        <w:t>application</w:t>
      </w:r>
      <w:r w:rsidR="00B60F40">
        <w:t xml:space="preserve"> </w:t>
      </w:r>
      <w:r w:rsidR="00B60F40" w:rsidRPr="00A77732">
        <w:t>incorrectly provided an explanation for the price discrepancy between the insertion methods rather than the removal methods</w:t>
      </w:r>
      <w:r w:rsidR="00B60F40">
        <w:t>, and therefore the concern of PASC has not been addressed.</w:t>
      </w:r>
    </w:p>
    <w:p w14:paraId="68356BD2" w14:textId="286E851C" w:rsidR="00B60F40" w:rsidRPr="00B60F40" w:rsidRDefault="00296D8C" w:rsidP="00B60F40">
      <w:pPr>
        <w:rPr>
          <w:color w:val="3366FF"/>
          <w:szCs w:val="24"/>
        </w:rPr>
      </w:pPr>
      <w:r>
        <w:t>Regarding</w:t>
      </w:r>
      <w:r w:rsidR="00B60F40" w:rsidRPr="00B55A32">
        <w:t xml:space="preserve"> processes for payment of the device</w:t>
      </w:r>
      <w:r>
        <w:t>, t</w:t>
      </w:r>
      <w:r w:rsidR="00B60F40">
        <w:t xml:space="preserve">he </w:t>
      </w:r>
      <w:r>
        <w:t>application</w:t>
      </w:r>
      <w:r w:rsidR="00B60F40">
        <w:t xml:space="preserve"> stated w</w:t>
      </w:r>
      <w:r w:rsidR="00B60F40" w:rsidRPr="00B55A32">
        <w:t>hile it is still not clear whether Impella</w:t>
      </w:r>
      <w:r w:rsidR="006F7916" w:rsidRPr="00342009">
        <w:rPr>
          <w:szCs w:val="24"/>
          <w:vertAlign w:val="superscript"/>
        </w:rPr>
        <w:t>®</w:t>
      </w:r>
      <w:r w:rsidR="00B60F40" w:rsidRPr="00B55A32">
        <w:t xml:space="preserve"> would be funded from </w:t>
      </w:r>
      <w:r>
        <w:t xml:space="preserve">on the Prostheses List </w:t>
      </w:r>
      <w:r w:rsidR="00B60F40" w:rsidRPr="00B55A32">
        <w:t xml:space="preserve">the advice from the </w:t>
      </w:r>
      <w:r>
        <w:t>Prostheses List Advisory Committee (</w:t>
      </w:r>
      <w:r w:rsidR="00B60F40" w:rsidRPr="00B55A32">
        <w:t>PLAC</w:t>
      </w:r>
      <w:r>
        <w:t>)</w:t>
      </w:r>
      <w:r w:rsidR="00B60F40" w:rsidRPr="00B55A32">
        <w:t xml:space="preserve"> secretariat was to make an application to test the device against the criteria for listing. This is currently under way.</w:t>
      </w:r>
    </w:p>
    <w:p w14:paraId="64765431" w14:textId="430B97D0" w:rsidR="00C57390" w:rsidRPr="00F715D1" w:rsidRDefault="00DA1112" w:rsidP="00C57390">
      <w:pPr>
        <w:pStyle w:val="Heading1"/>
      </w:pPr>
      <w:r>
        <w:t>Summary of public consultation feedback/c</w:t>
      </w:r>
      <w:r w:rsidR="00C57390" w:rsidRPr="00F715D1">
        <w:t>onsumer Issues</w:t>
      </w:r>
    </w:p>
    <w:p w14:paraId="2A88D423" w14:textId="76AAF2A0" w:rsidR="006507E7" w:rsidRPr="00C56200" w:rsidRDefault="006507E7" w:rsidP="006507E7">
      <w:pPr>
        <w:rPr>
          <w:szCs w:val="24"/>
        </w:rPr>
      </w:pPr>
      <w:r w:rsidRPr="00C56200">
        <w:rPr>
          <w:szCs w:val="24"/>
        </w:rPr>
        <w:t>Consultation feedback was received from two individuals from intensive care, one from cardiology and one professional organisation. In terms of the clinical claim</w:t>
      </w:r>
      <w:r w:rsidR="00296D8C">
        <w:rPr>
          <w:szCs w:val="24"/>
        </w:rPr>
        <w:t>,</w:t>
      </w:r>
      <w:r w:rsidRPr="00C56200">
        <w:rPr>
          <w:szCs w:val="24"/>
        </w:rPr>
        <w:t xml:space="preserve"> two respondents agreed that IMVAD was superior in terms of effectiveness and non-inferior in terms of safety compared to standard of care. However</w:t>
      </w:r>
      <w:r w:rsidR="00296D8C">
        <w:rPr>
          <w:szCs w:val="24"/>
        </w:rPr>
        <w:t>,</w:t>
      </w:r>
      <w:r w:rsidRPr="00C56200">
        <w:rPr>
          <w:szCs w:val="24"/>
        </w:rPr>
        <w:t xml:space="preserve"> the remaining two respondents disagreed since there was no evidence for improved 30 day mortality and no long term evidence to support superior effectiveness.</w:t>
      </w:r>
    </w:p>
    <w:p w14:paraId="5E3F119D" w14:textId="77777777" w:rsidR="00C57390" w:rsidRPr="00F715D1" w:rsidRDefault="00C57390" w:rsidP="00C57390">
      <w:pPr>
        <w:pStyle w:val="Heading1"/>
      </w:pPr>
      <w:r w:rsidRPr="00F715D1">
        <w:lastRenderedPageBreak/>
        <w:t>Proposed intervention’s place in clinical management</w:t>
      </w:r>
    </w:p>
    <w:p w14:paraId="1D406A55" w14:textId="09CA1C59" w:rsidR="008C2A2E" w:rsidRPr="00342009" w:rsidRDefault="008C2A2E" w:rsidP="002F439F">
      <w:pPr>
        <w:tabs>
          <w:tab w:val="left" w:pos="720"/>
          <w:tab w:val="left" w:pos="1140"/>
        </w:tabs>
        <w:spacing w:after="240"/>
        <w:rPr>
          <w:szCs w:val="24"/>
        </w:rPr>
      </w:pPr>
      <w:r w:rsidRPr="00342009">
        <w:rPr>
          <w:szCs w:val="24"/>
        </w:rPr>
        <w:t>Impella</w:t>
      </w:r>
      <w:r w:rsidRPr="00342009">
        <w:rPr>
          <w:szCs w:val="24"/>
          <w:vertAlign w:val="superscript"/>
        </w:rPr>
        <w:t>®</w:t>
      </w:r>
      <w:r w:rsidRPr="00342009">
        <w:rPr>
          <w:szCs w:val="24"/>
        </w:rPr>
        <w:t xml:space="preserve"> is a transluminal ventricular assist device that is inserted percutaneously or surgically. The device has a small microaxial pump at one end of a thin, flexible catheter that pumps blood from the ventricle, through an inlet area near the tip and expels blood into the ascending aorta/pulmonary artery. The other end of the tube is connected to an automated control system outside the body that controls the pump rate. The device stabilises haemodynamics, unloads the ventricle, augments peak coronary flow, perfuses the end organs and allows fo</w:t>
      </w:r>
      <w:r w:rsidR="002F439F">
        <w:rPr>
          <w:szCs w:val="24"/>
        </w:rPr>
        <w:t>r recovery of the native heart.</w:t>
      </w:r>
    </w:p>
    <w:p w14:paraId="575CECC1" w14:textId="3BF49D6B" w:rsidR="008C2A2E" w:rsidRPr="002F439F" w:rsidRDefault="008C2A2E" w:rsidP="002F439F">
      <w:pPr>
        <w:spacing w:after="240"/>
      </w:pPr>
      <w:r w:rsidRPr="00342009">
        <w:t xml:space="preserve">There are four variants of the device proposed in the submission, each </w:t>
      </w:r>
      <w:r w:rsidR="00296D8C" w:rsidRPr="00342009">
        <w:t xml:space="preserve">have </w:t>
      </w:r>
      <w:r w:rsidRPr="00342009">
        <w:t>a different sized catheter with different flow rates and different insertion techniques: Impella 2.5, Impella CP, Impella 5.0 and Impella RP. The Automatic Impella Controller generates signals required to power the drive motor of the Impella Catheters</w:t>
      </w:r>
      <w:r w:rsidR="002F439F">
        <w:t xml:space="preserve"> and provides a user interface.</w:t>
      </w:r>
    </w:p>
    <w:p w14:paraId="73209B8F" w14:textId="7BA6C3B0" w:rsidR="008C2A2E" w:rsidRPr="00342009" w:rsidRDefault="008C2A2E" w:rsidP="002F439F">
      <w:pPr>
        <w:spacing w:after="240"/>
      </w:pPr>
      <w:r w:rsidRPr="00342009">
        <w:rPr>
          <w:szCs w:val="24"/>
        </w:rPr>
        <w:t>Impella</w:t>
      </w:r>
      <w:r w:rsidRPr="00342009">
        <w:rPr>
          <w:szCs w:val="24"/>
          <w:vertAlign w:val="superscript"/>
        </w:rPr>
        <w:t>®</w:t>
      </w:r>
      <w:r w:rsidRPr="00342009">
        <w:rPr>
          <w:szCs w:val="24"/>
        </w:rPr>
        <w:t xml:space="preserve"> is indicated for clinical use in cardiology and cardiac surgery in patients with reduced ventricular function. </w:t>
      </w:r>
      <w:r w:rsidRPr="00342009">
        <w:t xml:space="preserve">The populations proposed in the </w:t>
      </w:r>
      <w:r w:rsidR="00296D8C" w:rsidRPr="00342009">
        <w:t>application</w:t>
      </w:r>
      <w:r w:rsidRPr="00342009">
        <w:t xml:space="preserve"> are divided into three subgroups as outlined in </w:t>
      </w:r>
      <w:r w:rsidR="002F439F">
        <w:t>the ratified PICO confirmation:</w:t>
      </w:r>
    </w:p>
    <w:p w14:paraId="44FCB848" w14:textId="77777777" w:rsidR="008C2A2E" w:rsidRPr="00342009" w:rsidRDefault="008C2A2E" w:rsidP="008C2A2E">
      <w:pPr>
        <w:pStyle w:val="ListParagraph"/>
        <w:numPr>
          <w:ilvl w:val="0"/>
          <w:numId w:val="7"/>
        </w:numPr>
      </w:pPr>
      <w:r w:rsidRPr="00342009">
        <w:t xml:space="preserve">Patients undergoing high-risk percutaneous coronary interventions (HR-PCI). This is further defined as having: comorbidities; and left ventricular ejection fraction </w:t>
      </w:r>
      <w:r w:rsidRPr="00342009">
        <w:rPr>
          <w:rFonts w:cs="Calibri"/>
        </w:rPr>
        <w:t>≤</w:t>
      </w:r>
      <w:r w:rsidRPr="00342009">
        <w:t> 35%; and unprotected left main; or last patent coronary vessel; or three-vessel disease.</w:t>
      </w:r>
    </w:p>
    <w:p w14:paraId="2E367B66" w14:textId="77777777" w:rsidR="008C2A2E" w:rsidRPr="00342009" w:rsidRDefault="008C2A2E" w:rsidP="008C2A2E">
      <w:pPr>
        <w:pStyle w:val="ListParagraph"/>
        <w:numPr>
          <w:ilvl w:val="0"/>
          <w:numId w:val="7"/>
        </w:numPr>
      </w:pPr>
      <w:r w:rsidRPr="00342009">
        <w:t>Patients with cardiogenic shock with no evidence of significant anoxic neurological injury</w:t>
      </w:r>
    </w:p>
    <w:p w14:paraId="6434DBF6" w14:textId="5CE6AF55" w:rsidR="008C2A2E" w:rsidRPr="002F439F" w:rsidRDefault="008C2A2E" w:rsidP="006507E7">
      <w:pPr>
        <w:pStyle w:val="ListParagraph"/>
        <w:numPr>
          <w:ilvl w:val="0"/>
          <w:numId w:val="7"/>
        </w:numPr>
      </w:pPr>
      <w:r w:rsidRPr="00342009">
        <w:t>Patients with isolated right heart failure (RHF) after left-sided ventricular assist device (LVAD) implantation or after cardiac surgery or myocardial infarction.</w:t>
      </w:r>
    </w:p>
    <w:p w14:paraId="2FBE9FF8" w14:textId="2A3688BD" w:rsidR="00296D8C" w:rsidRDefault="006507E7" w:rsidP="002F439F">
      <w:pPr>
        <w:spacing w:before="240"/>
      </w:pPr>
      <w:r w:rsidRPr="00342009">
        <w:rPr>
          <w:szCs w:val="24"/>
        </w:rPr>
        <w:t xml:space="preserve">The </w:t>
      </w:r>
      <w:r w:rsidR="00296D8C" w:rsidRPr="00342009">
        <w:rPr>
          <w:szCs w:val="24"/>
        </w:rPr>
        <w:t>application’s</w:t>
      </w:r>
      <w:r w:rsidRPr="00342009">
        <w:rPr>
          <w:szCs w:val="24"/>
        </w:rPr>
        <w:t xml:space="preserve"> current and proposed clinical management algorithms for </w:t>
      </w:r>
      <w:r w:rsidRPr="00342009">
        <w:t xml:space="preserve">HR-PCI (Figure </w:t>
      </w:r>
      <w:r w:rsidR="00AB0E2D" w:rsidRPr="00342009">
        <w:t>2</w:t>
      </w:r>
      <w:r w:rsidRPr="00342009">
        <w:t xml:space="preserve">), cardiogenic shock (Figure </w:t>
      </w:r>
      <w:r w:rsidR="00AB0E2D" w:rsidRPr="00342009">
        <w:t>3</w:t>
      </w:r>
      <w:r w:rsidRPr="00342009">
        <w:t xml:space="preserve">) and RHF (Figure </w:t>
      </w:r>
      <w:r w:rsidR="00AB0E2D" w:rsidRPr="00342009">
        <w:t>4</w:t>
      </w:r>
      <w:r w:rsidRPr="00342009">
        <w:t>) were based on the ratified PICO, P</w:t>
      </w:r>
      <w:r w:rsidR="008C2A2E" w:rsidRPr="00342009">
        <w:t xml:space="preserve">ASC </w:t>
      </w:r>
      <w:r w:rsidR="008C2A2E">
        <w:t>outcomes and expert advice.</w:t>
      </w:r>
      <w:r w:rsidR="00296D8C">
        <w:br w:type="page"/>
      </w:r>
    </w:p>
    <w:p w14:paraId="790F47CC" w14:textId="77777777" w:rsidR="006507E7" w:rsidRDefault="006507E7" w:rsidP="006507E7"/>
    <w:p w14:paraId="5A4256B7" w14:textId="77777777" w:rsidR="006507E7" w:rsidRDefault="006507E7" w:rsidP="006507E7">
      <w:pPr>
        <w:pStyle w:val="Comment"/>
        <w:rPr>
          <w:i w:val="0"/>
          <w:iCs/>
        </w:rPr>
      </w:pPr>
      <w:r w:rsidRPr="004277CC">
        <w:rPr>
          <w:rFonts w:eastAsia="Calibri" w:cs="Calibri"/>
          <w:i w:val="0"/>
          <w:noProof/>
          <w:sz w:val="20"/>
        </w:rPr>
        <w:drawing>
          <wp:inline distT="0" distB="0" distL="0" distR="0" wp14:anchorId="7F93FC75" wp14:editId="6B491860">
            <wp:extent cx="5323712" cy="3317557"/>
            <wp:effectExtent l="0" t="0" r="0" b="0"/>
            <wp:docPr id="19" name="image10.png" title="Figure 1  Clinical management algorithm for high-risk P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1" cstate="print"/>
                    <a:stretch>
                      <a:fillRect/>
                    </a:stretch>
                  </pic:blipFill>
                  <pic:spPr>
                    <a:xfrm>
                      <a:off x="0" y="0"/>
                      <a:ext cx="5323712" cy="3317557"/>
                    </a:xfrm>
                    <a:prstGeom prst="rect">
                      <a:avLst/>
                    </a:prstGeom>
                  </pic:spPr>
                </pic:pic>
              </a:graphicData>
            </a:graphic>
          </wp:inline>
        </w:drawing>
      </w:r>
    </w:p>
    <w:p w14:paraId="3E05A331" w14:textId="61B87609" w:rsidR="006507E7" w:rsidRPr="00DC1117" w:rsidRDefault="006507E7" w:rsidP="00DC1117">
      <w:pPr>
        <w:rPr>
          <w:rFonts w:ascii="Arial Narrow" w:hAnsi="Arial Narrow"/>
          <w:b/>
          <w:sz w:val="20"/>
        </w:rPr>
      </w:pPr>
      <w:bookmarkStart w:id="7" w:name="_Ref11923233"/>
      <w:bookmarkStart w:id="8" w:name="_Ref11923208"/>
      <w:r w:rsidRPr="00DC1117">
        <w:rPr>
          <w:rFonts w:ascii="Arial Narrow" w:hAnsi="Arial Narrow"/>
          <w:b/>
          <w:sz w:val="20"/>
        </w:rPr>
        <w:t xml:space="preserve">Figure </w:t>
      </w:r>
      <w:bookmarkEnd w:id="7"/>
      <w:r w:rsidR="00AB0E2D" w:rsidRPr="00DC1117">
        <w:rPr>
          <w:rFonts w:ascii="Arial Narrow" w:hAnsi="Arial Narrow"/>
          <w:b/>
          <w:sz w:val="20"/>
        </w:rPr>
        <w:t>2</w:t>
      </w:r>
      <w:r w:rsidRPr="00DC1117">
        <w:rPr>
          <w:rFonts w:ascii="Arial Narrow" w:hAnsi="Arial Narrow"/>
          <w:b/>
          <w:sz w:val="20"/>
        </w:rPr>
        <w:tab/>
        <w:t xml:space="preserve"> Clinical management algorithm for high-risk PCI</w:t>
      </w:r>
      <w:bookmarkEnd w:id="8"/>
    </w:p>
    <w:p w14:paraId="79525A2D" w14:textId="77777777" w:rsidR="006507E7" w:rsidRDefault="006507E7" w:rsidP="00525682">
      <w:pPr>
        <w:pStyle w:val="Tablenotes"/>
        <w:rPr>
          <w:rStyle w:val="TableNotesChar0"/>
        </w:rPr>
      </w:pPr>
      <w:r w:rsidRPr="008320E6">
        <w:rPr>
          <w:rStyle w:val="TableNotesChar0"/>
        </w:rPr>
        <w:t>Source: Figure 7, p62 of the SBA</w:t>
      </w:r>
      <w:r w:rsidRPr="008320E6">
        <w:rPr>
          <w:rStyle w:val="TableNotesChar0"/>
        </w:rPr>
        <w:br/>
        <w:t>ECMO= Extracorporeal membrane oxygenation; IABP</w:t>
      </w:r>
      <w:r>
        <w:rPr>
          <w:rStyle w:val="TableNotesChar0"/>
        </w:rPr>
        <w:t>=intra-aortic balloon pump</w:t>
      </w:r>
    </w:p>
    <w:p w14:paraId="675A6635" w14:textId="77777777" w:rsidR="006507E7" w:rsidRDefault="006507E7" w:rsidP="00525682">
      <w:pPr>
        <w:pStyle w:val="Tablenotes"/>
        <w:rPr>
          <w:rStyle w:val="TableNotesChar0"/>
        </w:rPr>
      </w:pPr>
      <w:r w:rsidRPr="00390847">
        <w:rPr>
          <w:rStyle w:val="TableNotesChar0"/>
        </w:rPr>
        <w:t xml:space="preserve">Note: </w:t>
      </w:r>
      <w:r>
        <w:rPr>
          <w:rStyle w:val="TableNotesChar0"/>
        </w:rPr>
        <w:t>The Critique stated i</w:t>
      </w:r>
      <w:r w:rsidRPr="00390847">
        <w:rPr>
          <w:rStyle w:val="TableNotesChar0"/>
        </w:rPr>
        <w:t>t is unclear why ECMO is placed in a red box which is intended to be for proposed changes to the current clinical management algorithm. The ratified PICO confirmation does not place ECMO in a red box.</w:t>
      </w:r>
    </w:p>
    <w:p w14:paraId="092FCF8B" w14:textId="35DD302F" w:rsidR="006507E7" w:rsidRDefault="006507E7" w:rsidP="002F439F">
      <w:pPr>
        <w:spacing w:after="240"/>
      </w:pPr>
      <w:r>
        <w:t>The Critique stated that i</w:t>
      </w:r>
      <w:r w:rsidRPr="008320E6">
        <w:t xml:space="preserve">t is not clear from the </w:t>
      </w:r>
      <w:r w:rsidR="00296D8C">
        <w:t>application’s</w:t>
      </w:r>
      <w:r>
        <w:t xml:space="preserve"> </w:t>
      </w:r>
      <w:r w:rsidRPr="008320E6">
        <w:t xml:space="preserve">clinical management algorithm whether there is a hierarchy in </w:t>
      </w:r>
      <w:r w:rsidR="00296D8C" w:rsidRPr="00296D8C">
        <w:t xml:space="preserve">mechanical circulatory support </w:t>
      </w:r>
      <w:r w:rsidR="00296D8C">
        <w:t>(</w:t>
      </w:r>
      <w:r w:rsidRPr="008320E6">
        <w:t>MCS</w:t>
      </w:r>
      <w:r w:rsidR="00296D8C">
        <w:t>)</w:t>
      </w:r>
      <w:r w:rsidRPr="008320E6">
        <w:t xml:space="preserve"> choice. The primary comparator nominated by the </w:t>
      </w:r>
      <w:r>
        <w:t>submission</w:t>
      </w:r>
      <w:r w:rsidRPr="008320E6">
        <w:t xml:space="preserve"> and the ratified PICO confirmation was IABP. ECMO appears to be equally weighted as a comparator in the clinical management algorithm</w:t>
      </w:r>
      <w:r w:rsidR="002F439F">
        <w:t>.</w:t>
      </w:r>
    </w:p>
    <w:p w14:paraId="0A39C444" w14:textId="77777777" w:rsidR="006507E7" w:rsidRDefault="006507E7" w:rsidP="006507E7">
      <w:pPr>
        <w:pStyle w:val="Comment"/>
        <w:rPr>
          <w:i w:val="0"/>
          <w:iCs/>
        </w:rPr>
      </w:pPr>
      <w:r w:rsidRPr="004F2648">
        <w:rPr>
          <w:rFonts w:eastAsia="Calibri" w:cs="Calibri"/>
          <w:i w:val="0"/>
          <w:noProof/>
          <w:sz w:val="20"/>
        </w:rPr>
        <w:drawing>
          <wp:inline distT="0" distB="0" distL="0" distR="0" wp14:anchorId="7D7804AA" wp14:editId="0057E32D">
            <wp:extent cx="3448050" cy="2749802"/>
            <wp:effectExtent l="0" t="0" r="0" b="0"/>
            <wp:docPr id="21" name="image11.png" title="Figure 2 Clinical management algorithm for cardiogenic sh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2" cstate="print"/>
                    <a:stretch>
                      <a:fillRect/>
                    </a:stretch>
                  </pic:blipFill>
                  <pic:spPr>
                    <a:xfrm>
                      <a:off x="0" y="0"/>
                      <a:ext cx="3468946" cy="2766467"/>
                    </a:xfrm>
                    <a:prstGeom prst="rect">
                      <a:avLst/>
                    </a:prstGeom>
                  </pic:spPr>
                </pic:pic>
              </a:graphicData>
            </a:graphic>
          </wp:inline>
        </w:drawing>
      </w:r>
    </w:p>
    <w:p w14:paraId="652B2417" w14:textId="4F96E7F4" w:rsidR="006507E7" w:rsidRPr="00DC1117" w:rsidRDefault="006507E7" w:rsidP="00DC1117">
      <w:pPr>
        <w:rPr>
          <w:rFonts w:ascii="Arial Narrow" w:hAnsi="Arial Narrow"/>
          <w:b/>
          <w:sz w:val="20"/>
        </w:rPr>
      </w:pPr>
      <w:bookmarkStart w:id="9" w:name="_Ref11923275"/>
      <w:r w:rsidRPr="00DC1117">
        <w:rPr>
          <w:rFonts w:ascii="Arial Narrow" w:hAnsi="Arial Narrow"/>
          <w:b/>
          <w:sz w:val="20"/>
        </w:rPr>
        <w:t xml:space="preserve">Figure </w:t>
      </w:r>
      <w:bookmarkEnd w:id="9"/>
      <w:r w:rsidR="00AB0E2D" w:rsidRPr="00DC1117">
        <w:rPr>
          <w:rFonts w:ascii="Arial Narrow" w:hAnsi="Arial Narrow"/>
          <w:b/>
          <w:sz w:val="20"/>
        </w:rPr>
        <w:t>3</w:t>
      </w:r>
      <w:r w:rsidRPr="00DC1117">
        <w:rPr>
          <w:rFonts w:ascii="Arial Narrow" w:hAnsi="Arial Narrow"/>
          <w:b/>
          <w:sz w:val="20"/>
        </w:rPr>
        <w:tab/>
        <w:t>Clinical management algorithm for cardiogenic shock.</w:t>
      </w:r>
    </w:p>
    <w:p w14:paraId="431479D2" w14:textId="77777777" w:rsidR="006507E7" w:rsidRDefault="006507E7" w:rsidP="006507E7">
      <w:pPr>
        <w:spacing w:after="360"/>
        <w:rPr>
          <w:rStyle w:val="TableNotesChar0"/>
          <w:sz w:val="18"/>
        </w:rPr>
      </w:pPr>
      <w:r w:rsidRPr="008320E6">
        <w:rPr>
          <w:rStyle w:val="TableNotesChar0"/>
          <w:sz w:val="18"/>
        </w:rPr>
        <w:t>Source: Figure 8, p63 of the SBA</w:t>
      </w:r>
      <w:r w:rsidRPr="008320E6">
        <w:rPr>
          <w:rStyle w:val="TableNotesChar0"/>
          <w:sz w:val="18"/>
        </w:rPr>
        <w:br/>
        <w:t>ECMO= Extracorporeal membrane oxygenation; IABP=intra</w:t>
      </w:r>
      <w:r>
        <w:rPr>
          <w:rStyle w:val="TableNotesChar0"/>
          <w:sz w:val="18"/>
        </w:rPr>
        <w:t>-</w:t>
      </w:r>
      <w:r w:rsidRPr="008320E6">
        <w:rPr>
          <w:rStyle w:val="TableNotesChar0"/>
          <w:sz w:val="18"/>
        </w:rPr>
        <w:t>aortic balloon pump</w:t>
      </w:r>
    </w:p>
    <w:p w14:paraId="1D3874BE" w14:textId="3C44C451" w:rsidR="006507E7" w:rsidRPr="008320E6" w:rsidRDefault="006507E7" w:rsidP="002F439F">
      <w:pPr>
        <w:spacing w:after="240"/>
      </w:pPr>
      <w:r>
        <w:lastRenderedPageBreak/>
        <w:t xml:space="preserve">The Critique stated that the </w:t>
      </w:r>
      <w:r w:rsidR="00296D8C">
        <w:t>application’s</w:t>
      </w:r>
      <w:r>
        <w:t xml:space="preserve"> </w:t>
      </w:r>
      <w:r w:rsidRPr="00876582">
        <w:t xml:space="preserve">clinical management algorithm differs to that proposed in the ratified PICO confirmation. The algorithm presented in the </w:t>
      </w:r>
      <w:r w:rsidR="00342009">
        <w:t>application</w:t>
      </w:r>
      <w:r>
        <w:t xml:space="preserve"> </w:t>
      </w:r>
      <w:r w:rsidRPr="00876582">
        <w:t xml:space="preserve">suggests that ECMO can also be used in conjunction with </w:t>
      </w:r>
      <w:r>
        <w:rPr>
          <w:szCs w:val="24"/>
        </w:rPr>
        <w:t xml:space="preserve">IMVAD </w:t>
      </w:r>
      <w:r w:rsidRPr="00876582">
        <w:t xml:space="preserve">and pharmacological therapy. This is despite the PICO confirmation noting concern about the use of </w:t>
      </w:r>
      <w:r>
        <w:rPr>
          <w:szCs w:val="24"/>
        </w:rPr>
        <w:t>IMVAD</w:t>
      </w:r>
      <w:r w:rsidRPr="00876582">
        <w:t xml:space="preserve"> in addition to other </w:t>
      </w:r>
      <w:r>
        <w:t>mechanical circulatory support.</w:t>
      </w:r>
      <w:r w:rsidRPr="00876582">
        <w:t xml:space="preserve"> </w:t>
      </w:r>
      <w:r>
        <w:t>The Critique stated</w:t>
      </w:r>
      <w:r w:rsidR="00EF604E">
        <w:t xml:space="preserve"> that</w:t>
      </w:r>
      <w:r>
        <w:t xml:space="preserve"> the use of ECMO in addition to </w:t>
      </w:r>
      <w:r>
        <w:rPr>
          <w:szCs w:val="24"/>
        </w:rPr>
        <w:t>IMVAD</w:t>
      </w:r>
      <w:r>
        <w:t xml:space="preserve"> was not justified in the </w:t>
      </w:r>
      <w:r w:rsidR="00342009">
        <w:t>application</w:t>
      </w:r>
      <w:r w:rsidR="002F439F">
        <w:t>.</w:t>
      </w:r>
    </w:p>
    <w:p w14:paraId="19E351ED" w14:textId="77777777" w:rsidR="006507E7" w:rsidRPr="007D0B00" w:rsidRDefault="006507E7" w:rsidP="006507E7">
      <w:r w:rsidRPr="005A297D">
        <w:rPr>
          <w:rFonts w:eastAsia="Calibri" w:cs="Calibri"/>
          <w:noProof/>
          <w:sz w:val="20"/>
        </w:rPr>
        <w:drawing>
          <wp:inline distT="0" distB="0" distL="0" distR="0" wp14:anchorId="46B2DABD" wp14:editId="567E50A3">
            <wp:extent cx="3067050" cy="1988986"/>
            <wp:effectExtent l="0" t="0" r="0" b="0"/>
            <wp:docPr id="23" name="image12.png" title="Figure 3  Clinical management algorithm for right heart fail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3" cstate="print"/>
                    <a:stretch>
                      <a:fillRect/>
                    </a:stretch>
                  </pic:blipFill>
                  <pic:spPr>
                    <a:xfrm>
                      <a:off x="0" y="0"/>
                      <a:ext cx="3074463" cy="1993793"/>
                    </a:xfrm>
                    <a:prstGeom prst="rect">
                      <a:avLst/>
                    </a:prstGeom>
                  </pic:spPr>
                </pic:pic>
              </a:graphicData>
            </a:graphic>
          </wp:inline>
        </w:drawing>
      </w:r>
    </w:p>
    <w:p w14:paraId="40CAADB7" w14:textId="6B4D5BB2" w:rsidR="006507E7" w:rsidRPr="00DC1117" w:rsidRDefault="006507E7" w:rsidP="00DC1117">
      <w:pPr>
        <w:rPr>
          <w:rFonts w:ascii="Arial Narrow" w:hAnsi="Arial Narrow"/>
          <w:b/>
          <w:sz w:val="20"/>
        </w:rPr>
      </w:pPr>
      <w:r w:rsidRPr="00DC1117">
        <w:rPr>
          <w:rFonts w:ascii="Arial Narrow" w:hAnsi="Arial Narrow"/>
          <w:b/>
          <w:sz w:val="20"/>
        </w:rPr>
        <w:t xml:space="preserve">Figure </w:t>
      </w:r>
      <w:r w:rsidR="00AB0E2D" w:rsidRPr="00DC1117">
        <w:rPr>
          <w:rFonts w:ascii="Arial Narrow" w:hAnsi="Arial Narrow"/>
          <w:b/>
          <w:sz w:val="20"/>
        </w:rPr>
        <w:t>4</w:t>
      </w:r>
      <w:r w:rsidRPr="00DC1117">
        <w:rPr>
          <w:rFonts w:ascii="Arial Narrow" w:hAnsi="Arial Narrow"/>
          <w:b/>
          <w:sz w:val="20"/>
        </w:rPr>
        <w:tab/>
        <w:t xml:space="preserve"> Clinical management algorithm for right heart failure</w:t>
      </w:r>
    </w:p>
    <w:p w14:paraId="3A771D4C" w14:textId="77777777" w:rsidR="006507E7" w:rsidRPr="008320E6" w:rsidRDefault="006507E7" w:rsidP="006507E7">
      <w:pPr>
        <w:rPr>
          <w:rStyle w:val="TableNotesChar0"/>
          <w:sz w:val="18"/>
        </w:rPr>
      </w:pPr>
      <w:r w:rsidRPr="008320E6">
        <w:rPr>
          <w:rStyle w:val="TableNotesChar0"/>
          <w:sz w:val="18"/>
        </w:rPr>
        <w:t>Source: Figure 9, p64 of the SBA</w:t>
      </w:r>
      <w:r w:rsidRPr="008320E6">
        <w:rPr>
          <w:rStyle w:val="TableNotesChar0"/>
          <w:sz w:val="18"/>
        </w:rPr>
        <w:br/>
        <w:t>ECMO= Extracorporeal membrane oxygenation</w:t>
      </w:r>
    </w:p>
    <w:p w14:paraId="06ABC1F5" w14:textId="77777777" w:rsidR="006507E7" w:rsidRDefault="006507E7" w:rsidP="006507E7">
      <w:pPr>
        <w:rPr>
          <w:rStyle w:val="TableNotesChar0"/>
        </w:rPr>
      </w:pPr>
    </w:p>
    <w:p w14:paraId="063C8336" w14:textId="47CB85F7" w:rsidR="006507E7" w:rsidRPr="002329CC" w:rsidRDefault="006507E7" w:rsidP="006507E7">
      <w:pPr>
        <w:rPr>
          <w:rStyle w:val="TableNotesChar0"/>
        </w:rPr>
      </w:pPr>
      <w:r>
        <w:t xml:space="preserve">The Critique stated that </w:t>
      </w:r>
      <w:r w:rsidR="00342009">
        <w:t>application’s</w:t>
      </w:r>
      <w:r>
        <w:t xml:space="preserve"> clinical management algorithm is unchanged from the PICO confirmation and is appropriate.</w:t>
      </w:r>
    </w:p>
    <w:p w14:paraId="5A8272BA" w14:textId="77777777" w:rsidR="00C57390" w:rsidRPr="00F715D1" w:rsidRDefault="00C57390" w:rsidP="00C57390">
      <w:pPr>
        <w:pStyle w:val="Heading1"/>
      </w:pPr>
      <w:r w:rsidRPr="00F715D1">
        <w:t xml:space="preserve">Comparator </w:t>
      </w:r>
    </w:p>
    <w:p w14:paraId="597827AE" w14:textId="77777777" w:rsidR="008C2A2E" w:rsidRDefault="008C2A2E" w:rsidP="008C2A2E">
      <w:pPr>
        <w:pStyle w:val="Heading2"/>
      </w:pPr>
      <w:r>
        <w:t>HR-PCI</w:t>
      </w:r>
    </w:p>
    <w:p w14:paraId="71971D71" w14:textId="46551144" w:rsidR="008C2A2E" w:rsidRDefault="008C2A2E" w:rsidP="008C2A2E">
      <w:pPr>
        <w:rPr>
          <w:iCs/>
        </w:rPr>
      </w:pPr>
      <w:r w:rsidRPr="001E697D">
        <w:t xml:space="preserve">The </w:t>
      </w:r>
      <w:r w:rsidR="00342009">
        <w:t>application’s</w:t>
      </w:r>
      <w:r>
        <w:t xml:space="preserve"> </w:t>
      </w:r>
      <w:r w:rsidRPr="001E697D">
        <w:t>nominated</w:t>
      </w:r>
      <w:r>
        <w:t xml:space="preserve"> comparator</w:t>
      </w:r>
      <w:r w:rsidRPr="001E697D">
        <w:t xml:space="preserve"> was standard of care which includes a basket of therapies including pharmacological therapy and/or </w:t>
      </w:r>
      <w:r>
        <w:t>mechanical circulatory support</w:t>
      </w:r>
      <w:r w:rsidR="005A6A4D">
        <w:t xml:space="preserve">, </w:t>
      </w:r>
      <w:r w:rsidRPr="001E697D">
        <w:t xml:space="preserve">including IABP, ECMO and ventricular assist devices (VAD). </w:t>
      </w:r>
      <w:r>
        <w:rPr>
          <w:iCs/>
        </w:rPr>
        <w:t xml:space="preserve">However, </w:t>
      </w:r>
      <w:r w:rsidRPr="00D21D7E">
        <w:rPr>
          <w:iCs/>
        </w:rPr>
        <w:t>IABP</w:t>
      </w:r>
      <w:r>
        <w:rPr>
          <w:iCs/>
        </w:rPr>
        <w:t xml:space="preserve"> was identified </w:t>
      </w:r>
      <w:r w:rsidRPr="00D21D7E">
        <w:rPr>
          <w:iCs/>
        </w:rPr>
        <w:t>as the primary comparator in the ratified PICO confirmation.</w:t>
      </w:r>
      <w:r>
        <w:rPr>
          <w:iCs/>
        </w:rPr>
        <w:t xml:space="preserve"> The </w:t>
      </w:r>
      <w:r w:rsidR="00342009">
        <w:rPr>
          <w:iCs/>
        </w:rPr>
        <w:t>application</w:t>
      </w:r>
      <w:r>
        <w:rPr>
          <w:iCs/>
        </w:rPr>
        <w:t xml:space="preserve"> cited local expert advice for its inclusion of ECMO as a comparator; however, the Critique stated that there</w:t>
      </w:r>
      <w:r w:rsidRPr="005679C9">
        <w:rPr>
          <w:iCs/>
        </w:rPr>
        <w:t xml:space="preserve"> </w:t>
      </w:r>
      <w:r>
        <w:rPr>
          <w:iCs/>
        </w:rPr>
        <w:t>was insufficient evidence to validate the proportion of ECMO used (ECMO weighted 38% in economic evaluation).</w:t>
      </w:r>
    </w:p>
    <w:p w14:paraId="4D517315" w14:textId="77777777" w:rsidR="008C2A2E" w:rsidRDefault="008C2A2E" w:rsidP="008C2A2E">
      <w:pPr>
        <w:pStyle w:val="Heading2"/>
      </w:pPr>
      <w:r>
        <w:t>Cardiogenic shock</w:t>
      </w:r>
    </w:p>
    <w:p w14:paraId="48B8D05C" w14:textId="35F1F5F4" w:rsidR="008C2A2E" w:rsidRDefault="008C2A2E" w:rsidP="008C2A2E">
      <w:pPr>
        <w:rPr>
          <w:iCs/>
        </w:rPr>
      </w:pPr>
      <w:r w:rsidRPr="007D0B00">
        <w:t xml:space="preserve">The </w:t>
      </w:r>
      <w:r w:rsidR="00342009">
        <w:t>application’s</w:t>
      </w:r>
      <w:r>
        <w:t xml:space="preserve"> </w:t>
      </w:r>
      <w:r w:rsidRPr="001E697D">
        <w:t>nominated</w:t>
      </w:r>
      <w:r>
        <w:t xml:space="preserve"> comparator</w:t>
      </w:r>
      <w:r w:rsidRPr="001E697D">
        <w:t xml:space="preserve"> was standard of care </w:t>
      </w:r>
      <w:r w:rsidRPr="007D0B00">
        <w:t>which includes a basket of therapies including pharmacological therapy and/or MCS including IABP and/or ECMO if greater haemodynamic support is required</w:t>
      </w:r>
      <w:r>
        <w:t xml:space="preserve">. </w:t>
      </w:r>
      <w:r>
        <w:rPr>
          <w:iCs/>
        </w:rPr>
        <w:t xml:space="preserve">The </w:t>
      </w:r>
      <w:r w:rsidR="00342009">
        <w:rPr>
          <w:iCs/>
        </w:rPr>
        <w:t>application</w:t>
      </w:r>
      <w:r>
        <w:rPr>
          <w:iCs/>
        </w:rPr>
        <w:t xml:space="preserve"> cited local expert advice for its inclusion of ECMO as a comparator; however, the Critique stated that there</w:t>
      </w:r>
      <w:r w:rsidRPr="005679C9">
        <w:rPr>
          <w:iCs/>
        </w:rPr>
        <w:t xml:space="preserve"> </w:t>
      </w:r>
      <w:r>
        <w:rPr>
          <w:iCs/>
        </w:rPr>
        <w:t xml:space="preserve">was insufficient evidence to validate the proportion of ECMO used (ECMO weighted 100% in economic evaluation).  In addition, the Critique stated there was </w:t>
      </w:r>
      <w:r w:rsidRPr="00D53AC5">
        <w:rPr>
          <w:iCs/>
        </w:rPr>
        <w:t>inconsi</w:t>
      </w:r>
      <w:r>
        <w:rPr>
          <w:iCs/>
        </w:rPr>
        <w:t xml:space="preserve">stency within the </w:t>
      </w:r>
      <w:r w:rsidR="00342009">
        <w:rPr>
          <w:iCs/>
        </w:rPr>
        <w:t>application</w:t>
      </w:r>
      <w:r w:rsidRPr="00D53AC5">
        <w:rPr>
          <w:iCs/>
        </w:rPr>
        <w:t xml:space="preserve"> as </w:t>
      </w:r>
      <w:r>
        <w:rPr>
          <w:iCs/>
        </w:rPr>
        <w:t>ECMO was presented as</w:t>
      </w:r>
      <w:r w:rsidRPr="00D53AC5">
        <w:rPr>
          <w:iCs/>
        </w:rPr>
        <w:t xml:space="preserve"> the only comparator presented in the economic model, however IABP was also included as a comparator in the financial estimates.</w:t>
      </w:r>
    </w:p>
    <w:p w14:paraId="751E2A31" w14:textId="77777777" w:rsidR="008C2A2E" w:rsidRDefault="008C2A2E" w:rsidP="008C2A2E">
      <w:pPr>
        <w:pStyle w:val="Heading2"/>
      </w:pPr>
      <w:r>
        <w:t>RHF</w:t>
      </w:r>
    </w:p>
    <w:p w14:paraId="214592AA" w14:textId="5BEF0885" w:rsidR="008C2A2E" w:rsidRPr="0035733D" w:rsidRDefault="008C2A2E" w:rsidP="008C2A2E">
      <w:pPr>
        <w:rPr>
          <w:i/>
          <w:iCs/>
        </w:rPr>
      </w:pPr>
      <w:r>
        <w:t xml:space="preserve">The </w:t>
      </w:r>
      <w:r w:rsidR="00342009">
        <w:t>application’s</w:t>
      </w:r>
      <w:r>
        <w:t xml:space="preserve"> </w:t>
      </w:r>
      <w:r w:rsidRPr="001E697D">
        <w:t>nominated</w:t>
      </w:r>
      <w:r>
        <w:t xml:space="preserve"> comparator</w:t>
      </w:r>
      <w:r w:rsidRPr="001E697D">
        <w:t xml:space="preserve"> was standard of care</w:t>
      </w:r>
      <w:r>
        <w:t xml:space="preserve">, including medical and mechanical circulatory support. The </w:t>
      </w:r>
      <w:r w:rsidR="00342009">
        <w:t>application</w:t>
      </w:r>
      <w:r>
        <w:t xml:space="preserve"> acknowledged that there was little evidence on the current management algorithm and standard of care in patients with RHF. The </w:t>
      </w:r>
      <w:r w:rsidR="00342009">
        <w:t>application</w:t>
      </w:r>
      <w:r>
        <w:t xml:space="preserve"> also argued that IABP was not used in patients with RHF. The Critique stated that the use of ECMO alone was appropriate in this population.</w:t>
      </w:r>
    </w:p>
    <w:p w14:paraId="051836CA" w14:textId="77777777" w:rsidR="00C57390" w:rsidRPr="00F715D1" w:rsidRDefault="00C57390" w:rsidP="00C57390">
      <w:pPr>
        <w:pStyle w:val="Heading1"/>
      </w:pPr>
      <w:r w:rsidRPr="00F715D1">
        <w:lastRenderedPageBreak/>
        <w:t>Comparative safety</w:t>
      </w:r>
    </w:p>
    <w:p w14:paraId="0CFA8B40" w14:textId="72D9420A" w:rsidR="008C2A2E" w:rsidRDefault="008C2A2E" w:rsidP="008C2A2E">
      <w:r w:rsidRPr="0035733D">
        <w:t xml:space="preserve">The safety outcomes presented in the </w:t>
      </w:r>
      <w:r w:rsidR="00342009">
        <w:t>application</w:t>
      </w:r>
      <w:r w:rsidRPr="0035733D">
        <w:t xml:space="preserve"> were the 30 day major adverse cardiac and cerebral events (MACCE).</w:t>
      </w:r>
    </w:p>
    <w:p w14:paraId="02BCBBA5" w14:textId="77777777" w:rsidR="008C2A2E" w:rsidRDefault="008C2A2E" w:rsidP="008C2A2E">
      <w:pPr>
        <w:pStyle w:val="Heading2"/>
      </w:pPr>
      <w:r>
        <w:t>HR-PCI</w:t>
      </w:r>
    </w:p>
    <w:p w14:paraId="050D7E79" w14:textId="20F01603" w:rsidR="008C2A2E" w:rsidRPr="00CE681B" w:rsidRDefault="008C2A2E" w:rsidP="002F439F">
      <w:pPr>
        <w:spacing w:after="240"/>
      </w:pPr>
      <w:r w:rsidRPr="00F35AD1">
        <w:t xml:space="preserve">Six </w:t>
      </w:r>
      <w:r w:rsidRPr="00CE681B">
        <w:t>studies were included, one of which was a multicentre randomised controlled trial (RCT) comparing IMVAD with IABP (PROTECT II, n=452 [O’Neill 2012]). However, this RCT was not completed as planned on the grounds of futility, therefore the results from the participants who did complete the study (69% of the planned enrolment) are not powered appropriately. The remaining studies were single arm observational studies or company sponsored registries, three of which assessed IMVAD, while two assessed ECMO. The Critique noted the evidence mostly consisted of the IMVAD 2.5; it was uncertain whether results from these studies translate into the same outc</w:t>
      </w:r>
      <w:r w:rsidR="002F439F">
        <w:t>omes for other models of IMVAD.</w:t>
      </w:r>
    </w:p>
    <w:p w14:paraId="71B9AD1D" w14:textId="77777777" w:rsidR="008C2A2E" w:rsidRPr="00CE681B" w:rsidRDefault="008C2A2E" w:rsidP="008C2A2E">
      <w:pPr>
        <w:pStyle w:val="Heading3"/>
      </w:pPr>
      <w:r w:rsidRPr="00CE681B">
        <w:t>RCT results (vs. IABP)</w:t>
      </w:r>
    </w:p>
    <w:p w14:paraId="7B332479" w14:textId="77777777" w:rsidR="008C2A2E" w:rsidRPr="00CE681B" w:rsidRDefault="008C2A2E" w:rsidP="008C2A2E">
      <w:r w:rsidRPr="00CE681B">
        <w:t>No clinically relevant differences in safety outcomes were identified from the PROTECT II trial. There were statistically significant differences in stroke and repeat-revascularisations which favoured IMVAD. PROTECT II did not collect information on bleeding.</w:t>
      </w:r>
    </w:p>
    <w:p w14:paraId="740B285F" w14:textId="77777777" w:rsidR="008C2A2E" w:rsidRPr="00CE681B" w:rsidRDefault="008C2A2E" w:rsidP="008C2A2E">
      <w:pPr>
        <w:pStyle w:val="Heading2"/>
      </w:pPr>
      <w:r w:rsidRPr="00CE681B">
        <w:t>Cardiogenic shock</w:t>
      </w:r>
    </w:p>
    <w:p w14:paraId="2C9C1C21" w14:textId="5B7E55FC" w:rsidR="008C2A2E" w:rsidRPr="00CE681B" w:rsidRDefault="008C2A2E" w:rsidP="002F439F">
      <w:pPr>
        <w:spacing w:after="240"/>
      </w:pPr>
      <w:r w:rsidRPr="00CE681B">
        <w:t>Twenty studies were included, two of which were multicentre RCTs directly comparing IMVAD with IABP (IMPRESS, n=48 [Ouweneel 2017]; ISAR-SHOCK, n=25 [Seyfarth 2008]). The Critique stated that the remaining studies were observational studies or company sponsored registries of IABP or ECMO. There were no RCTs identified which dir</w:t>
      </w:r>
      <w:r w:rsidR="002F439F">
        <w:t>ectly compared IMVAD with ECMO.</w:t>
      </w:r>
    </w:p>
    <w:p w14:paraId="7BEFF6ED" w14:textId="77777777" w:rsidR="008C2A2E" w:rsidRPr="00CE681B" w:rsidRDefault="008C2A2E" w:rsidP="008C2A2E">
      <w:pPr>
        <w:pStyle w:val="Heading3"/>
      </w:pPr>
      <w:r w:rsidRPr="00CE681B">
        <w:t>RCT results (vs. IABP)</w:t>
      </w:r>
    </w:p>
    <w:p w14:paraId="3FE0D33D" w14:textId="77777777" w:rsidR="008C2A2E" w:rsidRPr="00CE681B" w:rsidRDefault="008C2A2E" w:rsidP="008C2A2E">
      <w:r w:rsidRPr="00CE681B">
        <w:t>There were significant differences in the number of major bleeding events (favouring IABP) and the number of repeat-revascularisations (favouring IMVAD) presented in Ouweneel 2017. No other significant differences in safety outcomes were identified.</w:t>
      </w:r>
    </w:p>
    <w:p w14:paraId="2F14AFCA" w14:textId="77777777" w:rsidR="008C2A2E" w:rsidRPr="00CE681B" w:rsidRDefault="008C2A2E" w:rsidP="008C2A2E">
      <w:pPr>
        <w:pStyle w:val="Heading2"/>
      </w:pPr>
      <w:r w:rsidRPr="00CE681B">
        <w:t>RHF</w:t>
      </w:r>
    </w:p>
    <w:p w14:paraId="2D76AA21" w14:textId="4B01B694" w:rsidR="008C2A2E" w:rsidRDefault="008C2A2E" w:rsidP="002F439F">
      <w:pPr>
        <w:spacing w:after="240"/>
        <w:rPr>
          <w:iCs/>
        </w:rPr>
      </w:pPr>
      <w:r w:rsidRPr="00CE681B">
        <w:rPr>
          <w:iCs/>
        </w:rPr>
        <w:t>Fourteen studies were included. No RCTs were identified comparing IMVAD to either IABP or ECMO. All studies identified were single arm studies. The Critique stated that</w:t>
      </w:r>
      <w:r>
        <w:rPr>
          <w:iCs/>
        </w:rPr>
        <w:t xml:space="preserve"> the evidence presented in the subm</w:t>
      </w:r>
      <w:r w:rsidR="002F439F">
        <w:rPr>
          <w:iCs/>
        </w:rPr>
        <w:t>ission was of too poor quality.</w:t>
      </w:r>
    </w:p>
    <w:p w14:paraId="34CC4232" w14:textId="0F1404B1" w:rsidR="00C25290" w:rsidRPr="006032B0" w:rsidRDefault="00342009" w:rsidP="008C2A2E">
      <w:r>
        <w:t>The Critique stated that overall</w:t>
      </w:r>
      <w:r w:rsidR="008C2A2E">
        <w:t xml:space="preserve"> and for all three subpopulations the indirect comparisons, which aggregated results of RCTs and single-arm studies in HR-PCI and cardiogenic shock populations (e.g. </w:t>
      </w:r>
      <w:r>
        <w:t>application’s</w:t>
      </w:r>
      <w:r w:rsidR="008C2A2E">
        <w:t xml:space="preserve"> meta analyses of safety results), </w:t>
      </w:r>
      <w:r w:rsidR="008C2A2E" w:rsidRPr="004F1204">
        <w:t xml:space="preserve">presented in the </w:t>
      </w:r>
      <w:r>
        <w:t>application</w:t>
      </w:r>
      <w:r w:rsidR="008C2A2E">
        <w:t xml:space="preserve"> </w:t>
      </w:r>
      <w:r w:rsidR="00AB7CBE">
        <w:t>were</w:t>
      </w:r>
      <w:r w:rsidR="008C2A2E" w:rsidRPr="004F1204">
        <w:t xml:space="preserve"> naïve and the methodology for conducting these was scientifically flawed.</w:t>
      </w:r>
      <w:r w:rsidR="008C2A2E">
        <w:t xml:space="preserve"> The </w:t>
      </w:r>
      <w:r>
        <w:t>application</w:t>
      </w:r>
      <w:r w:rsidR="008C2A2E">
        <w:t xml:space="preserve"> did not attempt to match the populations from different studies </w:t>
      </w:r>
      <w:r w:rsidR="008C2A2E" w:rsidRPr="008047C9">
        <w:t>via propensit</w:t>
      </w:r>
      <w:r w:rsidR="008C2A2E">
        <w:t xml:space="preserve">y score matching or other means. </w:t>
      </w:r>
      <w:r w:rsidR="008C2A2E" w:rsidRPr="004F1204">
        <w:t>The results were therefore highly uncertain.</w:t>
      </w:r>
    </w:p>
    <w:p w14:paraId="390B28D5" w14:textId="77777777" w:rsidR="00C57390" w:rsidRPr="00F715D1" w:rsidRDefault="00C57390" w:rsidP="00C57390">
      <w:pPr>
        <w:pStyle w:val="Heading1"/>
      </w:pPr>
      <w:r w:rsidRPr="00F715D1">
        <w:t>Comparative effectiveness</w:t>
      </w:r>
    </w:p>
    <w:p w14:paraId="7C2A5887" w14:textId="77777777" w:rsidR="008C2A2E" w:rsidRDefault="008C2A2E" w:rsidP="008C2A2E">
      <w:r w:rsidRPr="00F35AD1">
        <w:t>Th</w:t>
      </w:r>
      <w:r>
        <w:t>e primary effectiveness outcome</w:t>
      </w:r>
      <w:r w:rsidRPr="00F35AD1">
        <w:t xml:space="preserve"> was 30</w:t>
      </w:r>
      <w:r>
        <w:t>-</w:t>
      </w:r>
      <w:r w:rsidRPr="00F35AD1">
        <w:t xml:space="preserve">day mortality. </w:t>
      </w:r>
      <w:r>
        <w:t>Results from direct RCTs are reported below.</w:t>
      </w:r>
    </w:p>
    <w:p w14:paraId="7F933B7C" w14:textId="77777777" w:rsidR="008C2A2E" w:rsidRDefault="008C2A2E" w:rsidP="008C2A2E">
      <w:pPr>
        <w:pStyle w:val="Heading2"/>
      </w:pPr>
      <w:r>
        <w:t>HR-PCI</w:t>
      </w:r>
    </w:p>
    <w:p w14:paraId="4E5DFB68" w14:textId="77777777" w:rsidR="008C2A2E" w:rsidRDefault="008C2A2E" w:rsidP="008C2A2E">
      <w:r>
        <w:t xml:space="preserve">PROTECT II reported 30 day mortality in both the intention-to-treat (ITT) and per protocol (PP) analyses. Results were statistically insignificant in both analyses, however point estimates favour IABP in both analyses (ITT: IABP 5.9% vs IMVAD 7.6%; PP: 6.2% vs IMVAD 6.9%). PROTECT II also reported 90 day mortality (ITT: IABP 8.7% vs IMVAD </w:t>
      </w:r>
      <w:r>
        <w:lastRenderedPageBreak/>
        <w:t>12.1%; PP: 9.0% vs IMVAD 11.6%). Although statistically insignificant, 90-day mortality point estimates also favoured IABP, however there were greater differences between the IABP and IMVAD in the 90 day ITT and PP analyses.</w:t>
      </w:r>
    </w:p>
    <w:p w14:paraId="0682AC43" w14:textId="77777777" w:rsidR="008C2A2E" w:rsidRDefault="008C2A2E" w:rsidP="008C2A2E">
      <w:pPr>
        <w:pStyle w:val="Heading2"/>
      </w:pPr>
      <w:r>
        <w:t>Cardiogenic shock</w:t>
      </w:r>
    </w:p>
    <w:p w14:paraId="5E1733E5" w14:textId="77777777" w:rsidR="008C2A2E" w:rsidRDefault="008C2A2E" w:rsidP="008C2A2E">
      <w:r>
        <w:t>Ouweneel 2017 and Seyfarth 2008 both reported 30-day mortality. In Ouweneel 2017, 50% of participants died in the IABP arm compared to 45.8% of participants in the IMVAD arm. In Ouweneel 2008, 46.2% of participants died in both arms. The Critique stated small patient numbers limited their interpretability.</w:t>
      </w:r>
    </w:p>
    <w:p w14:paraId="3B2EC2D1" w14:textId="77777777" w:rsidR="008C2A2E" w:rsidRDefault="008C2A2E" w:rsidP="008C2A2E">
      <w:pPr>
        <w:pStyle w:val="Heading2"/>
      </w:pPr>
      <w:r>
        <w:t>RHF</w:t>
      </w:r>
    </w:p>
    <w:p w14:paraId="3622B4F0" w14:textId="5ACD895B" w:rsidR="00AD394D" w:rsidRPr="00AD394D" w:rsidRDefault="008C2A2E" w:rsidP="00AD394D">
      <w:r>
        <w:rPr>
          <w:iCs/>
        </w:rPr>
        <w:t xml:space="preserve">The Critique stated that the evidence presented in the </w:t>
      </w:r>
      <w:r w:rsidR="00342009">
        <w:rPr>
          <w:iCs/>
        </w:rPr>
        <w:t>application</w:t>
      </w:r>
      <w:r>
        <w:rPr>
          <w:iCs/>
        </w:rPr>
        <w:t xml:space="preserve"> was of too poor quality.</w:t>
      </w:r>
    </w:p>
    <w:p w14:paraId="4082E4AA" w14:textId="2BBB7434" w:rsidR="00C57390" w:rsidRDefault="00DA1112" w:rsidP="00DA1112">
      <w:pPr>
        <w:tabs>
          <w:tab w:val="left" w:pos="720"/>
          <w:tab w:val="left" w:pos="1140"/>
        </w:tabs>
        <w:spacing w:before="240" w:after="120"/>
        <w:rPr>
          <w:b/>
          <w:szCs w:val="24"/>
        </w:rPr>
      </w:pPr>
      <w:r>
        <w:rPr>
          <w:b/>
          <w:szCs w:val="24"/>
        </w:rPr>
        <w:t>Clinical c</w:t>
      </w:r>
      <w:r w:rsidR="00C57390" w:rsidRPr="00F37B9C">
        <w:rPr>
          <w:b/>
          <w:szCs w:val="24"/>
        </w:rPr>
        <w:t>laim</w:t>
      </w:r>
    </w:p>
    <w:p w14:paraId="788B232C" w14:textId="59F8ABF3" w:rsidR="008C2A2E" w:rsidRDefault="008C2A2E" w:rsidP="008C2A2E">
      <w:pPr>
        <w:rPr>
          <w:iCs/>
        </w:rPr>
      </w:pPr>
      <w:r>
        <w:t xml:space="preserve">On the basis of the benefits and harms </w:t>
      </w:r>
      <w:r w:rsidRPr="00CE681B">
        <w:t xml:space="preserve">reported in the evidence base, the </w:t>
      </w:r>
      <w:r w:rsidR="00342009">
        <w:t>application</w:t>
      </w:r>
      <w:r w:rsidRPr="00CE681B">
        <w:t xml:space="preserve"> propose</w:t>
      </w:r>
      <w:r w:rsidR="00342009">
        <w:t>d</w:t>
      </w:r>
      <w:r w:rsidRPr="00CE681B">
        <w:t xml:space="preserve"> that, relative to standard of care, IMVAD has non-inferior safety and superior effectiveness. The Critique stated</w:t>
      </w:r>
      <w:r w:rsidR="00342009">
        <w:t xml:space="preserve"> that</w:t>
      </w:r>
      <w:r>
        <w:t xml:space="preserve"> overall, and for three subpopulations, </w:t>
      </w:r>
      <w:r w:rsidRPr="00750BE8">
        <w:rPr>
          <w:iCs/>
        </w:rPr>
        <w:t xml:space="preserve">the evidence presented in the </w:t>
      </w:r>
      <w:r>
        <w:rPr>
          <w:iCs/>
        </w:rPr>
        <w:t>submission was</w:t>
      </w:r>
      <w:r w:rsidRPr="00750BE8">
        <w:rPr>
          <w:iCs/>
        </w:rPr>
        <w:t xml:space="preserve"> of too poor quality to justify the clinical claim.</w:t>
      </w:r>
      <w:r>
        <w:rPr>
          <w:iCs/>
        </w:rPr>
        <w:t xml:space="preserve"> </w:t>
      </w:r>
      <w:r w:rsidRPr="00EC7A60">
        <w:rPr>
          <w:iCs/>
        </w:rPr>
        <w:t>Based on the RCTs alone for the HR-PCI and cardiogenic shock populations, 30</w:t>
      </w:r>
      <w:r>
        <w:rPr>
          <w:iCs/>
        </w:rPr>
        <w:t>-</w:t>
      </w:r>
      <w:r w:rsidRPr="00EC7A60">
        <w:rPr>
          <w:iCs/>
        </w:rPr>
        <w:t>day mortality point estimates were greater in participants treated with IABP in the HR-PCI population (although this is statistically insignificant), while there were no differences observed in the cardiogenic shock population.</w:t>
      </w:r>
    </w:p>
    <w:p w14:paraId="7DFAC629" w14:textId="77777777" w:rsidR="00AD394D" w:rsidRDefault="00AD394D" w:rsidP="00AD394D">
      <w:pPr>
        <w:pStyle w:val="Heading2"/>
      </w:pPr>
      <w:r>
        <w:t>Pre-MSAC response</w:t>
      </w:r>
    </w:p>
    <w:p w14:paraId="00CCE17E" w14:textId="3A4C38AA" w:rsidR="00AD394D" w:rsidRDefault="00342009">
      <w:r>
        <w:t>The a</w:t>
      </w:r>
      <w:r w:rsidR="00AD394D">
        <w:t xml:space="preserve">pplicant provided updated data collection and </w:t>
      </w:r>
      <w:r w:rsidR="007C24CF">
        <w:t xml:space="preserve">several </w:t>
      </w:r>
      <w:r w:rsidR="00AD394D">
        <w:t>analyses for IMVAD:</w:t>
      </w:r>
    </w:p>
    <w:p w14:paraId="0056722D" w14:textId="3C673067" w:rsidR="00AD394D" w:rsidRDefault="00AD394D" w:rsidP="00DA1112">
      <w:pPr>
        <w:pStyle w:val="ListParagraph"/>
        <w:numPr>
          <w:ilvl w:val="0"/>
          <w:numId w:val="9"/>
        </w:numPr>
      </w:pPr>
      <w:r>
        <w:t>In AMI CS, a prospective protocol based MC study of 250 patients enrolled so far reported 72% survival</w:t>
      </w:r>
    </w:p>
    <w:p w14:paraId="5DB8B0CA" w14:textId="1F03CC96" w:rsidR="00AD394D" w:rsidRDefault="00AD394D" w:rsidP="00DA1112">
      <w:pPr>
        <w:pStyle w:val="ListParagraph"/>
        <w:numPr>
          <w:ilvl w:val="0"/>
          <w:numId w:val="9"/>
        </w:numPr>
      </w:pPr>
      <w:r>
        <w:t>In HR-PCI a FDA-approved study interim analysis</w:t>
      </w:r>
      <w:r w:rsidR="00A23693">
        <w:t xml:space="preserve"> for 898 patients including 571 Impella</w:t>
      </w:r>
      <w:r w:rsidR="00A23693">
        <w:rPr>
          <w:vertAlign w:val="superscript"/>
        </w:rPr>
        <w:t>®</w:t>
      </w:r>
      <w:r w:rsidR="00A23693">
        <w:rPr>
          <w:vertAlign w:val="subscript"/>
        </w:rPr>
        <w:t xml:space="preserve"> </w:t>
      </w:r>
      <w:r w:rsidR="00A23693" w:rsidRPr="00DA1112">
        <w:t>CP supported patients</w:t>
      </w:r>
      <w:r>
        <w:t xml:space="preserve"> reported 16.8% MAACE rates at 90 days compared with 31% 90 day MACCE rates in IABP control arm</w:t>
      </w:r>
      <w:r w:rsidR="00A23693">
        <w:t xml:space="preserve"> of P</w:t>
      </w:r>
      <w:r>
        <w:t>rotect II (p&lt;0.0001)</w:t>
      </w:r>
    </w:p>
    <w:p w14:paraId="6FCC495E" w14:textId="2C4CD091" w:rsidR="00A23693" w:rsidRPr="00AD394D" w:rsidRDefault="00A23693" w:rsidP="00DA1112">
      <w:pPr>
        <w:pStyle w:val="ListParagraph"/>
        <w:numPr>
          <w:ilvl w:val="0"/>
          <w:numId w:val="9"/>
        </w:numPr>
      </w:pPr>
      <w:r>
        <w:t>Impella</w:t>
      </w:r>
      <w:r w:rsidRPr="00DA1112">
        <w:rPr>
          <w:vertAlign w:val="superscript"/>
        </w:rPr>
        <w:t>®</w:t>
      </w:r>
      <w:r>
        <w:t xml:space="preserve"> RP FDA post approval study sho</w:t>
      </w:r>
      <w:r w:rsidR="000000C8">
        <w:t>w</w:t>
      </w:r>
      <w:r>
        <w:t>s similar 72% survival, when used as per FDA approved criteria.</w:t>
      </w:r>
    </w:p>
    <w:p w14:paraId="0CD151E3" w14:textId="77777777" w:rsidR="00C57390" w:rsidRPr="00F715D1" w:rsidRDefault="00C57390" w:rsidP="00C57390">
      <w:pPr>
        <w:pStyle w:val="Heading1"/>
      </w:pPr>
      <w:r w:rsidRPr="00F715D1">
        <w:t>Economic evaluation</w:t>
      </w:r>
    </w:p>
    <w:p w14:paraId="61731028" w14:textId="2AC9C872" w:rsidR="006032B0" w:rsidRDefault="008C2A2E" w:rsidP="002F439F">
      <w:r>
        <w:t>The economic evaluation was based on three economic models of cost-utility analysis, one for each patient population (Table 8).</w:t>
      </w:r>
      <w:r w:rsidR="006032B0">
        <w:br w:type="page"/>
      </w:r>
    </w:p>
    <w:p w14:paraId="05B2F8BB" w14:textId="1EAAE963" w:rsidR="008C2A2E" w:rsidRPr="00DC1117" w:rsidRDefault="008C2A2E" w:rsidP="00DC1117">
      <w:pPr>
        <w:rPr>
          <w:rFonts w:ascii="Arial Narrow" w:hAnsi="Arial Narrow"/>
          <w:b/>
          <w:sz w:val="20"/>
        </w:rPr>
      </w:pPr>
      <w:bookmarkStart w:id="10" w:name="_Ref404370956"/>
      <w:bookmarkStart w:id="11" w:name="_Ref394419656"/>
      <w:bookmarkStart w:id="12" w:name="_Toc399251123"/>
      <w:r w:rsidRPr="00DC1117">
        <w:rPr>
          <w:rFonts w:ascii="Arial Narrow" w:hAnsi="Arial Narrow"/>
          <w:b/>
          <w:sz w:val="20"/>
        </w:rPr>
        <w:lastRenderedPageBreak/>
        <w:t xml:space="preserve">Table </w:t>
      </w:r>
      <w:bookmarkEnd w:id="10"/>
      <w:r w:rsidRPr="00DC1117">
        <w:rPr>
          <w:rFonts w:ascii="Arial Narrow" w:hAnsi="Arial Narrow"/>
          <w:b/>
          <w:sz w:val="20"/>
        </w:rPr>
        <w:t>8</w:t>
      </w:r>
      <w:r w:rsidRPr="00DC1117">
        <w:rPr>
          <w:rFonts w:ascii="Arial Narrow" w:hAnsi="Arial Narrow"/>
          <w:b/>
          <w:sz w:val="20"/>
        </w:rPr>
        <w:tab/>
        <w:t>Summary of the economic evaluation</w:t>
      </w:r>
      <w:bookmarkEnd w:id="11"/>
      <w:bookmarkEnd w:id="12"/>
      <w:r w:rsidRPr="00DC1117">
        <w:rPr>
          <w:rFonts w:ascii="Arial Narrow" w:hAnsi="Arial Narrow"/>
          <w:b/>
          <w:sz w:val="20"/>
        </w:rPr>
        <w:t xml:space="preserve"> </w:t>
      </w:r>
    </w:p>
    <w:tbl>
      <w:tblPr>
        <w:tblStyle w:val="TableGrid2"/>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75"/>
        <w:gridCol w:w="5841"/>
      </w:tblGrid>
      <w:tr w:rsidR="008C2A2E" w:rsidRPr="00FC4DAA" w14:paraId="6622764A" w14:textId="77777777" w:rsidTr="0083785E">
        <w:trPr>
          <w:cnfStyle w:val="100000000000" w:firstRow="1" w:lastRow="0" w:firstColumn="0" w:lastColumn="0" w:oddVBand="0" w:evenVBand="0" w:oddHBand="0" w:evenHBand="0" w:firstRowFirstColumn="0" w:firstRowLastColumn="0" w:lastRowFirstColumn="0" w:lastRowLastColumn="0"/>
          <w:trHeight w:val="20"/>
          <w:tblHeader/>
        </w:trPr>
        <w:tc>
          <w:tcPr>
            <w:tcW w:w="3177" w:type="dxa"/>
          </w:tcPr>
          <w:p w14:paraId="3DFCDE73" w14:textId="77777777" w:rsidR="008C2A2E" w:rsidRPr="00FC4DAA" w:rsidRDefault="008C2A2E" w:rsidP="008C2A2E">
            <w:pPr>
              <w:pStyle w:val="Tabletext0"/>
            </w:pPr>
            <w:r w:rsidRPr="00FC4DAA">
              <w:t>Perspective</w:t>
            </w:r>
          </w:p>
        </w:tc>
        <w:tc>
          <w:tcPr>
            <w:tcW w:w="5844" w:type="dxa"/>
          </w:tcPr>
          <w:p w14:paraId="28EEA451" w14:textId="77777777" w:rsidR="008C2A2E" w:rsidRPr="00FC4DAA" w:rsidRDefault="008C2A2E" w:rsidP="008C2A2E">
            <w:pPr>
              <w:pStyle w:val="Tabletext0"/>
            </w:pPr>
            <w:r w:rsidRPr="00FC4DAA">
              <w:t>Health care provider</w:t>
            </w:r>
          </w:p>
        </w:tc>
      </w:tr>
      <w:tr w:rsidR="008C2A2E" w:rsidRPr="00FC4DAA" w14:paraId="4E5D38D7" w14:textId="77777777" w:rsidTr="0083785E">
        <w:trPr>
          <w:trHeight w:val="20"/>
        </w:trPr>
        <w:tc>
          <w:tcPr>
            <w:tcW w:w="3177" w:type="dxa"/>
          </w:tcPr>
          <w:p w14:paraId="5320DDEE" w14:textId="77777777" w:rsidR="008C2A2E" w:rsidRPr="00FC4DAA" w:rsidRDefault="008C2A2E" w:rsidP="008C2A2E">
            <w:pPr>
              <w:pStyle w:val="Tabletext0"/>
            </w:pPr>
            <w:r w:rsidRPr="00FC4DAA">
              <w:t>Comparator</w:t>
            </w:r>
          </w:p>
        </w:tc>
        <w:tc>
          <w:tcPr>
            <w:tcW w:w="5844" w:type="dxa"/>
          </w:tcPr>
          <w:p w14:paraId="2EEEE6A1" w14:textId="77777777" w:rsidR="008C2A2E" w:rsidRPr="00AA2A4C" w:rsidRDefault="008C2A2E" w:rsidP="008C2A2E">
            <w:pPr>
              <w:pStyle w:val="Tabletext0"/>
            </w:pPr>
            <w:r w:rsidRPr="00AA2A4C">
              <w:t>Model 1: HR-PCI patient group: Standard care (IABP or ECMO)</w:t>
            </w:r>
          </w:p>
          <w:p w14:paraId="1E1268EF" w14:textId="77777777" w:rsidR="008C2A2E" w:rsidRPr="00AA2A4C" w:rsidRDefault="008C2A2E" w:rsidP="008C2A2E">
            <w:pPr>
              <w:pStyle w:val="Tabletext0"/>
            </w:pPr>
            <w:r w:rsidRPr="00AA2A4C">
              <w:t>The base case used 38% ECMO as the comparator</w:t>
            </w:r>
          </w:p>
          <w:p w14:paraId="43506660" w14:textId="77777777" w:rsidR="008C2A2E" w:rsidRDefault="008C2A2E" w:rsidP="008C2A2E">
            <w:pPr>
              <w:pStyle w:val="Tabletext0"/>
            </w:pPr>
            <w:r w:rsidRPr="00FC4DAA">
              <w:t>Model 2: Cardiogenic shock patient group: Standard care (IABP</w:t>
            </w:r>
            <w:r w:rsidRPr="00AA2A4C">
              <w:t xml:space="preserve"> </w:t>
            </w:r>
            <w:r w:rsidRPr="00FC4DAA">
              <w:t>or ECMO)</w:t>
            </w:r>
          </w:p>
          <w:p w14:paraId="7E744AA3" w14:textId="77777777" w:rsidR="008C2A2E" w:rsidRPr="00AA2A4C" w:rsidRDefault="008C2A2E" w:rsidP="008C2A2E">
            <w:pPr>
              <w:pStyle w:val="Tabletext0"/>
            </w:pPr>
            <w:r w:rsidRPr="00AA2A4C">
              <w:t>The base case used 100% ECMO as the comparator</w:t>
            </w:r>
          </w:p>
          <w:p w14:paraId="4E604048" w14:textId="77777777" w:rsidR="008C2A2E" w:rsidRDefault="008C2A2E" w:rsidP="008C2A2E">
            <w:pPr>
              <w:pStyle w:val="Tabletext0"/>
            </w:pPr>
            <w:r w:rsidRPr="00FC4DAA">
              <w:t>Model 3: R</w:t>
            </w:r>
            <w:r>
              <w:t>HF</w:t>
            </w:r>
            <w:r w:rsidRPr="00FC4DAA">
              <w:t xml:space="preserve"> patient group: Standard care (ECMO)</w:t>
            </w:r>
          </w:p>
          <w:p w14:paraId="5D8EE7BD" w14:textId="77777777" w:rsidR="008C2A2E" w:rsidRPr="00AA2A4C" w:rsidRDefault="008C2A2E" w:rsidP="008C2A2E">
            <w:pPr>
              <w:pStyle w:val="Tabletext0"/>
            </w:pPr>
            <w:r w:rsidRPr="00AA2A4C">
              <w:t>ECMO was the only comparator included in the model</w:t>
            </w:r>
          </w:p>
        </w:tc>
      </w:tr>
      <w:tr w:rsidR="008C2A2E" w:rsidRPr="00FC4DAA" w14:paraId="32821B55" w14:textId="77777777" w:rsidTr="0083785E">
        <w:trPr>
          <w:trHeight w:val="20"/>
        </w:trPr>
        <w:tc>
          <w:tcPr>
            <w:tcW w:w="3177" w:type="dxa"/>
          </w:tcPr>
          <w:p w14:paraId="695A819F" w14:textId="77777777" w:rsidR="008C2A2E" w:rsidRPr="00FC4DAA" w:rsidRDefault="008C2A2E" w:rsidP="008C2A2E">
            <w:pPr>
              <w:pStyle w:val="Tabletext0"/>
            </w:pPr>
            <w:r w:rsidRPr="00FC4DAA">
              <w:t>Type of economic evaluation</w:t>
            </w:r>
          </w:p>
        </w:tc>
        <w:tc>
          <w:tcPr>
            <w:tcW w:w="5844" w:type="dxa"/>
          </w:tcPr>
          <w:p w14:paraId="502B91B8" w14:textId="77777777" w:rsidR="008C2A2E" w:rsidRPr="00FC4DAA" w:rsidRDefault="008C2A2E" w:rsidP="008C2A2E">
            <w:pPr>
              <w:pStyle w:val="Tabletext0"/>
            </w:pPr>
            <w:r w:rsidRPr="00FC4DAA">
              <w:t>Cost-utility</w:t>
            </w:r>
          </w:p>
        </w:tc>
      </w:tr>
      <w:tr w:rsidR="008C2A2E" w:rsidRPr="00FC4DAA" w14:paraId="3C1331B0" w14:textId="77777777" w:rsidTr="0083785E">
        <w:trPr>
          <w:trHeight w:val="20"/>
        </w:trPr>
        <w:tc>
          <w:tcPr>
            <w:tcW w:w="3177" w:type="dxa"/>
          </w:tcPr>
          <w:p w14:paraId="445F5D67" w14:textId="77777777" w:rsidR="008C2A2E" w:rsidRPr="00FC4DAA" w:rsidRDefault="008C2A2E" w:rsidP="008C2A2E">
            <w:pPr>
              <w:pStyle w:val="Tabletext0"/>
            </w:pPr>
            <w:r w:rsidRPr="00FC4DAA">
              <w:t>Sources of evidence</w:t>
            </w:r>
          </w:p>
        </w:tc>
        <w:tc>
          <w:tcPr>
            <w:tcW w:w="5844" w:type="dxa"/>
          </w:tcPr>
          <w:p w14:paraId="198F03E0" w14:textId="77777777" w:rsidR="008C2A2E" w:rsidRPr="00FC4DAA" w:rsidRDefault="008C2A2E" w:rsidP="008C2A2E">
            <w:pPr>
              <w:pStyle w:val="Tabletext0"/>
            </w:pPr>
            <w:r w:rsidRPr="00FC4DAA">
              <w:t>Systematic review of randomi</w:t>
            </w:r>
            <w:r>
              <w:t>s</w:t>
            </w:r>
            <w:r w:rsidRPr="00FC4DAA">
              <w:t>ed and single arm studies</w:t>
            </w:r>
          </w:p>
          <w:p w14:paraId="1E94587B" w14:textId="77777777" w:rsidR="008C2A2E" w:rsidRPr="00FC4DAA" w:rsidRDefault="008C2A2E" w:rsidP="008C2A2E">
            <w:pPr>
              <w:pStyle w:val="Tabletext0"/>
            </w:pPr>
            <w:r w:rsidRPr="00AA2A4C">
              <w:t>A combination of RCT, observational studies and naïve indirect comparisons of low quality studies</w:t>
            </w:r>
          </w:p>
        </w:tc>
      </w:tr>
      <w:tr w:rsidR="008C2A2E" w:rsidRPr="00FC4DAA" w14:paraId="76622611" w14:textId="77777777" w:rsidTr="0083785E">
        <w:trPr>
          <w:trHeight w:val="20"/>
        </w:trPr>
        <w:tc>
          <w:tcPr>
            <w:tcW w:w="3177" w:type="dxa"/>
          </w:tcPr>
          <w:p w14:paraId="4765FFF5" w14:textId="77777777" w:rsidR="008C2A2E" w:rsidRPr="00FC4DAA" w:rsidRDefault="008C2A2E" w:rsidP="008C2A2E">
            <w:pPr>
              <w:pStyle w:val="Tabletext0"/>
            </w:pPr>
            <w:r w:rsidRPr="00FC4DAA">
              <w:t>Time horizon</w:t>
            </w:r>
          </w:p>
        </w:tc>
        <w:tc>
          <w:tcPr>
            <w:tcW w:w="5844" w:type="dxa"/>
          </w:tcPr>
          <w:p w14:paraId="2F193DBC" w14:textId="77777777" w:rsidR="008C2A2E" w:rsidRPr="00FC4DAA" w:rsidRDefault="008C2A2E" w:rsidP="008C2A2E">
            <w:pPr>
              <w:pStyle w:val="Tabletext0"/>
            </w:pPr>
            <w:r w:rsidRPr="00FC4DAA">
              <w:t>Five years in the model base case</w:t>
            </w:r>
          </w:p>
        </w:tc>
      </w:tr>
      <w:tr w:rsidR="008C2A2E" w:rsidRPr="00FC4DAA" w14:paraId="49B5769F" w14:textId="77777777" w:rsidTr="0083785E">
        <w:trPr>
          <w:trHeight w:val="20"/>
        </w:trPr>
        <w:tc>
          <w:tcPr>
            <w:tcW w:w="3177" w:type="dxa"/>
          </w:tcPr>
          <w:p w14:paraId="2E5B5309" w14:textId="77777777" w:rsidR="008C2A2E" w:rsidRPr="00FC4DAA" w:rsidRDefault="008C2A2E" w:rsidP="008C2A2E">
            <w:pPr>
              <w:pStyle w:val="Tabletext0"/>
            </w:pPr>
            <w:r w:rsidRPr="00FC4DAA">
              <w:t>Outcomes</w:t>
            </w:r>
          </w:p>
        </w:tc>
        <w:tc>
          <w:tcPr>
            <w:tcW w:w="5844" w:type="dxa"/>
          </w:tcPr>
          <w:p w14:paraId="008D59AA" w14:textId="77777777" w:rsidR="008C2A2E" w:rsidRPr="00FC4DAA" w:rsidRDefault="008C2A2E" w:rsidP="008C2A2E">
            <w:pPr>
              <w:pStyle w:val="Tabletext0"/>
            </w:pPr>
            <w:r w:rsidRPr="00FC4DAA">
              <w:t>LYG and QALYs</w:t>
            </w:r>
          </w:p>
        </w:tc>
      </w:tr>
      <w:tr w:rsidR="008C2A2E" w:rsidRPr="00FC4DAA" w14:paraId="3E6EE38F" w14:textId="77777777" w:rsidTr="0083785E">
        <w:trPr>
          <w:trHeight w:val="20"/>
        </w:trPr>
        <w:tc>
          <w:tcPr>
            <w:tcW w:w="3177" w:type="dxa"/>
          </w:tcPr>
          <w:p w14:paraId="51947D84" w14:textId="77777777" w:rsidR="008C2A2E" w:rsidRPr="00FC4DAA" w:rsidRDefault="008C2A2E" w:rsidP="008C2A2E">
            <w:pPr>
              <w:pStyle w:val="Tabletext0"/>
            </w:pPr>
            <w:r w:rsidRPr="00FC4DAA">
              <w:t>Methods used to generate results</w:t>
            </w:r>
          </w:p>
        </w:tc>
        <w:tc>
          <w:tcPr>
            <w:tcW w:w="5844" w:type="dxa"/>
          </w:tcPr>
          <w:p w14:paraId="48A00865" w14:textId="77777777" w:rsidR="008C2A2E" w:rsidRPr="00FC4DAA" w:rsidRDefault="008C2A2E" w:rsidP="008C2A2E">
            <w:pPr>
              <w:pStyle w:val="Tabletext0"/>
            </w:pPr>
            <w:r>
              <w:t>Markov microsimulation model</w:t>
            </w:r>
            <w:r w:rsidRPr="00315603">
              <w:rPr>
                <w:i/>
                <w:vertAlign w:val="superscript"/>
              </w:rPr>
              <w:t>a</w:t>
            </w:r>
          </w:p>
        </w:tc>
      </w:tr>
      <w:tr w:rsidR="008C2A2E" w:rsidRPr="00FC4DAA" w14:paraId="75A4A9EE" w14:textId="77777777" w:rsidTr="0083785E">
        <w:trPr>
          <w:trHeight w:val="20"/>
        </w:trPr>
        <w:tc>
          <w:tcPr>
            <w:tcW w:w="3177" w:type="dxa"/>
          </w:tcPr>
          <w:p w14:paraId="3F1CA8C2" w14:textId="77777777" w:rsidR="008C2A2E" w:rsidRPr="00FC4DAA" w:rsidRDefault="008C2A2E" w:rsidP="008C2A2E">
            <w:pPr>
              <w:pStyle w:val="Tabletext0"/>
            </w:pPr>
            <w:r w:rsidRPr="00FC4DAA">
              <w:t>Health states</w:t>
            </w:r>
          </w:p>
        </w:tc>
        <w:tc>
          <w:tcPr>
            <w:tcW w:w="5844" w:type="dxa"/>
          </w:tcPr>
          <w:p w14:paraId="49830314" w14:textId="77777777" w:rsidR="008C2A2E" w:rsidRPr="00AA2A4C" w:rsidRDefault="008C2A2E" w:rsidP="008C2A2E">
            <w:pPr>
              <w:pStyle w:val="Tabletext0"/>
            </w:pPr>
            <w:r w:rsidRPr="00AA2A4C">
              <w:t>Cycle 1 (procedure): no complications, stroke, major bleeding, acute renal dysfunction, repeat revascularisation, death</w:t>
            </w:r>
          </w:p>
          <w:p w14:paraId="4219DF9F" w14:textId="77777777" w:rsidR="008C2A2E" w:rsidRPr="00FC4DAA" w:rsidRDefault="008C2A2E" w:rsidP="008C2A2E">
            <w:pPr>
              <w:pStyle w:val="Tabletext0"/>
            </w:pPr>
            <w:r w:rsidRPr="00FC4DAA">
              <w:t xml:space="preserve">Cycle 2 and beyond: Healthy, heart failure, stroke, </w:t>
            </w:r>
            <w:r>
              <w:t>MI</w:t>
            </w:r>
            <w:r w:rsidRPr="00FC4DAA">
              <w:t>, death</w:t>
            </w:r>
          </w:p>
        </w:tc>
      </w:tr>
      <w:tr w:rsidR="008C2A2E" w:rsidRPr="00FC4DAA" w14:paraId="6DC5FC6E" w14:textId="77777777" w:rsidTr="0083785E">
        <w:trPr>
          <w:trHeight w:val="20"/>
        </w:trPr>
        <w:tc>
          <w:tcPr>
            <w:tcW w:w="3177" w:type="dxa"/>
          </w:tcPr>
          <w:p w14:paraId="49180120" w14:textId="77777777" w:rsidR="008C2A2E" w:rsidRPr="00FC4DAA" w:rsidRDefault="008C2A2E" w:rsidP="008C2A2E">
            <w:pPr>
              <w:pStyle w:val="Tabletext0"/>
            </w:pPr>
            <w:r w:rsidRPr="00FC4DAA">
              <w:t>Cycle length</w:t>
            </w:r>
          </w:p>
        </w:tc>
        <w:tc>
          <w:tcPr>
            <w:tcW w:w="5844" w:type="dxa"/>
          </w:tcPr>
          <w:p w14:paraId="38F01798" w14:textId="77777777" w:rsidR="008C2A2E" w:rsidRPr="00FC4DAA" w:rsidRDefault="008C2A2E" w:rsidP="008C2A2E">
            <w:pPr>
              <w:pStyle w:val="Tabletext0"/>
            </w:pPr>
            <w:r w:rsidRPr="00FC4DAA">
              <w:t>30 days</w:t>
            </w:r>
          </w:p>
        </w:tc>
      </w:tr>
      <w:tr w:rsidR="008C2A2E" w:rsidRPr="00FC4DAA" w14:paraId="2CD450C7" w14:textId="77777777" w:rsidTr="0083785E">
        <w:trPr>
          <w:trHeight w:val="20"/>
        </w:trPr>
        <w:tc>
          <w:tcPr>
            <w:tcW w:w="3177" w:type="dxa"/>
          </w:tcPr>
          <w:p w14:paraId="5F71FC79" w14:textId="77777777" w:rsidR="008C2A2E" w:rsidRPr="00FC4DAA" w:rsidRDefault="008C2A2E" w:rsidP="008C2A2E">
            <w:pPr>
              <w:pStyle w:val="Tabletext0"/>
            </w:pPr>
            <w:r w:rsidRPr="00FC4DAA">
              <w:t>Discount rate</w:t>
            </w:r>
          </w:p>
        </w:tc>
        <w:tc>
          <w:tcPr>
            <w:tcW w:w="5844" w:type="dxa"/>
          </w:tcPr>
          <w:p w14:paraId="32EF992E" w14:textId="77777777" w:rsidR="008C2A2E" w:rsidRPr="00FC4DAA" w:rsidRDefault="008C2A2E" w:rsidP="008C2A2E">
            <w:pPr>
              <w:pStyle w:val="Tabletext0"/>
            </w:pPr>
            <w:r w:rsidRPr="00FC4DAA">
              <w:t>5%</w:t>
            </w:r>
          </w:p>
        </w:tc>
      </w:tr>
      <w:tr w:rsidR="008C2A2E" w:rsidRPr="00FC4DAA" w14:paraId="16C86DDB" w14:textId="77777777" w:rsidTr="0083785E">
        <w:trPr>
          <w:trHeight w:val="20"/>
        </w:trPr>
        <w:tc>
          <w:tcPr>
            <w:tcW w:w="3177" w:type="dxa"/>
          </w:tcPr>
          <w:p w14:paraId="682BBEAD" w14:textId="77777777" w:rsidR="008C2A2E" w:rsidRPr="00FC4DAA" w:rsidRDefault="008C2A2E" w:rsidP="008C2A2E">
            <w:pPr>
              <w:pStyle w:val="Tabletext0"/>
            </w:pPr>
            <w:r w:rsidRPr="00FC4DAA">
              <w:t>Software packages used</w:t>
            </w:r>
          </w:p>
        </w:tc>
        <w:tc>
          <w:tcPr>
            <w:tcW w:w="5844" w:type="dxa"/>
          </w:tcPr>
          <w:p w14:paraId="713EF1A0" w14:textId="77777777" w:rsidR="008C2A2E" w:rsidRPr="00FC4DAA" w:rsidRDefault="008C2A2E" w:rsidP="008C2A2E">
            <w:pPr>
              <w:pStyle w:val="Tabletext0"/>
            </w:pPr>
            <w:r w:rsidRPr="00FC4DAA">
              <w:t>TreeAge Pro 2019</w:t>
            </w:r>
          </w:p>
        </w:tc>
      </w:tr>
    </w:tbl>
    <w:p w14:paraId="222B1F3C" w14:textId="77777777" w:rsidR="008C2A2E" w:rsidRDefault="008C2A2E" w:rsidP="00525682">
      <w:pPr>
        <w:pStyle w:val="Tablenotes"/>
      </w:pPr>
      <w:r>
        <w:t>ECMO</w:t>
      </w:r>
      <w:r w:rsidRPr="00E7622C">
        <w:t xml:space="preserve">=extracorporeal membrane oxygenation; </w:t>
      </w:r>
      <w:r>
        <w:t xml:space="preserve">HR-PCI=high-risk percutaneous coronary intervention; IABP=intra-aortic balloon pump; </w:t>
      </w:r>
      <w:r>
        <w:rPr>
          <w:iCs/>
        </w:rPr>
        <w:t>LYG=life-years gained</w:t>
      </w:r>
      <w:r>
        <w:t>; MI=myocardial infarction; QALY=quality-adjusted life years; RCT=randomised controlled trial; RHF=right heart failure</w:t>
      </w:r>
    </w:p>
    <w:p w14:paraId="6B5A0EDF" w14:textId="77777777" w:rsidR="008C2A2E" w:rsidRPr="00315603" w:rsidRDefault="008C2A2E" w:rsidP="00525682">
      <w:pPr>
        <w:pStyle w:val="Tablenotes"/>
      </w:pPr>
      <w:r w:rsidRPr="00315603">
        <w:rPr>
          <w:vertAlign w:val="superscript"/>
        </w:rPr>
        <w:t>a</w:t>
      </w:r>
      <w:r>
        <w:rPr>
          <w:vertAlign w:val="superscript"/>
        </w:rPr>
        <w:t xml:space="preserve"> </w:t>
      </w:r>
      <w:r>
        <w:t xml:space="preserve">ESC noted this was incorrect term, and should be </w:t>
      </w:r>
      <w:r w:rsidRPr="001706CB">
        <w:t>“</w:t>
      </w:r>
      <w:r w:rsidRPr="00315603">
        <w:t>Individual-based state-transition  model”</w:t>
      </w:r>
    </w:p>
    <w:p w14:paraId="12ABDD19" w14:textId="26E27F51" w:rsidR="008C2A2E" w:rsidRPr="00BE6758" w:rsidRDefault="008C2A2E" w:rsidP="002F439F">
      <w:pPr>
        <w:spacing w:after="240"/>
      </w:pPr>
      <w:r w:rsidRPr="00BE6758">
        <w:t xml:space="preserve">The overall costs and outcomes, and incremental costs and outcomes as calculated for the intervention and comparator in the model, and using the base case assumptions, are shown in the tables below. </w:t>
      </w:r>
      <w:r>
        <w:rPr>
          <w:iCs/>
        </w:rPr>
        <w:t>However, the Critique stated that</w:t>
      </w:r>
      <w:r w:rsidRPr="00BE6758">
        <w:rPr>
          <w:iCs/>
        </w:rPr>
        <w:t xml:space="preserve"> </w:t>
      </w:r>
      <w:r>
        <w:rPr>
          <w:iCs/>
        </w:rPr>
        <w:t>t</w:t>
      </w:r>
      <w:r w:rsidRPr="00BE6758">
        <w:rPr>
          <w:iCs/>
        </w:rPr>
        <w:t xml:space="preserve">he </w:t>
      </w:r>
      <w:r w:rsidR="00342009">
        <w:rPr>
          <w:iCs/>
        </w:rPr>
        <w:t>application’s</w:t>
      </w:r>
      <w:r>
        <w:rPr>
          <w:iCs/>
        </w:rPr>
        <w:t xml:space="preserve"> </w:t>
      </w:r>
      <w:r w:rsidRPr="00BE6758">
        <w:rPr>
          <w:iCs/>
        </w:rPr>
        <w:t>results do not accurately represent the cost-effectiveness of listing IMVAD and thereby are not informative for MSAC decision making purposes.</w:t>
      </w:r>
    </w:p>
    <w:p w14:paraId="664DC8E5" w14:textId="77777777" w:rsidR="008C2A2E" w:rsidRPr="00DC1117" w:rsidRDefault="008C2A2E" w:rsidP="00DC1117">
      <w:pPr>
        <w:rPr>
          <w:rFonts w:ascii="Arial Narrow" w:hAnsi="Arial Narrow"/>
          <w:b/>
          <w:sz w:val="20"/>
        </w:rPr>
      </w:pPr>
      <w:bookmarkStart w:id="13" w:name="_Toc399251124"/>
      <w:r w:rsidRPr="00DC1117">
        <w:rPr>
          <w:rFonts w:ascii="Arial Narrow" w:hAnsi="Arial Narrow"/>
          <w:b/>
          <w:sz w:val="20"/>
        </w:rPr>
        <w:t xml:space="preserve">Table </w:t>
      </w:r>
      <w:bookmarkEnd w:id="13"/>
      <w:r w:rsidRPr="00DC1117">
        <w:rPr>
          <w:rFonts w:ascii="Arial Narrow" w:hAnsi="Arial Narrow"/>
          <w:b/>
          <w:sz w:val="20"/>
        </w:rPr>
        <w:t xml:space="preserve">9 Model 1: Incremental costs and effectiveness of IMVAD compared to Standard of Care in HR-PCI </w:t>
      </w:r>
    </w:p>
    <w:tbl>
      <w:tblPr>
        <w:tblStyle w:val="TableGrid2"/>
        <w:tblW w:w="9185"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23"/>
        <w:gridCol w:w="1325"/>
        <w:gridCol w:w="1325"/>
        <w:gridCol w:w="1325"/>
        <w:gridCol w:w="1326"/>
        <w:gridCol w:w="1361"/>
      </w:tblGrid>
      <w:tr w:rsidR="008C2A2E" w:rsidRPr="00FC4DAA" w14:paraId="21308DDB"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2523" w:type="dxa"/>
            <w:tcBorders>
              <w:bottom w:val="single" w:sz="4" w:space="0" w:color="auto"/>
            </w:tcBorders>
          </w:tcPr>
          <w:p w14:paraId="5120D79A" w14:textId="77777777" w:rsidR="008C2A2E" w:rsidRPr="00FC4DAA" w:rsidRDefault="008C2A2E" w:rsidP="008C2A2E">
            <w:pPr>
              <w:keepNext/>
              <w:spacing w:after="40"/>
              <w:jc w:val="both"/>
              <w:rPr>
                <w:rFonts w:ascii="Arial Narrow" w:hAnsi="Arial Narrow"/>
                <w:b/>
              </w:rPr>
            </w:pPr>
          </w:p>
        </w:tc>
        <w:tc>
          <w:tcPr>
            <w:tcW w:w="1325" w:type="dxa"/>
            <w:tcBorders>
              <w:bottom w:val="single" w:sz="4" w:space="0" w:color="auto"/>
            </w:tcBorders>
          </w:tcPr>
          <w:p w14:paraId="73FC03B0" w14:textId="77777777" w:rsidR="008C2A2E" w:rsidRPr="00FC4DAA" w:rsidRDefault="008C2A2E" w:rsidP="008C2A2E">
            <w:pPr>
              <w:keepNext/>
              <w:spacing w:after="40"/>
              <w:jc w:val="both"/>
              <w:rPr>
                <w:rFonts w:ascii="Arial Narrow" w:hAnsi="Arial Narrow"/>
                <w:b/>
              </w:rPr>
            </w:pPr>
            <w:r w:rsidRPr="00FC4DAA">
              <w:rPr>
                <w:rFonts w:ascii="Arial Narrow" w:hAnsi="Arial Narrow"/>
                <w:b/>
              </w:rPr>
              <w:t>Cost</w:t>
            </w:r>
          </w:p>
        </w:tc>
        <w:tc>
          <w:tcPr>
            <w:tcW w:w="1325" w:type="dxa"/>
            <w:tcBorders>
              <w:bottom w:val="single" w:sz="4" w:space="0" w:color="auto"/>
            </w:tcBorders>
          </w:tcPr>
          <w:p w14:paraId="2626617D"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Incremental cost</w:t>
            </w:r>
          </w:p>
        </w:tc>
        <w:tc>
          <w:tcPr>
            <w:tcW w:w="1325" w:type="dxa"/>
            <w:tcBorders>
              <w:bottom w:val="single" w:sz="4" w:space="0" w:color="auto"/>
            </w:tcBorders>
          </w:tcPr>
          <w:p w14:paraId="2976B747" w14:textId="77777777" w:rsidR="008C2A2E" w:rsidRPr="00FC4DAA" w:rsidRDefault="008C2A2E" w:rsidP="008C2A2E">
            <w:pPr>
              <w:keepNext/>
              <w:spacing w:after="40"/>
              <w:jc w:val="both"/>
              <w:rPr>
                <w:rFonts w:ascii="Arial Narrow" w:hAnsi="Arial Narrow"/>
                <w:b/>
              </w:rPr>
            </w:pPr>
            <w:r w:rsidRPr="00FC4DAA">
              <w:rPr>
                <w:rFonts w:ascii="Arial Narrow" w:hAnsi="Arial Narrow"/>
                <w:b/>
              </w:rPr>
              <w:t>Effectiveness (QALYs)</w:t>
            </w:r>
          </w:p>
        </w:tc>
        <w:tc>
          <w:tcPr>
            <w:tcW w:w="1326" w:type="dxa"/>
            <w:tcBorders>
              <w:bottom w:val="single" w:sz="4" w:space="0" w:color="auto"/>
            </w:tcBorders>
          </w:tcPr>
          <w:p w14:paraId="4A61E17B"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Incremental effectiveness</w:t>
            </w:r>
          </w:p>
        </w:tc>
        <w:tc>
          <w:tcPr>
            <w:tcW w:w="1361" w:type="dxa"/>
            <w:tcBorders>
              <w:bottom w:val="single" w:sz="4" w:space="0" w:color="auto"/>
            </w:tcBorders>
          </w:tcPr>
          <w:p w14:paraId="2813F87D"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ICER</w:t>
            </w:r>
          </w:p>
        </w:tc>
      </w:tr>
      <w:tr w:rsidR="008C2A2E" w:rsidRPr="00FC4DAA" w14:paraId="1DBD1CE1" w14:textId="77777777" w:rsidTr="008C2A2E">
        <w:trPr>
          <w:trHeight w:val="300"/>
        </w:trPr>
        <w:tc>
          <w:tcPr>
            <w:tcW w:w="2523" w:type="dxa"/>
            <w:tcBorders>
              <w:bottom w:val="nil"/>
            </w:tcBorders>
          </w:tcPr>
          <w:p w14:paraId="5EBED81C" w14:textId="77777777" w:rsidR="008C2A2E" w:rsidRPr="00FC4DAA" w:rsidRDefault="008C2A2E" w:rsidP="008C2A2E">
            <w:pPr>
              <w:spacing w:after="40"/>
              <w:jc w:val="both"/>
            </w:pPr>
            <w:r w:rsidRPr="00FC4DAA">
              <w:t>Standard of Care</w:t>
            </w:r>
            <w:r>
              <w:t xml:space="preserve"> </w:t>
            </w:r>
            <w:r w:rsidRPr="00E56C5D">
              <w:rPr>
                <w:i/>
              </w:rPr>
              <w:t>(ECMO 38%)</w:t>
            </w:r>
          </w:p>
        </w:tc>
        <w:tc>
          <w:tcPr>
            <w:tcW w:w="1325" w:type="dxa"/>
            <w:tcBorders>
              <w:bottom w:val="nil"/>
            </w:tcBorders>
          </w:tcPr>
          <w:p w14:paraId="5A7583EF" w14:textId="77777777" w:rsidR="008C2A2E" w:rsidRPr="00FC4DAA" w:rsidRDefault="008C2A2E" w:rsidP="008C2A2E">
            <w:pPr>
              <w:spacing w:after="40"/>
              <w:jc w:val="both"/>
              <w:rPr>
                <w:i/>
                <w:iCs/>
              </w:rPr>
            </w:pPr>
            <w:r w:rsidRPr="00FC4DAA">
              <w:t>$115,783</w:t>
            </w:r>
          </w:p>
        </w:tc>
        <w:tc>
          <w:tcPr>
            <w:tcW w:w="1325" w:type="dxa"/>
            <w:tcBorders>
              <w:bottom w:val="nil"/>
            </w:tcBorders>
          </w:tcPr>
          <w:p w14:paraId="695358E4" w14:textId="77777777" w:rsidR="008C2A2E" w:rsidRPr="00FC4DAA" w:rsidRDefault="008C2A2E" w:rsidP="008C2A2E">
            <w:pPr>
              <w:spacing w:after="40"/>
              <w:jc w:val="both"/>
            </w:pPr>
          </w:p>
        </w:tc>
        <w:tc>
          <w:tcPr>
            <w:tcW w:w="1325" w:type="dxa"/>
            <w:tcBorders>
              <w:bottom w:val="nil"/>
            </w:tcBorders>
          </w:tcPr>
          <w:p w14:paraId="3D860057" w14:textId="77777777" w:rsidR="008C2A2E" w:rsidRPr="00FC4DAA" w:rsidRDefault="008C2A2E" w:rsidP="008C2A2E">
            <w:pPr>
              <w:spacing w:after="40"/>
              <w:jc w:val="both"/>
            </w:pPr>
            <w:r w:rsidRPr="00FC4DAA">
              <w:t>2.46</w:t>
            </w:r>
          </w:p>
        </w:tc>
        <w:tc>
          <w:tcPr>
            <w:tcW w:w="1326" w:type="dxa"/>
            <w:tcBorders>
              <w:bottom w:val="nil"/>
            </w:tcBorders>
          </w:tcPr>
          <w:p w14:paraId="58C7D774" w14:textId="77777777" w:rsidR="008C2A2E" w:rsidRPr="00FC4DAA" w:rsidRDefault="008C2A2E" w:rsidP="008C2A2E">
            <w:pPr>
              <w:spacing w:after="40"/>
              <w:jc w:val="both"/>
            </w:pPr>
          </w:p>
        </w:tc>
        <w:tc>
          <w:tcPr>
            <w:tcW w:w="1361" w:type="dxa"/>
            <w:tcBorders>
              <w:bottom w:val="nil"/>
            </w:tcBorders>
          </w:tcPr>
          <w:p w14:paraId="05A172C8" w14:textId="77777777" w:rsidR="008C2A2E" w:rsidRPr="00FC4DAA" w:rsidRDefault="008C2A2E" w:rsidP="008C2A2E">
            <w:pPr>
              <w:spacing w:after="40"/>
              <w:jc w:val="both"/>
            </w:pPr>
          </w:p>
        </w:tc>
      </w:tr>
      <w:tr w:rsidR="008C2A2E" w:rsidRPr="00FC4DAA" w14:paraId="116B1EA5" w14:textId="77777777" w:rsidTr="008C2A2E">
        <w:trPr>
          <w:trHeight w:val="270"/>
        </w:trPr>
        <w:tc>
          <w:tcPr>
            <w:tcW w:w="2523" w:type="dxa"/>
            <w:tcBorders>
              <w:top w:val="nil"/>
            </w:tcBorders>
          </w:tcPr>
          <w:p w14:paraId="7B099C61" w14:textId="77777777" w:rsidR="008C2A2E" w:rsidRPr="004C65DC" w:rsidRDefault="008C2A2E" w:rsidP="008C2A2E">
            <w:pPr>
              <w:spacing w:after="40"/>
              <w:jc w:val="both"/>
              <w:rPr>
                <w:i/>
                <w:vertAlign w:val="superscript"/>
              </w:rPr>
            </w:pPr>
            <w:r w:rsidRPr="00716BF4">
              <w:rPr>
                <w:i/>
              </w:rPr>
              <w:t>Critique</w:t>
            </w:r>
            <w:r>
              <w:rPr>
                <w:i/>
              </w:rPr>
              <w:t>’s values</w:t>
            </w:r>
          </w:p>
        </w:tc>
        <w:tc>
          <w:tcPr>
            <w:tcW w:w="1325" w:type="dxa"/>
            <w:tcBorders>
              <w:top w:val="nil"/>
            </w:tcBorders>
          </w:tcPr>
          <w:p w14:paraId="3AC141BB" w14:textId="77777777" w:rsidR="008C2A2E" w:rsidRPr="0092714C" w:rsidRDefault="008C2A2E" w:rsidP="008C2A2E">
            <w:pPr>
              <w:spacing w:after="40"/>
              <w:jc w:val="both"/>
              <w:rPr>
                <w:vertAlign w:val="superscript"/>
              </w:rPr>
            </w:pPr>
            <w:r w:rsidRPr="00FC4DAA">
              <w:rPr>
                <w:i/>
                <w:iCs/>
              </w:rPr>
              <w:t>$85,203</w:t>
            </w:r>
            <w:r>
              <w:rPr>
                <w:i/>
                <w:iCs/>
                <w:vertAlign w:val="superscript"/>
              </w:rPr>
              <w:t>a</w:t>
            </w:r>
          </w:p>
        </w:tc>
        <w:tc>
          <w:tcPr>
            <w:tcW w:w="1325" w:type="dxa"/>
            <w:tcBorders>
              <w:top w:val="nil"/>
            </w:tcBorders>
          </w:tcPr>
          <w:p w14:paraId="23036C97" w14:textId="77777777" w:rsidR="008C2A2E" w:rsidRPr="00FC4DAA" w:rsidRDefault="008C2A2E" w:rsidP="008C2A2E">
            <w:pPr>
              <w:spacing w:after="40"/>
              <w:jc w:val="both"/>
            </w:pPr>
          </w:p>
        </w:tc>
        <w:tc>
          <w:tcPr>
            <w:tcW w:w="1325" w:type="dxa"/>
            <w:tcBorders>
              <w:top w:val="nil"/>
            </w:tcBorders>
          </w:tcPr>
          <w:p w14:paraId="5569A589" w14:textId="77777777" w:rsidR="008C2A2E" w:rsidRPr="00FC4DAA" w:rsidRDefault="008C2A2E" w:rsidP="008C2A2E">
            <w:pPr>
              <w:spacing w:after="40"/>
              <w:jc w:val="both"/>
            </w:pPr>
          </w:p>
        </w:tc>
        <w:tc>
          <w:tcPr>
            <w:tcW w:w="1326" w:type="dxa"/>
            <w:tcBorders>
              <w:top w:val="nil"/>
            </w:tcBorders>
          </w:tcPr>
          <w:p w14:paraId="510059F3" w14:textId="77777777" w:rsidR="008C2A2E" w:rsidRPr="00FC4DAA" w:rsidRDefault="008C2A2E" w:rsidP="008C2A2E">
            <w:pPr>
              <w:spacing w:after="40"/>
              <w:jc w:val="both"/>
            </w:pPr>
          </w:p>
        </w:tc>
        <w:tc>
          <w:tcPr>
            <w:tcW w:w="1361" w:type="dxa"/>
            <w:tcBorders>
              <w:top w:val="nil"/>
            </w:tcBorders>
          </w:tcPr>
          <w:p w14:paraId="1587AFAC" w14:textId="77777777" w:rsidR="008C2A2E" w:rsidRPr="00FC4DAA" w:rsidRDefault="008C2A2E" w:rsidP="008C2A2E">
            <w:pPr>
              <w:spacing w:after="40"/>
              <w:jc w:val="both"/>
            </w:pPr>
          </w:p>
        </w:tc>
      </w:tr>
      <w:tr w:rsidR="008C2A2E" w:rsidRPr="00FC4DAA" w14:paraId="642B9170" w14:textId="77777777" w:rsidTr="008C2A2E">
        <w:trPr>
          <w:trHeight w:val="270"/>
        </w:trPr>
        <w:tc>
          <w:tcPr>
            <w:tcW w:w="2523" w:type="dxa"/>
            <w:tcBorders>
              <w:bottom w:val="nil"/>
            </w:tcBorders>
          </w:tcPr>
          <w:p w14:paraId="55836C84" w14:textId="77777777" w:rsidR="008C2A2E" w:rsidRPr="00FC4DAA" w:rsidRDefault="008C2A2E" w:rsidP="008C2A2E">
            <w:pPr>
              <w:spacing w:after="40"/>
              <w:jc w:val="both"/>
            </w:pPr>
            <w:r w:rsidRPr="00FC4DAA">
              <w:t>IMVAD</w:t>
            </w:r>
          </w:p>
        </w:tc>
        <w:tc>
          <w:tcPr>
            <w:tcW w:w="1325" w:type="dxa"/>
            <w:tcBorders>
              <w:bottom w:val="nil"/>
            </w:tcBorders>
          </w:tcPr>
          <w:p w14:paraId="2DE6F638" w14:textId="77777777" w:rsidR="008C2A2E" w:rsidRPr="00FC4DAA" w:rsidRDefault="008C2A2E" w:rsidP="008C2A2E">
            <w:pPr>
              <w:spacing w:after="40"/>
              <w:jc w:val="both"/>
            </w:pPr>
            <w:r w:rsidRPr="00FC4DAA">
              <w:t>$81,269</w:t>
            </w:r>
          </w:p>
        </w:tc>
        <w:tc>
          <w:tcPr>
            <w:tcW w:w="1325" w:type="dxa"/>
            <w:tcBorders>
              <w:bottom w:val="nil"/>
            </w:tcBorders>
          </w:tcPr>
          <w:p w14:paraId="10809C43" w14:textId="77777777" w:rsidR="008C2A2E" w:rsidRPr="00FC4DAA" w:rsidRDefault="008C2A2E" w:rsidP="008C2A2E">
            <w:pPr>
              <w:spacing w:after="40"/>
              <w:jc w:val="both"/>
              <w:rPr>
                <w:i/>
                <w:iCs/>
              </w:rPr>
            </w:pPr>
            <w:r w:rsidRPr="00FC4DAA">
              <w:t>-$34,514</w:t>
            </w:r>
          </w:p>
        </w:tc>
        <w:tc>
          <w:tcPr>
            <w:tcW w:w="1325" w:type="dxa"/>
            <w:tcBorders>
              <w:bottom w:val="nil"/>
            </w:tcBorders>
          </w:tcPr>
          <w:p w14:paraId="30F7689E" w14:textId="77777777" w:rsidR="008C2A2E" w:rsidRPr="00FC4DAA" w:rsidRDefault="008C2A2E" w:rsidP="008C2A2E">
            <w:pPr>
              <w:spacing w:after="40"/>
              <w:jc w:val="both"/>
            </w:pPr>
            <w:r w:rsidRPr="00FC4DAA">
              <w:t>2.57</w:t>
            </w:r>
          </w:p>
        </w:tc>
        <w:tc>
          <w:tcPr>
            <w:tcW w:w="1326" w:type="dxa"/>
            <w:tcBorders>
              <w:bottom w:val="nil"/>
            </w:tcBorders>
          </w:tcPr>
          <w:p w14:paraId="1E754AAB" w14:textId="77777777" w:rsidR="008C2A2E" w:rsidRPr="00FC4DAA" w:rsidRDefault="008C2A2E" w:rsidP="008C2A2E">
            <w:pPr>
              <w:spacing w:after="40"/>
              <w:jc w:val="both"/>
            </w:pPr>
            <w:r w:rsidRPr="00FC4DAA">
              <w:t>0.11</w:t>
            </w:r>
          </w:p>
        </w:tc>
        <w:tc>
          <w:tcPr>
            <w:tcW w:w="1361" w:type="dxa"/>
            <w:tcBorders>
              <w:bottom w:val="nil"/>
            </w:tcBorders>
          </w:tcPr>
          <w:p w14:paraId="14BE50B9" w14:textId="77777777" w:rsidR="008C2A2E" w:rsidRPr="004F4E75" w:rsidRDefault="008C2A2E" w:rsidP="008C2A2E">
            <w:pPr>
              <w:spacing w:after="40"/>
              <w:jc w:val="both"/>
            </w:pPr>
            <w:r w:rsidRPr="004F4E75">
              <w:t>Dominant</w:t>
            </w:r>
          </w:p>
        </w:tc>
      </w:tr>
      <w:tr w:rsidR="008C2A2E" w:rsidRPr="00FC4DAA" w14:paraId="20B33333" w14:textId="77777777" w:rsidTr="008C2A2E">
        <w:trPr>
          <w:trHeight w:val="285"/>
        </w:trPr>
        <w:tc>
          <w:tcPr>
            <w:tcW w:w="2523" w:type="dxa"/>
            <w:tcBorders>
              <w:top w:val="nil"/>
            </w:tcBorders>
          </w:tcPr>
          <w:p w14:paraId="7677536B" w14:textId="77777777" w:rsidR="008C2A2E" w:rsidRPr="00FC4DAA" w:rsidRDefault="008C2A2E" w:rsidP="008C2A2E">
            <w:pPr>
              <w:spacing w:after="40"/>
              <w:jc w:val="both"/>
            </w:pPr>
            <w:r w:rsidRPr="009A6D18">
              <w:rPr>
                <w:i/>
              </w:rPr>
              <w:t>Critique’s value</w:t>
            </w:r>
            <w:r>
              <w:rPr>
                <w:i/>
              </w:rPr>
              <w:t>s</w:t>
            </w:r>
          </w:p>
        </w:tc>
        <w:tc>
          <w:tcPr>
            <w:tcW w:w="1325" w:type="dxa"/>
            <w:tcBorders>
              <w:top w:val="nil"/>
            </w:tcBorders>
          </w:tcPr>
          <w:p w14:paraId="5AC838FD" w14:textId="77777777" w:rsidR="008C2A2E" w:rsidRPr="00FC4DAA" w:rsidRDefault="008C2A2E" w:rsidP="008C2A2E">
            <w:pPr>
              <w:spacing w:after="40"/>
              <w:jc w:val="both"/>
            </w:pPr>
          </w:p>
        </w:tc>
        <w:tc>
          <w:tcPr>
            <w:tcW w:w="1325" w:type="dxa"/>
            <w:tcBorders>
              <w:top w:val="nil"/>
            </w:tcBorders>
          </w:tcPr>
          <w:p w14:paraId="4E3F2B55" w14:textId="77777777" w:rsidR="008C2A2E" w:rsidRPr="00FC4DAA" w:rsidRDefault="008C2A2E" w:rsidP="008C2A2E">
            <w:pPr>
              <w:spacing w:after="40"/>
              <w:jc w:val="both"/>
            </w:pPr>
            <w:r w:rsidRPr="00FC4DAA">
              <w:rPr>
                <w:i/>
                <w:iCs/>
              </w:rPr>
              <w:t>-$3,935</w:t>
            </w:r>
          </w:p>
        </w:tc>
        <w:tc>
          <w:tcPr>
            <w:tcW w:w="1325" w:type="dxa"/>
            <w:tcBorders>
              <w:top w:val="nil"/>
            </w:tcBorders>
          </w:tcPr>
          <w:p w14:paraId="686E4B85" w14:textId="77777777" w:rsidR="008C2A2E" w:rsidRPr="00FC4DAA" w:rsidRDefault="008C2A2E" w:rsidP="008C2A2E">
            <w:pPr>
              <w:spacing w:after="40"/>
              <w:jc w:val="both"/>
            </w:pPr>
          </w:p>
        </w:tc>
        <w:tc>
          <w:tcPr>
            <w:tcW w:w="1326" w:type="dxa"/>
            <w:tcBorders>
              <w:top w:val="nil"/>
            </w:tcBorders>
          </w:tcPr>
          <w:p w14:paraId="6A541FE1" w14:textId="77777777" w:rsidR="008C2A2E" w:rsidRPr="00FC4DAA" w:rsidRDefault="008C2A2E" w:rsidP="008C2A2E">
            <w:pPr>
              <w:spacing w:after="40"/>
              <w:jc w:val="both"/>
            </w:pPr>
          </w:p>
        </w:tc>
        <w:tc>
          <w:tcPr>
            <w:tcW w:w="1361" w:type="dxa"/>
            <w:tcBorders>
              <w:top w:val="nil"/>
            </w:tcBorders>
          </w:tcPr>
          <w:p w14:paraId="3857F087" w14:textId="77777777" w:rsidR="008C2A2E" w:rsidRPr="00FC4DAA" w:rsidRDefault="008C2A2E" w:rsidP="008C2A2E">
            <w:pPr>
              <w:spacing w:after="40"/>
              <w:jc w:val="both"/>
            </w:pPr>
          </w:p>
        </w:tc>
      </w:tr>
    </w:tbl>
    <w:p w14:paraId="15C0024C" w14:textId="77777777" w:rsidR="008C2A2E" w:rsidRDefault="008C2A2E" w:rsidP="008C2A2E">
      <w:pPr>
        <w:contextualSpacing/>
        <w:jc w:val="both"/>
        <w:rPr>
          <w:rFonts w:ascii="Arial Narrow" w:hAnsi="Arial Narrow" w:cs="Arial"/>
          <w:iCs/>
          <w:snapToGrid w:val="0"/>
          <w:sz w:val="18"/>
          <w:lang w:eastAsia="en-US"/>
        </w:rPr>
      </w:pPr>
      <w:r w:rsidRPr="002A238E">
        <w:rPr>
          <w:rFonts w:ascii="Arial Narrow" w:hAnsi="Arial Narrow" w:cs="Arial"/>
          <w:iCs/>
          <w:snapToGrid w:val="0"/>
          <w:sz w:val="18"/>
          <w:lang w:eastAsia="en-US"/>
        </w:rPr>
        <w:t>ICER = Incremental Cost-Effectiveness Ratio</w:t>
      </w:r>
      <w:r>
        <w:rPr>
          <w:rFonts w:ascii="Arial Narrow" w:hAnsi="Arial Narrow" w:cs="Arial"/>
          <w:iCs/>
          <w:snapToGrid w:val="0"/>
          <w:sz w:val="18"/>
          <w:lang w:eastAsia="en-US"/>
        </w:rPr>
        <w:t xml:space="preserve">; </w:t>
      </w:r>
      <w:r w:rsidRPr="002A238E">
        <w:rPr>
          <w:rFonts w:ascii="Arial Narrow" w:hAnsi="Arial Narrow" w:cs="Arial"/>
          <w:iCs/>
          <w:snapToGrid w:val="0"/>
          <w:sz w:val="18"/>
          <w:lang w:eastAsia="en-US"/>
        </w:rPr>
        <w:t>IMVAD=</w:t>
      </w:r>
      <w:r w:rsidRPr="002A238E">
        <w:rPr>
          <w:rFonts w:ascii="Arial Narrow" w:hAnsi="Arial Narrow" w:cs="Arial"/>
          <w:i/>
          <w:iCs/>
          <w:snapToGrid w:val="0"/>
          <w:sz w:val="18"/>
          <w:lang w:eastAsia="en-US"/>
        </w:rPr>
        <w:t xml:space="preserve"> </w:t>
      </w:r>
      <w:r w:rsidRPr="002A238E">
        <w:rPr>
          <w:rFonts w:ascii="Arial Narrow" w:hAnsi="Arial Narrow" w:cs="Arial"/>
          <w:iCs/>
          <w:snapToGrid w:val="0"/>
          <w:sz w:val="18"/>
          <w:lang w:eastAsia="en-US"/>
        </w:rPr>
        <w:t>intravascular microaxial ventricular assist device</w:t>
      </w:r>
      <w:r>
        <w:rPr>
          <w:rFonts w:ascii="Arial Narrow" w:hAnsi="Arial Narrow" w:cs="Arial"/>
          <w:iCs/>
          <w:snapToGrid w:val="0"/>
          <w:sz w:val="18"/>
          <w:lang w:eastAsia="en-US"/>
        </w:rPr>
        <w:t xml:space="preserve">; </w:t>
      </w:r>
      <w:r w:rsidRPr="002A238E">
        <w:rPr>
          <w:rFonts w:ascii="Arial Narrow" w:hAnsi="Arial Narrow" w:cs="Arial"/>
          <w:iCs/>
          <w:snapToGrid w:val="0"/>
          <w:sz w:val="18"/>
          <w:lang w:eastAsia="en-US"/>
        </w:rPr>
        <w:t>QALY=quality-adjusted life years</w:t>
      </w:r>
    </w:p>
    <w:p w14:paraId="57BA1FFD" w14:textId="013E589D" w:rsidR="006032B0" w:rsidRDefault="008C2A2E" w:rsidP="006032B0">
      <w:pPr>
        <w:contextualSpacing/>
        <w:jc w:val="both"/>
        <w:rPr>
          <w:rFonts w:ascii="Arial Narrow" w:hAnsi="Arial Narrow" w:cs="Arial"/>
          <w:iCs/>
          <w:snapToGrid w:val="0"/>
          <w:sz w:val="18"/>
          <w:lang w:eastAsia="en-US"/>
        </w:rPr>
      </w:pPr>
      <w:r>
        <w:rPr>
          <w:rFonts w:ascii="Arial Narrow" w:hAnsi="Arial Narrow" w:cs="Arial"/>
          <w:iCs/>
          <w:snapToGrid w:val="0"/>
          <w:sz w:val="18"/>
          <w:lang w:eastAsia="en-US"/>
        </w:rPr>
        <w:t xml:space="preserve">a </w:t>
      </w:r>
      <w:r w:rsidRPr="0092714C">
        <w:rPr>
          <w:rFonts w:ascii="Arial Narrow" w:hAnsi="Arial Narrow" w:cs="Arial"/>
          <w:iCs/>
          <w:snapToGrid w:val="0"/>
          <w:sz w:val="18"/>
          <w:lang w:eastAsia="en-US"/>
        </w:rPr>
        <w:t>Critique values use the correct value for the length of stay in ICU in patients treated with IABP. The base case in the results from the economic model utilised the same value as ECMO for ICU length of stay in the IABP arm, however the SBA stated this value is the same was based on IMVAD (see Table 173, p214 of the SBA)</w:t>
      </w:r>
      <w:r w:rsidR="006032B0">
        <w:rPr>
          <w:rFonts w:ascii="Arial Narrow" w:hAnsi="Arial Narrow" w:cs="Arial"/>
          <w:iCs/>
          <w:snapToGrid w:val="0"/>
          <w:sz w:val="18"/>
          <w:lang w:eastAsia="en-US"/>
        </w:rPr>
        <w:br w:type="page"/>
      </w:r>
    </w:p>
    <w:p w14:paraId="145FEE21" w14:textId="051D0F92" w:rsidR="008C2A2E" w:rsidRPr="00DC1117" w:rsidRDefault="008C2A2E" w:rsidP="00DC1117">
      <w:pPr>
        <w:rPr>
          <w:rFonts w:ascii="Arial Narrow" w:hAnsi="Arial Narrow"/>
          <w:b/>
          <w:sz w:val="20"/>
        </w:rPr>
      </w:pPr>
      <w:r w:rsidRPr="00DC1117">
        <w:rPr>
          <w:rFonts w:ascii="Arial Narrow" w:hAnsi="Arial Narrow"/>
          <w:b/>
          <w:sz w:val="20"/>
        </w:rPr>
        <w:lastRenderedPageBreak/>
        <w:t>Table 10</w:t>
      </w:r>
      <w:r w:rsidRPr="00DC1117">
        <w:rPr>
          <w:rFonts w:ascii="Arial Narrow" w:hAnsi="Arial Narrow"/>
          <w:b/>
          <w:sz w:val="20"/>
        </w:rPr>
        <w:tab/>
        <w:t>Model 2: Incremental costs and effectiveness of IMVAD compared to Standard of Care in CS</w:t>
      </w:r>
    </w:p>
    <w:tbl>
      <w:tblPr>
        <w:tblStyle w:val="TableGrid2"/>
        <w:tblW w:w="5000"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397"/>
        <w:gridCol w:w="1317"/>
        <w:gridCol w:w="1316"/>
        <w:gridCol w:w="1316"/>
        <w:gridCol w:w="1318"/>
        <w:gridCol w:w="1352"/>
      </w:tblGrid>
      <w:tr w:rsidR="008C2A2E" w:rsidRPr="00FC4DAA" w14:paraId="454336D6"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329" w:type="pct"/>
            <w:tcBorders>
              <w:bottom w:val="single" w:sz="4" w:space="0" w:color="auto"/>
            </w:tcBorders>
          </w:tcPr>
          <w:p w14:paraId="3F3F1B51" w14:textId="77777777" w:rsidR="008C2A2E" w:rsidRPr="00FC4DAA" w:rsidRDefault="008C2A2E" w:rsidP="008C2A2E">
            <w:pPr>
              <w:keepNext/>
              <w:spacing w:after="40"/>
              <w:jc w:val="both"/>
              <w:rPr>
                <w:rFonts w:ascii="Arial Narrow" w:hAnsi="Arial Narrow"/>
                <w:b/>
              </w:rPr>
            </w:pPr>
          </w:p>
        </w:tc>
        <w:tc>
          <w:tcPr>
            <w:tcW w:w="730" w:type="pct"/>
            <w:tcBorders>
              <w:bottom w:val="single" w:sz="4" w:space="0" w:color="auto"/>
            </w:tcBorders>
          </w:tcPr>
          <w:p w14:paraId="7307B628" w14:textId="77777777" w:rsidR="008C2A2E" w:rsidRPr="00FC4DAA" w:rsidRDefault="008C2A2E" w:rsidP="008C2A2E">
            <w:pPr>
              <w:keepNext/>
              <w:spacing w:after="40"/>
              <w:jc w:val="both"/>
              <w:rPr>
                <w:rFonts w:ascii="Arial Narrow" w:hAnsi="Arial Narrow"/>
                <w:b/>
              </w:rPr>
            </w:pPr>
            <w:r w:rsidRPr="00FC4DAA">
              <w:rPr>
                <w:rFonts w:ascii="Arial Narrow" w:hAnsi="Arial Narrow"/>
                <w:b/>
              </w:rPr>
              <w:t>Cost</w:t>
            </w:r>
          </w:p>
        </w:tc>
        <w:tc>
          <w:tcPr>
            <w:tcW w:w="730" w:type="pct"/>
            <w:tcBorders>
              <w:bottom w:val="single" w:sz="4" w:space="0" w:color="auto"/>
            </w:tcBorders>
          </w:tcPr>
          <w:p w14:paraId="09E42488"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Incremental cost</w:t>
            </w:r>
          </w:p>
        </w:tc>
        <w:tc>
          <w:tcPr>
            <w:tcW w:w="730" w:type="pct"/>
            <w:tcBorders>
              <w:bottom w:val="single" w:sz="4" w:space="0" w:color="auto"/>
            </w:tcBorders>
          </w:tcPr>
          <w:p w14:paraId="105A1C99" w14:textId="77777777" w:rsidR="008C2A2E" w:rsidRPr="00FC4DAA" w:rsidRDefault="008C2A2E" w:rsidP="008C2A2E">
            <w:pPr>
              <w:keepNext/>
              <w:spacing w:after="40"/>
              <w:jc w:val="both"/>
              <w:rPr>
                <w:rFonts w:ascii="Arial Narrow" w:hAnsi="Arial Narrow"/>
                <w:b/>
              </w:rPr>
            </w:pPr>
            <w:r w:rsidRPr="00FC4DAA">
              <w:rPr>
                <w:rFonts w:ascii="Arial Narrow" w:hAnsi="Arial Narrow"/>
                <w:b/>
              </w:rPr>
              <w:t>Effectiveness (QALYs)</w:t>
            </w:r>
          </w:p>
        </w:tc>
        <w:tc>
          <w:tcPr>
            <w:tcW w:w="731" w:type="pct"/>
            <w:tcBorders>
              <w:bottom w:val="single" w:sz="4" w:space="0" w:color="auto"/>
            </w:tcBorders>
          </w:tcPr>
          <w:p w14:paraId="6C07CCFB"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Incremental effectiveness</w:t>
            </w:r>
          </w:p>
        </w:tc>
        <w:tc>
          <w:tcPr>
            <w:tcW w:w="750" w:type="pct"/>
            <w:tcBorders>
              <w:bottom w:val="single" w:sz="4" w:space="0" w:color="auto"/>
            </w:tcBorders>
          </w:tcPr>
          <w:p w14:paraId="024FAA41"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ICER</w:t>
            </w:r>
          </w:p>
        </w:tc>
      </w:tr>
      <w:tr w:rsidR="008C2A2E" w:rsidRPr="00FC4DAA" w14:paraId="1F135671" w14:textId="77777777" w:rsidTr="008C2A2E">
        <w:tc>
          <w:tcPr>
            <w:tcW w:w="1329" w:type="pct"/>
          </w:tcPr>
          <w:p w14:paraId="3E9B8490" w14:textId="77777777" w:rsidR="008C2A2E" w:rsidRDefault="008C2A2E" w:rsidP="008C2A2E">
            <w:pPr>
              <w:spacing w:after="40"/>
              <w:jc w:val="both"/>
            </w:pPr>
            <w:r w:rsidRPr="00FC4DAA">
              <w:t>Standard of Care</w:t>
            </w:r>
            <w:r>
              <w:t xml:space="preserve"> </w:t>
            </w:r>
          </w:p>
          <w:p w14:paraId="6F396A77" w14:textId="77777777" w:rsidR="008C2A2E" w:rsidRPr="00E56C5D" w:rsidRDefault="008C2A2E" w:rsidP="008C2A2E">
            <w:pPr>
              <w:spacing w:after="40"/>
              <w:jc w:val="both"/>
              <w:rPr>
                <w:i/>
              </w:rPr>
            </w:pPr>
            <w:r w:rsidRPr="00E56C5D">
              <w:rPr>
                <w:i/>
              </w:rPr>
              <w:t>(ECM0 100%)</w:t>
            </w:r>
          </w:p>
        </w:tc>
        <w:tc>
          <w:tcPr>
            <w:tcW w:w="730" w:type="pct"/>
          </w:tcPr>
          <w:p w14:paraId="08B6557D" w14:textId="77777777" w:rsidR="008C2A2E" w:rsidRPr="00FE015F" w:rsidRDefault="008C2A2E" w:rsidP="008C2A2E">
            <w:pPr>
              <w:spacing w:after="40"/>
              <w:jc w:val="both"/>
            </w:pPr>
            <w:r w:rsidRPr="00FE015F">
              <w:t>$145,331</w:t>
            </w:r>
          </w:p>
        </w:tc>
        <w:tc>
          <w:tcPr>
            <w:tcW w:w="730" w:type="pct"/>
          </w:tcPr>
          <w:p w14:paraId="55FA526F" w14:textId="77777777" w:rsidR="008C2A2E" w:rsidRPr="00FC4DAA" w:rsidRDefault="008C2A2E" w:rsidP="008C2A2E">
            <w:pPr>
              <w:spacing w:after="40"/>
              <w:jc w:val="both"/>
            </w:pPr>
          </w:p>
        </w:tc>
        <w:tc>
          <w:tcPr>
            <w:tcW w:w="730" w:type="pct"/>
          </w:tcPr>
          <w:p w14:paraId="7F3944BC" w14:textId="77777777" w:rsidR="008C2A2E" w:rsidRPr="00FC4DAA" w:rsidRDefault="008C2A2E" w:rsidP="008C2A2E">
            <w:pPr>
              <w:spacing w:after="40"/>
              <w:jc w:val="both"/>
            </w:pPr>
            <w:r w:rsidRPr="00FE015F">
              <w:t>0.99</w:t>
            </w:r>
          </w:p>
        </w:tc>
        <w:tc>
          <w:tcPr>
            <w:tcW w:w="731" w:type="pct"/>
          </w:tcPr>
          <w:p w14:paraId="530EED63" w14:textId="77777777" w:rsidR="008C2A2E" w:rsidRPr="00FC4DAA" w:rsidRDefault="008C2A2E" w:rsidP="008C2A2E">
            <w:pPr>
              <w:spacing w:after="40"/>
              <w:jc w:val="both"/>
            </w:pPr>
          </w:p>
        </w:tc>
        <w:tc>
          <w:tcPr>
            <w:tcW w:w="750" w:type="pct"/>
          </w:tcPr>
          <w:p w14:paraId="7EB5CA00" w14:textId="77777777" w:rsidR="008C2A2E" w:rsidRPr="00FC4DAA" w:rsidRDefault="008C2A2E" w:rsidP="008C2A2E">
            <w:pPr>
              <w:spacing w:after="40"/>
              <w:jc w:val="both"/>
            </w:pPr>
          </w:p>
        </w:tc>
      </w:tr>
      <w:tr w:rsidR="008C2A2E" w:rsidRPr="00FC4DAA" w14:paraId="3D61D222" w14:textId="77777777" w:rsidTr="008C2A2E">
        <w:trPr>
          <w:trHeight w:val="285"/>
        </w:trPr>
        <w:tc>
          <w:tcPr>
            <w:tcW w:w="1329" w:type="pct"/>
            <w:tcBorders>
              <w:bottom w:val="nil"/>
            </w:tcBorders>
          </w:tcPr>
          <w:p w14:paraId="43E7EB04" w14:textId="77777777" w:rsidR="008C2A2E" w:rsidRPr="00FC4DAA" w:rsidRDefault="008C2A2E" w:rsidP="008C2A2E">
            <w:pPr>
              <w:spacing w:after="40"/>
              <w:jc w:val="both"/>
            </w:pPr>
            <w:r w:rsidRPr="00FC4DAA">
              <w:t>IMVAD</w:t>
            </w:r>
          </w:p>
        </w:tc>
        <w:tc>
          <w:tcPr>
            <w:tcW w:w="730" w:type="pct"/>
            <w:tcBorders>
              <w:bottom w:val="nil"/>
            </w:tcBorders>
          </w:tcPr>
          <w:p w14:paraId="332FDA9C" w14:textId="77777777" w:rsidR="008C2A2E" w:rsidRPr="00290061" w:rsidRDefault="008C2A2E" w:rsidP="008C2A2E">
            <w:pPr>
              <w:spacing w:after="40"/>
              <w:rPr>
                <w:i/>
                <w:iCs/>
              </w:rPr>
            </w:pPr>
            <w:r w:rsidRPr="00FE015F">
              <w:t>$123,688</w:t>
            </w:r>
          </w:p>
        </w:tc>
        <w:tc>
          <w:tcPr>
            <w:tcW w:w="730" w:type="pct"/>
            <w:tcBorders>
              <w:bottom w:val="nil"/>
            </w:tcBorders>
          </w:tcPr>
          <w:p w14:paraId="4DE26A90" w14:textId="77777777" w:rsidR="008C2A2E" w:rsidRPr="0011544E" w:rsidRDefault="008C2A2E" w:rsidP="008C2A2E">
            <w:pPr>
              <w:spacing w:after="40"/>
              <w:rPr>
                <w:i/>
                <w:iCs/>
              </w:rPr>
            </w:pPr>
            <w:r w:rsidRPr="00FE015F">
              <w:t>-$21,643</w:t>
            </w:r>
          </w:p>
        </w:tc>
        <w:tc>
          <w:tcPr>
            <w:tcW w:w="730" w:type="pct"/>
            <w:tcBorders>
              <w:bottom w:val="nil"/>
            </w:tcBorders>
          </w:tcPr>
          <w:p w14:paraId="021EF2A1" w14:textId="77777777" w:rsidR="008C2A2E" w:rsidRPr="001F2E4D" w:rsidRDefault="008C2A2E" w:rsidP="008C2A2E">
            <w:pPr>
              <w:spacing w:after="40"/>
              <w:rPr>
                <w:i/>
                <w:iCs/>
              </w:rPr>
            </w:pPr>
            <w:r w:rsidRPr="00FE015F">
              <w:t>1.51</w:t>
            </w:r>
          </w:p>
        </w:tc>
        <w:tc>
          <w:tcPr>
            <w:tcW w:w="731" w:type="pct"/>
            <w:tcBorders>
              <w:bottom w:val="nil"/>
            </w:tcBorders>
          </w:tcPr>
          <w:p w14:paraId="784EB592" w14:textId="77777777" w:rsidR="008C2A2E" w:rsidRPr="0011544E" w:rsidRDefault="008C2A2E" w:rsidP="008C2A2E">
            <w:pPr>
              <w:spacing w:after="40"/>
              <w:rPr>
                <w:i/>
                <w:iCs/>
              </w:rPr>
            </w:pPr>
            <w:r w:rsidRPr="00FE015F">
              <w:t>0.52</w:t>
            </w:r>
          </w:p>
        </w:tc>
        <w:tc>
          <w:tcPr>
            <w:tcW w:w="750" w:type="pct"/>
            <w:tcBorders>
              <w:bottom w:val="nil"/>
            </w:tcBorders>
          </w:tcPr>
          <w:p w14:paraId="7E988CE3" w14:textId="77777777" w:rsidR="008C2A2E" w:rsidRPr="004F4E75" w:rsidRDefault="008C2A2E" w:rsidP="008C2A2E">
            <w:pPr>
              <w:spacing w:after="40"/>
            </w:pPr>
            <w:r w:rsidRPr="006E22BA">
              <w:t>Dominant</w:t>
            </w:r>
          </w:p>
        </w:tc>
      </w:tr>
      <w:tr w:rsidR="008C2A2E" w:rsidRPr="00FC4DAA" w14:paraId="69001581" w14:textId="77777777" w:rsidTr="008C2A2E">
        <w:trPr>
          <w:trHeight w:val="285"/>
        </w:trPr>
        <w:tc>
          <w:tcPr>
            <w:tcW w:w="1329" w:type="pct"/>
            <w:tcBorders>
              <w:top w:val="nil"/>
            </w:tcBorders>
          </w:tcPr>
          <w:p w14:paraId="6CC72AF4" w14:textId="77777777" w:rsidR="008C2A2E" w:rsidRPr="002D2B1A" w:rsidRDefault="008C2A2E" w:rsidP="008C2A2E">
            <w:pPr>
              <w:spacing w:after="40"/>
              <w:jc w:val="both"/>
              <w:rPr>
                <w:vertAlign w:val="superscript"/>
              </w:rPr>
            </w:pPr>
            <w:r w:rsidRPr="009A6D18">
              <w:rPr>
                <w:i/>
              </w:rPr>
              <w:t>Critique</w:t>
            </w:r>
            <w:r>
              <w:rPr>
                <w:i/>
              </w:rPr>
              <w:t>’s values</w:t>
            </w:r>
            <w:r>
              <w:rPr>
                <w:i/>
                <w:vertAlign w:val="superscript"/>
              </w:rPr>
              <w:t>a</w:t>
            </w:r>
          </w:p>
        </w:tc>
        <w:tc>
          <w:tcPr>
            <w:tcW w:w="730" w:type="pct"/>
            <w:tcBorders>
              <w:top w:val="nil"/>
            </w:tcBorders>
          </w:tcPr>
          <w:p w14:paraId="2FC7D338" w14:textId="77777777" w:rsidR="008C2A2E" w:rsidRPr="00FE015F" w:rsidRDefault="008C2A2E" w:rsidP="008C2A2E">
            <w:pPr>
              <w:spacing w:after="40"/>
            </w:pPr>
            <w:r>
              <w:rPr>
                <w:i/>
                <w:iCs/>
              </w:rPr>
              <w:t>$</w:t>
            </w:r>
            <w:r w:rsidRPr="00290061">
              <w:rPr>
                <w:i/>
                <w:iCs/>
              </w:rPr>
              <w:t>123</w:t>
            </w:r>
            <w:r>
              <w:rPr>
                <w:i/>
                <w:iCs/>
              </w:rPr>
              <w:t xml:space="preserve">, </w:t>
            </w:r>
            <w:r w:rsidRPr="00290061">
              <w:rPr>
                <w:i/>
                <w:iCs/>
              </w:rPr>
              <w:t>874</w:t>
            </w:r>
          </w:p>
        </w:tc>
        <w:tc>
          <w:tcPr>
            <w:tcW w:w="730" w:type="pct"/>
            <w:tcBorders>
              <w:top w:val="nil"/>
            </w:tcBorders>
          </w:tcPr>
          <w:p w14:paraId="1FFED97F" w14:textId="77777777" w:rsidR="008C2A2E" w:rsidRPr="00FE015F" w:rsidRDefault="008C2A2E" w:rsidP="008C2A2E">
            <w:pPr>
              <w:spacing w:after="40"/>
            </w:pPr>
            <w:r w:rsidRPr="0011544E">
              <w:rPr>
                <w:i/>
                <w:iCs/>
              </w:rPr>
              <w:t>-$21</w:t>
            </w:r>
            <w:r>
              <w:rPr>
                <w:i/>
                <w:iCs/>
              </w:rPr>
              <w:t xml:space="preserve">, </w:t>
            </w:r>
            <w:r w:rsidRPr="0011544E">
              <w:rPr>
                <w:i/>
                <w:iCs/>
              </w:rPr>
              <w:t>456</w:t>
            </w:r>
          </w:p>
        </w:tc>
        <w:tc>
          <w:tcPr>
            <w:tcW w:w="730" w:type="pct"/>
            <w:tcBorders>
              <w:top w:val="nil"/>
            </w:tcBorders>
          </w:tcPr>
          <w:p w14:paraId="0EEAA1ED" w14:textId="77777777" w:rsidR="008C2A2E" w:rsidRPr="00FE015F" w:rsidRDefault="008C2A2E" w:rsidP="008C2A2E">
            <w:pPr>
              <w:spacing w:after="40"/>
            </w:pPr>
            <w:r w:rsidRPr="001F2E4D">
              <w:rPr>
                <w:i/>
                <w:iCs/>
              </w:rPr>
              <w:t>1.50</w:t>
            </w:r>
          </w:p>
        </w:tc>
        <w:tc>
          <w:tcPr>
            <w:tcW w:w="731" w:type="pct"/>
            <w:tcBorders>
              <w:top w:val="nil"/>
            </w:tcBorders>
          </w:tcPr>
          <w:p w14:paraId="5A52AAD5" w14:textId="77777777" w:rsidR="008C2A2E" w:rsidRPr="00FE015F" w:rsidRDefault="008C2A2E" w:rsidP="008C2A2E">
            <w:pPr>
              <w:spacing w:after="40"/>
            </w:pPr>
            <w:r w:rsidRPr="0011544E">
              <w:rPr>
                <w:i/>
                <w:iCs/>
              </w:rPr>
              <w:t>0.51</w:t>
            </w:r>
          </w:p>
        </w:tc>
        <w:tc>
          <w:tcPr>
            <w:tcW w:w="750" w:type="pct"/>
            <w:tcBorders>
              <w:top w:val="nil"/>
            </w:tcBorders>
          </w:tcPr>
          <w:p w14:paraId="30708DE3" w14:textId="77777777" w:rsidR="008C2A2E" w:rsidRPr="00FC4DAA" w:rsidRDefault="008C2A2E" w:rsidP="008C2A2E">
            <w:pPr>
              <w:spacing w:after="40"/>
            </w:pPr>
          </w:p>
        </w:tc>
      </w:tr>
    </w:tbl>
    <w:p w14:paraId="4345E01D" w14:textId="77777777" w:rsidR="008C2A2E" w:rsidRDefault="008C2A2E" w:rsidP="008C2A2E">
      <w:pPr>
        <w:contextualSpacing/>
        <w:jc w:val="both"/>
        <w:rPr>
          <w:rFonts w:ascii="Arial Narrow" w:hAnsi="Arial Narrow" w:cs="Arial"/>
          <w:iCs/>
          <w:snapToGrid w:val="0"/>
          <w:sz w:val="18"/>
          <w:lang w:eastAsia="en-US"/>
        </w:rPr>
      </w:pPr>
      <w:r w:rsidRPr="002A238E">
        <w:rPr>
          <w:rFonts w:ascii="Arial Narrow" w:hAnsi="Arial Narrow" w:cs="Arial"/>
          <w:iCs/>
          <w:snapToGrid w:val="0"/>
          <w:sz w:val="18"/>
          <w:lang w:eastAsia="en-US"/>
        </w:rPr>
        <w:t>ICER = Incremental Cost-Effectiveness Ratio</w:t>
      </w:r>
      <w:r>
        <w:rPr>
          <w:rFonts w:ascii="Arial Narrow" w:hAnsi="Arial Narrow" w:cs="Arial"/>
          <w:iCs/>
          <w:snapToGrid w:val="0"/>
          <w:sz w:val="18"/>
          <w:lang w:eastAsia="en-US"/>
        </w:rPr>
        <w:t xml:space="preserve">; </w:t>
      </w:r>
      <w:r w:rsidRPr="002A238E">
        <w:rPr>
          <w:rFonts w:ascii="Arial Narrow" w:hAnsi="Arial Narrow" w:cs="Arial"/>
          <w:iCs/>
          <w:snapToGrid w:val="0"/>
          <w:sz w:val="18"/>
          <w:lang w:eastAsia="en-US"/>
        </w:rPr>
        <w:t>IMVAD=</w:t>
      </w:r>
      <w:r w:rsidRPr="002A238E">
        <w:rPr>
          <w:rFonts w:ascii="Arial Narrow" w:hAnsi="Arial Narrow" w:cs="Arial"/>
          <w:i/>
          <w:iCs/>
          <w:snapToGrid w:val="0"/>
          <w:sz w:val="18"/>
          <w:lang w:eastAsia="en-US"/>
        </w:rPr>
        <w:t xml:space="preserve"> </w:t>
      </w:r>
      <w:r w:rsidRPr="002A238E">
        <w:rPr>
          <w:rFonts w:ascii="Arial Narrow" w:hAnsi="Arial Narrow" w:cs="Arial"/>
          <w:iCs/>
          <w:snapToGrid w:val="0"/>
          <w:sz w:val="18"/>
          <w:lang w:eastAsia="en-US"/>
        </w:rPr>
        <w:t>intravascular microaxial ventricular assist device</w:t>
      </w:r>
      <w:r>
        <w:rPr>
          <w:rFonts w:ascii="Arial Narrow" w:hAnsi="Arial Narrow" w:cs="Arial"/>
          <w:iCs/>
          <w:snapToGrid w:val="0"/>
          <w:sz w:val="18"/>
          <w:lang w:eastAsia="en-US"/>
        </w:rPr>
        <w:t xml:space="preserve">; </w:t>
      </w:r>
      <w:r w:rsidRPr="002A238E">
        <w:rPr>
          <w:rFonts w:ascii="Arial Narrow" w:hAnsi="Arial Narrow" w:cs="Arial"/>
          <w:iCs/>
          <w:snapToGrid w:val="0"/>
          <w:sz w:val="18"/>
          <w:lang w:eastAsia="en-US"/>
        </w:rPr>
        <w:t>QALY=quality-adjusted life years</w:t>
      </w:r>
    </w:p>
    <w:p w14:paraId="03851B43" w14:textId="7F4F1287" w:rsidR="008C2A2E" w:rsidRPr="002A238E" w:rsidRDefault="008C2A2E" w:rsidP="002F439F">
      <w:pPr>
        <w:spacing w:after="240"/>
        <w:jc w:val="both"/>
        <w:rPr>
          <w:rFonts w:ascii="Arial Narrow" w:hAnsi="Arial Narrow" w:cs="Arial"/>
          <w:iCs/>
          <w:snapToGrid w:val="0"/>
          <w:sz w:val="18"/>
          <w:lang w:eastAsia="en-US"/>
        </w:rPr>
      </w:pPr>
      <w:r>
        <w:rPr>
          <w:rFonts w:ascii="Arial Narrow" w:hAnsi="Arial Narrow" w:cs="Arial"/>
          <w:iCs/>
          <w:snapToGrid w:val="0"/>
          <w:sz w:val="18"/>
          <w:lang w:eastAsia="en-US"/>
        </w:rPr>
        <w:t>a Recalculated during the critique from the base c</w:t>
      </w:r>
      <w:r w:rsidR="002F439F">
        <w:rPr>
          <w:rFonts w:ascii="Arial Narrow" w:hAnsi="Arial Narrow" w:cs="Arial"/>
          <w:iCs/>
          <w:snapToGrid w:val="0"/>
          <w:sz w:val="18"/>
          <w:lang w:eastAsia="en-US"/>
        </w:rPr>
        <w:t>ase model provided with the SBA</w:t>
      </w:r>
    </w:p>
    <w:p w14:paraId="24738686" w14:textId="77777777" w:rsidR="008C2A2E" w:rsidRPr="00DC1117" w:rsidRDefault="008C2A2E" w:rsidP="00DC1117">
      <w:pPr>
        <w:rPr>
          <w:rFonts w:ascii="Arial Narrow" w:hAnsi="Arial Narrow"/>
          <w:b/>
          <w:sz w:val="20"/>
        </w:rPr>
      </w:pPr>
      <w:r w:rsidRPr="00DC1117">
        <w:rPr>
          <w:rFonts w:ascii="Arial Narrow" w:hAnsi="Arial Narrow"/>
          <w:b/>
          <w:sz w:val="20"/>
        </w:rPr>
        <w:t>Table 11</w:t>
      </w:r>
      <w:r w:rsidRPr="00DC1117">
        <w:rPr>
          <w:rFonts w:ascii="Arial Narrow" w:hAnsi="Arial Narrow"/>
          <w:b/>
          <w:sz w:val="20"/>
        </w:rPr>
        <w:tab/>
        <w:t>Model 3: Incremental costs and effectiveness of IMVAD compared to Standard of Care in RHF</w:t>
      </w:r>
    </w:p>
    <w:tbl>
      <w:tblPr>
        <w:tblStyle w:val="TableGrid2"/>
        <w:tblW w:w="5000"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397"/>
        <w:gridCol w:w="1317"/>
        <w:gridCol w:w="1316"/>
        <w:gridCol w:w="1316"/>
        <w:gridCol w:w="1318"/>
        <w:gridCol w:w="1352"/>
      </w:tblGrid>
      <w:tr w:rsidR="008C2A2E" w:rsidRPr="00FC4DAA" w14:paraId="46DB5387"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329" w:type="pct"/>
            <w:tcBorders>
              <w:bottom w:val="single" w:sz="4" w:space="0" w:color="auto"/>
            </w:tcBorders>
          </w:tcPr>
          <w:p w14:paraId="7EFC8A75" w14:textId="77777777" w:rsidR="008C2A2E" w:rsidRPr="00FC4DAA" w:rsidRDefault="008C2A2E" w:rsidP="008C2A2E">
            <w:pPr>
              <w:keepNext/>
              <w:spacing w:after="40"/>
              <w:jc w:val="both"/>
              <w:rPr>
                <w:rFonts w:ascii="Arial Narrow" w:hAnsi="Arial Narrow"/>
                <w:b/>
              </w:rPr>
            </w:pPr>
          </w:p>
        </w:tc>
        <w:tc>
          <w:tcPr>
            <w:tcW w:w="730" w:type="pct"/>
            <w:tcBorders>
              <w:bottom w:val="single" w:sz="4" w:space="0" w:color="auto"/>
            </w:tcBorders>
          </w:tcPr>
          <w:p w14:paraId="3958AB28" w14:textId="77777777" w:rsidR="008C2A2E" w:rsidRPr="00FC4DAA" w:rsidRDefault="008C2A2E" w:rsidP="008C2A2E">
            <w:pPr>
              <w:keepNext/>
              <w:spacing w:after="40"/>
              <w:jc w:val="both"/>
              <w:rPr>
                <w:rFonts w:ascii="Arial Narrow" w:hAnsi="Arial Narrow"/>
                <w:b/>
              </w:rPr>
            </w:pPr>
            <w:r w:rsidRPr="00FC4DAA">
              <w:rPr>
                <w:rFonts w:ascii="Arial Narrow" w:hAnsi="Arial Narrow"/>
                <w:b/>
              </w:rPr>
              <w:t>Cost</w:t>
            </w:r>
          </w:p>
        </w:tc>
        <w:tc>
          <w:tcPr>
            <w:tcW w:w="730" w:type="pct"/>
            <w:tcBorders>
              <w:bottom w:val="single" w:sz="4" w:space="0" w:color="auto"/>
            </w:tcBorders>
          </w:tcPr>
          <w:p w14:paraId="19AAF2BA"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Incremental cost</w:t>
            </w:r>
          </w:p>
        </w:tc>
        <w:tc>
          <w:tcPr>
            <w:tcW w:w="730" w:type="pct"/>
            <w:tcBorders>
              <w:bottom w:val="single" w:sz="4" w:space="0" w:color="auto"/>
            </w:tcBorders>
          </w:tcPr>
          <w:p w14:paraId="4E2E9134" w14:textId="77777777" w:rsidR="008C2A2E" w:rsidRPr="00FC4DAA" w:rsidRDefault="008C2A2E" w:rsidP="008C2A2E">
            <w:pPr>
              <w:keepNext/>
              <w:spacing w:after="40"/>
              <w:jc w:val="both"/>
              <w:rPr>
                <w:rFonts w:ascii="Arial Narrow" w:hAnsi="Arial Narrow"/>
                <w:b/>
              </w:rPr>
            </w:pPr>
            <w:r w:rsidRPr="00FC4DAA">
              <w:rPr>
                <w:rFonts w:ascii="Arial Narrow" w:hAnsi="Arial Narrow"/>
                <w:b/>
              </w:rPr>
              <w:t>Effectiveness (QALYs)</w:t>
            </w:r>
          </w:p>
        </w:tc>
        <w:tc>
          <w:tcPr>
            <w:tcW w:w="731" w:type="pct"/>
            <w:tcBorders>
              <w:bottom w:val="single" w:sz="4" w:space="0" w:color="auto"/>
            </w:tcBorders>
          </w:tcPr>
          <w:p w14:paraId="6B85443D"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Incremental effectiveness</w:t>
            </w:r>
          </w:p>
        </w:tc>
        <w:tc>
          <w:tcPr>
            <w:tcW w:w="750" w:type="pct"/>
            <w:tcBorders>
              <w:bottom w:val="single" w:sz="4" w:space="0" w:color="auto"/>
            </w:tcBorders>
          </w:tcPr>
          <w:p w14:paraId="7297DBE2" w14:textId="77777777" w:rsidR="008C2A2E" w:rsidRPr="00FC4DAA" w:rsidRDefault="008C2A2E" w:rsidP="008C2A2E">
            <w:pPr>
              <w:keepNext/>
              <w:spacing w:after="40"/>
              <w:jc w:val="both"/>
              <w:rPr>
                <w:rFonts w:ascii="Arial Narrow" w:hAnsi="Arial Narrow"/>
                <w:b/>
              </w:rPr>
            </w:pPr>
            <w:r w:rsidRPr="00FC4DAA">
              <w:rPr>
                <w:rFonts w:ascii="Arial Narrow" w:hAnsi="Arial Narrow"/>
                <w:b/>
              </w:rPr>
              <w:t>ICER</w:t>
            </w:r>
          </w:p>
        </w:tc>
      </w:tr>
      <w:tr w:rsidR="008C2A2E" w:rsidRPr="00FC4DAA" w14:paraId="10E67EB7" w14:textId="77777777" w:rsidTr="008C2A2E">
        <w:tc>
          <w:tcPr>
            <w:tcW w:w="1329" w:type="pct"/>
          </w:tcPr>
          <w:p w14:paraId="67204792" w14:textId="77777777" w:rsidR="008C2A2E" w:rsidRDefault="008C2A2E" w:rsidP="008C2A2E">
            <w:pPr>
              <w:spacing w:after="40"/>
              <w:jc w:val="both"/>
            </w:pPr>
            <w:r w:rsidRPr="00FC4DAA">
              <w:t>Standard of Care</w:t>
            </w:r>
          </w:p>
          <w:p w14:paraId="5C668A99" w14:textId="77777777" w:rsidR="008C2A2E" w:rsidRPr="00FC4DAA" w:rsidRDefault="008C2A2E" w:rsidP="008C2A2E">
            <w:pPr>
              <w:spacing w:after="40"/>
              <w:jc w:val="both"/>
            </w:pPr>
            <w:r w:rsidRPr="00E56C5D">
              <w:rPr>
                <w:i/>
              </w:rPr>
              <w:t>(ECM0 100%)</w:t>
            </w:r>
          </w:p>
        </w:tc>
        <w:tc>
          <w:tcPr>
            <w:tcW w:w="730" w:type="pct"/>
          </w:tcPr>
          <w:p w14:paraId="64DFF243" w14:textId="77777777" w:rsidR="008C2A2E" w:rsidRPr="00FE015F" w:rsidRDefault="008C2A2E" w:rsidP="008C2A2E">
            <w:pPr>
              <w:spacing w:after="40"/>
              <w:jc w:val="both"/>
            </w:pPr>
            <w:r w:rsidRPr="006B3328">
              <w:t>$162,561</w:t>
            </w:r>
          </w:p>
        </w:tc>
        <w:tc>
          <w:tcPr>
            <w:tcW w:w="730" w:type="pct"/>
          </w:tcPr>
          <w:p w14:paraId="7E5DD6A4" w14:textId="77777777" w:rsidR="008C2A2E" w:rsidRPr="00FC4DAA" w:rsidRDefault="008C2A2E" w:rsidP="008C2A2E">
            <w:pPr>
              <w:spacing w:after="40"/>
              <w:jc w:val="both"/>
            </w:pPr>
          </w:p>
        </w:tc>
        <w:tc>
          <w:tcPr>
            <w:tcW w:w="730" w:type="pct"/>
          </w:tcPr>
          <w:p w14:paraId="71005DC4" w14:textId="77777777" w:rsidR="008C2A2E" w:rsidRPr="00FC4DAA" w:rsidRDefault="008C2A2E" w:rsidP="008C2A2E">
            <w:pPr>
              <w:spacing w:after="40"/>
              <w:jc w:val="both"/>
            </w:pPr>
            <w:r w:rsidRPr="006B3328">
              <w:t>2.11</w:t>
            </w:r>
          </w:p>
        </w:tc>
        <w:tc>
          <w:tcPr>
            <w:tcW w:w="731" w:type="pct"/>
          </w:tcPr>
          <w:p w14:paraId="361A22B6" w14:textId="77777777" w:rsidR="008C2A2E" w:rsidRPr="00FC4DAA" w:rsidRDefault="008C2A2E" w:rsidP="008C2A2E">
            <w:pPr>
              <w:spacing w:after="40"/>
              <w:jc w:val="both"/>
            </w:pPr>
          </w:p>
        </w:tc>
        <w:tc>
          <w:tcPr>
            <w:tcW w:w="750" w:type="pct"/>
          </w:tcPr>
          <w:p w14:paraId="23B2795C" w14:textId="77777777" w:rsidR="008C2A2E" w:rsidRPr="00FC4DAA" w:rsidRDefault="008C2A2E" w:rsidP="008C2A2E">
            <w:pPr>
              <w:spacing w:after="40"/>
              <w:jc w:val="both"/>
            </w:pPr>
          </w:p>
        </w:tc>
      </w:tr>
      <w:tr w:rsidR="008C2A2E" w:rsidRPr="00FC4DAA" w14:paraId="46760120" w14:textId="77777777" w:rsidTr="008C2A2E">
        <w:tc>
          <w:tcPr>
            <w:tcW w:w="1329" w:type="pct"/>
          </w:tcPr>
          <w:p w14:paraId="7597E01C" w14:textId="77777777" w:rsidR="008C2A2E" w:rsidRPr="00FC4DAA" w:rsidRDefault="008C2A2E" w:rsidP="008C2A2E">
            <w:pPr>
              <w:spacing w:after="40"/>
              <w:jc w:val="both"/>
            </w:pPr>
            <w:r w:rsidRPr="00FC4DAA">
              <w:t>IMVAD</w:t>
            </w:r>
          </w:p>
        </w:tc>
        <w:tc>
          <w:tcPr>
            <w:tcW w:w="730" w:type="pct"/>
          </w:tcPr>
          <w:p w14:paraId="5E7D83C3" w14:textId="77777777" w:rsidR="008C2A2E" w:rsidRPr="006B3328" w:rsidRDefault="008C2A2E" w:rsidP="008C2A2E">
            <w:pPr>
              <w:spacing w:after="40"/>
              <w:jc w:val="both"/>
            </w:pPr>
            <w:r w:rsidRPr="006B3328">
              <w:t>$83,526</w:t>
            </w:r>
          </w:p>
        </w:tc>
        <w:tc>
          <w:tcPr>
            <w:tcW w:w="730" w:type="pct"/>
          </w:tcPr>
          <w:p w14:paraId="1034B7C5" w14:textId="77777777" w:rsidR="008C2A2E" w:rsidRPr="006B3328" w:rsidRDefault="008C2A2E" w:rsidP="008C2A2E">
            <w:pPr>
              <w:spacing w:after="40"/>
              <w:jc w:val="both"/>
            </w:pPr>
            <w:r w:rsidRPr="006B3328">
              <w:t>-$79,035</w:t>
            </w:r>
          </w:p>
        </w:tc>
        <w:tc>
          <w:tcPr>
            <w:tcW w:w="730" w:type="pct"/>
          </w:tcPr>
          <w:p w14:paraId="517AB192" w14:textId="77777777" w:rsidR="008C2A2E" w:rsidRPr="006B3328" w:rsidRDefault="008C2A2E" w:rsidP="008C2A2E">
            <w:pPr>
              <w:spacing w:after="40"/>
              <w:jc w:val="both"/>
            </w:pPr>
            <w:r w:rsidRPr="006B3328">
              <w:t>2.29</w:t>
            </w:r>
          </w:p>
        </w:tc>
        <w:tc>
          <w:tcPr>
            <w:tcW w:w="731" w:type="pct"/>
          </w:tcPr>
          <w:p w14:paraId="6AFAFFEF" w14:textId="77777777" w:rsidR="008C2A2E" w:rsidRPr="006B3328" w:rsidRDefault="008C2A2E" w:rsidP="008C2A2E">
            <w:pPr>
              <w:spacing w:after="40"/>
              <w:jc w:val="both"/>
            </w:pPr>
            <w:r w:rsidRPr="006B3328">
              <w:t>0.18</w:t>
            </w:r>
          </w:p>
        </w:tc>
        <w:tc>
          <w:tcPr>
            <w:tcW w:w="750" w:type="pct"/>
          </w:tcPr>
          <w:p w14:paraId="3A39621F" w14:textId="77777777" w:rsidR="008C2A2E" w:rsidRPr="004F4E75" w:rsidRDefault="008C2A2E" w:rsidP="008C2A2E">
            <w:pPr>
              <w:spacing w:after="40"/>
              <w:jc w:val="both"/>
            </w:pPr>
            <w:r w:rsidRPr="00286344">
              <w:t>Dominant</w:t>
            </w:r>
          </w:p>
        </w:tc>
      </w:tr>
    </w:tbl>
    <w:p w14:paraId="3D781747" w14:textId="680F377E" w:rsidR="008C2A2E" w:rsidRPr="002A238E" w:rsidRDefault="008C2A2E" w:rsidP="002F439F">
      <w:pPr>
        <w:spacing w:after="240"/>
        <w:jc w:val="both"/>
        <w:rPr>
          <w:rFonts w:ascii="Arial Narrow" w:hAnsi="Arial Narrow" w:cs="Arial"/>
          <w:iCs/>
          <w:snapToGrid w:val="0"/>
          <w:sz w:val="18"/>
          <w:lang w:eastAsia="en-US"/>
        </w:rPr>
      </w:pPr>
      <w:r w:rsidRPr="002A238E">
        <w:rPr>
          <w:rFonts w:ascii="Arial Narrow" w:hAnsi="Arial Narrow" w:cs="Arial"/>
          <w:iCs/>
          <w:snapToGrid w:val="0"/>
          <w:sz w:val="18"/>
          <w:lang w:eastAsia="en-US"/>
        </w:rPr>
        <w:t>ICER = Incremental Cost-Effectiveness Ratio</w:t>
      </w:r>
      <w:r>
        <w:rPr>
          <w:rFonts w:ascii="Arial Narrow" w:hAnsi="Arial Narrow" w:cs="Arial"/>
          <w:iCs/>
          <w:snapToGrid w:val="0"/>
          <w:sz w:val="18"/>
          <w:lang w:eastAsia="en-US"/>
        </w:rPr>
        <w:t xml:space="preserve">; </w:t>
      </w:r>
      <w:r w:rsidRPr="002A238E">
        <w:rPr>
          <w:rFonts w:ascii="Arial Narrow" w:hAnsi="Arial Narrow" w:cs="Arial"/>
          <w:iCs/>
          <w:snapToGrid w:val="0"/>
          <w:sz w:val="18"/>
          <w:lang w:eastAsia="en-US"/>
        </w:rPr>
        <w:t>IMVAD=</w:t>
      </w:r>
      <w:r w:rsidRPr="002A238E">
        <w:rPr>
          <w:rFonts w:ascii="Arial Narrow" w:hAnsi="Arial Narrow" w:cs="Arial"/>
          <w:i/>
          <w:iCs/>
          <w:snapToGrid w:val="0"/>
          <w:sz w:val="18"/>
          <w:lang w:eastAsia="en-US"/>
        </w:rPr>
        <w:t xml:space="preserve"> </w:t>
      </w:r>
      <w:r w:rsidRPr="002A238E">
        <w:rPr>
          <w:rFonts w:ascii="Arial Narrow" w:hAnsi="Arial Narrow" w:cs="Arial"/>
          <w:iCs/>
          <w:snapToGrid w:val="0"/>
          <w:sz w:val="18"/>
          <w:lang w:eastAsia="en-US"/>
        </w:rPr>
        <w:t>intravascular microaxial ventricular assist device</w:t>
      </w:r>
      <w:r>
        <w:rPr>
          <w:rFonts w:ascii="Arial Narrow" w:hAnsi="Arial Narrow" w:cs="Arial"/>
          <w:iCs/>
          <w:snapToGrid w:val="0"/>
          <w:sz w:val="18"/>
          <w:lang w:eastAsia="en-US"/>
        </w:rPr>
        <w:t xml:space="preserve">; </w:t>
      </w:r>
      <w:r w:rsidRPr="002A238E">
        <w:rPr>
          <w:rFonts w:ascii="Arial Narrow" w:hAnsi="Arial Narrow" w:cs="Arial"/>
          <w:iCs/>
          <w:snapToGrid w:val="0"/>
          <w:sz w:val="18"/>
          <w:lang w:eastAsia="en-US"/>
        </w:rPr>
        <w:t>QALY=quality-adjusted life years</w:t>
      </w:r>
    </w:p>
    <w:p w14:paraId="020B0CDA" w14:textId="495CB275" w:rsidR="008C2A2E" w:rsidRDefault="008C2A2E" w:rsidP="002F439F">
      <w:pPr>
        <w:keepNext/>
        <w:keepLines/>
        <w:spacing w:after="240"/>
      </w:pPr>
      <w:r>
        <w:t xml:space="preserve">The Critique stated multiple </w:t>
      </w:r>
      <w:r w:rsidRPr="00502CDA">
        <w:rPr>
          <w:iCs/>
        </w:rPr>
        <w:t xml:space="preserve">errors were identified in aspects of the economic model structure, inputs and assumptions. </w:t>
      </w:r>
      <w:r>
        <w:t xml:space="preserve">The Critique provided a </w:t>
      </w:r>
      <w:r w:rsidRPr="00BE6758">
        <w:t>list of</w:t>
      </w:r>
      <w:r>
        <w:t xml:space="preserve"> the model</w:t>
      </w:r>
      <w:r w:rsidRPr="00BE6758">
        <w:t xml:space="preserve"> issues </w:t>
      </w:r>
      <w:r>
        <w:t xml:space="preserve">in Table 12. </w:t>
      </w:r>
      <w:r w:rsidRPr="00AA1710">
        <w:rPr>
          <w:i/>
        </w:rPr>
        <w:t>For ease of understanding what changes were made by the Applicant, a bri</w:t>
      </w:r>
      <w:r w:rsidR="00342009">
        <w:rPr>
          <w:i/>
        </w:rPr>
        <w:t>ef summary of the applicant Pre-</w:t>
      </w:r>
      <w:r w:rsidRPr="00AA1710">
        <w:rPr>
          <w:i/>
        </w:rPr>
        <w:t>ESC response is included below (shaded in Table 12).</w:t>
      </w:r>
    </w:p>
    <w:p w14:paraId="7CF8A803" w14:textId="77777777" w:rsidR="008C2A2E" w:rsidRPr="00DC1117" w:rsidRDefault="008C2A2E" w:rsidP="00DC1117">
      <w:pPr>
        <w:rPr>
          <w:rFonts w:ascii="Arial Narrow" w:hAnsi="Arial Narrow"/>
          <w:b/>
          <w:sz w:val="20"/>
        </w:rPr>
      </w:pPr>
      <w:bookmarkStart w:id="14" w:name="_Ref16771197"/>
      <w:bookmarkStart w:id="15" w:name="_Toc399251127"/>
      <w:r w:rsidRPr="00DC1117">
        <w:rPr>
          <w:rFonts w:ascii="Arial Narrow" w:hAnsi="Arial Narrow"/>
          <w:b/>
          <w:sz w:val="20"/>
        </w:rPr>
        <w:t>Table</w:t>
      </w:r>
      <w:bookmarkEnd w:id="14"/>
      <w:r w:rsidRPr="00DC1117">
        <w:rPr>
          <w:rFonts w:ascii="Arial Narrow" w:hAnsi="Arial Narrow"/>
          <w:b/>
          <w:sz w:val="20"/>
        </w:rPr>
        <w:t xml:space="preserve"> 12</w:t>
      </w:r>
      <w:r w:rsidRPr="00DC1117">
        <w:rPr>
          <w:rFonts w:ascii="Arial Narrow" w:hAnsi="Arial Narrow"/>
          <w:b/>
          <w:sz w:val="20"/>
        </w:rPr>
        <w:tab/>
        <w:t>Changes which should be made to a base case evaluation</w:t>
      </w:r>
      <w:bookmarkEnd w:id="15"/>
      <w:r w:rsidRPr="00DC1117">
        <w:rPr>
          <w:rFonts w:ascii="Arial Narrow" w:hAnsi="Arial Narrow"/>
          <w:b/>
          <w:sz w:val="20"/>
        </w:rPr>
        <w:t xml:space="preserve"> (raised in Critique)</w:t>
      </w:r>
    </w:p>
    <w:tbl>
      <w:tblPr>
        <w:tblStyle w:val="TableGrid1"/>
        <w:tblW w:w="5000" w:type="pct"/>
        <w:tblCellMar>
          <w:left w:w="28" w:type="dxa"/>
          <w:right w:w="28" w:type="dxa"/>
        </w:tblCellMar>
        <w:tblLook w:val="04A0" w:firstRow="1" w:lastRow="0" w:firstColumn="1" w:lastColumn="0" w:noHBand="0" w:noVBand="1"/>
        <w:tblCaption w:val="Table 12 Changes which should be made to a base case evaluation (raised in Critique)"/>
        <w:tblDescription w:val="Critique's summary of modelling issues"/>
      </w:tblPr>
      <w:tblGrid>
        <w:gridCol w:w="1801"/>
        <w:gridCol w:w="1801"/>
        <w:gridCol w:w="1801"/>
        <w:gridCol w:w="1802"/>
        <w:gridCol w:w="1811"/>
      </w:tblGrid>
      <w:tr w:rsidR="008C2A2E" w:rsidRPr="00FC4DAA" w14:paraId="1B6536A6"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000" w:type="pct"/>
            <w:tcBorders>
              <w:bottom w:val="single" w:sz="4" w:space="0" w:color="auto"/>
            </w:tcBorders>
          </w:tcPr>
          <w:p w14:paraId="6A526A5C" w14:textId="77777777" w:rsidR="008C2A2E" w:rsidRPr="00FC4DAA" w:rsidRDefault="008C2A2E" w:rsidP="008C2A2E">
            <w:pPr>
              <w:keepNext/>
              <w:keepLines/>
              <w:spacing w:after="40"/>
              <w:ind w:left="176"/>
              <w:rPr>
                <w:b/>
                <w:bCs/>
              </w:rPr>
            </w:pPr>
            <w:r w:rsidRPr="00FC4DAA">
              <w:rPr>
                <w:b/>
                <w:bCs/>
              </w:rPr>
              <w:t>Issue</w:t>
            </w:r>
          </w:p>
        </w:tc>
        <w:tc>
          <w:tcPr>
            <w:tcW w:w="1000" w:type="pct"/>
            <w:tcBorders>
              <w:bottom w:val="single" w:sz="4" w:space="0" w:color="auto"/>
            </w:tcBorders>
          </w:tcPr>
          <w:p w14:paraId="76C73225" w14:textId="77777777" w:rsidR="008C2A2E" w:rsidRPr="00FC4DAA" w:rsidRDefault="008C2A2E" w:rsidP="008C2A2E">
            <w:pPr>
              <w:keepNext/>
              <w:keepLines/>
              <w:spacing w:after="40"/>
              <w:ind w:left="176"/>
              <w:rPr>
                <w:b/>
                <w:bCs/>
              </w:rPr>
            </w:pPr>
            <w:r w:rsidRPr="00FC4DAA">
              <w:rPr>
                <w:b/>
                <w:bCs/>
              </w:rPr>
              <w:t>Current</w:t>
            </w:r>
          </w:p>
        </w:tc>
        <w:tc>
          <w:tcPr>
            <w:tcW w:w="1000" w:type="pct"/>
            <w:tcBorders>
              <w:bottom w:val="single" w:sz="4" w:space="0" w:color="auto"/>
            </w:tcBorders>
          </w:tcPr>
          <w:p w14:paraId="52DBB6C4" w14:textId="77777777" w:rsidR="008C2A2E" w:rsidRPr="00FC4DAA" w:rsidRDefault="008C2A2E" w:rsidP="008C2A2E">
            <w:pPr>
              <w:keepNext/>
              <w:keepLines/>
              <w:spacing w:after="40"/>
              <w:ind w:left="176"/>
              <w:rPr>
                <w:b/>
                <w:bCs/>
              </w:rPr>
            </w:pPr>
            <w:r w:rsidRPr="00FC4DAA">
              <w:rPr>
                <w:b/>
                <w:bCs/>
              </w:rPr>
              <w:t>Change to be made</w:t>
            </w:r>
          </w:p>
        </w:tc>
        <w:tc>
          <w:tcPr>
            <w:tcW w:w="1000" w:type="pct"/>
            <w:tcBorders>
              <w:bottom w:val="single" w:sz="4" w:space="0" w:color="auto"/>
            </w:tcBorders>
          </w:tcPr>
          <w:p w14:paraId="51FF6AD3" w14:textId="77777777" w:rsidR="008C2A2E" w:rsidRPr="00FC4DAA" w:rsidRDefault="008C2A2E" w:rsidP="008C2A2E">
            <w:pPr>
              <w:keepNext/>
              <w:keepLines/>
              <w:spacing w:after="40"/>
              <w:ind w:left="176"/>
              <w:rPr>
                <w:b/>
                <w:bCs/>
              </w:rPr>
            </w:pPr>
            <w:r w:rsidRPr="00FC4DAA">
              <w:rPr>
                <w:b/>
                <w:bCs/>
              </w:rPr>
              <w:t>Comment</w:t>
            </w:r>
          </w:p>
        </w:tc>
        <w:tc>
          <w:tcPr>
            <w:tcW w:w="1000" w:type="pct"/>
            <w:tcBorders>
              <w:bottom w:val="single" w:sz="4" w:space="0" w:color="auto"/>
            </w:tcBorders>
            <w:shd w:val="clear" w:color="auto" w:fill="D9D9D9" w:themeFill="background1" w:themeFillShade="D9"/>
          </w:tcPr>
          <w:p w14:paraId="4EB1F086" w14:textId="77777777" w:rsidR="008C2A2E" w:rsidRPr="00FC7E1C" w:rsidRDefault="008C2A2E" w:rsidP="008C2A2E">
            <w:pPr>
              <w:keepNext/>
              <w:keepLines/>
              <w:spacing w:after="40"/>
              <w:rPr>
                <w:b/>
                <w:bCs/>
                <w:vertAlign w:val="superscript"/>
              </w:rPr>
            </w:pPr>
            <w:r>
              <w:rPr>
                <w:b/>
                <w:bCs/>
              </w:rPr>
              <w:t>Applicant-Pre ESC response</w:t>
            </w:r>
            <w:r>
              <w:rPr>
                <w:b/>
                <w:bCs/>
                <w:vertAlign w:val="superscript"/>
              </w:rPr>
              <w:t>a</w:t>
            </w:r>
          </w:p>
        </w:tc>
      </w:tr>
      <w:tr w:rsidR="008C2A2E" w:rsidRPr="00FC4DAA" w14:paraId="28B1C4F9" w14:textId="77777777" w:rsidTr="008C2A2E">
        <w:tc>
          <w:tcPr>
            <w:tcW w:w="1000" w:type="pct"/>
            <w:tcBorders>
              <w:right w:val="nil"/>
            </w:tcBorders>
          </w:tcPr>
          <w:p w14:paraId="14EE3C59" w14:textId="77777777" w:rsidR="008C2A2E" w:rsidRPr="00FC4DAA" w:rsidRDefault="008C2A2E" w:rsidP="008C2A2E">
            <w:pPr>
              <w:keepNext/>
              <w:keepLines/>
              <w:spacing w:after="40"/>
              <w:ind w:left="176"/>
              <w:rPr>
                <w:b/>
                <w:bCs/>
              </w:rPr>
            </w:pPr>
            <w:r w:rsidRPr="00FC4DAA">
              <w:rPr>
                <w:b/>
                <w:bCs/>
              </w:rPr>
              <w:t>Model inputs</w:t>
            </w:r>
          </w:p>
        </w:tc>
        <w:tc>
          <w:tcPr>
            <w:tcW w:w="1000" w:type="pct"/>
            <w:tcBorders>
              <w:left w:val="nil"/>
              <w:right w:val="nil"/>
            </w:tcBorders>
          </w:tcPr>
          <w:p w14:paraId="128DE519" w14:textId="77777777" w:rsidR="008C2A2E" w:rsidRPr="00FC4DAA" w:rsidRDefault="008C2A2E" w:rsidP="008C2A2E">
            <w:pPr>
              <w:keepNext/>
              <w:keepLines/>
              <w:spacing w:after="40"/>
              <w:ind w:left="176"/>
            </w:pPr>
          </w:p>
        </w:tc>
        <w:tc>
          <w:tcPr>
            <w:tcW w:w="1000" w:type="pct"/>
            <w:tcBorders>
              <w:left w:val="nil"/>
              <w:right w:val="single" w:sz="4" w:space="0" w:color="auto"/>
            </w:tcBorders>
          </w:tcPr>
          <w:p w14:paraId="689A9D7D" w14:textId="77777777" w:rsidR="008C2A2E" w:rsidRPr="00FC4DAA" w:rsidRDefault="008C2A2E" w:rsidP="008C2A2E">
            <w:pPr>
              <w:keepNext/>
              <w:keepLines/>
              <w:spacing w:after="40"/>
              <w:ind w:left="176"/>
            </w:pPr>
          </w:p>
        </w:tc>
        <w:tc>
          <w:tcPr>
            <w:tcW w:w="1000" w:type="pct"/>
            <w:tcBorders>
              <w:left w:val="single" w:sz="4" w:space="0" w:color="auto"/>
              <w:right w:val="single" w:sz="4" w:space="0" w:color="auto"/>
            </w:tcBorders>
          </w:tcPr>
          <w:p w14:paraId="0E98A11A" w14:textId="77777777" w:rsidR="008C2A2E" w:rsidRPr="00FC4DAA" w:rsidRDefault="008C2A2E" w:rsidP="008C2A2E">
            <w:pPr>
              <w:keepNext/>
              <w:keepLines/>
              <w:spacing w:after="40"/>
              <w:ind w:left="176"/>
            </w:pPr>
          </w:p>
        </w:tc>
        <w:tc>
          <w:tcPr>
            <w:tcW w:w="1000" w:type="pct"/>
            <w:tcBorders>
              <w:left w:val="single" w:sz="4" w:space="0" w:color="auto"/>
              <w:right w:val="single" w:sz="4" w:space="0" w:color="auto"/>
            </w:tcBorders>
            <w:shd w:val="clear" w:color="auto" w:fill="D9D9D9" w:themeFill="background1" w:themeFillShade="D9"/>
          </w:tcPr>
          <w:p w14:paraId="10690A03" w14:textId="77777777" w:rsidR="008C2A2E" w:rsidRPr="00FC4DAA" w:rsidRDefault="008C2A2E" w:rsidP="008C2A2E">
            <w:pPr>
              <w:keepNext/>
              <w:keepLines/>
              <w:spacing w:after="40"/>
              <w:ind w:left="176"/>
            </w:pPr>
          </w:p>
        </w:tc>
      </w:tr>
      <w:tr w:rsidR="008C2A2E" w:rsidRPr="00FC4DAA" w14:paraId="439666FE" w14:textId="77777777" w:rsidTr="008C2A2E">
        <w:trPr>
          <w:trHeight w:val="990"/>
        </w:trPr>
        <w:tc>
          <w:tcPr>
            <w:tcW w:w="1000" w:type="pct"/>
            <w:tcBorders>
              <w:bottom w:val="nil"/>
            </w:tcBorders>
          </w:tcPr>
          <w:p w14:paraId="46DE3A8E" w14:textId="77777777" w:rsidR="008C2A2E" w:rsidRPr="00FC4DAA" w:rsidRDefault="008C2A2E" w:rsidP="008C2A2E">
            <w:pPr>
              <w:keepNext/>
              <w:keepLines/>
              <w:spacing w:after="40"/>
              <w:ind w:left="176"/>
            </w:pPr>
            <w:r w:rsidRPr="00FC4DAA">
              <w:t>Proportion of ECMO used in standard of care arm</w:t>
            </w:r>
          </w:p>
        </w:tc>
        <w:tc>
          <w:tcPr>
            <w:tcW w:w="1000" w:type="pct"/>
            <w:tcBorders>
              <w:bottom w:val="nil"/>
            </w:tcBorders>
          </w:tcPr>
          <w:p w14:paraId="567938F8" w14:textId="77777777" w:rsidR="008C2A2E" w:rsidRPr="00FC4DAA" w:rsidRDefault="008C2A2E" w:rsidP="008C2A2E">
            <w:pPr>
              <w:keepNext/>
              <w:keepLines/>
              <w:spacing w:after="40"/>
              <w:ind w:left="176"/>
            </w:pPr>
            <w:r w:rsidRPr="00FC4DAA">
              <w:t>38%</w:t>
            </w:r>
          </w:p>
        </w:tc>
        <w:tc>
          <w:tcPr>
            <w:tcW w:w="1000" w:type="pct"/>
            <w:tcBorders>
              <w:bottom w:val="nil"/>
            </w:tcBorders>
          </w:tcPr>
          <w:p w14:paraId="038B64B4" w14:textId="77777777" w:rsidR="008C2A2E" w:rsidRPr="00FC4DAA" w:rsidRDefault="008C2A2E" w:rsidP="008C2A2E">
            <w:pPr>
              <w:keepNext/>
              <w:keepLines/>
              <w:spacing w:after="40"/>
              <w:ind w:left="176"/>
            </w:pPr>
            <w:r w:rsidRPr="00FC4DAA">
              <w:t>0%</w:t>
            </w:r>
          </w:p>
        </w:tc>
        <w:tc>
          <w:tcPr>
            <w:tcW w:w="1000" w:type="pct"/>
            <w:tcBorders>
              <w:bottom w:val="nil"/>
            </w:tcBorders>
          </w:tcPr>
          <w:p w14:paraId="15A3025E" w14:textId="77777777" w:rsidR="008C2A2E" w:rsidRPr="00FC4DAA" w:rsidRDefault="008C2A2E" w:rsidP="008C2A2E">
            <w:pPr>
              <w:keepNext/>
              <w:keepLines/>
              <w:spacing w:after="40"/>
              <w:ind w:left="176"/>
            </w:pPr>
            <w:r w:rsidRPr="00FC4DAA">
              <w:t>The use of ECMO for HR</w:t>
            </w:r>
            <w:r>
              <w:t>-</w:t>
            </w:r>
            <w:r w:rsidRPr="00FC4DAA">
              <w:t>PCI in the Australian setting is unclear.</w:t>
            </w:r>
          </w:p>
        </w:tc>
        <w:tc>
          <w:tcPr>
            <w:tcW w:w="1000" w:type="pct"/>
            <w:tcBorders>
              <w:bottom w:val="nil"/>
            </w:tcBorders>
            <w:shd w:val="clear" w:color="auto" w:fill="D9D9D9" w:themeFill="background1" w:themeFillShade="D9"/>
          </w:tcPr>
          <w:p w14:paraId="299E93BC" w14:textId="77777777" w:rsidR="008C2A2E" w:rsidRPr="00FC4DAA" w:rsidRDefault="008C2A2E" w:rsidP="008C2A2E">
            <w:pPr>
              <w:keepNext/>
              <w:keepLines/>
              <w:spacing w:after="40"/>
            </w:pPr>
            <w:r>
              <w:t xml:space="preserve">Argue ECMO is treatment choice for HR-PCI, CS and RHF. Cite Australian 2019 study in HR-PCI with small numbers (n=15) </w:t>
            </w:r>
          </w:p>
        </w:tc>
      </w:tr>
      <w:tr w:rsidR="008C2A2E" w:rsidRPr="00FC4DAA" w14:paraId="2C05E434" w14:textId="77777777" w:rsidTr="008C2A2E">
        <w:trPr>
          <w:trHeight w:val="1800"/>
        </w:trPr>
        <w:tc>
          <w:tcPr>
            <w:tcW w:w="1000" w:type="pct"/>
            <w:tcBorders>
              <w:top w:val="nil"/>
              <w:bottom w:val="nil"/>
            </w:tcBorders>
          </w:tcPr>
          <w:p w14:paraId="7BF9F3FD" w14:textId="77777777" w:rsidR="008C2A2E" w:rsidRPr="00FC4DAA" w:rsidRDefault="008C2A2E" w:rsidP="008C2A2E">
            <w:pPr>
              <w:keepNext/>
              <w:keepLines/>
              <w:spacing w:after="40"/>
              <w:ind w:left="176"/>
            </w:pPr>
          </w:p>
        </w:tc>
        <w:tc>
          <w:tcPr>
            <w:tcW w:w="1000" w:type="pct"/>
            <w:tcBorders>
              <w:top w:val="nil"/>
              <w:bottom w:val="nil"/>
            </w:tcBorders>
          </w:tcPr>
          <w:p w14:paraId="3F122952" w14:textId="77777777" w:rsidR="008C2A2E" w:rsidRPr="00FC4DAA" w:rsidRDefault="008C2A2E" w:rsidP="008C2A2E">
            <w:pPr>
              <w:keepNext/>
              <w:keepLines/>
              <w:spacing w:after="40"/>
              <w:ind w:left="176"/>
            </w:pPr>
          </w:p>
        </w:tc>
        <w:tc>
          <w:tcPr>
            <w:tcW w:w="1000" w:type="pct"/>
            <w:tcBorders>
              <w:top w:val="nil"/>
              <w:bottom w:val="nil"/>
            </w:tcBorders>
          </w:tcPr>
          <w:p w14:paraId="36C804BC" w14:textId="77777777" w:rsidR="008C2A2E" w:rsidRPr="00FC4DAA" w:rsidRDefault="008C2A2E" w:rsidP="008C2A2E">
            <w:pPr>
              <w:keepNext/>
              <w:keepLines/>
              <w:spacing w:after="40"/>
              <w:ind w:left="176"/>
            </w:pPr>
          </w:p>
        </w:tc>
        <w:tc>
          <w:tcPr>
            <w:tcW w:w="1000" w:type="pct"/>
            <w:tcBorders>
              <w:top w:val="nil"/>
              <w:bottom w:val="nil"/>
            </w:tcBorders>
          </w:tcPr>
          <w:p w14:paraId="326A60E3" w14:textId="77777777" w:rsidR="008C2A2E" w:rsidRPr="00FC4DAA" w:rsidRDefault="008C2A2E" w:rsidP="008C2A2E">
            <w:pPr>
              <w:keepNext/>
              <w:keepLines/>
              <w:spacing w:after="40"/>
              <w:ind w:left="176"/>
            </w:pPr>
            <w:r w:rsidRPr="00FC4DAA">
              <w:t>The normalisation of transition probabilities is inappropriate and may underestimate the amount of MACCE in the model</w:t>
            </w:r>
            <w:r>
              <w:t>.</w:t>
            </w:r>
          </w:p>
        </w:tc>
        <w:tc>
          <w:tcPr>
            <w:tcW w:w="1000" w:type="pct"/>
            <w:tcBorders>
              <w:top w:val="nil"/>
              <w:bottom w:val="nil"/>
            </w:tcBorders>
            <w:shd w:val="clear" w:color="auto" w:fill="D9D9D9" w:themeFill="background1" w:themeFillShade="D9"/>
          </w:tcPr>
          <w:p w14:paraId="3613ADF8" w14:textId="77777777" w:rsidR="008C2A2E" w:rsidRDefault="008C2A2E" w:rsidP="008C2A2E">
            <w:pPr>
              <w:keepNext/>
              <w:keepLines/>
              <w:spacing w:after="40"/>
            </w:pPr>
            <w:r>
              <w:t>Argue this method is normal practice in these situations.</w:t>
            </w:r>
          </w:p>
        </w:tc>
      </w:tr>
      <w:tr w:rsidR="008C2A2E" w:rsidRPr="00FC4DAA" w14:paraId="21883B0D" w14:textId="77777777" w:rsidTr="008C2A2E">
        <w:trPr>
          <w:trHeight w:val="1770"/>
        </w:trPr>
        <w:tc>
          <w:tcPr>
            <w:tcW w:w="1000" w:type="pct"/>
            <w:tcBorders>
              <w:top w:val="nil"/>
            </w:tcBorders>
          </w:tcPr>
          <w:p w14:paraId="791061F3" w14:textId="77777777" w:rsidR="008C2A2E" w:rsidRPr="00FC4DAA" w:rsidRDefault="008C2A2E" w:rsidP="008C2A2E">
            <w:pPr>
              <w:keepNext/>
              <w:keepLines/>
              <w:spacing w:after="40"/>
              <w:ind w:left="176"/>
            </w:pPr>
          </w:p>
        </w:tc>
        <w:tc>
          <w:tcPr>
            <w:tcW w:w="1000" w:type="pct"/>
            <w:tcBorders>
              <w:top w:val="nil"/>
            </w:tcBorders>
          </w:tcPr>
          <w:p w14:paraId="048A96ED" w14:textId="77777777" w:rsidR="008C2A2E" w:rsidRPr="00FC4DAA" w:rsidRDefault="008C2A2E" w:rsidP="008C2A2E">
            <w:pPr>
              <w:keepNext/>
              <w:keepLines/>
              <w:spacing w:after="40"/>
              <w:ind w:left="176"/>
            </w:pPr>
          </w:p>
        </w:tc>
        <w:tc>
          <w:tcPr>
            <w:tcW w:w="1000" w:type="pct"/>
            <w:tcBorders>
              <w:top w:val="nil"/>
            </w:tcBorders>
          </w:tcPr>
          <w:p w14:paraId="53CCA816" w14:textId="77777777" w:rsidR="008C2A2E" w:rsidRPr="00FC4DAA" w:rsidRDefault="008C2A2E" w:rsidP="008C2A2E">
            <w:pPr>
              <w:keepNext/>
              <w:keepLines/>
              <w:spacing w:after="40"/>
              <w:ind w:left="176"/>
            </w:pPr>
          </w:p>
        </w:tc>
        <w:tc>
          <w:tcPr>
            <w:tcW w:w="1000" w:type="pct"/>
            <w:tcBorders>
              <w:top w:val="nil"/>
            </w:tcBorders>
          </w:tcPr>
          <w:p w14:paraId="6D59315A" w14:textId="77777777" w:rsidR="008C2A2E" w:rsidRPr="00FC4DAA" w:rsidRDefault="008C2A2E" w:rsidP="008C2A2E">
            <w:pPr>
              <w:keepNext/>
              <w:keepLines/>
              <w:spacing w:after="40"/>
              <w:ind w:left="176"/>
            </w:pPr>
            <w:r w:rsidRPr="00FC4DAA">
              <w:t>The assumption in the model that no patient is free from an MACCE following HR</w:t>
            </w:r>
            <w:r>
              <w:t>-</w:t>
            </w:r>
            <w:r w:rsidRPr="00FC4DAA">
              <w:t>PCI with ECMO is uncertain and inappropriate.</w:t>
            </w:r>
          </w:p>
        </w:tc>
        <w:tc>
          <w:tcPr>
            <w:tcW w:w="1000" w:type="pct"/>
            <w:tcBorders>
              <w:top w:val="nil"/>
            </w:tcBorders>
            <w:shd w:val="clear" w:color="auto" w:fill="D9D9D9" w:themeFill="background1" w:themeFillShade="D9"/>
          </w:tcPr>
          <w:p w14:paraId="11C72FFA" w14:textId="77777777" w:rsidR="008C2A2E" w:rsidRDefault="008C2A2E" w:rsidP="008C2A2E">
            <w:pPr>
              <w:keepNext/>
              <w:keepLines/>
              <w:spacing w:after="40"/>
            </w:pPr>
            <w:r>
              <w:t>I</w:t>
            </w:r>
            <w:r w:rsidRPr="00051600">
              <w:t>dentified studies report high incidence of MACCE, specifically bleeding and acute renal disease (both &gt;60%), reducing the likelihood of patients supported with ECMO experiencing “no MACCE</w:t>
            </w:r>
            <w:r>
              <w:t>.</w:t>
            </w:r>
          </w:p>
        </w:tc>
      </w:tr>
      <w:tr w:rsidR="008C2A2E" w:rsidRPr="00FC4DAA" w14:paraId="50A4CB40" w14:textId="77777777" w:rsidTr="008C2A2E">
        <w:tc>
          <w:tcPr>
            <w:tcW w:w="1000" w:type="pct"/>
            <w:tcBorders>
              <w:bottom w:val="single" w:sz="4" w:space="0" w:color="auto"/>
            </w:tcBorders>
          </w:tcPr>
          <w:p w14:paraId="024E222A" w14:textId="77777777" w:rsidR="008C2A2E" w:rsidRPr="00FC4DAA" w:rsidRDefault="008C2A2E" w:rsidP="008C2A2E">
            <w:pPr>
              <w:spacing w:after="40"/>
              <w:ind w:left="176"/>
            </w:pPr>
            <w:r w:rsidRPr="00FC4DAA">
              <w:t>LOS ICU IABP</w:t>
            </w:r>
          </w:p>
        </w:tc>
        <w:tc>
          <w:tcPr>
            <w:tcW w:w="1000" w:type="pct"/>
            <w:tcBorders>
              <w:bottom w:val="single" w:sz="4" w:space="0" w:color="auto"/>
            </w:tcBorders>
          </w:tcPr>
          <w:p w14:paraId="0A8160D4" w14:textId="77777777" w:rsidR="008C2A2E" w:rsidRPr="00FC4DAA" w:rsidRDefault="008C2A2E" w:rsidP="008C2A2E">
            <w:pPr>
              <w:spacing w:after="40"/>
              <w:ind w:left="176"/>
            </w:pPr>
            <w:r w:rsidRPr="00FC4DAA">
              <w:t>0.6 days specified in SBA but 9 days used in model</w:t>
            </w:r>
          </w:p>
        </w:tc>
        <w:tc>
          <w:tcPr>
            <w:tcW w:w="1000" w:type="pct"/>
            <w:tcBorders>
              <w:bottom w:val="single" w:sz="4" w:space="0" w:color="auto"/>
            </w:tcBorders>
          </w:tcPr>
          <w:p w14:paraId="206C6802" w14:textId="77777777" w:rsidR="008C2A2E" w:rsidRPr="00FC4DAA" w:rsidRDefault="008C2A2E" w:rsidP="008C2A2E">
            <w:pPr>
              <w:spacing w:after="40"/>
              <w:ind w:left="176"/>
            </w:pPr>
            <w:r w:rsidRPr="00FC4DAA">
              <w:t>0.6 days</w:t>
            </w:r>
          </w:p>
        </w:tc>
        <w:tc>
          <w:tcPr>
            <w:tcW w:w="1000" w:type="pct"/>
            <w:tcBorders>
              <w:bottom w:val="single" w:sz="4" w:space="0" w:color="auto"/>
            </w:tcBorders>
          </w:tcPr>
          <w:p w14:paraId="79DEC7AA" w14:textId="77777777" w:rsidR="008C2A2E" w:rsidRPr="00FC4DAA" w:rsidRDefault="008C2A2E" w:rsidP="008C2A2E">
            <w:pPr>
              <w:spacing w:after="40"/>
              <w:ind w:left="176"/>
            </w:pPr>
            <w:r w:rsidRPr="00FC4DAA">
              <w:t>Input error in Tree Age</w:t>
            </w:r>
          </w:p>
        </w:tc>
        <w:tc>
          <w:tcPr>
            <w:tcW w:w="1000" w:type="pct"/>
            <w:tcBorders>
              <w:bottom w:val="single" w:sz="4" w:space="0" w:color="auto"/>
            </w:tcBorders>
            <w:shd w:val="clear" w:color="auto" w:fill="D9D9D9" w:themeFill="background1" w:themeFillShade="D9"/>
          </w:tcPr>
          <w:p w14:paraId="729EC97E" w14:textId="77777777" w:rsidR="008C2A2E" w:rsidRPr="00FC4DAA" w:rsidRDefault="008C2A2E" w:rsidP="008C2A2E">
            <w:pPr>
              <w:spacing w:after="40"/>
            </w:pPr>
            <w:r>
              <w:t>Artifact of SA. Insist ICER based on correct value (9 days).</w:t>
            </w:r>
          </w:p>
        </w:tc>
      </w:tr>
      <w:tr w:rsidR="008C2A2E" w:rsidRPr="00FC4DAA" w14:paraId="23E90029" w14:textId="77777777" w:rsidTr="008C2A2E">
        <w:tc>
          <w:tcPr>
            <w:tcW w:w="1000" w:type="pct"/>
            <w:tcBorders>
              <w:bottom w:val="single" w:sz="4" w:space="0" w:color="auto"/>
            </w:tcBorders>
          </w:tcPr>
          <w:p w14:paraId="5D16466B" w14:textId="77777777" w:rsidR="008C2A2E" w:rsidRPr="009F3C48" w:rsidRDefault="008C2A2E" w:rsidP="008C2A2E">
            <w:pPr>
              <w:spacing w:after="40"/>
              <w:ind w:left="176"/>
            </w:pPr>
            <w:r w:rsidRPr="009F3C48">
              <w:lastRenderedPageBreak/>
              <w:t>IMVAD price</w:t>
            </w:r>
          </w:p>
        </w:tc>
        <w:tc>
          <w:tcPr>
            <w:tcW w:w="1000" w:type="pct"/>
            <w:tcBorders>
              <w:bottom w:val="single" w:sz="4" w:space="0" w:color="auto"/>
            </w:tcBorders>
          </w:tcPr>
          <w:p w14:paraId="3A984D7D" w14:textId="5C940DFF" w:rsidR="008C2A2E" w:rsidRPr="009F3C48" w:rsidRDefault="008C2A2E" w:rsidP="00585748">
            <w:pPr>
              <w:spacing w:after="40"/>
              <w:ind w:left="176"/>
            </w:pPr>
            <w:r w:rsidRPr="009F3C48">
              <w:t>$</w:t>
            </w:r>
            <w:r w:rsidR="00585748" w:rsidRPr="009F3C48">
              <w:t>redacted</w:t>
            </w:r>
            <w:r w:rsidRPr="009F3C48">
              <w:t xml:space="preserve"> in SBA, $</w:t>
            </w:r>
            <w:r w:rsidR="00585748" w:rsidRPr="009F3C48">
              <w:t>redacted</w:t>
            </w:r>
            <w:r w:rsidRPr="009F3C48">
              <w:t xml:space="preserve"> in model</w:t>
            </w:r>
          </w:p>
        </w:tc>
        <w:tc>
          <w:tcPr>
            <w:tcW w:w="1000" w:type="pct"/>
            <w:tcBorders>
              <w:bottom w:val="single" w:sz="4" w:space="0" w:color="auto"/>
            </w:tcBorders>
          </w:tcPr>
          <w:p w14:paraId="7FE18D59" w14:textId="77777777" w:rsidR="008C2A2E" w:rsidRPr="009F3C48" w:rsidRDefault="008C2A2E" w:rsidP="008C2A2E">
            <w:pPr>
              <w:spacing w:after="40"/>
              <w:ind w:left="176"/>
            </w:pPr>
          </w:p>
        </w:tc>
        <w:tc>
          <w:tcPr>
            <w:tcW w:w="1000" w:type="pct"/>
            <w:tcBorders>
              <w:bottom w:val="single" w:sz="4" w:space="0" w:color="auto"/>
            </w:tcBorders>
          </w:tcPr>
          <w:p w14:paraId="0AF8807A" w14:textId="77777777" w:rsidR="008C2A2E" w:rsidRPr="009F3C48" w:rsidRDefault="008C2A2E" w:rsidP="008C2A2E">
            <w:pPr>
              <w:spacing w:after="40"/>
              <w:ind w:left="176"/>
            </w:pPr>
            <w:r w:rsidRPr="009F3C48">
              <w:t>Sponsor to confirm which price is to be used</w:t>
            </w:r>
          </w:p>
        </w:tc>
        <w:tc>
          <w:tcPr>
            <w:tcW w:w="1000" w:type="pct"/>
            <w:tcBorders>
              <w:bottom w:val="single" w:sz="4" w:space="0" w:color="auto"/>
            </w:tcBorders>
            <w:shd w:val="clear" w:color="auto" w:fill="D9D9D9" w:themeFill="background1" w:themeFillShade="D9"/>
          </w:tcPr>
          <w:p w14:paraId="7A658695" w14:textId="36E9DADC" w:rsidR="008C2A2E" w:rsidRPr="00FC4DAA" w:rsidRDefault="008C2A2E" w:rsidP="00585748">
            <w:pPr>
              <w:spacing w:after="40"/>
            </w:pPr>
            <w:r w:rsidRPr="009F3C48">
              <w:t>Artifact of SA. ICER based on correct value ($</w:t>
            </w:r>
            <w:r w:rsidR="00585748" w:rsidRPr="009F3C48">
              <w:t>redacted</w:t>
            </w:r>
            <w:r w:rsidRPr="009F3C48">
              <w:t>)</w:t>
            </w:r>
          </w:p>
        </w:tc>
      </w:tr>
      <w:tr w:rsidR="008C2A2E" w:rsidRPr="00FC4DAA" w14:paraId="7EB3EE44" w14:textId="77777777" w:rsidTr="008C2A2E">
        <w:tc>
          <w:tcPr>
            <w:tcW w:w="1000" w:type="pct"/>
            <w:tcBorders>
              <w:bottom w:val="single" w:sz="4" w:space="0" w:color="auto"/>
            </w:tcBorders>
          </w:tcPr>
          <w:p w14:paraId="3CB7EC74" w14:textId="77777777" w:rsidR="008C2A2E" w:rsidRPr="00FC4DAA" w:rsidRDefault="008C2A2E" w:rsidP="008C2A2E">
            <w:pPr>
              <w:spacing w:after="40"/>
              <w:ind w:left="176"/>
            </w:pPr>
            <w:r w:rsidRPr="00FC4DAA">
              <w:t>Costs (all)</w:t>
            </w:r>
          </w:p>
        </w:tc>
        <w:tc>
          <w:tcPr>
            <w:tcW w:w="1000" w:type="pct"/>
            <w:tcBorders>
              <w:bottom w:val="single" w:sz="4" w:space="0" w:color="auto"/>
            </w:tcBorders>
          </w:tcPr>
          <w:p w14:paraId="76F6E385" w14:textId="77777777" w:rsidR="008C2A2E" w:rsidRPr="00FC4DAA" w:rsidRDefault="008C2A2E" w:rsidP="008C2A2E">
            <w:pPr>
              <w:spacing w:after="40"/>
              <w:ind w:left="176"/>
            </w:pPr>
            <w:r w:rsidRPr="00FC4DAA">
              <w:t>No attempt to adjust to current price year</w:t>
            </w:r>
          </w:p>
        </w:tc>
        <w:tc>
          <w:tcPr>
            <w:tcW w:w="1000" w:type="pct"/>
            <w:tcBorders>
              <w:bottom w:val="single" w:sz="4" w:space="0" w:color="auto"/>
            </w:tcBorders>
          </w:tcPr>
          <w:p w14:paraId="78836D29" w14:textId="77777777" w:rsidR="008C2A2E" w:rsidRPr="00FC4DAA" w:rsidRDefault="008C2A2E" w:rsidP="008C2A2E">
            <w:pPr>
              <w:spacing w:after="40"/>
              <w:ind w:left="176"/>
            </w:pPr>
            <w:r w:rsidRPr="00FC4DAA">
              <w:t>Adjust to current price year</w:t>
            </w:r>
          </w:p>
        </w:tc>
        <w:tc>
          <w:tcPr>
            <w:tcW w:w="1000" w:type="pct"/>
            <w:tcBorders>
              <w:bottom w:val="single" w:sz="4" w:space="0" w:color="auto"/>
            </w:tcBorders>
          </w:tcPr>
          <w:p w14:paraId="64FFA3DF" w14:textId="77777777" w:rsidR="008C2A2E" w:rsidRPr="00FC4DAA" w:rsidRDefault="008C2A2E" w:rsidP="008C2A2E">
            <w:pPr>
              <w:spacing w:after="40"/>
              <w:ind w:left="176"/>
            </w:pPr>
            <w:r w:rsidRPr="00FC4DAA">
              <w:t xml:space="preserve">The costs listed in </w:t>
            </w:r>
            <w:r>
              <w:t>Table 31</w:t>
            </w:r>
            <w:r w:rsidRPr="00FC4DAA">
              <w:t xml:space="preserve"> are from a variety of international sources and outdated local sources. Consistency is needed with prices converted to a recent common price year.</w:t>
            </w:r>
          </w:p>
        </w:tc>
        <w:tc>
          <w:tcPr>
            <w:tcW w:w="1000" w:type="pct"/>
            <w:tcBorders>
              <w:bottom w:val="single" w:sz="4" w:space="0" w:color="auto"/>
            </w:tcBorders>
            <w:shd w:val="clear" w:color="auto" w:fill="D9D9D9" w:themeFill="background1" w:themeFillShade="D9"/>
          </w:tcPr>
          <w:p w14:paraId="3E3E8418" w14:textId="77777777" w:rsidR="008C2A2E" w:rsidRDefault="008C2A2E" w:rsidP="008C2A2E">
            <w:pPr>
              <w:spacing w:after="40"/>
            </w:pPr>
            <w:r>
              <w:t>Cost of post-MAACE in Table 178 of SBA were adjusted by CPI to 2019 AUD.</w:t>
            </w:r>
          </w:p>
          <w:p w14:paraId="7F5E5DA3" w14:textId="77777777" w:rsidR="008C2A2E" w:rsidRPr="00FC4DAA" w:rsidRDefault="008C2A2E" w:rsidP="008C2A2E">
            <w:pPr>
              <w:spacing w:after="40"/>
            </w:pPr>
            <w:r>
              <w:t>Updated costs</w:t>
            </w:r>
          </w:p>
          <w:tbl>
            <w:tblPr>
              <w:tblStyle w:val="TableGrid"/>
              <w:tblW w:w="0" w:type="auto"/>
              <w:tblCellMar>
                <w:left w:w="28" w:type="dxa"/>
                <w:right w:w="28" w:type="dxa"/>
              </w:tblCellMar>
              <w:tblLook w:val="04A0" w:firstRow="1" w:lastRow="0" w:firstColumn="1" w:lastColumn="0" w:noHBand="0" w:noVBand="1"/>
              <w:tblCaption w:val="Costs (all)"/>
              <w:tblDescription w:val="Critique's summary of issues with costs used in SBAs model "/>
            </w:tblPr>
            <w:tblGrid>
              <w:gridCol w:w="1096"/>
              <w:gridCol w:w="649"/>
            </w:tblGrid>
            <w:tr w:rsidR="008C2A2E" w14:paraId="468B8C22" w14:textId="77777777" w:rsidTr="00DC1117">
              <w:trPr>
                <w:tblHeader/>
              </w:trPr>
              <w:tc>
                <w:tcPr>
                  <w:tcW w:w="868" w:type="dxa"/>
                </w:tcPr>
                <w:p w14:paraId="623B3D02" w14:textId="77777777" w:rsidR="008C2A2E" w:rsidRDefault="008C2A2E" w:rsidP="008C2A2E">
                  <w:pPr>
                    <w:pStyle w:val="Tabletext0"/>
                  </w:pPr>
                  <w:r>
                    <w:t>ECMO hospitalisation cost/day</w:t>
                  </w:r>
                </w:p>
              </w:tc>
              <w:tc>
                <w:tcPr>
                  <w:tcW w:w="869" w:type="dxa"/>
                </w:tcPr>
                <w:p w14:paraId="15A06D3D" w14:textId="77777777" w:rsidR="008C2A2E" w:rsidRDefault="008C2A2E" w:rsidP="008C2A2E">
                  <w:pPr>
                    <w:pStyle w:val="Tabletext0"/>
                  </w:pPr>
                  <w:r>
                    <w:t>$2,489</w:t>
                  </w:r>
                </w:p>
              </w:tc>
            </w:tr>
            <w:tr w:rsidR="008C2A2E" w14:paraId="5BA5C133" w14:textId="77777777" w:rsidTr="008C2A2E">
              <w:tc>
                <w:tcPr>
                  <w:tcW w:w="868" w:type="dxa"/>
                </w:tcPr>
                <w:p w14:paraId="728BDF6C" w14:textId="77777777" w:rsidR="008C2A2E" w:rsidRDefault="008C2A2E" w:rsidP="008C2A2E">
                  <w:pPr>
                    <w:pStyle w:val="Tabletext0"/>
                  </w:pPr>
                  <w:r>
                    <w:t>ECMO ICU cost/day</w:t>
                  </w:r>
                </w:p>
              </w:tc>
              <w:tc>
                <w:tcPr>
                  <w:tcW w:w="869" w:type="dxa"/>
                </w:tcPr>
                <w:p w14:paraId="7B0721B9" w14:textId="77777777" w:rsidR="008C2A2E" w:rsidRDefault="008C2A2E" w:rsidP="008C2A2E">
                  <w:pPr>
                    <w:pStyle w:val="Tabletext0"/>
                  </w:pPr>
                  <w:r>
                    <w:t>$9,445</w:t>
                  </w:r>
                </w:p>
              </w:tc>
            </w:tr>
            <w:tr w:rsidR="008C2A2E" w14:paraId="24AA5ABE" w14:textId="77777777" w:rsidTr="008C2A2E">
              <w:tc>
                <w:tcPr>
                  <w:tcW w:w="868" w:type="dxa"/>
                </w:tcPr>
                <w:p w14:paraId="00F19946" w14:textId="77777777" w:rsidR="008C2A2E" w:rsidRDefault="008C2A2E" w:rsidP="008C2A2E">
                  <w:pPr>
                    <w:pStyle w:val="Tabletext0"/>
                  </w:pPr>
                  <w:r>
                    <w:t>Stroke</w:t>
                  </w:r>
                </w:p>
              </w:tc>
              <w:tc>
                <w:tcPr>
                  <w:tcW w:w="869" w:type="dxa"/>
                </w:tcPr>
                <w:p w14:paraId="4F91BA71" w14:textId="77777777" w:rsidR="008C2A2E" w:rsidRDefault="008C2A2E" w:rsidP="008C2A2E">
                  <w:pPr>
                    <w:pStyle w:val="Tabletext0"/>
                  </w:pPr>
                  <w:r>
                    <w:t>$23,264</w:t>
                  </w:r>
                </w:p>
              </w:tc>
            </w:tr>
            <w:tr w:rsidR="008C2A2E" w14:paraId="1FEBCAEC" w14:textId="77777777" w:rsidTr="008C2A2E">
              <w:tc>
                <w:tcPr>
                  <w:tcW w:w="868" w:type="dxa"/>
                </w:tcPr>
                <w:p w14:paraId="3667FA39" w14:textId="77777777" w:rsidR="008C2A2E" w:rsidRDefault="008C2A2E" w:rsidP="008C2A2E">
                  <w:pPr>
                    <w:pStyle w:val="Tabletext0"/>
                  </w:pPr>
                  <w:r>
                    <w:t>AMI</w:t>
                  </w:r>
                </w:p>
              </w:tc>
              <w:tc>
                <w:tcPr>
                  <w:tcW w:w="869" w:type="dxa"/>
                </w:tcPr>
                <w:p w14:paraId="4DF73652" w14:textId="77777777" w:rsidR="008C2A2E" w:rsidRDefault="008C2A2E" w:rsidP="008C2A2E">
                  <w:pPr>
                    <w:pStyle w:val="Tabletext0"/>
                  </w:pPr>
                  <w:r>
                    <w:t>$21,555</w:t>
                  </w:r>
                </w:p>
              </w:tc>
            </w:tr>
            <w:tr w:rsidR="008C2A2E" w14:paraId="61B7A4E3" w14:textId="77777777" w:rsidTr="008C2A2E">
              <w:tc>
                <w:tcPr>
                  <w:tcW w:w="868" w:type="dxa"/>
                  <w:tcBorders>
                    <w:bottom w:val="single" w:sz="4" w:space="0" w:color="auto"/>
                  </w:tcBorders>
                </w:tcPr>
                <w:p w14:paraId="33D47F20" w14:textId="77777777" w:rsidR="008C2A2E" w:rsidRDefault="008C2A2E" w:rsidP="008C2A2E">
                  <w:pPr>
                    <w:pStyle w:val="Tabletext0"/>
                  </w:pPr>
                  <w:r>
                    <w:t>Acute kidney failure</w:t>
                  </w:r>
                </w:p>
              </w:tc>
              <w:tc>
                <w:tcPr>
                  <w:tcW w:w="869" w:type="dxa"/>
                  <w:tcBorders>
                    <w:bottom w:val="single" w:sz="4" w:space="0" w:color="auto"/>
                  </w:tcBorders>
                </w:tcPr>
                <w:p w14:paraId="7A1DBBB9" w14:textId="77777777" w:rsidR="008C2A2E" w:rsidRDefault="008C2A2E" w:rsidP="008C2A2E">
                  <w:pPr>
                    <w:pStyle w:val="Tabletext0"/>
                  </w:pPr>
                  <w:r>
                    <w:t>$4,626</w:t>
                  </w:r>
                </w:p>
              </w:tc>
            </w:tr>
            <w:tr w:rsidR="008C2A2E" w14:paraId="59DDD41F" w14:textId="77777777" w:rsidTr="008C2A2E">
              <w:tc>
                <w:tcPr>
                  <w:tcW w:w="868" w:type="dxa"/>
                  <w:tcBorders>
                    <w:top w:val="single" w:sz="4" w:space="0" w:color="auto"/>
                    <w:left w:val="single" w:sz="4" w:space="0" w:color="auto"/>
                    <w:bottom w:val="single" w:sz="4" w:space="0" w:color="auto"/>
                    <w:right w:val="nil"/>
                  </w:tcBorders>
                </w:tcPr>
                <w:p w14:paraId="5D3D7BE5" w14:textId="77777777" w:rsidR="008C2A2E" w:rsidRDefault="008C2A2E" w:rsidP="008C2A2E">
                  <w:pPr>
                    <w:pStyle w:val="Tabletext0"/>
                  </w:pPr>
                  <w:r>
                    <w:t>Post MAACE</w:t>
                  </w:r>
                </w:p>
              </w:tc>
              <w:tc>
                <w:tcPr>
                  <w:tcW w:w="869" w:type="dxa"/>
                  <w:tcBorders>
                    <w:top w:val="single" w:sz="4" w:space="0" w:color="auto"/>
                    <w:left w:val="nil"/>
                    <w:bottom w:val="single" w:sz="4" w:space="0" w:color="auto"/>
                    <w:right w:val="single" w:sz="4" w:space="0" w:color="auto"/>
                  </w:tcBorders>
                </w:tcPr>
                <w:p w14:paraId="1AC6DB75" w14:textId="77777777" w:rsidR="008C2A2E" w:rsidRDefault="008C2A2E" w:rsidP="008C2A2E">
                  <w:pPr>
                    <w:pStyle w:val="Tabletext0"/>
                  </w:pPr>
                  <w:r>
                    <w:t>/year</w:t>
                  </w:r>
                </w:p>
              </w:tc>
            </w:tr>
            <w:tr w:rsidR="008C2A2E" w14:paraId="0155833E" w14:textId="77777777" w:rsidTr="008C2A2E">
              <w:tc>
                <w:tcPr>
                  <w:tcW w:w="868" w:type="dxa"/>
                  <w:tcBorders>
                    <w:top w:val="single" w:sz="4" w:space="0" w:color="auto"/>
                    <w:bottom w:val="single" w:sz="4" w:space="0" w:color="auto"/>
                  </w:tcBorders>
                </w:tcPr>
                <w:p w14:paraId="2E1F8114" w14:textId="77777777" w:rsidR="008C2A2E" w:rsidRDefault="008C2A2E" w:rsidP="008C2A2E">
                  <w:pPr>
                    <w:pStyle w:val="Tabletext0"/>
                  </w:pPr>
                  <w:r>
                    <w:t>Post MCS</w:t>
                  </w:r>
                </w:p>
              </w:tc>
              <w:tc>
                <w:tcPr>
                  <w:tcW w:w="869" w:type="dxa"/>
                  <w:tcBorders>
                    <w:top w:val="single" w:sz="4" w:space="0" w:color="auto"/>
                    <w:bottom w:val="single" w:sz="4" w:space="0" w:color="auto"/>
                  </w:tcBorders>
                </w:tcPr>
                <w:p w14:paraId="09A7B19D" w14:textId="77777777" w:rsidR="008C2A2E" w:rsidRDefault="008C2A2E" w:rsidP="008C2A2E">
                  <w:pPr>
                    <w:pStyle w:val="Tabletext0"/>
                  </w:pPr>
                  <w:r>
                    <w:t>$3,475</w:t>
                  </w:r>
                </w:p>
              </w:tc>
            </w:tr>
            <w:tr w:rsidR="008C2A2E" w14:paraId="47B26911" w14:textId="77777777" w:rsidTr="008C2A2E">
              <w:tc>
                <w:tcPr>
                  <w:tcW w:w="868" w:type="dxa"/>
                  <w:tcBorders>
                    <w:top w:val="single" w:sz="4" w:space="0" w:color="auto"/>
                    <w:bottom w:val="single" w:sz="4" w:space="0" w:color="auto"/>
                  </w:tcBorders>
                </w:tcPr>
                <w:p w14:paraId="4898A5A2" w14:textId="77777777" w:rsidR="008C2A2E" w:rsidRDefault="008C2A2E" w:rsidP="008C2A2E">
                  <w:pPr>
                    <w:pStyle w:val="Tabletext0"/>
                  </w:pPr>
                  <w:r>
                    <w:t>Post-stroke</w:t>
                  </w:r>
                </w:p>
              </w:tc>
              <w:tc>
                <w:tcPr>
                  <w:tcW w:w="869" w:type="dxa"/>
                  <w:tcBorders>
                    <w:top w:val="single" w:sz="4" w:space="0" w:color="auto"/>
                    <w:bottom w:val="single" w:sz="4" w:space="0" w:color="auto"/>
                  </w:tcBorders>
                </w:tcPr>
                <w:p w14:paraId="231715F7" w14:textId="77777777" w:rsidR="008C2A2E" w:rsidRDefault="008C2A2E" w:rsidP="008C2A2E">
                  <w:pPr>
                    <w:pStyle w:val="Tabletext0"/>
                  </w:pPr>
                  <w:r>
                    <w:t>$10,790</w:t>
                  </w:r>
                </w:p>
              </w:tc>
            </w:tr>
            <w:tr w:rsidR="008C2A2E" w14:paraId="2753DA42" w14:textId="77777777" w:rsidTr="008C2A2E">
              <w:tc>
                <w:tcPr>
                  <w:tcW w:w="868" w:type="dxa"/>
                  <w:tcBorders>
                    <w:top w:val="single" w:sz="4" w:space="0" w:color="auto"/>
                    <w:bottom w:val="single" w:sz="4" w:space="0" w:color="auto"/>
                  </w:tcBorders>
                </w:tcPr>
                <w:p w14:paraId="22757DD4" w14:textId="77777777" w:rsidR="008C2A2E" w:rsidRDefault="008C2A2E" w:rsidP="008C2A2E">
                  <w:pPr>
                    <w:pStyle w:val="Tabletext0"/>
                  </w:pPr>
                  <w:r>
                    <w:t>Post AMI</w:t>
                  </w:r>
                </w:p>
              </w:tc>
              <w:tc>
                <w:tcPr>
                  <w:tcW w:w="869" w:type="dxa"/>
                  <w:tcBorders>
                    <w:top w:val="single" w:sz="4" w:space="0" w:color="auto"/>
                    <w:bottom w:val="single" w:sz="4" w:space="0" w:color="auto"/>
                  </w:tcBorders>
                </w:tcPr>
                <w:p w14:paraId="106900E4" w14:textId="77777777" w:rsidR="008C2A2E" w:rsidRDefault="008C2A2E" w:rsidP="008C2A2E">
                  <w:pPr>
                    <w:pStyle w:val="Tabletext0"/>
                  </w:pPr>
                  <w:r>
                    <w:t>$3,864</w:t>
                  </w:r>
                </w:p>
              </w:tc>
            </w:tr>
            <w:tr w:rsidR="008C2A2E" w14:paraId="50AE982C" w14:textId="77777777" w:rsidTr="008C2A2E">
              <w:tc>
                <w:tcPr>
                  <w:tcW w:w="868" w:type="dxa"/>
                  <w:tcBorders>
                    <w:top w:val="single" w:sz="4" w:space="0" w:color="auto"/>
                  </w:tcBorders>
                </w:tcPr>
                <w:p w14:paraId="56E8EEFE" w14:textId="77777777" w:rsidR="008C2A2E" w:rsidRDefault="008C2A2E" w:rsidP="008C2A2E">
                  <w:pPr>
                    <w:pStyle w:val="Tabletext0"/>
                  </w:pPr>
                  <w:r>
                    <w:t>Post HF</w:t>
                  </w:r>
                </w:p>
              </w:tc>
              <w:tc>
                <w:tcPr>
                  <w:tcW w:w="869" w:type="dxa"/>
                  <w:tcBorders>
                    <w:top w:val="single" w:sz="4" w:space="0" w:color="auto"/>
                  </w:tcBorders>
                </w:tcPr>
                <w:p w14:paraId="41255805" w14:textId="77777777" w:rsidR="008C2A2E" w:rsidRDefault="008C2A2E" w:rsidP="008C2A2E">
                  <w:pPr>
                    <w:pStyle w:val="Tabletext0"/>
                  </w:pPr>
                  <w:r>
                    <w:t>$7,387</w:t>
                  </w:r>
                </w:p>
              </w:tc>
            </w:tr>
          </w:tbl>
          <w:p w14:paraId="5510C073" w14:textId="77777777" w:rsidR="008C2A2E" w:rsidRPr="00FC4DAA" w:rsidRDefault="008C2A2E" w:rsidP="008C2A2E">
            <w:pPr>
              <w:spacing w:after="40"/>
            </w:pPr>
          </w:p>
        </w:tc>
      </w:tr>
      <w:tr w:rsidR="008C2A2E" w:rsidRPr="00FC4DAA" w14:paraId="1A27F3FA" w14:textId="77777777" w:rsidTr="008C2A2E">
        <w:tc>
          <w:tcPr>
            <w:tcW w:w="1000" w:type="pct"/>
            <w:tcBorders>
              <w:bottom w:val="single" w:sz="4" w:space="0" w:color="auto"/>
            </w:tcBorders>
          </w:tcPr>
          <w:p w14:paraId="57C89585" w14:textId="77777777" w:rsidR="008C2A2E" w:rsidRPr="00FC4DAA" w:rsidRDefault="008C2A2E" w:rsidP="008C2A2E">
            <w:pPr>
              <w:spacing w:after="40"/>
              <w:ind w:left="176"/>
            </w:pPr>
            <w:r w:rsidRPr="00FC4DAA">
              <w:t>Transition Probabilities</w:t>
            </w:r>
          </w:p>
        </w:tc>
        <w:tc>
          <w:tcPr>
            <w:tcW w:w="1000" w:type="pct"/>
            <w:tcBorders>
              <w:bottom w:val="single" w:sz="4" w:space="0" w:color="auto"/>
            </w:tcBorders>
          </w:tcPr>
          <w:p w14:paraId="451D0208" w14:textId="77777777" w:rsidR="008C2A2E" w:rsidRPr="00FC4DAA" w:rsidRDefault="008C2A2E" w:rsidP="008C2A2E">
            <w:pPr>
              <w:spacing w:after="40"/>
              <w:ind w:left="176"/>
            </w:pPr>
            <w:r w:rsidRPr="00FC4DAA">
              <w:t>Mix of PP and ITT data from O’Neill 2012</w:t>
            </w:r>
          </w:p>
        </w:tc>
        <w:tc>
          <w:tcPr>
            <w:tcW w:w="1000" w:type="pct"/>
            <w:tcBorders>
              <w:bottom w:val="single" w:sz="4" w:space="0" w:color="auto"/>
            </w:tcBorders>
          </w:tcPr>
          <w:p w14:paraId="04E3CA45" w14:textId="77777777" w:rsidR="008C2A2E" w:rsidRPr="00FC4DAA" w:rsidRDefault="008C2A2E" w:rsidP="008C2A2E">
            <w:pPr>
              <w:spacing w:after="40"/>
              <w:ind w:left="176"/>
            </w:pPr>
            <w:r w:rsidRPr="00FC4DAA">
              <w:t>ITT data from O’Neill 2012</w:t>
            </w:r>
          </w:p>
        </w:tc>
        <w:tc>
          <w:tcPr>
            <w:tcW w:w="1000" w:type="pct"/>
            <w:tcBorders>
              <w:bottom w:val="single" w:sz="4" w:space="0" w:color="auto"/>
            </w:tcBorders>
          </w:tcPr>
          <w:p w14:paraId="31D378FB" w14:textId="77777777" w:rsidR="008C2A2E" w:rsidRPr="00FC4DAA" w:rsidRDefault="008C2A2E" w:rsidP="008C2A2E">
            <w:pPr>
              <w:spacing w:after="40"/>
              <w:ind w:left="176"/>
            </w:pPr>
            <w:r w:rsidRPr="00FC4DAA">
              <w:t>There is no consistency in the choice of analyses to inform transition probabilities from O’Neill 2012.</w:t>
            </w:r>
          </w:p>
          <w:p w14:paraId="18D50CB4" w14:textId="77777777" w:rsidR="008C2A2E" w:rsidRPr="00FC4DAA" w:rsidRDefault="008C2A2E" w:rsidP="008C2A2E">
            <w:pPr>
              <w:spacing w:after="40"/>
              <w:ind w:left="176"/>
            </w:pPr>
            <w:r w:rsidRPr="00FC4DAA">
              <w:t>The argument in the SBA that the PP analysis was chosen for 30 day mortality due to the results of the ITT analysis not favouring IMVAD is inappropriate.</w:t>
            </w:r>
          </w:p>
        </w:tc>
        <w:tc>
          <w:tcPr>
            <w:tcW w:w="1000" w:type="pct"/>
            <w:tcBorders>
              <w:bottom w:val="single" w:sz="4" w:space="0" w:color="auto"/>
            </w:tcBorders>
            <w:shd w:val="clear" w:color="auto" w:fill="D9D9D9" w:themeFill="background1" w:themeFillShade="D9"/>
          </w:tcPr>
          <w:p w14:paraId="40550EDC" w14:textId="77777777" w:rsidR="008C2A2E" w:rsidRPr="00FC4DAA" w:rsidRDefault="008C2A2E" w:rsidP="008C2A2E">
            <w:pPr>
              <w:spacing w:after="40"/>
            </w:pPr>
            <w:r>
              <w:t>PP chosen (for HR-PCI patients) as it included 427 patients who met the protocol mandated eligibility criteria. Further, use of ITT v</w:t>
            </w:r>
            <w:r w:rsidRPr="00FC7E1C">
              <w:t>alue for strok</w:t>
            </w:r>
            <w:r>
              <w:t>e for the Impella supported arm was of little consequence</w:t>
            </w:r>
            <w:r w:rsidRPr="00FC7E1C">
              <w:t xml:space="preserve"> to the result as risk of stroke in both the ITT and PP populations in the PROTECT II trial were reported to be zero.</w:t>
            </w:r>
          </w:p>
        </w:tc>
      </w:tr>
      <w:tr w:rsidR="008C2A2E" w:rsidRPr="00FC4DAA" w14:paraId="373677DE" w14:textId="77777777" w:rsidTr="008C2A2E">
        <w:tc>
          <w:tcPr>
            <w:tcW w:w="1000" w:type="pct"/>
            <w:tcBorders>
              <w:bottom w:val="single" w:sz="4" w:space="0" w:color="auto"/>
            </w:tcBorders>
          </w:tcPr>
          <w:p w14:paraId="09C7806F" w14:textId="77777777" w:rsidR="008C2A2E" w:rsidRPr="00FC4DAA" w:rsidRDefault="008C2A2E" w:rsidP="008C2A2E">
            <w:pPr>
              <w:spacing w:after="40"/>
              <w:ind w:left="176"/>
            </w:pPr>
            <w:r w:rsidRPr="00FC4DAA">
              <w:t>Bleeding Utility</w:t>
            </w:r>
          </w:p>
        </w:tc>
        <w:tc>
          <w:tcPr>
            <w:tcW w:w="1000" w:type="pct"/>
            <w:tcBorders>
              <w:bottom w:val="single" w:sz="4" w:space="0" w:color="auto"/>
            </w:tcBorders>
          </w:tcPr>
          <w:p w14:paraId="4596E828" w14:textId="77777777" w:rsidR="008C2A2E" w:rsidRPr="00FC4DAA" w:rsidRDefault="008C2A2E" w:rsidP="008C2A2E">
            <w:pPr>
              <w:spacing w:after="40"/>
              <w:ind w:left="176"/>
            </w:pPr>
            <w:r w:rsidRPr="00FC4DAA">
              <w:t>0.30</w:t>
            </w:r>
          </w:p>
        </w:tc>
        <w:tc>
          <w:tcPr>
            <w:tcW w:w="1000" w:type="pct"/>
            <w:tcBorders>
              <w:bottom w:val="single" w:sz="4" w:space="0" w:color="auto"/>
            </w:tcBorders>
          </w:tcPr>
          <w:p w14:paraId="49552B76" w14:textId="77777777" w:rsidR="008C2A2E" w:rsidRPr="00FC4DAA" w:rsidRDefault="008C2A2E" w:rsidP="008C2A2E">
            <w:pPr>
              <w:spacing w:after="40"/>
              <w:ind w:left="176"/>
            </w:pPr>
            <w:r w:rsidRPr="00FC4DAA">
              <w:t>0.70</w:t>
            </w:r>
          </w:p>
        </w:tc>
        <w:tc>
          <w:tcPr>
            <w:tcW w:w="1000" w:type="pct"/>
            <w:tcBorders>
              <w:bottom w:val="single" w:sz="4" w:space="0" w:color="auto"/>
            </w:tcBorders>
          </w:tcPr>
          <w:p w14:paraId="63711B0B" w14:textId="77777777" w:rsidR="008C2A2E" w:rsidRPr="00FC4DAA" w:rsidRDefault="008C2A2E" w:rsidP="008C2A2E">
            <w:pPr>
              <w:spacing w:after="40"/>
              <w:ind w:left="176"/>
            </w:pPr>
            <w:r w:rsidRPr="00FC4DAA">
              <w:t xml:space="preserve">The utility value chosen was as assumption used in Roos 2013. </w:t>
            </w:r>
          </w:p>
          <w:p w14:paraId="05275249" w14:textId="77777777" w:rsidR="008C2A2E" w:rsidRPr="00FC4DAA" w:rsidRDefault="008C2A2E" w:rsidP="008C2A2E">
            <w:pPr>
              <w:spacing w:after="40"/>
              <w:ind w:left="176"/>
            </w:pPr>
            <w:r w:rsidRPr="00FC4DAA">
              <w:t>The approach used in OHTA 2017 may be more accurate.</w:t>
            </w:r>
          </w:p>
        </w:tc>
        <w:tc>
          <w:tcPr>
            <w:tcW w:w="1000" w:type="pct"/>
            <w:tcBorders>
              <w:bottom w:val="single" w:sz="4" w:space="0" w:color="auto"/>
            </w:tcBorders>
            <w:shd w:val="clear" w:color="auto" w:fill="D9D9D9" w:themeFill="background1" w:themeFillShade="D9"/>
          </w:tcPr>
          <w:p w14:paraId="508C7377" w14:textId="77777777" w:rsidR="008C2A2E" w:rsidRPr="00FC4DAA" w:rsidRDefault="008C2A2E" w:rsidP="008C2A2E">
            <w:pPr>
              <w:spacing w:after="40"/>
            </w:pPr>
            <w:r>
              <w:t>Utility value was changed to 0.7.</w:t>
            </w:r>
          </w:p>
        </w:tc>
      </w:tr>
      <w:tr w:rsidR="008C2A2E" w:rsidRPr="00FC4DAA" w14:paraId="12960AEE" w14:textId="77777777" w:rsidTr="008C2A2E">
        <w:tc>
          <w:tcPr>
            <w:tcW w:w="1000" w:type="pct"/>
            <w:tcBorders>
              <w:bottom w:val="single" w:sz="4" w:space="0" w:color="auto"/>
            </w:tcBorders>
          </w:tcPr>
          <w:p w14:paraId="3FA15F1C" w14:textId="77777777" w:rsidR="008C2A2E" w:rsidRPr="00FC4DAA" w:rsidRDefault="008C2A2E" w:rsidP="008C2A2E">
            <w:pPr>
              <w:spacing w:after="40"/>
              <w:ind w:left="176"/>
            </w:pPr>
            <w:r w:rsidRPr="00FC4DAA">
              <w:t>Post-stroke Utility</w:t>
            </w:r>
          </w:p>
        </w:tc>
        <w:tc>
          <w:tcPr>
            <w:tcW w:w="1000" w:type="pct"/>
            <w:tcBorders>
              <w:bottom w:val="single" w:sz="4" w:space="0" w:color="auto"/>
            </w:tcBorders>
          </w:tcPr>
          <w:p w14:paraId="2CCA7862" w14:textId="77777777" w:rsidR="008C2A2E" w:rsidRPr="00FC4DAA" w:rsidRDefault="008C2A2E" w:rsidP="008C2A2E">
            <w:pPr>
              <w:spacing w:after="40"/>
              <w:ind w:left="176"/>
            </w:pPr>
            <w:r w:rsidRPr="00FC4DAA">
              <w:t>0.41</w:t>
            </w:r>
          </w:p>
        </w:tc>
        <w:tc>
          <w:tcPr>
            <w:tcW w:w="1000" w:type="pct"/>
            <w:tcBorders>
              <w:bottom w:val="single" w:sz="4" w:space="0" w:color="auto"/>
            </w:tcBorders>
          </w:tcPr>
          <w:p w14:paraId="6E791ED1" w14:textId="77777777" w:rsidR="008C2A2E" w:rsidRPr="00FC4DAA" w:rsidRDefault="008C2A2E" w:rsidP="008C2A2E">
            <w:pPr>
              <w:spacing w:after="40"/>
              <w:ind w:left="176"/>
            </w:pPr>
            <w:r w:rsidRPr="00FC4DAA">
              <w:t>0.68</w:t>
            </w:r>
          </w:p>
        </w:tc>
        <w:tc>
          <w:tcPr>
            <w:tcW w:w="1000" w:type="pct"/>
            <w:tcBorders>
              <w:bottom w:val="single" w:sz="4" w:space="0" w:color="auto"/>
            </w:tcBorders>
          </w:tcPr>
          <w:p w14:paraId="37A02240" w14:textId="77777777" w:rsidR="008C2A2E" w:rsidRPr="00FC4DAA" w:rsidRDefault="008C2A2E" w:rsidP="008C2A2E">
            <w:pPr>
              <w:spacing w:after="40"/>
              <w:ind w:left="176"/>
            </w:pPr>
            <w:r w:rsidRPr="00FC4DAA">
              <w:t xml:space="preserve">Without justification of the value, the utility used in previous evaluations (OHTA 2017 and Roos 2013) should be used. See </w:t>
            </w:r>
            <w:r>
              <w:t>Table 34.</w:t>
            </w:r>
          </w:p>
        </w:tc>
        <w:tc>
          <w:tcPr>
            <w:tcW w:w="1000" w:type="pct"/>
            <w:tcBorders>
              <w:bottom w:val="single" w:sz="4" w:space="0" w:color="auto"/>
            </w:tcBorders>
            <w:shd w:val="clear" w:color="auto" w:fill="D9D9D9" w:themeFill="background1" w:themeFillShade="D9"/>
          </w:tcPr>
          <w:p w14:paraId="154EC180" w14:textId="77777777" w:rsidR="008C2A2E" w:rsidRDefault="008C2A2E" w:rsidP="008C2A2E">
            <w:pPr>
              <w:spacing w:after="40"/>
            </w:pPr>
            <w:r>
              <w:t xml:space="preserve">Justified that value was chosen from systematic review in Post 2001. Reported utilities of 0.32 and 0.71 for major and minor stroke. Also reported EurQol utility in stroke survivors utilities of 0.32 and 0.71 </w:t>
            </w:r>
            <w:r>
              <w:lastRenderedPageBreak/>
              <w:t xml:space="preserve">for major and minor stroke. </w:t>
            </w:r>
          </w:p>
          <w:p w14:paraId="09621396" w14:textId="77777777" w:rsidR="008C2A2E" w:rsidRPr="00FC4DAA" w:rsidRDefault="008C2A2E" w:rsidP="008C2A2E">
            <w:pPr>
              <w:spacing w:after="40"/>
            </w:pPr>
            <w:r>
              <w:t>Argued OHTA 2017/Roos 2013 was derived by a single earlier study (Haacke 1999).</w:t>
            </w:r>
          </w:p>
        </w:tc>
      </w:tr>
      <w:tr w:rsidR="008C2A2E" w:rsidRPr="00FC4DAA" w14:paraId="620CD38C" w14:textId="77777777" w:rsidTr="008C2A2E">
        <w:tc>
          <w:tcPr>
            <w:tcW w:w="1000" w:type="pct"/>
            <w:tcBorders>
              <w:right w:val="nil"/>
            </w:tcBorders>
          </w:tcPr>
          <w:p w14:paraId="212E1119" w14:textId="77777777" w:rsidR="008C2A2E" w:rsidRPr="00FC4DAA" w:rsidRDefault="008C2A2E" w:rsidP="008C2A2E">
            <w:pPr>
              <w:spacing w:after="40"/>
              <w:ind w:left="176"/>
              <w:rPr>
                <w:b/>
                <w:bCs/>
              </w:rPr>
            </w:pPr>
            <w:r w:rsidRPr="00FC4DAA">
              <w:rPr>
                <w:b/>
                <w:bCs/>
              </w:rPr>
              <w:lastRenderedPageBreak/>
              <w:t>Model structure</w:t>
            </w:r>
          </w:p>
        </w:tc>
        <w:tc>
          <w:tcPr>
            <w:tcW w:w="1000" w:type="pct"/>
            <w:tcBorders>
              <w:left w:val="nil"/>
              <w:right w:val="nil"/>
            </w:tcBorders>
          </w:tcPr>
          <w:p w14:paraId="7F52AE3D" w14:textId="77777777" w:rsidR="008C2A2E" w:rsidRPr="00FC4DAA" w:rsidRDefault="008C2A2E" w:rsidP="008C2A2E">
            <w:pPr>
              <w:spacing w:after="40"/>
              <w:ind w:left="176"/>
            </w:pPr>
          </w:p>
        </w:tc>
        <w:tc>
          <w:tcPr>
            <w:tcW w:w="1000" w:type="pct"/>
            <w:tcBorders>
              <w:left w:val="nil"/>
              <w:right w:val="single" w:sz="4" w:space="0" w:color="auto"/>
            </w:tcBorders>
          </w:tcPr>
          <w:p w14:paraId="21F36946" w14:textId="77777777" w:rsidR="008C2A2E" w:rsidRPr="00FC4DAA" w:rsidRDefault="008C2A2E" w:rsidP="008C2A2E">
            <w:pPr>
              <w:spacing w:after="40"/>
              <w:ind w:left="176"/>
            </w:pPr>
          </w:p>
        </w:tc>
        <w:tc>
          <w:tcPr>
            <w:tcW w:w="1000" w:type="pct"/>
            <w:tcBorders>
              <w:left w:val="single" w:sz="4" w:space="0" w:color="auto"/>
              <w:right w:val="single" w:sz="4" w:space="0" w:color="auto"/>
            </w:tcBorders>
          </w:tcPr>
          <w:p w14:paraId="121A79E0" w14:textId="77777777" w:rsidR="008C2A2E" w:rsidRPr="00FC4DAA" w:rsidRDefault="008C2A2E" w:rsidP="008C2A2E">
            <w:pPr>
              <w:spacing w:after="40"/>
              <w:ind w:left="176"/>
            </w:pPr>
          </w:p>
        </w:tc>
        <w:tc>
          <w:tcPr>
            <w:tcW w:w="1000" w:type="pct"/>
            <w:tcBorders>
              <w:left w:val="single" w:sz="4" w:space="0" w:color="auto"/>
              <w:right w:val="single" w:sz="4" w:space="0" w:color="auto"/>
            </w:tcBorders>
            <w:shd w:val="clear" w:color="auto" w:fill="D9D9D9" w:themeFill="background1" w:themeFillShade="D9"/>
          </w:tcPr>
          <w:p w14:paraId="1CC238E1" w14:textId="77777777" w:rsidR="008C2A2E" w:rsidRPr="00FC4DAA" w:rsidRDefault="008C2A2E" w:rsidP="008C2A2E">
            <w:pPr>
              <w:spacing w:after="40"/>
              <w:ind w:left="176"/>
            </w:pPr>
          </w:p>
        </w:tc>
      </w:tr>
      <w:tr w:rsidR="008C2A2E" w:rsidRPr="00FC4DAA" w14:paraId="61739E5F" w14:textId="77777777" w:rsidTr="008C2A2E">
        <w:tc>
          <w:tcPr>
            <w:tcW w:w="1000" w:type="pct"/>
          </w:tcPr>
          <w:p w14:paraId="211C8A76" w14:textId="77777777" w:rsidR="008C2A2E" w:rsidRPr="00FC4DAA" w:rsidRDefault="008C2A2E" w:rsidP="008C2A2E">
            <w:pPr>
              <w:spacing w:after="40"/>
              <w:ind w:left="176"/>
            </w:pPr>
            <w:r w:rsidRPr="00FC4DAA">
              <w:t>Bleeding health state</w:t>
            </w:r>
          </w:p>
        </w:tc>
        <w:tc>
          <w:tcPr>
            <w:tcW w:w="1000" w:type="pct"/>
          </w:tcPr>
          <w:p w14:paraId="5EF89A38" w14:textId="77777777" w:rsidR="008C2A2E" w:rsidRPr="00FC4DAA" w:rsidRDefault="008C2A2E" w:rsidP="008C2A2E">
            <w:pPr>
              <w:spacing w:after="40"/>
              <w:ind w:left="176"/>
            </w:pPr>
            <w:r w:rsidRPr="00FC4DAA">
              <w:t>Evidence is uncertain</w:t>
            </w:r>
          </w:p>
        </w:tc>
        <w:tc>
          <w:tcPr>
            <w:tcW w:w="1000" w:type="pct"/>
          </w:tcPr>
          <w:p w14:paraId="02414FE2" w14:textId="77777777" w:rsidR="008C2A2E" w:rsidRPr="00FC4DAA" w:rsidRDefault="008C2A2E" w:rsidP="008C2A2E">
            <w:pPr>
              <w:spacing w:after="40"/>
              <w:ind w:left="176"/>
            </w:pPr>
            <w:r w:rsidRPr="00FC4DAA">
              <w:t>Removal of bleeding as an outcome from HR</w:t>
            </w:r>
            <w:r>
              <w:t>-</w:t>
            </w:r>
            <w:r w:rsidRPr="00FC4DAA">
              <w:t>PCI procedure</w:t>
            </w:r>
          </w:p>
        </w:tc>
        <w:tc>
          <w:tcPr>
            <w:tcW w:w="1000" w:type="pct"/>
          </w:tcPr>
          <w:p w14:paraId="1EA2360B" w14:textId="77777777" w:rsidR="008C2A2E" w:rsidRPr="00FC4DAA" w:rsidRDefault="008C2A2E" w:rsidP="008C2A2E">
            <w:pPr>
              <w:spacing w:after="40"/>
              <w:ind w:left="176"/>
            </w:pPr>
            <w:r w:rsidRPr="00FC4DAA">
              <w:t>The clinical evidence for bleeding is based on a naïve indirect comparison of low quality evidence and is highly uncertain.</w:t>
            </w:r>
          </w:p>
          <w:p w14:paraId="50000C87" w14:textId="77777777" w:rsidR="008C2A2E" w:rsidRPr="00FC4DAA" w:rsidRDefault="008C2A2E" w:rsidP="008C2A2E">
            <w:pPr>
              <w:spacing w:after="40"/>
              <w:ind w:left="176"/>
            </w:pPr>
            <w:r w:rsidRPr="00FC4DAA">
              <w:t>Given the low cost of bleeding post procedure, removal of bleeding will not significantly change the result</w:t>
            </w:r>
          </w:p>
        </w:tc>
        <w:tc>
          <w:tcPr>
            <w:tcW w:w="1000" w:type="pct"/>
            <w:shd w:val="clear" w:color="auto" w:fill="D9D9D9" w:themeFill="background1" w:themeFillShade="D9"/>
          </w:tcPr>
          <w:p w14:paraId="2CED814B" w14:textId="77777777" w:rsidR="008C2A2E" w:rsidRDefault="008C2A2E" w:rsidP="008C2A2E">
            <w:pPr>
              <w:spacing w:after="40"/>
            </w:pPr>
            <w:r>
              <w:t>Disagree, as bleeding is a significant AEin first cycle (potential procedural outcome). In addition bleeding is significant AE for ECMO.</w:t>
            </w:r>
          </w:p>
          <w:p w14:paraId="2E85E374" w14:textId="77777777" w:rsidR="008C2A2E" w:rsidRPr="00FC4DAA" w:rsidRDefault="008C2A2E" w:rsidP="008C2A2E">
            <w:pPr>
              <w:spacing w:after="40"/>
            </w:pPr>
            <w:r>
              <w:t>Reiterate evidence in HR-PCI was sourced from Roos 2014 CEA for IABP (25%) amd from Europella registry for Impella (6%), which supports improved safety for Impella.</w:t>
            </w:r>
          </w:p>
        </w:tc>
      </w:tr>
      <w:tr w:rsidR="008C2A2E" w:rsidRPr="00FC4DAA" w14:paraId="7AA80848" w14:textId="77777777" w:rsidTr="008C2A2E">
        <w:tc>
          <w:tcPr>
            <w:tcW w:w="1000" w:type="pct"/>
          </w:tcPr>
          <w:p w14:paraId="2B8F9C6C" w14:textId="77777777" w:rsidR="008C2A2E" w:rsidRPr="00FC4DAA" w:rsidRDefault="008C2A2E" w:rsidP="008C2A2E">
            <w:pPr>
              <w:spacing w:after="40"/>
              <w:ind w:left="176"/>
            </w:pPr>
            <w:r w:rsidRPr="00FC4DAA">
              <w:t>Costs of initial MACCE occurring in cycle 2 and beyond</w:t>
            </w:r>
          </w:p>
        </w:tc>
        <w:tc>
          <w:tcPr>
            <w:tcW w:w="1000" w:type="pct"/>
          </w:tcPr>
          <w:p w14:paraId="3F70A304" w14:textId="77777777" w:rsidR="008C2A2E" w:rsidRPr="008C2A2E" w:rsidRDefault="008C2A2E" w:rsidP="008C2A2E">
            <w:pPr>
              <w:spacing w:after="40"/>
              <w:ind w:left="176"/>
              <w:rPr>
                <w:i/>
              </w:rPr>
            </w:pPr>
            <w:r w:rsidRPr="00FC4DAA">
              <w:t xml:space="preserve">Different formulas for initial cost, incremental cost, and final cost in Tree Age file. See </w:t>
            </w:r>
            <w:r>
              <w:rPr>
                <w:i/>
              </w:rPr>
              <w:t xml:space="preserve">Costs </w:t>
            </w:r>
            <w:r>
              <w:t xml:space="preserve">and utilities of </w:t>
            </w:r>
            <w:r>
              <w:rPr>
                <w:i/>
              </w:rPr>
              <w:t>CHF and other MAACE (p114-115 of the Critique)</w:t>
            </w:r>
          </w:p>
        </w:tc>
        <w:tc>
          <w:tcPr>
            <w:tcW w:w="1000" w:type="pct"/>
          </w:tcPr>
          <w:p w14:paraId="5F2AAABD" w14:textId="77777777" w:rsidR="008C2A2E" w:rsidRPr="00FC4DAA" w:rsidRDefault="008C2A2E" w:rsidP="008C2A2E">
            <w:pPr>
              <w:spacing w:after="40"/>
              <w:ind w:left="176"/>
            </w:pPr>
            <w:r w:rsidRPr="00FC4DAA">
              <w:t xml:space="preserve">Use same IF statement as per the initial cost for the incremental and final cost formulas. </w:t>
            </w:r>
          </w:p>
        </w:tc>
        <w:tc>
          <w:tcPr>
            <w:tcW w:w="1000" w:type="pct"/>
          </w:tcPr>
          <w:p w14:paraId="02E51025" w14:textId="77777777" w:rsidR="008C2A2E" w:rsidRPr="00FC4DAA" w:rsidRDefault="008C2A2E" w:rsidP="008C2A2E">
            <w:pPr>
              <w:spacing w:after="40"/>
              <w:ind w:left="176"/>
            </w:pPr>
            <w:r w:rsidRPr="00FC4DAA">
              <w:t>Initial costs of a MACCE are not accrued where that MACCE occurs for the first time in cycle 2 or later.</w:t>
            </w:r>
          </w:p>
        </w:tc>
        <w:tc>
          <w:tcPr>
            <w:tcW w:w="1000" w:type="pct"/>
            <w:shd w:val="clear" w:color="auto" w:fill="D9D9D9" w:themeFill="background1" w:themeFillShade="D9"/>
          </w:tcPr>
          <w:p w14:paraId="28A91C1B" w14:textId="77777777" w:rsidR="008C2A2E" w:rsidRPr="00FC4DAA" w:rsidRDefault="008C2A2E" w:rsidP="008C2A2E">
            <w:pPr>
              <w:spacing w:after="40"/>
            </w:pPr>
            <w:r>
              <w:t>Acknowledged formula error. This error was rectified in all models. Note as error applied in both model arms- relative ICER and  outcomes of dominance remain unchanged.</w:t>
            </w:r>
          </w:p>
        </w:tc>
      </w:tr>
      <w:tr w:rsidR="008C2A2E" w:rsidRPr="00FC4DAA" w14:paraId="6154EA4C" w14:textId="77777777" w:rsidTr="008C2A2E">
        <w:tc>
          <w:tcPr>
            <w:tcW w:w="1000" w:type="pct"/>
          </w:tcPr>
          <w:p w14:paraId="1B52A626" w14:textId="77777777" w:rsidR="008C2A2E" w:rsidRPr="00FC4DAA" w:rsidRDefault="008C2A2E" w:rsidP="008C2A2E">
            <w:pPr>
              <w:spacing w:after="40"/>
              <w:ind w:left="176"/>
            </w:pPr>
            <w:r w:rsidRPr="00FC4DAA">
              <w:t>Utilities of initial MACCE occurring in cycle 2 and beyond</w:t>
            </w:r>
          </w:p>
        </w:tc>
        <w:tc>
          <w:tcPr>
            <w:tcW w:w="1000" w:type="pct"/>
          </w:tcPr>
          <w:p w14:paraId="4CBCBA2C" w14:textId="77777777" w:rsidR="008C2A2E" w:rsidRPr="00FC4DAA" w:rsidRDefault="008C2A2E" w:rsidP="008C2A2E">
            <w:pPr>
              <w:spacing w:after="40"/>
              <w:ind w:left="176"/>
            </w:pPr>
            <w:r w:rsidRPr="00FC4DAA">
              <w:t xml:space="preserve">Different formulas for initial utilities, incremental utilities, and final utilities in Tree Age file. </w:t>
            </w:r>
            <w:r w:rsidR="00B60F40" w:rsidRPr="00FC4DAA">
              <w:t xml:space="preserve">See </w:t>
            </w:r>
            <w:r w:rsidR="00B60F40">
              <w:rPr>
                <w:i/>
              </w:rPr>
              <w:t xml:space="preserve">Costs </w:t>
            </w:r>
            <w:r w:rsidR="00B60F40">
              <w:t xml:space="preserve">and utilities of </w:t>
            </w:r>
            <w:r w:rsidR="00B60F40">
              <w:rPr>
                <w:i/>
              </w:rPr>
              <w:t>CHF and other MAACE (p114-115 of the Critique)</w:t>
            </w:r>
          </w:p>
        </w:tc>
        <w:tc>
          <w:tcPr>
            <w:tcW w:w="1000" w:type="pct"/>
          </w:tcPr>
          <w:p w14:paraId="7F3F16ED" w14:textId="77777777" w:rsidR="008C2A2E" w:rsidRPr="00FC4DAA" w:rsidRDefault="008C2A2E" w:rsidP="008C2A2E">
            <w:pPr>
              <w:spacing w:after="40"/>
              <w:ind w:left="176"/>
            </w:pPr>
            <w:r w:rsidRPr="00FC4DAA">
              <w:t>Use same IF statement as per the initial cost for the incremental and final cost formulas</w:t>
            </w:r>
          </w:p>
        </w:tc>
        <w:tc>
          <w:tcPr>
            <w:tcW w:w="1000" w:type="pct"/>
          </w:tcPr>
          <w:p w14:paraId="325F8659" w14:textId="77777777" w:rsidR="008C2A2E" w:rsidRPr="00FC4DAA" w:rsidRDefault="008C2A2E" w:rsidP="008C2A2E">
            <w:pPr>
              <w:spacing w:after="40"/>
              <w:ind w:left="176"/>
            </w:pPr>
            <w:r w:rsidRPr="00FC4DAA">
              <w:t>Initial utilities of a MACCE are not accrued where that MACCE occurs for the first time in cycle 2 or later.</w:t>
            </w:r>
          </w:p>
        </w:tc>
        <w:tc>
          <w:tcPr>
            <w:tcW w:w="1000" w:type="pct"/>
            <w:shd w:val="clear" w:color="auto" w:fill="D9D9D9" w:themeFill="background1" w:themeFillShade="D9"/>
          </w:tcPr>
          <w:p w14:paraId="15B1CEBD" w14:textId="77777777" w:rsidR="008C2A2E" w:rsidRPr="00FC4DAA" w:rsidRDefault="008C2A2E" w:rsidP="008C2A2E">
            <w:pPr>
              <w:spacing w:after="40"/>
            </w:pPr>
            <w:r>
              <w:t>As above.</w:t>
            </w:r>
          </w:p>
        </w:tc>
      </w:tr>
      <w:tr w:rsidR="008C2A2E" w:rsidRPr="00FC4DAA" w14:paraId="4079D4EE" w14:textId="77777777" w:rsidTr="008C2A2E">
        <w:tc>
          <w:tcPr>
            <w:tcW w:w="1000" w:type="pct"/>
          </w:tcPr>
          <w:p w14:paraId="11AD43F2" w14:textId="77777777" w:rsidR="008C2A2E" w:rsidRPr="00FC4DAA" w:rsidRDefault="008C2A2E" w:rsidP="008C2A2E">
            <w:pPr>
              <w:spacing w:after="40"/>
              <w:ind w:left="176"/>
            </w:pPr>
            <w:r w:rsidRPr="00FC4DAA">
              <w:t>Inclusion of costs of procedure (proposed MBS price)</w:t>
            </w:r>
          </w:p>
        </w:tc>
        <w:tc>
          <w:tcPr>
            <w:tcW w:w="1000" w:type="pct"/>
          </w:tcPr>
          <w:p w14:paraId="3F1468B1" w14:textId="77777777" w:rsidR="008C2A2E" w:rsidRPr="00FC4DAA" w:rsidRDefault="008C2A2E" w:rsidP="008C2A2E">
            <w:pPr>
              <w:spacing w:after="40"/>
              <w:ind w:left="176"/>
            </w:pPr>
            <w:r w:rsidRPr="00FC4DAA">
              <w:t>Not included in model</w:t>
            </w:r>
          </w:p>
        </w:tc>
        <w:tc>
          <w:tcPr>
            <w:tcW w:w="1000" w:type="pct"/>
          </w:tcPr>
          <w:p w14:paraId="0D01169C" w14:textId="77777777" w:rsidR="008C2A2E" w:rsidRPr="00FC4DAA" w:rsidRDefault="008C2A2E" w:rsidP="008C2A2E">
            <w:pPr>
              <w:spacing w:after="40"/>
              <w:ind w:left="176"/>
            </w:pPr>
            <w:r w:rsidRPr="00FC4DAA">
              <w:t>Include</w:t>
            </w:r>
          </w:p>
        </w:tc>
        <w:tc>
          <w:tcPr>
            <w:tcW w:w="1000" w:type="pct"/>
          </w:tcPr>
          <w:p w14:paraId="7DCD1D02" w14:textId="77777777" w:rsidR="008C2A2E" w:rsidRPr="00FC4DAA" w:rsidRDefault="008C2A2E" w:rsidP="008C2A2E">
            <w:pPr>
              <w:spacing w:after="40"/>
              <w:ind w:left="176"/>
            </w:pPr>
            <w:r w:rsidRPr="00FC4DAA">
              <w:t xml:space="preserve">Disaggregated costs in </w:t>
            </w:r>
            <w:r>
              <w:t>Table 37</w:t>
            </w:r>
            <w:r w:rsidRPr="00FC4DAA">
              <w:t xml:space="preserve"> and </w:t>
            </w:r>
            <w:r>
              <w:t>Table 38</w:t>
            </w:r>
            <w:r w:rsidRPr="00FC4DAA">
              <w:t xml:space="preserve"> suggest that the cost of procedures (MBS items) are not included in the model. This is inappropriate considering the purpose of the SBA is to receive MBS listing for these services.</w:t>
            </w:r>
          </w:p>
        </w:tc>
        <w:tc>
          <w:tcPr>
            <w:tcW w:w="1000" w:type="pct"/>
            <w:shd w:val="clear" w:color="auto" w:fill="D9D9D9" w:themeFill="background1" w:themeFillShade="D9"/>
          </w:tcPr>
          <w:p w14:paraId="40DEDAB9" w14:textId="77777777" w:rsidR="008C2A2E" w:rsidRPr="00FC4DAA" w:rsidRDefault="008C2A2E" w:rsidP="008C2A2E">
            <w:pPr>
              <w:spacing w:after="40"/>
            </w:pPr>
            <w:r>
              <w:t>Not reported.</w:t>
            </w:r>
          </w:p>
        </w:tc>
      </w:tr>
    </w:tbl>
    <w:p w14:paraId="1CEA939E" w14:textId="77777777" w:rsidR="008C2A2E" w:rsidRDefault="008C2A2E" w:rsidP="00525682">
      <w:pPr>
        <w:pStyle w:val="Tablenotes"/>
      </w:pPr>
      <w:r>
        <w:t>CHF=chronic heart failure; ECMO</w:t>
      </w:r>
      <w:r w:rsidRPr="00E7622C">
        <w:t xml:space="preserve">=extracorporeal membrane oxygenation; </w:t>
      </w:r>
      <w:r>
        <w:t xml:space="preserve">HR-PCI=high-risk percutaneous coronary intervention; IABP=intra-aortic balloon pump; ICU=intensive care unit; ITT=intention-to-treat; LOS, length of stay; </w:t>
      </w:r>
      <w:r w:rsidRPr="00E33861">
        <w:t>MACCE= major adverse cardiac and cerebral events</w:t>
      </w:r>
      <w:r>
        <w:t>; MBS=Medicare Benefits Scheme; MI=myocardial infarction; PP=per protocol; SBA=submission-based assessment</w:t>
      </w:r>
    </w:p>
    <w:p w14:paraId="6E2DD01D" w14:textId="77777777" w:rsidR="008C2A2E" w:rsidRPr="00FC7E1C" w:rsidRDefault="008C2A2E" w:rsidP="00525682">
      <w:pPr>
        <w:pStyle w:val="Tablenotes"/>
        <w:rPr>
          <w:vertAlign w:val="superscript"/>
        </w:rPr>
      </w:pPr>
      <w:r>
        <w:rPr>
          <w:vertAlign w:val="superscript"/>
        </w:rPr>
        <w:t xml:space="preserve">a </w:t>
      </w:r>
      <w:r w:rsidRPr="00FC7E1C">
        <w:t>Refer to Applicant Pre-ESC response for full description of discussion of modelling issues and submission’s  model changes</w:t>
      </w:r>
    </w:p>
    <w:p w14:paraId="6E95DFD2" w14:textId="77777777" w:rsidR="008C2A2E" w:rsidRDefault="008C2A2E" w:rsidP="008C2A2E">
      <w:pPr>
        <w:pStyle w:val="Heading2"/>
      </w:pPr>
      <w:r>
        <w:lastRenderedPageBreak/>
        <w:t>Revised model results: Applicant Pre-ESC response</w:t>
      </w:r>
    </w:p>
    <w:p w14:paraId="69A3995A" w14:textId="0F279DD2" w:rsidR="008C2A2E" w:rsidRDefault="008C2A2E" w:rsidP="002F439F">
      <w:pPr>
        <w:spacing w:after="240"/>
      </w:pPr>
      <w:r>
        <w:t xml:space="preserve">The </w:t>
      </w:r>
      <w:r w:rsidR="00342009">
        <w:t>pre-ESC response stated</w:t>
      </w:r>
      <w:r>
        <w:t xml:space="preserve"> saying that rather than identifying structural issues, the Critique identified several assumptions in the model they disagree with. However, the </w:t>
      </w:r>
      <w:r w:rsidR="00342009">
        <w:t>pre-ESC response</w:t>
      </w:r>
      <w:r>
        <w:t xml:space="preserve"> did acknowledge some errors and made changes to modelling inputs (as des</w:t>
      </w:r>
      <w:r w:rsidR="00342009">
        <w:t>cribed above in brief</w:t>
      </w:r>
      <w:r>
        <w:t xml:space="preserve">). The resulting base case ICERs for HR-PCI (model 1), cardiogenic shock (model 2) and RHF (model 3) </w:t>
      </w:r>
      <w:r w:rsidR="000B4F7D">
        <w:t>are</w:t>
      </w:r>
      <w:r>
        <w:t xml:space="preserve"> provided in Table 13, Table 14 and Table 15, respect</w:t>
      </w:r>
      <w:r w:rsidR="002F439F">
        <w:t>ively.</w:t>
      </w:r>
    </w:p>
    <w:p w14:paraId="443F0708" w14:textId="77777777" w:rsidR="008C2A2E" w:rsidRPr="00DC1117" w:rsidRDefault="008C2A2E" w:rsidP="00DC1117">
      <w:pPr>
        <w:rPr>
          <w:rFonts w:ascii="Arial Narrow" w:hAnsi="Arial Narrow"/>
          <w:b/>
          <w:sz w:val="20"/>
        </w:rPr>
      </w:pPr>
      <w:r w:rsidRPr="00DC1117">
        <w:rPr>
          <w:rFonts w:ascii="Arial Narrow" w:hAnsi="Arial Narrow"/>
          <w:b/>
          <w:sz w:val="20"/>
        </w:rPr>
        <w:t>Table 13: Costs and outcomes of Model 1: for HR-PCI patients (base case)</w:t>
      </w:r>
    </w:p>
    <w:tbl>
      <w:tblPr>
        <w:tblStyle w:val="TableGrid2"/>
        <w:tblW w:w="9185" w:type="dxa"/>
        <w:tblInd w:w="-5"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418"/>
        <w:gridCol w:w="1553"/>
        <w:gridCol w:w="1553"/>
        <w:gridCol w:w="1554"/>
        <w:gridCol w:w="1553"/>
        <w:gridCol w:w="1554"/>
      </w:tblGrid>
      <w:tr w:rsidR="008C2A2E" w:rsidRPr="008D7D51" w14:paraId="2EC1AD6D"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418" w:type="dxa"/>
            <w:tcBorders>
              <w:bottom w:val="single" w:sz="4" w:space="0" w:color="auto"/>
            </w:tcBorders>
            <w:shd w:val="clear" w:color="auto" w:fill="BFBFBF" w:themeFill="background1" w:themeFillShade="BF"/>
          </w:tcPr>
          <w:p w14:paraId="40FDA8FB" w14:textId="77777777" w:rsidR="008C2A2E" w:rsidRPr="009412E8" w:rsidRDefault="008C2A2E" w:rsidP="008C2A2E">
            <w:pPr>
              <w:pStyle w:val="Tabletextcentred"/>
              <w:rPr>
                <w:b/>
              </w:rPr>
            </w:pPr>
            <w:r w:rsidRPr="009412E8">
              <w:rPr>
                <w:b/>
              </w:rPr>
              <w:t>Strategy</w:t>
            </w:r>
          </w:p>
        </w:tc>
        <w:tc>
          <w:tcPr>
            <w:tcW w:w="1553" w:type="dxa"/>
            <w:tcBorders>
              <w:bottom w:val="single" w:sz="4" w:space="0" w:color="auto"/>
            </w:tcBorders>
            <w:shd w:val="clear" w:color="auto" w:fill="BFBFBF" w:themeFill="background1" w:themeFillShade="BF"/>
          </w:tcPr>
          <w:p w14:paraId="5E486E50" w14:textId="77777777" w:rsidR="008C2A2E" w:rsidRPr="009412E8" w:rsidRDefault="008C2A2E" w:rsidP="008C2A2E">
            <w:pPr>
              <w:pStyle w:val="Tabletextcentred"/>
              <w:rPr>
                <w:b/>
              </w:rPr>
            </w:pPr>
            <w:r w:rsidRPr="009412E8">
              <w:rPr>
                <w:b/>
              </w:rPr>
              <w:t>Cost</w:t>
            </w:r>
          </w:p>
        </w:tc>
        <w:tc>
          <w:tcPr>
            <w:tcW w:w="1553" w:type="dxa"/>
            <w:tcBorders>
              <w:bottom w:val="single" w:sz="4" w:space="0" w:color="auto"/>
            </w:tcBorders>
            <w:shd w:val="clear" w:color="auto" w:fill="BFBFBF" w:themeFill="background1" w:themeFillShade="BF"/>
          </w:tcPr>
          <w:p w14:paraId="1BBCD7B2" w14:textId="77777777" w:rsidR="008C2A2E" w:rsidRPr="009412E8" w:rsidRDefault="008C2A2E" w:rsidP="008C2A2E">
            <w:pPr>
              <w:pStyle w:val="Tabletextcentred"/>
              <w:rPr>
                <w:b/>
              </w:rPr>
            </w:pPr>
            <w:r w:rsidRPr="009412E8">
              <w:rPr>
                <w:b/>
              </w:rPr>
              <w:t>Incremental cost</w:t>
            </w:r>
          </w:p>
        </w:tc>
        <w:tc>
          <w:tcPr>
            <w:tcW w:w="1554" w:type="dxa"/>
            <w:tcBorders>
              <w:bottom w:val="single" w:sz="4" w:space="0" w:color="auto"/>
            </w:tcBorders>
            <w:shd w:val="clear" w:color="auto" w:fill="BFBFBF" w:themeFill="background1" w:themeFillShade="BF"/>
          </w:tcPr>
          <w:p w14:paraId="36AB78F8" w14:textId="77777777" w:rsidR="008C2A2E" w:rsidRPr="009412E8" w:rsidRDefault="008C2A2E" w:rsidP="008C2A2E">
            <w:pPr>
              <w:pStyle w:val="Tabletextcentred"/>
              <w:rPr>
                <w:b/>
              </w:rPr>
            </w:pPr>
            <w:r w:rsidRPr="009412E8">
              <w:rPr>
                <w:b/>
              </w:rPr>
              <w:t>Effectiveness (QALYs)</w:t>
            </w:r>
          </w:p>
        </w:tc>
        <w:tc>
          <w:tcPr>
            <w:tcW w:w="1553" w:type="dxa"/>
            <w:tcBorders>
              <w:bottom w:val="single" w:sz="4" w:space="0" w:color="auto"/>
            </w:tcBorders>
            <w:shd w:val="clear" w:color="auto" w:fill="BFBFBF" w:themeFill="background1" w:themeFillShade="BF"/>
          </w:tcPr>
          <w:p w14:paraId="6B4C8980" w14:textId="77777777" w:rsidR="008C2A2E" w:rsidRPr="009412E8" w:rsidRDefault="008C2A2E" w:rsidP="008C2A2E">
            <w:pPr>
              <w:pStyle w:val="Tabletextcentred"/>
              <w:rPr>
                <w:b/>
              </w:rPr>
            </w:pPr>
            <w:r w:rsidRPr="009412E8">
              <w:rPr>
                <w:b/>
              </w:rPr>
              <w:t>Incremental effectiveness</w:t>
            </w:r>
          </w:p>
        </w:tc>
        <w:tc>
          <w:tcPr>
            <w:tcW w:w="1554" w:type="dxa"/>
            <w:tcBorders>
              <w:bottom w:val="single" w:sz="4" w:space="0" w:color="auto"/>
            </w:tcBorders>
            <w:shd w:val="clear" w:color="auto" w:fill="BFBFBF" w:themeFill="background1" w:themeFillShade="BF"/>
          </w:tcPr>
          <w:p w14:paraId="7243D14F" w14:textId="77777777" w:rsidR="008C2A2E" w:rsidRPr="009412E8" w:rsidRDefault="008C2A2E" w:rsidP="008C2A2E">
            <w:pPr>
              <w:pStyle w:val="Tabletextcentred"/>
              <w:rPr>
                <w:b/>
              </w:rPr>
            </w:pPr>
            <w:r w:rsidRPr="009412E8">
              <w:rPr>
                <w:b/>
              </w:rPr>
              <w:t>ICER</w:t>
            </w:r>
          </w:p>
        </w:tc>
      </w:tr>
      <w:tr w:rsidR="008C2A2E" w:rsidRPr="008D7D51" w14:paraId="25B90205" w14:textId="77777777" w:rsidTr="008C2A2E">
        <w:tc>
          <w:tcPr>
            <w:tcW w:w="1418" w:type="dxa"/>
          </w:tcPr>
          <w:p w14:paraId="5726ED76" w14:textId="77777777" w:rsidR="008C2A2E" w:rsidRDefault="008C2A2E" w:rsidP="008C2A2E">
            <w:pPr>
              <w:pStyle w:val="Tabletextcentred"/>
              <w:jc w:val="left"/>
            </w:pPr>
            <w:r w:rsidRPr="008D7D51">
              <w:t>Standard care</w:t>
            </w:r>
          </w:p>
          <w:p w14:paraId="0B70B0EC" w14:textId="77777777" w:rsidR="008C2A2E" w:rsidRPr="009412E8" w:rsidRDefault="008C2A2E" w:rsidP="008C2A2E">
            <w:pPr>
              <w:pStyle w:val="Tabletextcentred"/>
              <w:jc w:val="left"/>
              <w:rPr>
                <w:i/>
              </w:rPr>
            </w:pPr>
            <w:r w:rsidRPr="009412E8">
              <w:rPr>
                <w:i/>
              </w:rPr>
              <w:t>(ECMO 38%)</w:t>
            </w:r>
          </w:p>
        </w:tc>
        <w:tc>
          <w:tcPr>
            <w:tcW w:w="1553" w:type="dxa"/>
          </w:tcPr>
          <w:p w14:paraId="7D3FF42B" w14:textId="77777777" w:rsidR="008C2A2E" w:rsidRPr="008D7D51" w:rsidRDefault="008C2A2E" w:rsidP="008C2A2E">
            <w:pPr>
              <w:pStyle w:val="Tabletextcentred"/>
              <w:jc w:val="left"/>
            </w:pPr>
            <w:r w:rsidRPr="008D7D51">
              <w:t>$135,650</w:t>
            </w:r>
          </w:p>
        </w:tc>
        <w:tc>
          <w:tcPr>
            <w:tcW w:w="1553" w:type="dxa"/>
          </w:tcPr>
          <w:p w14:paraId="19871CCB" w14:textId="27C39028" w:rsidR="008C2A2E" w:rsidRPr="008D7D51" w:rsidRDefault="008C2A2E" w:rsidP="008C2A2E">
            <w:pPr>
              <w:pStyle w:val="Tabletextcentred"/>
              <w:jc w:val="left"/>
            </w:pPr>
          </w:p>
        </w:tc>
        <w:tc>
          <w:tcPr>
            <w:tcW w:w="1554" w:type="dxa"/>
          </w:tcPr>
          <w:p w14:paraId="6F68654B" w14:textId="77777777" w:rsidR="008C2A2E" w:rsidRPr="008D7D51" w:rsidRDefault="008C2A2E" w:rsidP="008C2A2E">
            <w:pPr>
              <w:pStyle w:val="Tabletextcentred"/>
              <w:jc w:val="left"/>
            </w:pPr>
            <w:r w:rsidRPr="008D7D51">
              <w:t>2.47</w:t>
            </w:r>
          </w:p>
        </w:tc>
        <w:tc>
          <w:tcPr>
            <w:tcW w:w="1553" w:type="dxa"/>
          </w:tcPr>
          <w:p w14:paraId="1302EE60" w14:textId="77777777" w:rsidR="008C2A2E" w:rsidRPr="008D7D51" w:rsidRDefault="008C2A2E" w:rsidP="008C2A2E">
            <w:pPr>
              <w:pStyle w:val="Tabletextcentred"/>
              <w:jc w:val="left"/>
            </w:pPr>
          </w:p>
        </w:tc>
        <w:tc>
          <w:tcPr>
            <w:tcW w:w="1554" w:type="dxa"/>
          </w:tcPr>
          <w:p w14:paraId="727FA3BA" w14:textId="77777777" w:rsidR="008C2A2E" w:rsidRPr="008D7D51" w:rsidRDefault="008C2A2E" w:rsidP="008C2A2E">
            <w:pPr>
              <w:pStyle w:val="Tabletextcentred"/>
            </w:pPr>
          </w:p>
        </w:tc>
      </w:tr>
      <w:tr w:rsidR="008C2A2E" w:rsidRPr="008D7D51" w14:paraId="67598A41" w14:textId="77777777" w:rsidTr="008C2A2E">
        <w:tc>
          <w:tcPr>
            <w:tcW w:w="1418" w:type="dxa"/>
          </w:tcPr>
          <w:p w14:paraId="458F3F93" w14:textId="77777777" w:rsidR="008C2A2E" w:rsidRPr="008D7D51" w:rsidRDefault="008C2A2E" w:rsidP="008C2A2E">
            <w:pPr>
              <w:pStyle w:val="Tabletextcentred"/>
              <w:jc w:val="left"/>
            </w:pPr>
            <w:r w:rsidRPr="008D7D51">
              <w:t>Impella</w:t>
            </w:r>
          </w:p>
        </w:tc>
        <w:tc>
          <w:tcPr>
            <w:tcW w:w="1553" w:type="dxa"/>
          </w:tcPr>
          <w:p w14:paraId="2386C85D" w14:textId="77777777" w:rsidR="008C2A2E" w:rsidRPr="008D7D51" w:rsidRDefault="008C2A2E" w:rsidP="008C2A2E">
            <w:pPr>
              <w:pStyle w:val="Tabletextcentred"/>
              <w:jc w:val="left"/>
            </w:pPr>
            <w:r w:rsidRPr="008D7D51">
              <w:t>$116,535</w:t>
            </w:r>
          </w:p>
        </w:tc>
        <w:tc>
          <w:tcPr>
            <w:tcW w:w="1553" w:type="dxa"/>
          </w:tcPr>
          <w:p w14:paraId="04C16916" w14:textId="77777777" w:rsidR="008C2A2E" w:rsidRPr="00DA1112" w:rsidRDefault="00525682" w:rsidP="008C2A2E">
            <w:pPr>
              <w:pStyle w:val="Tabletextcentred"/>
              <w:jc w:val="left"/>
              <w:rPr>
                <w:i/>
              </w:rPr>
            </w:pPr>
            <w:r>
              <w:t>-$19,11</w:t>
            </w:r>
            <w:r>
              <w:rPr>
                <w:i/>
              </w:rPr>
              <w:t>5</w:t>
            </w:r>
          </w:p>
        </w:tc>
        <w:tc>
          <w:tcPr>
            <w:tcW w:w="1554" w:type="dxa"/>
          </w:tcPr>
          <w:p w14:paraId="0AE9278B" w14:textId="77777777" w:rsidR="008C2A2E" w:rsidRPr="008D7D51" w:rsidRDefault="008C2A2E" w:rsidP="008C2A2E">
            <w:pPr>
              <w:pStyle w:val="Tabletextcentred"/>
              <w:jc w:val="left"/>
            </w:pPr>
            <w:r w:rsidRPr="008D7D51">
              <w:t>2.57</w:t>
            </w:r>
          </w:p>
        </w:tc>
        <w:tc>
          <w:tcPr>
            <w:tcW w:w="1553" w:type="dxa"/>
          </w:tcPr>
          <w:p w14:paraId="2D9EBBF7" w14:textId="77777777" w:rsidR="008C2A2E" w:rsidRPr="008D7D51" w:rsidRDefault="008C2A2E" w:rsidP="008C2A2E">
            <w:pPr>
              <w:pStyle w:val="Tabletextcentred"/>
              <w:jc w:val="left"/>
            </w:pPr>
            <w:r w:rsidRPr="008D7D51">
              <w:t>0.10</w:t>
            </w:r>
          </w:p>
        </w:tc>
        <w:tc>
          <w:tcPr>
            <w:tcW w:w="1554" w:type="dxa"/>
          </w:tcPr>
          <w:p w14:paraId="3D9DBC9C" w14:textId="77777777" w:rsidR="008C2A2E" w:rsidRPr="008D7D51" w:rsidRDefault="008C2A2E" w:rsidP="008C2A2E">
            <w:pPr>
              <w:pStyle w:val="Tabletextcentred"/>
              <w:jc w:val="left"/>
            </w:pPr>
            <w:r>
              <w:t>Dominant</w:t>
            </w:r>
          </w:p>
        </w:tc>
      </w:tr>
    </w:tbl>
    <w:p w14:paraId="07EB8F44" w14:textId="0B1E0E62" w:rsidR="008C2A2E" w:rsidRPr="00DC1117" w:rsidRDefault="008C2A2E" w:rsidP="002F439F">
      <w:pPr>
        <w:spacing w:before="240"/>
        <w:rPr>
          <w:rFonts w:ascii="Arial Narrow" w:hAnsi="Arial Narrow"/>
          <w:b/>
          <w:sz w:val="20"/>
        </w:rPr>
      </w:pPr>
      <w:r w:rsidRPr="00DC1117">
        <w:rPr>
          <w:rFonts w:ascii="Arial Narrow" w:hAnsi="Arial Narrow"/>
          <w:b/>
          <w:sz w:val="20"/>
        </w:rPr>
        <w:t>Table 14: Costs and outcomes of Model 2: for CS patients (base case)</w:t>
      </w:r>
    </w:p>
    <w:tbl>
      <w:tblPr>
        <w:tblStyle w:val="TableGrid2"/>
        <w:tblW w:w="9185" w:type="dxa"/>
        <w:tblInd w:w="-5"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418"/>
        <w:gridCol w:w="1553"/>
        <w:gridCol w:w="1553"/>
        <w:gridCol w:w="1554"/>
        <w:gridCol w:w="1553"/>
        <w:gridCol w:w="1554"/>
      </w:tblGrid>
      <w:tr w:rsidR="008C2A2E" w:rsidRPr="00D323E3" w14:paraId="2AD8294E"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418" w:type="dxa"/>
            <w:tcBorders>
              <w:bottom w:val="single" w:sz="4" w:space="0" w:color="auto"/>
            </w:tcBorders>
            <w:shd w:val="clear" w:color="auto" w:fill="BFBFBF" w:themeFill="background1" w:themeFillShade="BF"/>
          </w:tcPr>
          <w:p w14:paraId="72E3DE5F" w14:textId="77777777" w:rsidR="008C2A2E" w:rsidRPr="00D323E3" w:rsidRDefault="008C2A2E" w:rsidP="008C2A2E">
            <w:pPr>
              <w:pStyle w:val="Tabletext0"/>
              <w:jc w:val="center"/>
              <w:rPr>
                <w:b/>
              </w:rPr>
            </w:pPr>
            <w:r w:rsidRPr="00D323E3">
              <w:rPr>
                <w:b/>
              </w:rPr>
              <w:t>Strategy</w:t>
            </w:r>
          </w:p>
        </w:tc>
        <w:tc>
          <w:tcPr>
            <w:tcW w:w="1553" w:type="dxa"/>
            <w:tcBorders>
              <w:bottom w:val="single" w:sz="4" w:space="0" w:color="auto"/>
            </w:tcBorders>
            <w:shd w:val="clear" w:color="auto" w:fill="BFBFBF" w:themeFill="background1" w:themeFillShade="BF"/>
          </w:tcPr>
          <w:p w14:paraId="2AD6C4F8" w14:textId="77777777" w:rsidR="008C2A2E" w:rsidRPr="00D323E3" w:rsidRDefault="008C2A2E" w:rsidP="008C2A2E">
            <w:pPr>
              <w:pStyle w:val="Tabletext0"/>
              <w:jc w:val="center"/>
              <w:rPr>
                <w:b/>
              </w:rPr>
            </w:pPr>
            <w:r w:rsidRPr="00D323E3">
              <w:rPr>
                <w:b/>
              </w:rPr>
              <w:t>Cost</w:t>
            </w:r>
          </w:p>
        </w:tc>
        <w:tc>
          <w:tcPr>
            <w:tcW w:w="1553" w:type="dxa"/>
            <w:tcBorders>
              <w:bottom w:val="single" w:sz="4" w:space="0" w:color="auto"/>
            </w:tcBorders>
            <w:shd w:val="clear" w:color="auto" w:fill="BFBFBF" w:themeFill="background1" w:themeFillShade="BF"/>
          </w:tcPr>
          <w:p w14:paraId="0C4F2BA6" w14:textId="77777777" w:rsidR="008C2A2E" w:rsidRPr="00D323E3" w:rsidRDefault="008C2A2E" w:rsidP="008C2A2E">
            <w:pPr>
              <w:pStyle w:val="Tabletext0"/>
              <w:jc w:val="center"/>
              <w:rPr>
                <w:b/>
              </w:rPr>
            </w:pPr>
            <w:r w:rsidRPr="00D323E3">
              <w:rPr>
                <w:b/>
              </w:rPr>
              <w:t>Incremental cost</w:t>
            </w:r>
          </w:p>
        </w:tc>
        <w:tc>
          <w:tcPr>
            <w:tcW w:w="1554" w:type="dxa"/>
            <w:tcBorders>
              <w:bottom w:val="single" w:sz="4" w:space="0" w:color="auto"/>
            </w:tcBorders>
            <w:shd w:val="clear" w:color="auto" w:fill="BFBFBF" w:themeFill="background1" w:themeFillShade="BF"/>
          </w:tcPr>
          <w:p w14:paraId="544A32B4" w14:textId="77777777" w:rsidR="008C2A2E" w:rsidRPr="00D323E3" w:rsidRDefault="008C2A2E" w:rsidP="008C2A2E">
            <w:pPr>
              <w:pStyle w:val="Tabletext0"/>
              <w:jc w:val="center"/>
              <w:rPr>
                <w:b/>
              </w:rPr>
            </w:pPr>
            <w:r w:rsidRPr="00D323E3">
              <w:rPr>
                <w:b/>
              </w:rPr>
              <w:t>Effectiveness (QALYs)</w:t>
            </w:r>
          </w:p>
        </w:tc>
        <w:tc>
          <w:tcPr>
            <w:tcW w:w="1553" w:type="dxa"/>
            <w:tcBorders>
              <w:bottom w:val="single" w:sz="4" w:space="0" w:color="auto"/>
            </w:tcBorders>
            <w:shd w:val="clear" w:color="auto" w:fill="BFBFBF" w:themeFill="background1" w:themeFillShade="BF"/>
          </w:tcPr>
          <w:p w14:paraId="3D881475" w14:textId="77777777" w:rsidR="008C2A2E" w:rsidRPr="00D323E3" w:rsidRDefault="008C2A2E" w:rsidP="008C2A2E">
            <w:pPr>
              <w:pStyle w:val="Tabletext0"/>
              <w:jc w:val="center"/>
              <w:rPr>
                <w:b/>
              </w:rPr>
            </w:pPr>
            <w:r w:rsidRPr="00D323E3">
              <w:rPr>
                <w:b/>
              </w:rPr>
              <w:t>Incremental effectiveness</w:t>
            </w:r>
          </w:p>
        </w:tc>
        <w:tc>
          <w:tcPr>
            <w:tcW w:w="1554" w:type="dxa"/>
            <w:tcBorders>
              <w:bottom w:val="single" w:sz="4" w:space="0" w:color="auto"/>
            </w:tcBorders>
            <w:shd w:val="clear" w:color="auto" w:fill="BFBFBF" w:themeFill="background1" w:themeFillShade="BF"/>
          </w:tcPr>
          <w:p w14:paraId="2885AA04" w14:textId="77777777" w:rsidR="008C2A2E" w:rsidRPr="00D323E3" w:rsidRDefault="008C2A2E" w:rsidP="008C2A2E">
            <w:pPr>
              <w:pStyle w:val="Tabletext0"/>
              <w:jc w:val="center"/>
              <w:rPr>
                <w:b/>
              </w:rPr>
            </w:pPr>
            <w:r w:rsidRPr="00D323E3">
              <w:rPr>
                <w:b/>
              </w:rPr>
              <w:t>ICER</w:t>
            </w:r>
          </w:p>
        </w:tc>
      </w:tr>
      <w:tr w:rsidR="008C2A2E" w:rsidRPr="00183E4D" w14:paraId="324B4125" w14:textId="77777777" w:rsidTr="008C2A2E">
        <w:tc>
          <w:tcPr>
            <w:tcW w:w="1418" w:type="dxa"/>
          </w:tcPr>
          <w:p w14:paraId="41B5649C" w14:textId="77777777" w:rsidR="008C2A2E" w:rsidRDefault="008C2A2E" w:rsidP="008C2A2E">
            <w:pPr>
              <w:pStyle w:val="Tabletext0"/>
            </w:pPr>
            <w:r w:rsidRPr="0099119F">
              <w:t>Standard care</w:t>
            </w:r>
          </w:p>
          <w:p w14:paraId="66E19541" w14:textId="77777777" w:rsidR="008C2A2E" w:rsidRPr="009412E8" w:rsidRDefault="008C2A2E" w:rsidP="008C2A2E">
            <w:pPr>
              <w:pStyle w:val="Tabletext0"/>
              <w:rPr>
                <w:i/>
              </w:rPr>
            </w:pPr>
            <w:r w:rsidRPr="009412E8">
              <w:rPr>
                <w:i/>
              </w:rPr>
              <w:t>(ECMO 100%)</w:t>
            </w:r>
          </w:p>
        </w:tc>
        <w:tc>
          <w:tcPr>
            <w:tcW w:w="1553" w:type="dxa"/>
          </w:tcPr>
          <w:p w14:paraId="7727BD9F" w14:textId="77777777" w:rsidR="008C2A2E" w:rsidRPr="00183E4D" w:rsidRDefault="008C2A2E" w:rsidP="008C2A2E">
            <w:pPr>
              <w:pStyle w:val="Tabletext0"/>
            </w:pPr>
            <w:r>
              <w:t>$234,997</w:t>
            </w:r>
          </w:p>
        </w:tc>
        <w:tc>
          <w:tcPr>
            <w:tcW w:w="1553" w:type="dxa"/>
          </w:tcPr>
          <w:p w14:paraId="4AA262E3" w14:textId="147E121F" w:rsidR="008C2A2E" w:rsidRPr="00183E4D" w:rsidRDefault="008C2A2E" w:rsidP="008C2A2E">
            <w:pPr>
              <w:pStyle w:val="Tabletext0"/>
            </w:pPr>
          </w:p>
        </w:tc>
        <w:tc>
          <w:tcPr>
            <w:tcW w:w="1554" w:type="dxa"/>
          </w:tcPr>
          <w:p w14:paraId="52B88E7B" w14:textId="77777777" w:rsidR="008C2A2E" w:rsidRPr="00183E4D" w:rsidRDefault="008C2A2E" w:rsidP="008C2A2E">
            <w:pPr>
              <w:pStyle w:val="Tabletext0"/>
            </w:pPr>
            <w:r>
              <w:t>1.00</w:t>
            </w:r>
          </w:p>
        </w:tc>
        <w:tc>
          <w:tcPr>
            <w:tcW w:w="1553" w:type="dxa"/>
          </w:tcPr>
          <w:p w14:paraId="0D3EF3BB" w14:textId="77777777" w:rsidR="008C2A2E" w:rsidRPr="00183E4D" w:rsidRDefault="008C2A2E" w:rsidP="008C2A2E">
            <w:pPr>
              <w:pStyle w:val="Tabletext0"/>
            </w:pPr>
          </w:p>
        </w:tc>
        <w:tc>
          <w:tcPr>
            <w:tcW w:w="1554" w:type="dxa"/>
          </w:tcPr>
          <w:p w14:paraId="431907C1" w14:textId="77777777" w:rsidR="008C2A2E" w:rsidRPr="00183E4D" w:rsidRDefault="008C2A2E" w:rsidP="008C2A2E">
            <w:pPr>
              <w:pStyle w:val="Tabletext0"/>
            </w:pPr>
          </w:p>
        </w:tc>
      </w:tr>
      <w:tr w:rsidR="008C2A2E" w:rsidRPr="00183E4D" w14:paraId="68307684" w14:textId="77777777" w:rsidTr="008C2A2E">
        <w:tc>
          <w:tcPr>
            <w:tcW w:w="1418" w:type="dxa"/>
          </w:tcPr>
          <w:p w14:paraId="0C0EED9B" w14:textId="77777777" w:rsidR="008C2A2E" w:rsidRPr="0037121C" w:rsidRDefault="008C2A2E" w:rsidP="008C2A2E">
            <w:pPr>
              <w:pStyle w:val="Tabletext0"/>
            </w:pPr>
            <w:r w:rsidRPr="0099119F">
              <w:t>Impella</w:t>
            </w:r>
          </w:p>
        </w:tc>
        <w:tc>
          <w:tcPr>
            <w:tcW w:w="1553" w:type="dxa"/>
          </w:tcPr>
          <w:p w14:paraId="33BDF986" w14:textId="77777777" w:rsidR="008C2A2E" w:rsidRPr="00183E4D" w:rsidRDefault="008C2A2E" w:rsidP="008C2A2E">
            <w:pPr>
              <w:pStyle w:val="Tabletext0"/>
            </w:pPr>
            <w:r>
              <w:t>$175,619</w:t>
            </w:r>
          </w:p>
        </w:tc>
        <w:tc>
          <w:tcPr>
            <w:tcW w:w="1553" w:type="dxa"/>
          </w:tcPr>
          <w:p w14:paraId="1A1A5596" w14:textId="77777777" w:rsidR="008C2A2E" w:rsidRPr="00183E4D" w:rsidRDefault="00525682" w:rsidP="008C2A2E">
            <w:pPr>
              <w:pStyle w:val="Tabletext0"/>
            </w:pPr>
            <w:r>
              <w:t>-$59,378</w:t>
            </w:r>
          </w:p>
        </w:tc>
        <w:tc>
          <w:tcPr>
            <w:tcW w:w="1554" w:type="dxa"/>
          </w:tcPr>
          <w:p w14:paraId="7F520F0A" w14:textId="77777777" w:rsidR="008C2A2E" w:rsidRPr="00183E4D" w:rsidRDefault="008C2A2E" w:rsidP="008C2A2E">
            <w:pPr>
              <w:pStyle w:val="Tabletext0"/>
            </w:pPr>
            <w:r>
              <w:t>1.50</w:t>
            </w:r>
          </w:p>
        </w:tc>
        <w:tc>
          <w:tcPr>
            <w:tcW w:w="1553" w:type="dxa"/>
          </w:tcPr>
          <w:p w14:paraId="0A17F1A4" w14:textId="77777777" w:rsidR="008C2A2E" w:rsidRPr="00183E4D" w:rsidRDefault="008C2A2E" w:rsidP="008C2A2E">
            <w:pPr>
              <w:pStyle w:val="Tabletext0"/>
            </w:pPr>
            <w:r>
              <w:t>0.50</w:t>
            </w:r>
          </w:p>
        </w:tc>
        <w:tc>
          <w:tcPr>
            <w:tcW w:w="1554" w:type="dxa"/>
          </w:tcPr>
          <w:p w14:paraId="539DCF8F" w14:textId="77777777" w:rsidR="008C2A2E" w:rsidRPr="00183E4D" w:rsidRDefault="008C2A2E" w:rsidP="008C2A2E">
            <w:pPr>
              <w:pStyle w:val="Tabletext0"/>
            </w:pPr>
            <w:r>
              <w:t>Dominant</w:t>
            </w:r>
          </w:p>
        </w:tc>
      </w:tr>
    </w:tbl>
    <w:p w14:paraId="6F9483B4" w14:textId="120AD1BB" w:rsidR="008C2A2E" w:rsidRPr="00DC1117" w:rsidRDefault="008C2A2E" w:rsidP="002F439F">
      <w:pPr>
        <w:spacing w:before="240"/>
        <w:rPr>
          <w:rFonts w:ascii="Arial Narrow" w:hAnsi="Arial Narrow"/>
          <w:b/>
          <w:sz w:val="20"/>
        </w:rPr>
      </w:pPr>
      <w:r w:rsidRPr="00DC1117">
        <w:rPr>
          <w:rFonts w:ascii="Arial Narrow" w:hAnsi="Arial Narrow"/>
          <w:b/>
          <w:sz w:val="20"/>
        </w:rPr>
        <w:t>Table 15: Costs and outcomes of Model 3: for RHF patients (base case)</w:t>
      </w:r>
    </w:p>
    <w:tbl>
      <w:tblPr>
        <w:tblStyle w:val="TableGrid2"/>
        <w:tblW w:w="9185" w:type="dxa"/>
        <w:tblInd w:w="-5"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418"/>
        <w:gridCol w:w="1553"/>
        <w:gridCol w:w="1553"/>
        <w:gridCol w:w="1554"/>
        <w:gridCol w:w="1553"/>
        <w:gridCol w:w="1554"/>
      </w:tblGrid>
      <w:tr w:rsidR="008C2A2E" w:rsidRPr="00D323E3" w14:paraId="7B55F51D"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418" w:type="dxa"/>
            <w:tcBorders>
              <w:bottom w:val="single" w:sz="4" w:space="0" w:color="auto"/>
            </w:tcBorders>
            <w:shd w:val="clear" w:color="auto" w:fill="BFBFBF" w:themeFill="background1" w:themeFillShade="BF"/>
          </w:tcPr>
          <w:p w14:paraId="2F8D95FD" w14:textId="77777777" w:rsidR="008C2A2E" w:rsidRPr="00D323E3" w:rsidRDefault="008C2A2E" w:rsidP="008C2A2E">
            <w:pPr>
              <w:pStyle w:val="Tabletext0"/>
              <w:jc w:val="center"/>
              <w:rPr>
                <w:b/>
              </w:rPr>
            </w:pPr>
            <w:r w:rsidRPr="00D323E3">
              <w:rPr>
                <w:b/>
              </w:rPr>
              <w:t>Strategy</w:t>
            </w:r>
          </w:p>
        </w:tc>
        <w:tc>
          <w:tcPr>
            <w:tcW w:w="1553" w:type="dxa"/>
            <w:tcBorders>
              <w:bottom w:val="single" w:sz="4" w:space="0" w:color="auto"/>
            </w:tcBorders>
            <w:shd w:val="clear" w:color="auto" w:fill="BFBFBF" w:themeFill="background1" w:themeFillShade="BF"/>
          </w:tcPr>
          <w:p w14:paraId="65BFDFA7" w14:textId="77777777" w:rsidR="008C2A2E" w:rsidRPr="00D323E3" w:rsidRDefault="008C2A2E" w:rsidP="008C2A2E">
            <w:pPr>
              <w:pStyle w:val="Tabletext0"/>
              <w:jc w:val="center"/>
              <w:rPr>
                <w:b/>
              </w:rPr>
            </w:pPr>
            <w:r w:rsidRPr="00D323E3">
              <w:rPr>
                <w:b/>
              </w:rPr>
              <w:t>Cost</w:t>
            </w:r>
          </w:p>
        </w:tc>
        <w:tc>
          <w:tcPr>
            <w:tcW w:w="1553" w:type="dxa"/>
            <w:tcBorders>
              <w:bottom w:val="single" w:sz="4" w:space="0" w:color="auto"/>
            </w:tcBorders>
            <w:shd w:val="clear" w:color="auto" w:fill="BFBFBF" w:themeFill="background1" w:themeFillShade="BF"/>
          </w:tcPr>
          <w:p w14:paraId="0CF3F438" w14:textId="77777777" w:rsidR="008C2A2E" w:rsidRPr="00D323E3" w:rsidRDefault="008C2A2E" w:rsidP="008C2A2E">
            <w:pPr>
              <w:pStyle w:val="Tabletext0"/>
              <w:jc w:val="center"/>
              <w:rPr>
                <w:b/>
              </w:rPr>
            </w:pPr>
            <w:r w:rsidRPr="00D323E3">
              <w:rPr>
                <w:b/>
              </w:rPr>
              <w:t>Incremental cost</w:t>
            </w:r>
          </w:p>
        </w:tc>
        <w:tc>
          <w:tcPr>
            <w:tcW w:w="1554" w:type="dxa"/>
            <w:tcBorders>
              <w:bottom w:val="single" w:sz="4" w:space="0" w:color="auto"/>
            </w:tcBorders>
            <w:shd w:val="clear" w:color="auto" w:fill="BFBFBF" w:themeFill="background1" w:themeFillShade="BF"/>
          </w:tcPr>
          <w:p w14:paraId="05ECC710" w14:textId="77777777" w:rsidR="008C2A2E" w:rsidRPr="00D323E3" w:rsidRDefault="008C2A2E" w:rsidP="008C2A2E">
            <w:pPr>
              <w:pStyle w:val="Tabletext0"/>
              <w:jc w:val="center"/>
              <w:rPr>
                <w:b/>
              </w:rPr>
            </w:pPr>
            <w:r w:rsidRPr="00D323E3">
              <w:rPr>
                <w:b/>
              </w:rPr>
              <w:t>Effectiveness (QALYs)</w:t>
            </w:r>
          </w:p>
        </w:tc>
        <w:tc>
          <w:tcPr>
            <w:tcW w:w="1553" w:type="dxa"/>
            <w:tcBorders>
              <w:bottom w:val="single" w:sz="4" w:space="0" w:color="auto"/>
            </w:tcBorders>
            <w:shd w:val="clear" w:color="auto" w:fill="BFBFBF" w:themeFill="background1" w:themeFillShade="BF"/>
          </w:tcPr>
          <w:p w14:paraId="679D658F" w14:textId="77777777" w:rsidR="008C2A2E" w:rsidRPr="00D323E3" w:rsidRDefault="008C2A2E" w:rsidP="008C2A2E">
            <w:pPr>
              <w:pStyle w:val="Tabletext0"/>
              <w:jc w:val="center"/>
              <w:rPr>
                <w:b/>
              </w:rPr>
            </w:pPr>
            <w:r w:rsidRPr="00D323E3">
              <w:rPr>
                <w:b/>
              </w:rPr>
              <w:t>Incremental effectiveness</w:t>
            </w:r>
          </w:p>
        </w:tc>
        <w:tc>
          <w:tcPr>
            <w:tcW w:w="1554" w:type="dxa"/>
            <w:tcBorders>
              <w:bottom w:val="single" w:sz="4" w:space="0" w:color="auto"/>
            </w:tcBorders>
            <w:shd w:val="clear" w:color="auto" w:fill="BFBFBF" w:themeFill="background1" w:themeFillShade="BF"/>
          </w:tcPr>
          <w:p w14:paraId="1C4E1A5C" w14:textId="77777777" w:rsidR="008C2A2E" w:rsidRPr="00D323E3" w:rsidRDefault="008C2A2E" w:rsidP="008C2A2E">
            <w:pPr>
              <w:pStyle w:val="Tabletext0"/>
              <w:jc w:val="center"/>
              <w:rPr>
                <w:b/>
              </w:rPr>
            </w:pPr>
            <w:r w:rsidRPr="00D323E3">
              <w:rPr>
                <w:b/>
              </w:rPr>
              <w:t>ICER</w:t>
            </w:r>
          </w:p>
        </w:tc>
      </w:tr>
      <w:tr w:rsidR="008C2A2E" w:rsidRPr="00183E4D" w14:paraId="49D15472" w14:textId="77777777" w:rsidTr="008C2A2E">
        <w:tc>
          <w:tcPr>
            <w:tcW w:w="1418" w:type="dxa"/>
          </w:tcPr>
          <w:p w14:paraId="2BA9547E" w14:textId="77777777" w:rsidR="008C2A2E" w:rsidRDefault="008C2A2E" w:rsidP="008C2A2E">
            <w:pPr>
              <w:pStyle w:val="Tabletext0"/>
            </w:pPr>
            <w:r w:rsidRPr="0099119F">
              <w:t>Standard care</w:t>
            </w:r>
          </w:p>
          <w:p w14:paraId="1A1B4276" w14:textId="77777777" w:rsidR="008C2A2E" w:rsidRPr="009412E8" w:rsidRDefault="008C2A2E" w:rsidP="008C2A2E">
            <w:pPr>
              <w:pStyle w:val="Tabletext0"/>
              <w:rPr>
                <w:i/>
              </w:rPr>
            </w:pPr>
            <w:r w:rsidRPr="009412E8">
              <w:rPr>
                <w:i/>
              </w:rPr>
              <w:t>(ECMO 100%)</w:t>
            </w:r>
          </w:p>
        </w:tc>
        <w:tc>
          <w:tcPr>
            <w:tcW w:w="1553" w:type="dxa"/>
          </w:tcPr>
          <w:p w14:paraId="22D176CB" w14:textId="77777777" w:rsidR="008C2A2E" w:rsidRPr="00183E4D" w:rsidRDefault="008C2A2E" w:rsidP="008C2A2E">
            <w:pPr>
              <w:pStyle w:val="Tabletext0"/>
            </w:pPr>
            <w:r>
              <w:t>$257,477</w:t>
            </w:r>
          </w:p>
        </w:tc>
        <w:tc>
          <w:tcPr>
            <w:tcW w:w="1553" w:type="dxa"/>
          </w:tcPr>
          <w:p w14:paraId="58C71FFD" w14:textId="4389DC98" w:rsidR="008C2A2E" w:rsidRPr="00183E4D" w:rsidRDefault="008C2A2E" w:rsidP="008C2A2E">
            <w:pPr>
              <w:pStyle w:val="Tabletext0"/>
            </w:pPr>
          </w:p>
        </w:tc>
        <w:tc>
          <w:tcPr>
            <w:tcW w:w="1554" w:type="dxa"/>
          </w:tcPr>
          <w:p w14:paraId="6A23095F" w14:textId="77777777" w:rsidR="008C2A2E" w:rsidRPr="00183E4D" w:rsidRDefault="008C2A2E" w:rsidP="008C2A2E">
            <w:pPr>
              <w:pStyle w:val="Tabletext0"/>
            </w:pPr>
            <w:r>
              <w:t>2.11</w:t>
            </w:r>
          </w:p>
        </w:tc>
        <w:tc>
          <w:tcPr>
            <w:tcW w:w="1553" w:type="dxa"/>
          </w:tcPr>
          <w:p w14:paraId="5D2B60E5" w14:textId="77777777" w:rsidR="008C2A2E" w:rsidRPr="00183E4D" w:rsidRDefault="008C2A2E" w:rsidP="008C2A2E">
            <w:pPr>
              <w:pStyle w:val="Tabletext0"/>
            </w:pPr>
          </w:p>
        </w:tc>
        <w:tc>
          <w:tcPr>
            <w:tcW w:w="1554" w:type="dxa"/>
          </w:tcPr>
          <w:p w14:paraId="643113CC" w14:textId="77777777" w:rsidR="008C2A2E" w:rsidRPr="00183E4D" w:rsidRDefault="008C2A2E" w:rsidP="008C2A2E">
            <w:pPr>
              <w:pStyle w:val="Tabletext0"/>
            </w:pPr>
          </w:p>
        </w:tc>
      </w:tr>
      <w:tr w:rsidR="008C2A2E" w:rsidRPr="00183E4D" w14:paraId="490F522C" w14:textId="77777777" w:rsidTr="008C2A2E">
        <w:tc>
          <w:tcPr>
            <w:tcW w:w="1418" w:type="dxa"/>
          </w:tcPr>
          <w:p w14:paraId="7EA1835C" w14:textId="77777777" w:rsidR="008C2A2E" w:rsidRPr="0037121C" w:rsidRDefault="008C2A2E" w:rsidP="008C2A2E">
            <w:pPr>
              <w:pStyle w:val="Tabletext0"/>
            </w:pPr>
            <w:r w:rsidRPr="0099119F">
              <w:t>Impella</w:t>
            </w:r>
          </w:p>
        </w:tc>
        <w:tc>
          <w:tcPr>
            <w:tcW w:w="1553" w:type="dxa"/>
          </w:tcPr>
          <w:p w14:paraId="15395A7C" w14:textId="77777777" w:rsidR="008C2A2E" w:rsidRPr="00183E4D" w:rsidRDefault="008C2A2E" w:rsidP="008C2A2E">
            <w:pPr>
              <w:pStyle w:val="Tabletext0"/>
            </w:pPr>
            <w:r>
              <w:t>$114,618</w:t>
            </w:r>
          </w:p>
        </w:tc>
        <w:tc>
          <w:tcPr>
            <w:tcW w:w="1553" w:type="dxa"/>
          </w:tcPr>
          <w:p w14:paraId="5450F67A" w14:textId="77777777" w:rsidR="008C2A2E" w:rsidRPr="00183E4D" w:rsidRDefault="00525682" w:rsidP="008C2A2E">
            <w:pPr>
              <w:pStyle w:val="Tabletext0"/>
            </w:pPr>
            <w:r>
              <w:t>-$142,859</w:t>
            </w:r>
          </w:p>
        </w:tc>
        <w:tc>
          <w:tcPr>
            <w:tcW w:w="1554" w:type="dxa"/>
          </w:tcPr>
          <w:p w14:paraId="410C7F56" w14:textId="77777777" w:rsidR="008C2A2E" w:rsidRPr="00183E4D" w:rsidRDefault="008C2A2E" w:rsidP="008C2A2E">
            <w:pPr>
              <w:pStyle w:val="Tabletext0"/>
            </w:pPr>
            <w:r>
              <w:t>2.30</w:t>
            </w:r>
          </w:p>
        </w:tc>
        <w:tc>
          <w:tcPr>
            <w:tcW w:w="1553" w:type="dxa"/>
          </w:tcPr>
          <w:p w14:paraId="177DD7FE" w14:textId="77777777" w:rsidR="008C2A2E" w:rsidRPr="00183E4D" w:rsidRDefault="008C2A2E" w:rsidP="008C2A2E">
            <w:pPr>
              <w:pStyle w:val="Tabletext0"/>
            </w:pPr>
            <w:r>
              <w:t>0.19</w:t>
            </w:r>
          </w:p>
        </w:tc>
        <w:tc>
          <w:tcPr>
            <w:tcW w:w="1554" w:type="dxa"/>
          </w:tcPr>
          <w:p w14:paraId="51D3E544" w14:textId="77777777" w:rsidR="008C2A2E" w:rsidRPr="00183E4D" w:rsidRDefault="008C2A2E" w:rsidP="008C2A2E">
            <w:pPr>
              <w:pStyle w:val="Tabletext0"/>
            </w:pPr>
            <w:r>
              <w:t>Dominant</w:t>
            </w:r>
          </w:p>
        </w:tc>
      </w:tr>
    </w:tbl>
    <w:p w14:paraId="2C85D6FE" w14:textId="79A440FB" w:rsidR="008C2A2E" w:rsidRDefault="00342009" w:rsidP="002F439F">
      <w:pPr>
        <w:spacing w:before="240"/>
        <w:rPr>
          <w:lang w:eastAsia="en-US"/>
        </w:rPr>
      </w:pPr>
      <w:r>
        <w:rPr>
          <w:lang w:eastAsia="en-US"/>
        </w:rPr>
        <w:t>For HR-PCI (model 1), the a</w:t>
      </w:r>
      <w:r w:rsidR="008C2A2E">
        <w:rPr>
          <w:lang w:eastAsia="en-US"/>
        </w:rPr>
        <w:t>pplicant also provided updated one-way sensitivity analysis investigating the impact of lower use of ECMO in the base case model (Table 16).</w:t>
      </w:r>
    </w:p>
    <w:p w14:paraId="7759C97C" w14:textId="5C339F76" w:rsidR="008C2A2E" w:rsidRPr="00DC1117" w:rsidRDefault="008C2A2E" w:rsidP="002F439F">
      <w:pPr>
        <w:spacing w:before="240"/>
        <w:rPr>
          <w:rFonts w:ascii="Arial Narrow" w:hAnsi="Arial Narrow"/>
          <w:b/>
          <w:sz w:val="20"/>
        </w:rPr>
      </w:pPr>
      <w:r w:rsidRPr="00DC1117">
        <w:rPr>
          <w:rFonts w:ascii="Arial Narrow" w:hAnsi="Arial Narrow"/>
          <w:b/>
          <w:sz w:val="20"/>
        </w:rPr>
        <w:t xml:space="preserve">Table </w:t>
      </w:r>
      <w:r w:rsidR="009F3C48" w:rsidRPr="00DC1117">
        <w:rPr>
          <w:rFonts w:ascii="Arial Narrow" w:hAnsi="Arial Narrow"/>
          <w:b/>
          <w:sz w:val="20"/>
        </w:rPr>
        <w:t>16</w:t>
      </w:r>
      <w:r w:rsidRPr="00DC1117">
        <w:rPr>
          <w:rFonts w:ascii="Arial Narrow" w:hAnsi="Arial Narrow"/>
          <w:b/>
          <w:sz w:val="20"/>
        </w:rPr>
        <w:t>: One-way sensitivity analysis: proportion of ECMO supported patients in Standard Care for HR-PCI patients</w:t>
      </w:r>
    </w:p>
    <w:tbl>
      <w:tblPr>
        <w:tblStyle w:val="TableGrid2"/>
        <w:tblW w:w="9072" w:type="dxa"/>
        <w:tblInd w:w="-5" w:type="dxa"/>
        <w:tblLayout w:type="fixed"/>
        <w:tblCellMar>
          <w:left w:w="28" w:type="dxa"/>
          <w:right w:w="28" w:type="dxa"/>
        </w:tblCellMar>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560"/>
        <w:gridCol w:w="850"/>
        <w:gridCol w:w="851"/>
        <w:gridCol w:w="1134"/>
        <w:gridCol w:w="992"/>
        <w:gridCol w:w="850"/>
        <w:gridCol w:w="1134"/>
        <w:gridCol w:w="1701"/>
      </w:tblGrid>
      <w:tr w:rsidR="008C2A2E" w:rsidRPr="008D7D51" w14:paraId="732BA5F5"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560" w:type="dxa"/>
            <w:tcBorders>
              <w:bottom w:val="single" w:sz="4" w:space="0" w:color="auto"/>
            </w:tcBorders>
            <w:shd w:val="clear" w:color="auto" w:fill="BFBFBF" w:themeFill="background1" w:themeFillShade="BF"/>
          </w:tcPr>
          <w:p w14:paraId="4A938053" w14:textId="77777777" w:rsidR="008C2A2E" w:rsidRPr="00E56C5D" w:rsidRDefault="008C2A2E" w:rsidP="008C2A2E">
            <w:pPr>
              <w:pStyle w:val="Tabletextcentred"/>
              <w:rPr>
                <w:b/>
              </w:rPr>
            </w:pPr>
            <w:r>
              <w:rPr>
                <w:b/>
              </w:rPr>
              <w:t>% ECMO in Standard care</w:t>
            </w:r>
          </w:p>
        </w:tc>
        <w:tc>
          <w:tcPr>
            <w:tcW w:w="1701" w:type="dxa"/>
            <w:gridSpan w:val="2"/>
            <w:tcBorders>
              <w:bottom w:val="single" w:sz="4" w:space="0" w:color="auto"/>
            </w:tcBorders>
            <w:shd w:val="clear" w:color="auto" w:fill="BFBFBF" w:themeFill="background1" w:themeFillShade="BF"/>
          </w:tcPr>
          <w:p w14:paraId="17AEC7BF" w14:textId="77777777" w:rsidR="008C2A2E" w:rsidRPr="00E56C5D" w:rsidRDefault="008C2A2E" w:rsidP="008C2A2E">
            <w:pPr>
              <w:pStyle w:val="Tabletextcentred"/>
              <w:rPr>
                <w:b/>
              </w:rPr>
            </w:pPr>
            <w:r w:rsidRPr="00E56C5D">
              <w:rPr>
                <w:b/>
              </w:rPr>
              <w:t>Cost</w:t>
            </w:r>
          </w:p>
        </w:tc>
        <w:tc>
          <w:tcPr>
            <w:tcW w:w="1134" w:type="dxa"/>
            <w:tcBorders>
              <w:bottom w:val="single" w:sz="4" w:space="0" w:color="auto"/>
            </w:tcBorders>
            <w:shd w:val="clear" w:color="auto" w:fill="BFBFBF" w:themeFill="background1" w:themeFillShade="BF"/>
          </w:tcPr>
          <w:p w14:paraId="2731AAD4" w14:textId="77777777" w:rsidR="008C2A2E" w:rsidRPr="00E56C5D" w:rsidRDefault="008C2A2E" w:rsidP="008C2A2E">
            <w:pPr>
              <w:pStyle w:val="Tabletextcentred"/>
              <w:rPr>
                <w:b/>
              </w:rPr>
            </w:pPr>
            <w:r w:rsidRPr="00E56C5D">
              <w:rPr>
                <w:b/>
              </w:rPr>
              <w:t>Incremental cost</w:t>
            </w:r>
          </w:p>
        </w:tc>
        <w:tc>
          <w:tcPr>
            <w:tcW w:w="1842" w:type="dxa"/>
            <w:gridSpan w:val="2"/>
            <w:tcBorders>
              <w:bottom w:val="single" w:sz="4" w:space="0" w:color="auto"/>
            </w:tcBorders>
            <w:shd w:val="clear" w:color="auto" w:fill="BFBFBF" w:themeFill="background1" w:themeFillShade="BF"/>
          </w:tcPr>
          <w:p w14:paraId="37734296" w14:textId="77777777" w:rsidR="008C2A2E" w:rsidRPr="00E56C5D" w:rsidRDefault="008C2A2E" w:rsidP="008C2A2E">
            <w:pPr>
              <w:pStyle w:val="Tabletextcentred"/>
              <w:rPr>
                <w:b/>
              </w:rPr>
            </w:pPr>
            <w:r w:rsidRPr="00E56C5D">
              <w:rPr>
                <w:b/>
              </w:rPr>
              <w:t>Effectiveness (QALYs)</w:t>
            </w:r>
          </w:p>
        </w:tc>
        <w:tc>
          <w:tcPr>
            <w:tcW w:w="1134" w:type="dxa"/>
            <w:tcBorders>
              <w:bottom w:val="single" w:sz="4" w:space="0" w:color="auto"/>
            </w:tcBorders>
            <w:shd w:val="clear" w:color="auto" w:fill="BFBFBF" w:themeFill="background1" w:themeFillShade="BF"/>
          </w:tcPr>
          <w:p w14:paraId="5BCE377A" w14:textId="77777777" w:rsidR="008C2A2E" w:rsidRPr="00E56C5D" w:rsidRDefault="008C2A2E" w:rsidP="008C2A2E">
            <w:pPr>
              <w:pStyle w:val="Tabletextcentred"/>
              <w:rPr>
                <w:b/>
              </w:rPr>
            </w:pPr>
            <w:r w:rsidRPr="00E56C5D">
              <w:rPr>
                <w:b/>
              </w:rPr>
              <w:t>Incremental effectiveness</w:t>
            </w:r>
          </w:p>
        </w:tc>
        <w:tc>
          <w:tcPr>
            <w:tcW w:w="1701" w:type="dxa"/>
            <w:tcBorders>
              <w:bottom w:val="single" w:sz="4" w:space="0" w:color="auto"/>
            </w:tcBorders>
            <w:shd w:val="clear" w:color="auto" w:fill="BFBFBF" w:themeFill="background1" w:themeFillShade="BF"/>
          </w:tcPr>
          <w:p w14:paraId="11332C00" w14:textId="77777777" w:rsidR="008C2A2E" w:rsidRPr="00E56C5D" w:rsidRDefault="008C2A2E" w:rsidP="008C2A2E">
            <w:pPr>
              <w:pStyle w:val="Tabletextcentred"/>
              <w:rPr>
                <w:b/>
              </w:rPr>
            </w:pPr>
            <w:r w:rsidRPr="00E56C5D">
              <w:rPr>
                <w:b/>
              </w:rPr>
              <w:t>ICER</w:t>
            </w:r>
          </w:p>
        </w:tc>
      </w:tr>
      <w:tr w:rsidR="008C2A2E" w:rsidRPr="008D7D51" w14:paraId="37096EF7" w14:textId="77777777" w:rsidTr="008C2A2E">
        <w:trPr>
          <w:cnfStyle w:val="100000000000" w:firstRow="1" w:lastRow="0" w:firstColumn="0" w:lastColumn="0" w:oddVBand="0" w:evenVBand="0" w:oddHBand="0" w:evenHBand="0" w:firstRowFirstColumn="0" w:firstRowLastColumn="0" w:lastRowFirstColumn="0" w:lastRowLastColumn="0"/>
          <w:tblHeader/>
        </w:trPr>
        <w:tc>
          <w:tcPr>
            <w:tcW w:w="1560" w:type="dxa"/>
            <w:tcBorders>
              <w:bottom w:val="single" w:sz="4" w:space="0" w:color="auto"/>
            </w:tcBorders>
            <w:shd w:val="clear" w:color="auto" w:fill="BFBFBF" w:themeFill="background1" w:themeFillShade="BF"/>
          </w:tcPr>
          <w:p w14:paraId="6C8A9D6A" w14:textId="77777777" w:rsidR="008C2A2E" w:rsidRPr="00E56C5D" w:rsidRDefault="008C2A2E" w:rsidP="008C2A2E">
            <w:pPr>
              <w:pStyle w:val="Tabletextcentred"/>
              <w:jc w:val="left"/>
            </w:pPr>
          </w:p>
        </w:tc>
        <w:tc>
          <w:tcPr>
            <w:tcW w:w="850" w:type="dxa"/>
            <w:shd w:val="clear" w:color="auto" w:fill="BFBFBF" w:themeFill="background1" w:themeFillShade="BF"/>
          </w:tcPr>
          <w:p w14:paraId="1CC5DDA0" w14:textId="77777777" w:rsidR="008C2A2E" w:rsidRPr="00E56C5D" w:rsidRDefault="008C2A2E" w:rsidP="008C2A2E">
            <w:pPr>
              <w:pStyle w:val="Tabletextcentred"/>
              <w:jc w:val="left"/>
            </w:pPr>
            <w:r w:rsidRPr="00E56C5D">
              <w:t>Impella</w:t>
            </w:r>
          </w:p>
        </w:tc>
        <w:tc>
          <w:tcPr>
            <w:tcW w:w="851" w:type="dxa"/>
            <w:shd w:val="clear" w:color="auto" w:fill="BFBFBF" w:themeFill="background1" w:themeFillShade="BF"/>
          </w:tcPr>
          <w:p w14:paraId="6DD40F2D" w14:textId="77777777" w:rsidR="008C2A2E" w:rsidRPr="00E56C5D" w:rsidRDefault="008C2A2E" w:rsidP="008C2A2E">
            <w:pPr>
              <w:pStyle w:val="Tabletextcentred"/>
              <w:jc w:val="left"/>
            </w:pPr>
            <w:r w:rsidRPr="00E56C5D">
              <w:t>SC</w:t>
            </w:r>
          </w:p>
        </w:tc>
        <w:tc>
          <w:tcPr>
            <w:tcW w:w="1134" w:type="dxa"/>
            <w:tcBorders>
              <w:bottom w:val="single" w:sz="4" w:space="0" w:color="auto"/>
            </w:tcBorders>
            <w:shd w:val="clear" w:color="auto" w:fill="BFBFBF" w:themeFill="background1" w:themeFillShade="BF"/>
          </w:tcPr>
          <w:p w14:paraId="7B571932" w14:textId="77777777" w:rsidR="008C2A2E" w:rsidRPr="00E56C5D" w:rsidRDefault="008C2A2E" w:rsidP="008C2A2E">
            <w:pPr>
              <w:pStyle w:val="Tabletextcentred"/>
              <w:jc w:val="left"/>
            </w:pPr>
          </w:p>
        </w:tc>
        <w:tc>
          <w:tcPr>
            <w:tcW w:w="992" w:type="dxa"/>
            <w:shd w:val="clear" w:color="auto" w:fill="BFBFBF" w:themeFill="background1" w:themeFillShade="BF"/>
          </w:tcPr>
          <w:p w14:paraId="576E8A13" w14:textId="77777777" w:rsidR="008C2A2E" w:rsidRPr="00E56C5D" w:rsidRDefault="008C2A2E" w:rsidP="008C2A2E">
            <w:pPr>
              <w:pStyle w:val="Tabletextcentred"/>
              <w:jc w:val="left"/>
            </w:pPr>
            <w:r w:rsidRPr="00E56C5D">
              <w:t>Impella</w:t>
            </w:r>
          </w:p>
        </w:tc>
        <w:tc>
          <w:tcPr>
            <w:tcW w:w="850" w:type="dxa"/>
            <w:shd w:val="clear" w:color="auto" w:fill="BFBFBF" w:themeFill="background1" w:themeFillShade="BF"/>
          </w:tcPr>
          <w:p w14:paraId="46B3DEEE" w14:textId="77777777" w:rsidR="008C2A2E" w:rsidRPr="00E56C5D" w:rsidRDefault="008C2A2E" w:rsidP="008C2A2E">
            <w:pPr>
              <w:pStyle w:val="Tabletextcentred"/>
              <w:jc w:val="left"/>
            </w:pPr>
            <w:r w:rsidRPr="00E56C5D">
              <w:t>SC</w:t>
            </w:r>
          </w:p>
        </w:tc>
        <w:tc>
          <w:tcPr>
            <w:tcW w:w="1134" w:type="dxa"/>
            <w:tcBorders>
              <w:bottom w:val="single" w:sz="4" w:space="0" w:color="auto"/>
            </w:tcBorders>
            <w:shd w:val="clear" w:color="auto" w:fill="BFBFBF" w:themeFill="background1" w:themeFillShade="BF"/>
          </w:tcPr>
          <w:p w14:paraId="7D7C3D1B" w14:textId="77777777" w:rsidR="008C2A2E" w:rsidRPr="00E56C5D" w:rsidRDefault="008C2A2E" w:rsidP="008C2A2E">
            <w:pPr>
              <w:pStyle w:val="Tabletextcentred"/>
              <w:jc w:val="left"/>
            </w:pPr>
          </w:p>
        </w:tc>
        <w:tc>
          <w:tcPr>
            <w:tcW w:w="1701" w:type="dxa"/>
            <w:tcBorders>
              <w:bottom w:val="single" w:sz="4" w:space="0" w:color="auto"/>
            </w:tcBorders>
            <w:shd w:val="clear" w:color="auto" w:fill="BFBFBF" w:themeFill="background1" w:themeFillShade="BF"/>
          </w:tcPr>
          <w:p w14:paraId="22411D30" w14:textId="77777777" w:rsidR="008C2A2E" w:rsidRPr="00E56C5D" w:rsidRDefault="008C2A2E" w:rsidP="008C2A2E">
            <w:pPr>
              <w:pStyle w:val="Tabletextcentred"/>
              <w:jc w:val="left"/>
            </w:pPr>
          </w:p>
        </w:tc>
      </w:tr>
      <w:tr w:rsidR="008C2A2E" w:rsidRPr="008D7D51" w14:paraId="5AA3DEBE" w14:textId="77777777" w:rsidTr="008C2A2E">
        <w:tc>
          <w:tcPr>
            <w:tcW w:w="1560" w:type="dxa"/>
          </w:tcPr>
          <w:p w14:paraId="7FF2B9DE" w14:textId="77777777" w:rsidR="008C2A2E" w:rsidRPr="00E56C5D" w:rsidRDefault="008C2A2E" w:rsidP="008C2A2E">
            <w:pPr>
              <w:pStyle w:val="Tabletextcentred"/>
              <w:jc w:val="left"/>
            </w:pPr>
            <w:r w:rsidRPr="00E56C5D">
              <w:t xml:space="preserve">0.0 </w:t>
            </w:r>
          </w:p>
        </w:tc>
        <w:tc>
          <w:tcPr>
            <w:tcW w:w="850" w:type="dxa"/>
            <w:shd w:val="clear" w:color="auto" w:fill="auto"/>
          </w:tcPr>
          <w:p w14:paraId="1DD16612" w14:textId="77777777" w:rsidR="008C2A2E" w:rsidRPr="00E56C5D" w:rsidRDefault="008C2A2E" w:rsidP="008C2A2E">
            <w:pPr>
              <w:pStyle w:val="Tabletextcentred"/>
              <w:jc w:val="left"/>
            </w:pPr>
            <w:r w:rsidRPr="00E56C5D">
              <w:t>$116,535</w:t>
            </w:r>
          </w:p>
        </w:tc>
        <w:tc>
          <w:tcPr>
            <w:tcW w:w="851" w:type="dxa"/>
            <w:shd w:val="clear" w:color="auto" w:fill="auto"/>
          </w:tcPr>
          <w:p w14:paraId="05459417" w14:textId="77777777" w:rsidR="008C2A2E" w:rsidRPr="00E56C5D" w:rsidRDefault="008C2A2E" w:rsidP="008C2A2E">
            <w:pPr>
              <w:pStyle w:val="Tabletextcentred"/>
              <w:jc w:val="left"/>
            </w:pPr>
            <w:r w:rsidRPr="00E56C5D">
              <w:t>$79,500</w:t>
            </w:r>
          </w:p>
        </w:tc>
        <w:tc>
          <w:tcPr>
            <w:tcW w:w="1134" w:type="dxa"/>
          </w:tcPr>
          <w:p w14:paraId="594ED7C6" w14:textId="77777777" w:rsidR="008C2A2E" w:rsidRPr="00E56C5D" w:rsidRDefault="008C2A2E" w:rsidP="008C2A2E">
            <w:pPr>
              <w:pStyle w:val="Tabletextcentred"/>
              <w:jc w:val="left"/>
            </w:pPr>
            <w:r w:rsidRPr="00E56C5D">
              <w:t>-$37,035</w:t>
            </w:r>
          </w:p>
        </w:tc>
        <w:tc>
          <w:tcPr>
            <w:tcW w:w="992" w:type="dxa"/>
            <w:shd w:val="clear" w:color="auto" w:fill="auto"/>
          </w:tcPr>
          <w:p w14:paraId="40B8A138" w14:textId="77777777" w:rsidR="008C2A2E" w:rsidRPr="00E56C5D" w:rsidRDefault="008C2A2E" w:rsidP="008C2A2E">
            <w:pPr>
              <w:pStyle w:val="Tabletextcentred"/>
              <w:jc w:val="left"/>
            </w:pPr>
            <w:r w:rsidRPr="00E56C5D">
              <w:t>2.57</w:t>
            </w:r>
          </w:p>
        </w:tc>
        <w:tc>
          <w:tcPr>
            <w:tcW w:w="850" w:type="dxa"/>
            <w:shd w:val="clear" w:color="auto" w:fill="auto"/>
          </w:tcPr>
          <w:p w14:paraId="060DB677" w14:textId="77777777" w:rsidR="008C2A2E" w:rsidRPr="00E56C5D" w:rsidRDefault="008C2A2E" w:rsidP="008C2A2E">
            <w:pPr>
              <w:pStyle w:val="Tabletextcentred"/>
              <w:jc w:val="left"/>
            </w:pPr>
            <w:r w:rsidRPr="00E56C5D">
              <w:t>2.56</w:t>
            </w:r>
          </w:p>
        </w:tc>
        <w:tc>
          <w:tcPr>
            <w:tcW w:w="1134" w:type="dxa"/>
            <w:tcBorders>
              <w:right w:val="single" w:sz="4" w:space="0" w:color="auto"/>
            </w:tcBorders>
          </w:tcPr>
          <w:p w14:paraId="571DB3E4" w14:textId="77777777" w:rsidR="008C2A2E" w:rsidRPr="00E56C5D" w:rsidRDefault="008C2A2E" w:rsidP="008C2A2E">
            <w:pPr>
              <w:pStyle w:val="Tabletextcentred"/>
              <w:jc w:val="left"/>
            </w:pPr>
            <w:r w:rsidRPr="00E56C5D">
              <w:t>0.01</w:t>
            </w:r>
          </w:p>
        </w:tc>
        <w:tc>
          <w:tcPr>
            <w:tcW w:w="1701" w:type="dxa"/>
            <w:tcBorders>
              <w:left w:val="single" w:sz="4" w:space="0" w:color="auto"/>
              <w:right w:val="single" w:sz="4" w:space="0" w:color="auto"/>
            </w:tcBorders>
          </w:tcPr>
          <w:p w14:paraId="298B28AB" w14:textId="77777777" w:rsidR="008C2A2E" w:rsidRPr="00E56C5D" w:rsidRDefault="008C2A2E" w:rsidP="008C2A2E">
            <w:pPr>
              <w:pStyle w:val="Tabletextcentred"/>
              <w:jc w:val="left"/>
            </w:pPr>
            <w:r w:rsidRPr="00E56C5D">
              <w:t>$3,296,310</w:t>
            </w:r>
          </w:p>
        </w:tc>
      </w:tr>
      <w:tr w:rsidR="008C2A2E" w:rsidRPr="008D7D51" w14:paraId="4FE5F26D" w14:textId="77777777" w:rsidTr="008C2A2E">
        <w:tc>
          <w:tcPr>
            <w:tcW w:w="1560" w:type="dxa"/>
          </w:tcPr>
          <w:p w14:paraId="5BA508D2" w14:textId="77777777" w:rsidR="008C2A2E" w:rsidRPr="00E56C5D" w:rsidRDefault="008C2A2E" w:rsidP="008C2A2E">
            <w:pPr>
              <w:pStyle w:val="Tabletextcentred"/>
              <w:jc w:val="left"/>
            </w:pPr>
            <w:r w:rsidRPr="00E56C5D">
              <w:t xml:space="preserve">0.09 </w:t>
            </w:r>
          </w:p>
        </w:tc>
        <w:tc>
          <w:tcPr>
            <w:tcW w:w="850" w:type="dxa"/>
            <w:shd w:val="clear" w:color="auto" w:fill="auto"/>
          </w:tcPr>
          <w:p w14:paraId="65504C69" w14:textId="77777777" w:rsidR="008C2A2E" w:rsidRPr="00E56C5D" w:rsidRDefault="008C2A2E" w:rsidP="008C2A2E">
            <w:pPr>
              <w:pStyle w:val="Tabletextcentred"/>
              <w:jc w:val="left"/>
            </w:pPr>
            <w:r w:rsidRPr="00E56C5D">
              <w:t>$116,535</w:t>
            </w:r>
          </w:p>
        </w:tc>
        <w:tc>
          <w:tcPr>
            <w:tcW w:w="851" w:type="dxa"/>
            <w:shd w:val="clear" w:color="auto" w:fill="auto"/>
          </w:tcPr>
          <w:p w14:paraId="5490361B" w14:textId="77777777" w:rsidR="008C2A2E" w:rsidRPr="00E56C5D" w:rsidRDefault="008C2A2E" w:rsidP="008C2A2E">
            <w:pPr>
              <w:pStyle w:val="Tabletextcentred"/>
              <w:jc w:val="left"/>
            </w:pPr>
            <w:r w:rsidRPr="00E56C5D">
              <w:t>$92,719</w:t>
            </w:r>
          </w:p>
        </w:tc>
        <w:tc>
          <w:tcPr>
            <w:tcW w:w="1134" w:type="dxa"/>
          </w:tcPr>
          <w:p w14:paraId="3B787B1B" w14:textId="77777777" w:rsidR="008C2A2E" w:rsidRPr="00E56C5D" w:rsidRDefault="008C2A2E" w:rsidP="008C2A2E">
            <w:pPr>
              <w:pStyle w:val="Tabletextcentred"/>
              <w:jc w:val="left"/>
            </w:pPr>
            <w:r w:rsidRPr="00E56C5D">
              <w:t>-$23,815</w:t>
            </w:r>
          </w:p>
        </w:tc>
        <w:tc>
          <w:tcPr>
            <w:tcW w:w="992" w:type="dxa"/>
            <w:shd w:val="clear" w:color="auto" w:fill="auto"/>
          </w:tcPr>
          <w:p w14:paraId="181797B9" w14:textId="77777777" w:rsidR="008C2A2E" w:rsidRPr="00E56C5D" w:rsidRDefault="008C2A2E" w:rsidP="008C2A2E">
            <w:pPr>
              <w:pStyle w:val="Tabletextcentred"/>
              <w:jc w:val="left"/>
            </w:pPr>
            <w:r w:rsidRPr="00E56C5D">
              <w:t>2.57</w:t>
            </w:r>
          </w:p>
        </w:tc>
        <w:tc>
          <w:tcPr>
            <w:tcW w:w="850" w:type="dxa"/>
            <w:shd w:val="clear" w:color="auto" w:fill="auto"/>
          </w:tcPr>
          <w:p w14:paraId="5C2450AC" w14:textId="77777777" w:rsidR="008C2A2E" w:rsidRPr="00E56C5D" w:rsidRDefault="008C2A2E" w:rsidP="008C2A2E">
            <w:pPr>
              <w:pStyle w:val="Tabletextcentred"/>
              <w:jc w:val="left"/>
            </w:pPr>
            <w:r w:rsidRPr="00E56C5D">
              <w:t>2.54</w:t>
            </w:r>
          </w:p>
        </w:tc>
        <w:tc>
          <w:tcPr>
            <w:tcW w:w="1134" w:type="dxa"/>
          </w:tcPr>
          <w:p w14:paraId="7837C6B9" w14:textId="77777777" w:rsidR="008C2A2E" w:rsidRPr="00E56C5D" w:rsidRDefault="008C2A2E" w:rsidP="008C2A2E">
            <w:pPr>
              <w:pStyle w:val="Tabletextcentred"/>
              <w:jc w:val="left"/>
            </w:pPr>
            <w:r w:rsidRPr="00E56C5D">
              <w:t>0.03</w:t>
            </w:r>
          </w:p>
        </w:tc>
        <w:tc>
          <w:tcPr>
            <w:tcW w:w="1701" w:type="dxa"/>
          </w:tcPr>
          <w:p w14:paraId="0ECFAB29" w14:textId="77777777" w:rsidR="008C2A2E" w:rsidRPr="00E56C5D" w:rsidRDefault="008C2A2E" w:rsidP="008C2A2E">
            <w:pPr>
              <w:pStyle w:val="Tabletextcentred"/>
              <w:jc w:val="left"/>
            </w:pPr>
            <w:r w:rsidRPr="00E56C5D">
              <w:t>$731,757</w:t>
            </w:r>
          </w:p>
        </w:tc>
      </w:tr>
      <w:tr w:rsidR="008C2A2E" w:rsidRPr="008D7D51" w14:paraId="4CF2CEC3" w14:textId="77777777" w:rsidTr="008C2A2E">
        <w:tc>
          <w:tcPr>
            <w:tcW w:w="1560" w:type="dxa"/>
          </w:tcPr>
          <w:p w14:paraId="439211B8" w14:textId="77777777" w:rsidR="008C2A2E" w:rsidRPr="00E56C5D" w:rsidRDefault="008C2A2E" w:rsidP="008C2A2E">
            <w:pPr>
              <w:pStyle w:val="Tabletextcentred"/>
              <w:jc w:val="left"/>
            </w:pPr>
            <w:r w:rsidRPr="00E56C5D">
              <w:t>0.22</w:t>
            </w:r>
          </w:p>
        </w:tc>
        <w:tc>
          <w:tcPr>
            <w:tcW w:w="850" w:type="dxa"/>
            <w:shd w:val="clear" w:color="auto" w:fill="auto"/>
          </w:tcPr>
          <w:p w14:paraId="55BE9CAE" w14:textId="77777777" w:rsidR="008C2A2E" w:rsidRPr="00E56C5D" w:rsidRDefault="008C2A2E" w:rsidP="008C2A2E">
            <w:pPr>
              <w:pStyle w:val="Tabletextcentred"/>
              <w:jc w:val="left"/>
            </w:pPr>
            <w:r w:rsidRPr="00E56C5D">
              <w:t>$116,535</w:t>
            </w:r>
          </w:p>
        </w:tc>
        <w:tc>
          <w:tcPr>
            <w:tcW w:w="851" w:type="dxa"/>
            <w:shd w:val="clear" w:color="auto" w:fill="auto"/>
          </w:tcPr>
          <w:p w14:paraId="0C8D9B14" w14:textId="77777777" w:rsidR="008C2A2E" w:rsidRPr="00E56C5D" w:rsidRDefault="008C2A2E" w:rsidP="008C2A2E">
            <w:pPr>
              <w:pStyle w:val="Tabletextcentred"/>
              <w:jc w:val="left"/>
            </w:pPr>
            <w:r w:rsidRPr="00E56C5D">
              <w:t>$112,083</w:t>
            </w:r>
          </w:p>
        </w:tc>
        <w:tc>
          <w:tcPr>
            <w:tcW w:w="1134" w:type="dxa"/>
          </w:tcPr>
          <w:p w14:paraId="2F82F5E7" w14:textId="77777777" w:rsidR="008C2A2E" w:rsidRPr="00E56C5D" w:rsidRDefault="008C2A2E" w:rsidP="008C2A2E">
            <w:pPr>
              <w:pStyle w:val="Tabletextcentred"/>
              <w:jc w:val="left"/>
            </w:pPr>
            <w:r w:rsidRPr="00E56C5D">
              <w:t>-$4,451</w:t>
            </w:r>
          </w:p>
        </w:tc>
        <w:tc>
          <w:tcPr>
            <w:tcW w:w="992" w:type="dxa"/>
            <w:shd w:val="clear" w:color="auto" w:fill="auto"/>
          </w:tcPr>
          <w:p w14:paraId="4E207C21" w14:textId="77777777" w:rsidR="008C2A2E" w:rsidRPr="00E56C5D" w:rsidRDefault="008C2A2E" w:rsidP="008C2A2E">
            <w:pPr>
              <w:pStyle w:val="Tabletextcentred"/>
              <w:jc w:val="left"/>
            </w:pPr>
            <w:r w:rsidRPr="00E56C5D">
              <w:t>2.57</w:t>
            </w:r>
          </w:p>
        </w:tc>
        <w:tc>
          <w:tcPr>
            <w:tcW w:w="850" w:type="dxa"/>
            <w:shd w:val="clear" w:color="auto" w:fill="auto"/>
          </w:tcPr>
          <w:p w14:paraId="4F46D654" w14:textId="77777777" w:rsidR="008C2A2E" w:rsidRPr="00E56C5D" w:rsidRDefault="008C2A2E" w:rsidP="008C2A2E">
            <w:pPr>
              <w:pStyle w:val="Tabletextcentred"/>
              <w:jc w:val="left"/>
            </w:pPr>
            <w:r w:rsidRPr="00E56C5D">
              <w:t>2.51</w:t>
            </w:r>
          </w:p>
        </w:tc>
        <w:tc>
          <w:tcPr>
            <w:tcW w:w="1134" w:type="dxa"/>
          </w:tcPr>
          <w:p w14:paraId="6B993446" w14:textId="77777777" w:rsidR="008C2A2E" w:rsidRPr="00E56C5D" w:rsidRDefault="008C2A2E" w:rsidP="008C2A2E">
            <w:pPr>
              <w:pStyle w:val="Tabletextcentred"/>
              <w:jc w:val="left"/>
            </w:pPr>
            <w:r w:rsidRPr="00E56C5D">
              <w:t>0.06</w:t>
            </w:r>
          </w:p>
        </w:tc>
        <w:tc>
          <w:tcPr>
            <w:tcW w:w="1701" w:type="dxa"/>
          </w:tcPr>
          <w:p w14:paraId="6F774083" w14:textId="77777777" w:rsidR="008C2A2E" w:rsidRPr="00E56C5D" w:rsidRDefault="008C2A2E" w:rsidP="008C2A2E">
            <w:pPr>
              <w:pStyle w:val="Tabletextcentred"/>
              <w:jc w:val="left"/>
            </w:pPr>
            <w:r w:rsidRPr="00E56C5D">
              <w:t>$70,307</w:t>
            </w:r>
          </w:p>
        </w:tc>
      </w:tr>
      <w:tr w:rsidR="008C2A2E" w:rsidRPr="008D7D51" w14:paraId="3A0821D7" w14:textId="77777777" w:rsidTr="008C2A2E">
        <w:tc>
          <w:tcPr>
            <w:tcW w:w="1560" w:type="dxa"/>
          </w:tcPr>
          <w:p w14:paraId="19F2DB58" w14:textId="77777777" w:rsidR="008C2A2E" w:rsidRPr="00E56C5D" w:rsidRDefault="008C2A2E" w:rsidP="008C2A2E">
            <w:pPr>
              <w:pStyle w:val="Tabletextcentred"/>
              <w:jc w:val="left"/>
            </w:pPr>
            <w:r w:rsidRPr="00E56C5D">
              <w:t xml:space="preserve">0.28 </w:t>
            </w:r>
          </w:p>
        </w:tc>
        <w:tc>
          <w:tcPr>
            <w:tcW w:w="850" w:type="dxa"/>
            <w:shd w:val="clear" w:color="auto" w:fill="auto"/>
          </w:tcPr>
          <w:p w14:paraId="14D583E8" w14:textId="77777777" w:rsidR="008C2A2E" w:rsidRPr="00E56C5D" w:rsidRDefault="008C2A2E" w:rsidP="008C2A2E">
            <w:pPr>
              <w:pStyle w:val="Tabletextcentred"/>
              <w:jc w:val="left"/>
            </w:pPr>
            <w:r w:rsidRPr="00E56C5D">
              <w:t>$116,535</w:t>
            </w:r>
          </w:p>
        </w:tc>
        <w:tc>
          <w:tcPr>
            <w:tcW w:w="851" w:type="dxa"/>
            <w:shd w:val="clear" w:color="auto" w:fill="auto"/>
          </w:tcPr>
          <w:p w14:paraId="5E3212F4" w14:textId="77777777" w:rsidR="008C2A2E" w:rsidRPr="00E56C5D" w:rsidRDefault="008C2A2E" w:rsidP="008C2A2E">
            <w:pPr>
              <w:pStyle w:val="Tabletextcentred"/>
              <w:jc w:val="left"/>
            </w:pPr>
            <w:r w:rsidRPr="00E56C5D">
              <w:t>$121,313</w:t>
            </w:r>
          </w:p>
        </w:tc>
        <w:tc>
          <w:tcPr>
            <w:tcW w:w="1134" w:type="dxa"/>
          </w:tcPr>
          <w:p w14:paraId="420DF2E8" w14:textId="77777777" w:rsidR="008C2A2E" w:rsidRPr="00E56C5D" w:rsidRDefault="008C2A2E" w:rsidP="008C2A2E">
            <w:pPr>
              <w:pStyle w:val="Tabletextcentred"/>
              <w:jc w:val="left"/>
            </w:pPr>
            <w:r w:rsidRPr="00E56C5D">
              <w:t>$4,778</w:t>
            </w:r>
          </w:p>
        </w:tc>
        <w:tc>
          <w:tcPr>
            <w:tcW w:w="992" w:type="dxa"/>
            <w:shd w:val="clear" w:color="auto" w:fill="auto"/>
          </w:tcPr>
          <w:p w14:paraId="2C2C8713" w14:textId="77777777" w:rsidR="008C2A2E" w:rsidRPr="00E56C5D" w:rsidRDefault="008C2A2E" w:rsidP="008C2A2E">
            <w:pPr>
              <w:pStyle w:val="Tabletextcentred"/>
              <w:jc w:val="left"/>
            </w:pPr>
            <w:r w:rsidRPr="00E56C5D">
              <w:t>2.57</w:t>
            </w:r>
          </w:p>
        </w:tc>
        <w:tc>
          <w:tcPr>
            <w:tcW w:w="850" w:type="dxa"/>
            <w:shd w:val="clear" w:color="auto" w:fill="auto"/>
          </w:tcPr>
          <w:p w14:paraId="4346A0BF" w14:textId="77777777" w:rsidR="008C2A2E" w:rsidRPr="00E56C5D" w:rsidRDefault="008C2A2E" w:rsidP="008C2A2E">
            <w:pPr>
              <w:pStyle w:val="Tabletextcentred"/>
              <w:jc w:val="left"/>
            </w:pPr>
            <w:r w:rsidRPr="00E56C5D">
              <w:t>2.49</w:t>
            </w:r>
          </w:p>
        </w:tc>
        <w:tc>
          <w:tcPr>
            <w:tcW w:w="1134" w:type="dxa"/>
          </w:tcPr>
          <w:p w14:paraId="079185C0" w14:textId="77777777" w:rsidR="008C2A2E" w:rsidRPr="00E56C5D" w:rsidRDefault="008C2A2E" w:rsidP="008C2A2E">
            <w:pPr>
              <w:pStyle w:val="Tabletextcentred"/>
              <w:jc w:val="left"/>
            </w:pPr>
            <w:r w:rsidRPr="00E56C5D">
              <w:t>0.08</w:t>
            </w:r>
          </w:p>
        </w:tc>
        <w:tc>
          <w:tcPr>
            <w:tcW w:w="1701" w:type="dxa"/>
          </w:tcPr>
          <w:p w14:paraId="74C4B95D" w14:textId="77777777" w:rsidR="008C2A2E" w:rsidRPr="00E56C5D" w:rsidRDefault="008C2A2E" w:rsidP="008C2A2E">
            <w:pPr>
              <w:pStyle w:val="Tabletextcentred"/>
              <w:jc w:val="left"/>
            </w:pPr>
            <w:r>
              <w:t>Impella dominant</w:t>
            </w:r>
          </w:p>
        </w:tc>
      </w:tr>
      <w:tr w:rsidR="008C2A2E" w:rsidRPr="008D7D51" w14:paraId="39FAF60B" w14:textId="77777777" w:rsidTr="008C2A2E">
        <w:tc>
          <w:tcPr>
            <w:tcW w:w="1560" w:type="dxa"/>
          </w:tcPr>
          <w:p w14:paraId="65071516" w14:textId="77777777" w:rsidR="008C2A2E" w:rsidRPr="00E56C5D" w:rsidRDefault="008C2A2E" w:rsidP="008C2A2E">
            <w:pPr>
              <w:pStyle w:val="Tabletextcentred"/>
              <w:jc w:val="left"/>
            </w:pPr>
            <w:r w:rsidRPr="00E56C5D">
              <w:t>0.38 (Base case)</w:t>
            </w:r>
          </w:p>
        </w:tc>
        <w:tc>
          <w:tcPr>
            <w:tcW w:w="850" w:type="dxa"/>
            <w:shd w:val="clear" w:color="auto" w:fill="auto"/>
          </w:tcPr>
          <w:p w14:paraId="5BC0E0FB" w14:textId="77777777" w:rsidR="008C2A2E" w:rsidRPr="00E56C5D" w:rsidRDefault="008C2A2E" w:rsidP="008C2A2E">
            <w:pPr>
              <w:pStyle w:val="Tabletextcentred"/>
              <w:jc w:val="left"/>
            </w:pPr>
            <w:r w:rsidRPr="00E56C5D">
              <w:t>$116,535</w:t>
            </w:r>
          </w:p>
        </w:tc>
        <w:tc>
          <w:tcPr>
            <w:tcW w:w="851" w:type="dxa"/>
            <w:shd w:val="clear" w:color="auto" w:fill="auto"/>
          </w:tcPr>
          <w:p w14:paraId="1183DDEB" w14:textId="77777777" w:rsidR="008C2A2E" w:rsidRPr="00E56C5D" w:rsidRDefault="008C2A2E" w:rsidP="008C2A2E">
            <w:pPr>
              <w:pStyle w:val="Tabletextcentred"/>
              <w:jc w:val="left"/>
            </w:pPr>
            <w:r w:rsidRPr="00E56C5D">
              <w:t>$135,650</w:t>
            </w:r>
          </w:p>
        </w:tc>
        <w:tc>
          <w:tcPr>
            <w:tcW w:w="1134" w:type="dxa"/>
          </w:tcPr>
          <w:p w14:paraId="0AE546F5" w14:textId="77777777" w:rsidR="008C2A2E" w:rsidRPr="00E56C5D" w:rsidRDefault="008C2A2E" w:rsidP="008C2A2E">
            <w:pPr>
              <w:pStyle w:val="Tabletextcentred"/>
              <w:jc w:val="left"/>
            </w:pPr>
            <w:r w:rsidRPr="00E56C5D">
              <w:t>$19,116</w:t>
            </w:r>
          </w:p>
        </w:tc>
        <w:tc>
          <w:tcPr>
            <w:tcW w:w="992" w:type="dxa"/>
            <w:shd w:val="clear" w:color="auto" w:fill="auto"/>
          </w:tcPr>
          <w:p w14:paraId="18DFDC87" w14:textId="77777777" w:rsidR="008C2A2E" w:rsidRPr="00E56C5D" w:rsidRDefault="008C2A2E" w:rsidP="008C2A2E">
            <w:pPr>
              <w:pStyle w:val="Tabletextcentred"/>
              <w:jc w:val="left"/>
            </w:pPr>
            <w:r w:rsidRPr="00E56C5D">
              <w:t>2.57</w:t>
            </w:r>
          </w:p>
        </w:tc>
        <w:tc>
          <w:tcPr>
            <w:tcW w:w="850" w:type="dxa"/>
            <w:shd w:val="clear" w:color="auto" w:fill="auto"/>
          </w:tcPr>
          <w:p w14:paraId="5F1BF15F" w14:textId="77777777" w:rsidR="008C2A2E" w:rsidRPr="00E56C5D" w:rsidRDefault="008C2A2E" w:rsidP="008C2A2E">
            <w:pPr>
              <w:pStyle w:val="Tabletextcentred"/>
              <w:jc w:val="left"/>
            </w:pPr>
            <w:r w:rsidRPr="00E56C5D">
              <w:t>2.47</w:t>
            </w:r>
          </w:p>
        </w:tc>
        <w:tc>
          <w:tcPr>
            <w:tcW w:w="1134" w:type="dxa"/>
          </w:tcPr>
          <w:p w14:paraId="4E07AA8B" w14:textId="77777777" w:rsidR="008C2A2E" w:rsidRPr="00E56C5D" w:rsidRDefault="008C2A2E" w:rsidP="008C2A2E">
            <w:pPr>
              <w:pStyle w:val="Tabletextcentred"/>
              <w:jc w:val="left"/>
            </w:pPr>
            <w:r w:rsidRPr="00E56C5D">
              <w:t>0.10</w:t>
            </w:r>
          </w:p>
        </w:tc>
        <w:tc>
          <w:tcPr>
            <w:tcW w:w="1701" w:type="dxa"/>
          </w:tcPr>
          <w:p w14:paraId="172678F4" w14:textId="77777777" w:rsidR="008C2A2E" w:rsidRPr="00E56C5D" w:rsidRDefault="008C2A2E" w:rsidP="008C2A2E">
            <w:pPr>
              <w:pStyle w:val="Tabletextcentred"/>
              <w:jc w:val="left"/>
            </w:pPr>
            <w:r w:rsidRPr="00E56C5D">
              <w:t>I</w:t>
            </w:r>
            <w:r>
              <w:t>mpella dominant</w:t>
            </w:r>
          </w:p>
        </w:tc>
      </w:tr>
    </w:tbl>
    <w:p w14:paraId="6BDAA498" w14:textId="77777777" w:rsidR="009734F1" w:rsidRDefault="009734F1" w:rsidP="00DA1112">
      <w:pPr>
        <w:pStyle w:val="Heading2"/>
      </w:pPr>
      <w:r>
        <w:t>Pre-MSAC response</w:t>
      </w:r>
    </w:p>
    <w:p w14:paraId="14685F99" w14:textId="370F6F2A" w:rsidR="006032B0" w:rsidRPr="006032B0" w:rsidRDefault="00342009" w:rsidP="006032B0">
      <w:r>
        <w:t>The a</w:t>
      </w:r>
      <w:r w:rsidR="009734F1">
        <w:t>pplicant provided a sensitivity analysis of using the intention-to-treat data alone (rather than per protocol dat</w:t>
      </w:r>
      <w:r w:rsidR="009F3C48">
        <w:t>a) in HR-PCI (model 1) [Table 17</w:t>
      </w:r>
      <w:r w:rsidR="009734F1">
        <w:t>].</w:t>
      </w:r>
      <w:r w:rsidR="006032B0">
        <w:br w:type="page"/>
      </w:r>
    </w:p>
    <w:p w14:paraId="47237C2B" w14:textId="562CDC46" w:rsidR="009734F1" w:rsidRPr="0083785E" w:rsidRDefault="009F3C48" w:rsidP="00DC1117">
      <w:pPr>
        <w:rPr>
          <w:rFonts w:ascii="Arial Narrow" w:hAnsi="Arial Narrow"/>
          <w:b/>
          <w:sz w:val="20"/>
        </w:rPr>
      </w:pPr>
      <w:r w:rsidRPr="0083785E">
        <w:rPr>
          <w:rFonts w:ascii="Arial Narrow" w:hAnsi="Arial Narrow"/>
          <w:b/>
          <w:sz w:val="20"/>
        </w:rPr>
        <w:lastRenderedPageBreak/>
        <w:t>Table 17</w:t>
      </w:r>
      <w:r w:rsidR="009734F1" w:rsidRPr="0083785E">
        <w:rPr>
          <w:rFonts w:ascii="Arial Narrow" w:hAnsi="Arial Narrow"/>
          <w:b/>
          <w:sz w:val="20"/>
        </w:rPr>
        <w:t>: Costs and outcomes of Model 1: for HR-PCI patients (base case)</w:t>
      </w:r>
    </w:p>
    <w:tbl>
      <w:tblPr>
        <w:tblStyle w:val="TableGrid2"/>
        <w:tblW w:w="9185" w:type="dxa"/>
        <w:tblInd w:w="-5"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418"/>
        <w:gridCol w:w="1553"/>
        <w:gridCol w:w="1553"/>
        <w:gridCol w:w="1554"/>
        <w:gridCol w:w="1553"/>
        <w:gridCol w:w="1554"/>
      </w:tblGrid>
      <w:tr w:rsidR="009734F1" w:rsidRPr="008D7D51" w14:paraId="113DC502" w14:textId="77777777" w:rsidTr="00525682">
        <w:trPr>
          <w:cnfStyle w:val="100000000000" w:firstRow="1" w:lastRow="0" w:firstColumn="0" w:lastColumn="0" w:oddVBand="0" w:evenVBand="0" w:oddHBand="0" w:evenHBand="0" w:firstRowFirstColumn="0" w:firstRowLastColumn="0" w:lastRowFirstColumn="0" w:lastRowLastColumn="0"/>
          <w:tblHeader/>
        </w:trPr>
        <w:tc>
          <w:tcPr>
            <w:tcW w:w="1418" w:type="dxa"/>
            <w:tcBorders>
              <w:bottom w:val="single" w:sz="4" w:space="0" w:color="auto"/>
            </w:tcBorders>
            <w:shd w:val="clear" w:color="auto" w:fill="BFBFBF" w:themeFill="background1" w:themeFillShade="BF"/>
          </w:tcPr>
          <w:p w14:paraId="375F56B6" w14:textId="77777777" w:rsidR="009734F1" w:rsidRPr="009412E8" w:rsidRDefault="009734F1" w:rsidP="00525682">
            <w:pPr>
              <w:pStyle w:val="Tabletextcentred"/>
              <w:rPr>
                <w:b/>
              </w:rPr>
            </w:pPr>
            <w:r w:rsidRPr="009412E8">
              <w:rPr>
                <w:b/>
              </w:rPr>
              <w:t>Strategy</w:t>
            </w:r>
          </w:p>
        </w:tc>
        <w:tc>
          <w:tcPr>
            <w:tcW w:w="1553" w:type="dxa"/>
            <w:tcBorders>
              <w:bottom w:val="single" w:sz="4" w:space="0" w:color="auto"/>
            </w:tcBorders>
            <w:shd w:val="clear" w:color="auto" w:fill="BFBFBF" w:themeFill="background1" w:themeFillShade="BF"/>
          </w:tcPr>
          <w:p w14:paraId="5F8E5CD5" w14:textId="77777777" w:rsidR="009734F1" w:rsidRPr="009412E8" w:rsidRDefault="009734F1" w:rsidP="00525682">
            <w:pPr>
              <w:pStyle w:val="Tabletextcentred"/>
              <w:rPr>
                <w:b/>
              </w:rPr>
            </w:pPr>
            <w:r w:rsidRPr="009412E8">
              <w:rPr>
                <w:b/>
              </w:rPr>
              <w:t>Cost</w:t>
            </w:r>
          </w:p>
        </w:tc>
        <w:tc>
          <w:tcPr>
            <w:tcW w:w="1553" w:type="dxa"/>
            <w:tcBorders>
              <w:bottom w:val="single" w:sz="4" w:space="0" w:color="auto"/>
            </w:tcBorders>
            <w:shd w:val="clear" w:color="auto" w:fill="BFBFBF" w:themeFill="background1" w:themeFillShade="BF"/>
          </w:tcPr>
          <w:p w14:paraId="738C339D" w14:textId="77777777" w:rsidR="009734F1" w:rsidRPr="009412E8" w:rsidRDefault="009734F1" w:rsidP="00525682">
            <w:pPr>
              <w:pStyle w:val="Tabletextcentred"/>
              <w:rPr>
                <w:b/>
              </w:rPr>
            </w:pPr>
            <w:r w:rsidRPr="009412E8">
              <w:rPr>
                <w:b/>
              </w:rPr>
              <w:t>Incremental cost</w:t>
            </w:r>
          </w:p>
        </w:tc>
        <w:tc>
          <w:tcPr>
            <w:tcW w:w="1554" w:type="dxa"/>
            <w:tcBorders>
              <w:bottom w:val="single" w:sz="4" w:space="0" w:color="auto"/>
            </w:tcBorders>
            <w:shd w:val="clear" w:color="auto" w:fill="BFBFBF" w:themeFill="background1" w:themeFillShade="BF"/>
          </w:tcPr>
          <w:p w14:paraId="64A4FEE0" w14:textId="77777777" w:rsidR="009734F1" w:rsidRPr="009412E8" w:rsidRDefault="009734F1" w:rsidP="00525682">
            <w:pPr>
              <w:pStyle w:val="Tabletextcentred"/>
              <w:rPr>
                <w:b/>
              </w:rPr>
            </w:pPr>
            <w:r w:rsidRPr="009412E8">
              <w:rPr>
                <w:b/>
              </w:rPr>
              <w:t>Effectiveness (QALYs)</w:t>
            </w:r>
          </w:p>
        </w:tc>
        <w:tc>
          <w:tcPr>
            <w:tcW w:w="1553" w:type="dxa"/>
            <w:tcBorders>
              <w:bottom w:val="single" w:sz="4" w:space="0" w:color="auto"/>
            </w:tcBorders>
            <w:shd w:val="clear" w:color="auto" w:fill="BFBFBF" w:themeFill="background1" w:themeFillShade="BF"/>
          </w:tcPr>
          <w:p w14:paraId="28D2C67F" w14:textId="77777777" w:rsidR="009734F1" w:rsidRPr="009412E8" w:rsidRDefault="009734F1" w:rsidP="00525682">
            <w:pPr>
              <w:pStyle w:val="Tabletextcentred"/>
              <w:rPr>
                <w:b/>
              </w:rPr>
            </w:pPr>
            <w:r w:rsidRPr="009412E8">
              <w:rPr>
                <w:b/>
              </w:rPr>
              <w:t>Incremental effectiveness</w:t>
            </w:r>
          </w:p>
        </w:tc>
        <w:tc>
          <w:tcPr>
            <w:tcW w:w="1554" w:type="dxa"/>
            <w:tcBorders>
              <w:bottom w:val="single" w:sz="4" w:space="0" w:color="auto"/>
            </w:tcBorders>
            <w:shd w:val="clear" w:color="auto" w:fill="BFBFBF" w:themeFill="background1" w:themeFillShade="BF"/>
          </w:tcPr>
          <w:p w14:paraId="3915B7ED" w14:textId="77777777" w:rsidR="009734F1" w:rsidRPr="009412E8" w:rsidRDefault="009734F1" w:rsidP="00525682">
            <w:pPr>
              <w:pStyle w:val="Tabletextcentred"/>
              <w:rPr>
                <w:b/>
              </w:rPr>
            </w:pPr>
            <w:r w:rsidRPr="009412E8">
              <w:rPr>
                <w:b/>
              </w:rPr>
              <w:t>ICER</w:t>
            </w:r>
          </w:p>
        </w:tc>
      </w:tr>
      <w:tr w:rsidR="009734F1" w:rsidRPr="008D7D51" w14:paraId="2D259BE1" w14:textId="77777777" w:rsidTr="00525682">
        <w:tc>
          <w:tcPr>
            <w:tcW w:w="1418" w:type="dxa"/>
          </w:tcPr>
          <w:p w14:paraId="09BBA343" w14:textId="77777777" w:rsidR="009734F1" w:rsidRDefault="009734F1" w:rsidP="00525682">
            <w:pPr>
              <w:pStyle w:val="Tabletextcentred"/>
              <w:jc w:val="left"/>
            </w:pPr>
            <w:r w:rsidRPr="008D7D51">
              <w:t>Standard care</w:t>
            </w:r>
          </w:p>
          <w:p w14:paraId="7E730A64" w14:textId="77777777" w:rsidR="009734F1" w:rsidRPr="009412E8" w:rsidRDefault="009734F1" w:rsidP="00525682">
            <w:pPr>
              <w:pStyle w:val="Tabletextcentred"/>
              <w:jc w:val="left"/>
              <w:rPr>
                <w:i/>
              </w:rPr>
            </w:pPr>
            <w:r w:rsidRPr="009412E8">
              <w:rPr>
                <w:i/>
              </w:rPr>
              <w:t>(ECMO 38%)</w:t>
            </w:r>
          </w:p>
        </w:tc>
        <w:tc>
          <w:tcPr>
            <w:tcW w:w="1553" w:type="dxa"/>
          </w:tcPr>
          <w:p w14:paraId="1E62A25B" w14:textId="77777777" w:rsidR="009734F1" w:rsidRPr="008D7D51" w:rsidRDefault="009734F1" w:rsidP="00525682">
            <w:pPr>
              <w:pStyle w:val="Tabletextcentred"/>
              <w:jc w:val="left"/>
            </w:pPr>
            <w:r w:rsidRPr="008D7D51">
              <w:t>$135,</w:t>
            </w:r>
            <w:r>
              <w:t>720</w:t>
            </w:r>
          </w:p>
        </w:tc>
        <w:tc>
          <w:tcPr>
            <w:tcW w:w="1553" w:type="dxa"/>
          </w:tcPr>
          <w:p w14:paraId="48FB32A2" w14:textId="77777777" w:rsidR="009734F1" w:rsidRPr="008D7D51" w:rsidRDefault="009734F1" w:rsidP="00525682">
            <w:pPr>
              <w:pStyle w:val="Tabletextcentred"/>
              <w:jc w:val="left"/>
            </w:pPr>
          </w:p>
        </w:tc>
        <w:tc>
          <w:tcPr>
            <w:tcW w:w="1554" w:type="dxa"/>
          </w:tcPr>
          <w:p w14:paraId="67D245D1" w14:textId="77777777" w:rsidR="009734F1" w:rsidRPr="008D7D51" w:rsidRDefault="009734F1" w:rsidP="00525682">
            <w:pPr>
              <w:pStyle w:val="Tabletextcentred"/>
              <w:jc w:val="left"/>
            </w:pPr>
            <w:r w:rsidRPr="008D7D51">
              <w:t>2.47</w:t>
            </w:r>
          </w:p>
        </w:tc>
        <w:tc>
          <w:tcPr>
            <w:tcW w:w="1553" w:type="dxa"/>
          </w:tcPr>
          <w:p w14:paraId="08CD6262" w14:textId="77777777" w:rsidR="009734F1" w:rsidRPr="008D7D51" w:rsidRDefault="009734F1" w:rsidP="00525682">
            <w:pPr>
              <w:pStyle w:val="Tabletextcentred"/>
              <w:jc w:val="left"/>
            </w:pPr>
          </w:p>
        </w:tc>
        <w:tc>
          <w:tcPr>
            <w:tcW w:w="1554" w:type="dxa"/>
          </w:tcPr>
          <w:p w14:paraId="4A43FBF4" w14:textId="77777777" w:rsidR="009734F1" w:rsidRPr="008D7D51" w:rsidRDefault="009734F1" w:rsidP="00525682">
            <w:pPr>
              <w:pStyle w:val="Tabletextcentred"/>
            </w:pPr>
          </w:p>
        </w:tc>
      </w:tr>
      <w:tr w:rsidR="009734F1" w:rsidRPr="008D7D51" w14:paraId="7AD85708" w14:textId="77777777" w:rsidTr="00525682">
        <w:tc>
          <w:tcPr>
            <w:tcW w:w="1418" w:type="dxa"/>
          </w:tcPr>
          <w:p w14:paraId="16D9D138" w14:textId="77777777" w:rsidR="009734F1" w:rsidRPr="008D7D51" w:rsidRDefault="009734F1" w:rsidP="00525682">
            <w:pPr>
              <w:pStyle w:val="Tabletextcentred"/>
              <w:jc w:val="left"/>
            </w:pPr>
            <w:r w:rsidRPr="008D7D51">
              <w:t>Impella</w:t>
            </w:r>
          </w:p>
        </w:tc>
        <w:tc>
          <w:tcPr>
            <w:tcW w:w="1553" w:type="dxa"/>
          </w:tcPr>
          <w:p w14:paraId="3D3C19F3" w14:textId="77777777" w:rsidR="009734F1" w:rsidRPr="008D7D51" w:rsidRDefault="009734F1" w:rsidP="00525682">
            <w:pPr>
              <w:pStyle w:val="Tabletextcentred"/>
              <w:jc w:val="left"/>
            </w:pPr>
            <w:r w:rsidRPr="008D7D51">
              <w:t>$116,</w:t>
            </w:r>
            <w:r>
              <w:t>298</w:t>
            </w:r>
          </w:p>
        </w:tc>
        <w:tc>
          <w:tcPr>
            <w:tcW w:w="1553" w:type="dxa"/>
          </w:tcPr>
          <w:p w14:paraId="45BC597E" w14:textId="77777777" w:rsidR="009734F1" w:rsidRPr="008D7D51" w:rsidRDefault="009734F1" w:rsidP="00525682">
            <w:pPr>
              <w:pStyle w:val="Tabletextcentred"/>
              <w:jc w:val="left"/>
            </w:pPr>
            <w:r>
              <w:t>-</w:t>
            </w:r>
            <w:r w:rsidRPr="008D7D51">
              <w:t>$19,</w:t>
            </w:r>
            <w:r>
              <w:t>422</w:t>
            </w:r>
          </w:p>
        </w:tc>
        <w:tc>
          <w:tcPr>
            <w:tcW w:w="1554" w:type="dxa"/>
          </w:tcPr>
          <w:p w14:paraId="65C204EC" w14:textId="77777777" w:rsidR="009734F1" w:rsidRPr="008D7D51" w:rsidRDefault="009734F1" w:rsidP="00525682">
            <w:pPr>
              <w:pStyle w:val="Tabletextcentred"/>
              <w:jc w:val="left"/>
            </w:pPr>
            <w:r w:rsidRPr="008D7D51">
              <w:t>2.5</w:t>
            </w:r>
            <w:r>
              <w:t>5</w:t>
            </w:r>
          </w:p>
        </w:tc>
        <w:tc>
          <w:tcPr>
            <w:tcW w:w="1553" w:type="dxa"/>
          </w:tcPr>
          <w:p w14:paraId="5F43BCE1" w14:textId="77777777" w:rsidR="009734F1" w:rsidRPr="008D7D51" w:rsidRDefault="009734F1" w:rsidP="00525682">
            <w:pPr>
              <w:pStyle w:val="Tabletextcentred"/>
              <w:jc w:val="left"/>
            </w:pPr>
            <w:r w:rsidRPr="008D7D51">
              <w:t>0.</w:t>
            </w:r>
            <w:r>
              <w:t>08</w:t>
            </w:r>
          </w:p>
        </w:tc>
        <w:tc>
          <w:tcPr>
            <w:tcW w:w="1554" w:type="dxa"/>
          </w:tcPr>
          <w:p w14:paraId="44B1FA33" w14:textId="77777777" w:rsidR="009734F1" w:rsidRPr="008D7D51" w:rsidRDefault="009734F1" w:rsidP="00525682">
            <w:pPr>
              <w:pStyle w:val="Tabletextcentred"/>
              <w:jc w:val="left"/>
            </w:pPr>
            <w:r>
              <w:t>Dominant</w:t>
            </w:r>
          </w:p>
        </w:tc>
      </w:tr>
    </w:tbl>
    <w:p w14:paraId="1F9DDD06" w14:textId="77777777" w:rsidR="00C57390" w:rsidRPr="00F715D1" w:rsidRDefault="00C57390" w:rsidP="00C57390">
      <w:pPr>
        <w:pStyle w:val="Heading1"/>
      </w:pPr>
      <w:r w:rsidRPr="00F715D1">
        <w:t>Financial/budgetary impacts</w:t>
      </w:r>
    </w:p>
    <w:p w14:paraId="3A35072C" w14:textId="64324252" w:rsidR="005F150D" w:rsidRPr="002F439F" w:rsidRDefault="005F150D" w:rsidP="002F439F">
      <w:pPr>
        <w:spacing w:after="240"/>
      </w:pPr>
      <w:r w:rsidRPr="006C66EF">
        <w:t>A</w:t>
      </w:r>
      <w:r>
        <w:t xml:space="preserve"> mixed </w:t>
      </w:r>
      <w:r w:rsidRPr="006C66EF">
        <w:t xml:space="preserve">epidemiological </w:t>
      </w:r>
      <w:r>
        <w:t xml:space="preserve">and market share </w:t>
      </w:r>
      <w:r w:rsidRPr="006C66EF">
        <w:t xml:space="preserve">approach </w:t>
      </w:r>
      <w:r w:rsidR="00342009">
        <w:t>was</w:t>
      </w:r>
      <w:r w:rsidRPr="006C66EF">
        <w:t xml:space="preserve"> used to estimate the financial implications of </w:t>
      </w:r>
      <w:r w:rsidR="00342009">
        <w:t>listing</w:t>
      </w:r>
      <w:r w:rsidRPr="006C66EF">
        <w:t xml:space="preserve"> </w:t>
      </w:r>
      <w:r>
        <w:t xml:space="preserve">IMVAD </w:t>
      </w:r>
      <w:r w:rsidR="00342009">
        <w:t>on</w:t>
      </w:r>
      <w:r>
        <w:t xml:space="preserve"> the MBS</w:t>
      </w:r>
      <w:r w:rsidR="009F3C48">
        <w:t xml:space="preserve"> (Table 18</w:t>
      </w:r>
      <w:r w:rsidR="009734F1">
        <w:t>)</w:t>
      </w:r>
      <w:r>
        <w:t xml:space="preserve">. The Critique stated that the </w:t>
      </w:r>
      <w:r w:rsidR="00342009">
        <w:t>application</w:t>
      </w:r>
      <w:r>
        <w:t xml:space="preserve"> did not provide information relating to the broader impact on the MBS, and impact on State and Territory government health budgets. ESC noted the current financial estimates did not include the cost of the device (e.g. prosthesis cost), and noted </w:t>
      </w:r>
      <w:r w:rsidR="00342009">
        <w:t xml:space="preserve">that </w:t>
      </w:r>
      <w:r>
        <w:t>a submission for the device to PLAC was underway.</w:t>
      </w:r>
    </w:p>
    <w:p w14:paraId="1F60F6E8" w14:textId="06015470" w:rsidR="00CE524E" w:rsidRPr="0083785E" w:rsidRDefault="00CE524E" w:rsidP="0083785E">
      <w:pPr>
        <w:rPr>
          <w:rFonts w:ascii="Arial Narrow" w:hAnsi="Arial Narrow"/>
          <w:b/>
          <w:sz w:val="20"/>
        </w:rPr>
      </w:pPr>
      <w:r w:rsidRPr="0083785E">
        <w:rPr>
          <w:rFonts w:ascii="Arial Narrow" w:hAnsi="Arial Narrow"/>
          <w:b/>
          <w:sz w:val="20"/>
        </w:rPr>
        <w:t xml:space="preserve">Table </w:t>
      </w:r>
      <w:r w:rsidR="009F3C48" w:rsidRPr="0083785E">
        <w:rPr>
          <w:rFonts w:ascii="Arial Narrow" w:hAnsi="Arial Narrow"/>
          <w:b/>
          <w:sz w:val="20"/>
        </w:rPr>
        <w:t>18</w:t>
      </w:r>
      <w:r w:rsidRPr="0083785E">
        <w:rPr>
          <w:rFonts w:ascii="Arial Narrow" w:hAnsi="Arial Narrow"/>
          <w:b/>
          <w:sz w:val="20"/>
        </w:rPr>
        <w:tab/>
        <w:t>Total costs to the MBS associated with IMVAD</w:t>
      </w:r>
    </w:p>
    <w:tbl>
      <w:tblPr>
        <w:tblStyle w:val="TableGrid2"/>
        <w:tblpPr w:leftFromText="180" w:rightFromText="180" w:vertAnchor="text" w:horzAnchor="margin" w:tblpY="38"/>
        <w:tblW w:w="0" w:type="auto"/>
        <w:tblLayout w:type="fixed"/>
        <w:tblLook w:val="01E0" w:firstRow="1" w:lastRow="1" w:firstColumn="1" w:lastColumn="1" w:noHBand="0" w:noVBand="0"/>
        <w:tblDescription w:val="Total costs to the MBS associated with IMVAD"/>
      </w:tblPr>
      <w:tblGrid>
        <w:gridCol w:w="2155"/>
        <w:gridCol w:w="1330"/>
        <w:gridCol w:w="1327"/>
        <w:gridCol w:w="1327"/>
        <w:gridCol w:w="1330"/>
        <w:gridCol w:w="1325"/>
      </w:tblGrid>
      <w:tr w:rsidR="00CE524E" w:rsidRPr="00777390" w14:paraId="6593AACA" w14:textId="77777777" w:rsidTr="0083785E">
        <w:trPr>
          <w:cnfStyle w:val="100000000000" w:firstRow="1" w:lastRow="0" w:firstColumn="0" w:lastColumn="0" w:oddVBand="0" w:evenVBand="0" w:oddHBand="0" w:evenHBand="0" w:firstRowFirstColumn="0" w:firstRowLastColumn="0" w:lastRowFirstColumn="0" w:lastRowLastColumn="0"/>
          <w:trHeight w:val="309"/>
          <w:tblHeader/>
        </w:trPr>
        <w:tc>
          <w:tcPr>
            <w:tcW w:w="2155" w:type="dxa"/>
          </w:tcPr>
          <w:p w14:paraId="65ECE68A" w14:textId="77777777" w:rsidR="00CE524E" w:rsidRPr="00777390" w:rsidRDefault="00CE524E" w:rsidP="005A6A4D">
            <w:pPr>
              <w:widowControl w:val="0"/>
              <w:autoSpaceDE w:val="0"/>
              <w:autoSpaceDN w:val="0"/>
              <w:spacing w:before="42"/>
              <w:ind w:left="6"/>
              <w:jc w:val="center"/>
              <w:rPr>
                <w:rFonts w:ascii="Arial Narrow" w:eastAsia="Arial Narrow" w:hAnsi="Arial Narrow" w:cs="Arial Narrow"/>
                <w:lang w:bidi="en-AU"/>
              </w:rPr>
            </w:pPr>
          </w:p>
        </w:tc>
        <w:tc>
          <w:tcPr>
            <w:tcW w:w="1330" w:type="dxa"/>
          </w:tcPr>
          <w:p w14:paraId="4C55282E" w14:textId="77777777" w:rsidR="00CE524E" w:rsidRPr="00777390" w:rsidRDefault="00CE524E" w:rsidP="004258D6">
            <w:pPr>
              <w:widowControl w:val="0"/>
              <w:autoSpaceDE w:val="0"/>
              <w:autoSpaceDN w:val="0"/>
              <w:spacing w:before="42"/>
              <w:ind w:left="362"/>
              <w:rPr>
                <w:rFonts w:ascii="Arial Narrow" w:eastAsia="Arial Narrow" w:hAnsi="Arial Narrow" w:cs="Arial Narrow"/>
                <w:b/>
                <w:lang w:bidi="en-AU"/>
              </w:rPr>
            </w:pPr>
            <w:r w:rsidRPr="00777390">
              <w:rPr>
                <w:rFonts w:ascii="Arial Narrow" w:eastAsia="Arial Narrow" w:hAnsi="Arial Narrow" w:cs="Arial Narrow"/>
                <w:b/>
                <w:lang w:bidi="en-AU"/>
              </w:rPr>
              <w:t>2020-21</w:t>
            </w:r>
          </w:p>
        </w:tc>
        <w:tc>
          <w:tcPr>
            <w:tcW w:w="1327" w:type="dxa"/>
          </w:tcPr>
          <w:p w14:paraId="79F343B3" w14:textId="77777777" w:rsidR="00CE524E" w:rsidRPr="00777390" w:rsidRDefault="00CE524E" w:rsidP="004763BC">
            <w:pPr>
              <w:widowControl w:val="0"/>
              <w:autoSpaceDE w:val="0"/>
              <w:autoSpaceDN w:val="0"/>
              <w:spacing w:before="42"/>
              <w:ind w:left="362"/>
              <w:rPr>
                <w:rFonts w:ascii="Arial Narrow" w:eastAsia="Arial Narrow" w:hAnsi="Arial Narrow" w:cs="Arial Narrow"/>
                <w:b/>
                <w:lang w:bidi="en-AU"/>
              </w:rPr>
            </w:pPr>
            <w:r w:rsidRPr="00777390">
              <w:rPr>
                <w:rFonts w:ascii="Arial Narrow" w:eastAsia="Arial Narrow" w:hAnsi="Arial Narrow" w:cs="Arial Narrow"/>
                <w:b/>
                <w:lang w:bidi="en-AU"/>
              </w:rPr>
              <w:t>2021-22</w:t>
            </w:r>
          </w:p>
        </w:tc>
        <w:tc>
          <w:tcPr>
            <w:tcW w:w="1327" w:type="dxa"/>
          </w:tcPr>
          <w:p w14:paraId="047925D0" w14:textId="77777777" w:rsidR="00CE524E" w:rsidRPr="00777390" w:rsidRDefault="00CE524E" w:rsidP="004763BC">
            <w:pPr>
              <w:widowControl w:val="0"/>
              <w:autoSpaceDE w:val="0"/>
              <w:autoSpaceDN w:val="0"/>
              <w:spacing w:before="42"/>
              <w:ind w:left="363"/>
              <w:rPr>
                <w:rFonts w:ascii="Arial Narrow" w:eastAsia="Arial Narrow" w:hAnsi="Arial Narrow" w:cs="Arial Narrow"/>
                <w:b/>
                <w:lang w:bidi="en-AU"/>
              </w:rPr>
            </w:pPr>
            <w:r w:rsidRPr="00777390">
              <w:rPr>
                <w:rFonts w:ascii="Arial Narrow" w:eastAsia="Arial Narrow" w:hAnsi="Arial Narrow" w:cs="Arial Narrow"/>
                <w:b/>
                <w:lang w:bidi="en-AU"/>
              </w:rPr>
              <w:t>2022-23</w:t>
            </w:r>
          </w:p>
        </w:tc>
        <w:tc>
          <w:tcPr>
            <w:tcW w:w="1330" w:type="dxa"/>
          </w:tcPr>
          <w:p w14:paraId="36AC52BD" w14:textId="77777777" w:rsidR="00CE524E" w:rsidRPr="00777390" w:rsidRDefault="00CE524E" w:rsidP="00FB35CE">
            <w:pPr>
              <w:widowControl w:val="0"/>
              <w:autoSpaceDE w:val="0"/>
              <w:autoSpaceDN w:val="0"/>
              <w:spacing w:before="42"/>
              <w:ind w:left="363"/>
              <w:rPr>
                <w:rFonts w:ascii="Arial Narrow" w:eastAsia="Arial Narrow" w:hAnsi="Arial Narrow" w:cs="Arial Narrow"/>
                <w:b/>
                <w:lang w:bidi="en-AU"/>
              </w:rPr>
            </w:pPr>
            <w:r w:rsidRPr="00777390">
              <w:rPr>
                <w:rFonts w:ascii="Arial Narrow" w:eastAsia="Arial Narrow" w:hAnsi="Arial Narrow" w:cs="Arial Narrow"/>
                <w:b/>
                <w:lang w:bidi="en-AU"/>
              </w:rPr>
              <w:t>2023-24</w:t>
            </w:r>
          </w:p>
        </w:tc>
        <w:tc>
          <w:tcPr>
            <w:tcW w:w="1325" w:type="dxa"/>
          </w:tcPr>
          <w:p w14:paraId="0BEEDCA7" w14:textId="77777777" w:rsidR="00CE524E" w:rsidRPr="00777390" w:rsidRDefault="00CE524E" w:rsidP="00FB35CE">
            <w:pPr>
              <w:widowControl w:val="0"/>
              <w:autoSpaceDE w:val="0"/>
              <w:autoSpaceDN w:val="0"/>
              <w:spacing w:before="42"/>
              <w:ind w:left="363"/>
              <w:rPr>
                <w:rFonts w:ascii="Arial Narrow" w:eastAsia="Arial Narrow" w:hAnsi="Arial Narrow" w:cs="Arial Narrow"/>
                <w:b/>
                <w:lang w:bidi="en-AU"/>
              </w:rPr>
            </w:pPr>
            <w:r w:rsidRPr="00777390">
              <w:rPr>
                <w:rFonts w:ascii="Arial Narrow" w:eastAsia="Arial Narrow" w:hAnsi="Arial Narrow" w:cs="Arial Narrow"/>
                <w:b/>
                <w:lang w:bidi="en-AU"/>
              </w:rPr>
              <w:t>2024-25</w:t>
            </w:r>
          </w:p>
        </w:tc>
      </w:tr>
      <w:tr w:rsidR="00CE524E" w:rsidRPr="00777390" w14:paraId="7C13F624" w14:textId="77777777" w:rsidTr="0083785E">
        <w:trPr>
          <w:trHeight w:val="311"/>
        </w:trPr>
        <w:tc>
          <w:tcPr>
            <w:tcW w:w="8794" w:type="dxa"/>
            <w:gridSpan w:val="6"/>
          </w:tcPr>
          <w:p w14:paraId="6D0BE318" w14:textId="77777777" w:rsidR="00CE524E" w:rsidRPr="00777390" w:rsidRDefault="00CE524E" w:rsidP="005A6A4D">
            <w:pPr>
              <w:widowControl w:val="0"/>
              <w:autoSpaceDE w:val="0"/>
              <w:autoSpaceDN w:val="0"/>
              <w:spacing w:before="42"/>
              <w:ind w:left="107"/>
              <w:rPr>
                <w:rFonts w:eastAsia="Arial Narrow" w:cs="Arial Narrow"/>
                <w:b/>
                <w:lang w:bidi="en-AU"/>
              </w:rPr>
            </w:pPr>
            <w:r w:rsidRPr="00777390">
              <w:rPr>
                <w:rFonts w:eastAsia="Arial Narrow" w:cs="Arial Narrow"/>
                <w:b/>
                <w:lang w:bidi="en-AU"/>
              </w:rPr>
              <w:t>Increase in MBS services due to listing I</w:t>
            </w:r>
            <w:r>
              <w:rPr>
                <w:rFonts w:eastAsia="Arial Narrow" w:cs="Arial Narrow"/>
                <w:b/>
                <w:lang w:bidi="en-AU"/>
              </w:rPr>
              <w:t>MVAD</w:t>
            </w:r>
            <w:r w:rsidRPr="00777390">
              <w:rPr>
                <w:rFonts w:eastAsia="Arial Narrow" w:cs="Arial Narrow"/>
                <w:b/>
                <w:lang w:bidi="en-AU"/>
              </w:rPr>
              <w:t xml:space="preserve"> </w:t>
            </w:r>
          </w:p>
        </w:tc>
      </w:tr>
      <w:tr w:rsidR="00CE524E" w:rsidRPr="00777390" w14:paraId="60E9F55A" w14:textId="77777777" w:rsidTr="0083785E">
        <w:trPr>
          <w:trHeight w:val="309"/>
        </w:trPr>
        <w:tc>
          <w:tcPr>
            <w:tcW w:w="2155" w:type="dxa"/>
          </w:tcPr>
          <w:p w14:paraId="24D6CEF9" w14:textId="77777777" w:rsidR="00CE524E" w:rsidRPr="00777390" w:rsidRDefault="00CE524E" w:rsidP="005A6A4D">
            <w:pPr>
              <w:pStyle w:val="TableParagraph"/>
              <w:spacing w:before="45"/>
              <w:ind w:left="112"/>
              <w:rPr>
                <w:sz w:val="20"/>
              </w:rPr>
            </w:pPr>
            <w:r w:rsidRPr="00777390">
              <w:rPr>
                <w:sz w:val="20"/>
              </w:rPr>
              <w:t xml:space="preserve">Number of </w:t>
            </w:r>
            <w:r>
              <w:rPr>
                <w:sz w:val="20"/>
              </w:rPr>
              <w:t>p</w:t>
            </w:r>
            <w:r w:rsidRPr="00777390">
              <w:rPr>
                <w:sz w:val="20"/>
              </w:rPr>
              <w:t>atients</w:t>
            </w:r>
          </w:p>
        </w:tc>
        <w:tc>
          <w:tcPr>
            <w:tcW w:w="1330" w:type="dxa"/>
          </w:tcPr>
          <w:p w14:paraId="5FCEDEBA" w14:textId="77777777" w:rsidR="00CE524E" w:rsidRPr="00777390" w:rsidRDefault="00CE524E" w:rsidP="005A6A4D">
            <w:pPr>
              <w:pStyle w:val="TableParagraph"/>
              <w:spacing w:before="45"/>
              <w:ind w:left="112"/>
              <w:rPr>
                <w:sz w:val="20"/>
              </w:rPr>
            </w:pPr>
            <w:r w:rsidRPr="00777390">
              <w:rPr>
                <w:sz w:val="20"/>
              </w:rPr>
              <w:t>9</w:t>
            </w:r>
          </w:p>
        </w:tc>
        <w:tc>
          <w:tcPr>
            <w:tcW w:w="1327" w:type="dxa"/>
          </w:tcPr>
          <w:p w14:paraId="1E436F39" w14:textId="77777777" w:rsidR="00CE524E" w:rsidRPr="00777390" w:rsidRDefault="00CE524E" w:rsidP="005A6A4D">
            <w:pPr>
              <w:pStyle w:val="TableParagraph"/>
              <w:spacing w:before="45"/>
              <w:ind w:left="112"/>
              <w:rPr>
                <w:sz w:val="20"/>
              </w:rPr>
            </w:pPr>
            <w:r w:rsidRPr="00777390">
              <w:rPr>
                <w:sz w:val="20"/>
              </w:rPr>
              <w:t>17</w:t>
            </w:r>
          </w:p>
        </w:tc>
        <w:tc>
          <w:tcPr>
            <w:tcW w:w="1327" w:type="dxa"/>
          </w:tcPr>
          <w:p w14:paraId="1C0E9588" w14:textId="77777777" w:rsidR="00CE524E" w:rsidRPr="00777390" w:rsidRDefault="00CE524E" w:rsidP="005A6A4D">
            <w:pPr>
              <w:pStyle w:val="TableParagraph"/>
              <w:spacing w:before="45"/>
              <w:ind w:left="112"/>
              <w:rPr>
                <w:sz w:val="20"/>
              </w:rPr>
            </w:pPr>
            <w:r w:rsidRPr="00777390">
              <w:rPr>
                <w:sz w:val="20"/>
              </w:rPr>
              <w:t>26</w:t>
            </w:r>
          </w:p>
        </w:tc>
        <w:tc>
          <w:tcPr>
            <w:tcW w:w="1330" w:type="dxa"/>
          </w:tcPr>
          <w:p w14:paraId="768B423E" w14:textId="77777777" w:rsidR="00CE524E" w:rsidRPr="00777390" w:rsidRDefault="00CE524E" w:rsidP="005A6A4D">
            <w:pPr>
              <w:pStyle w:val="TableParagraph"/>
              <w:spacing w:before="45"/>
              <w:ind w:left="112"/>
              <w:rPr>
                <w:sz w:val="20"/>
              </w:rPr>
            </w:pPr>
            <w:r w:rsidRPr="00777390">
              <w:rPr>
                <w:sz w:val="20"/>
              </w:rPr>
              <w:t>36</w:t>
            </w:r>
          </w:p>
        </w:tc>
        <w:tc>
          <w:tcPr>
            <w:tcW w:w="1325" w:type="dxa"/>
          </w:tcPr>
          <w:p w14:paraId="57793B6F" w14:textId="77777777" w:rsidR="00CE524E" w:rsidRPr="00777390" w:rsidRDefault="00CE524E" w:rsidP="005A6A4D">
            <w:pPr>
              <w:pStyle w:val="TableParagraph"/>
              <w:spacing w:before="45"/>
              <w:ind w:left="112"/>
              <w:rPr>
                <w:sz w:val="20"/>
              </w:rPr>
            </w:pPr>
            <w:r w:rsidRPr="00777390">
              <w:rPr>
                <w:sz w:val="20"/>
              </w:rPr>
              <w:t>54</w:t>
            </w:r>
          </w:p>
        </w:tc>
      </w:tr>
      <w:tr w:rsidR="00CE524E" w:rsidRPr="00777390" w14:paraId="2C064B65" w14:textId="77777777" w:rsidTr="0083785E">
        <w:trPr>
          <w:trHeight w:val="308"/>
        </w:trPr>
        <w:tc>
          <w:tcPr>
            <w:tcW w:w="2155" w:type="dxa"/>
          </w:tcPr>
          <w:p w14:paraId="0A766A58" w14:textId="77777777" w:rsidR="00CE524E" w:rsidRPr="00777390" w:rsidRDefault="00CE524E" w:rsidP="005A6A4D">
            <w:pPr>
              <w:pStyle w:val="TableParagraph"/>
              <w:spacing w:before="45"/>
              <w:ind w:left="112"/>
              <w:rPr>
                <w:sz w:val="20"/>
              </w:rPr>
            </w:pPr>
            <w:r w:rsidRPr="00777390">
              <w:rPr>
                <w:sz w:val="20"/>
              </w:rPr>
              <w:t>Number of services</w:t>
            </w:r>
          </w:p>
        </w:tc>
        <w:tc>
          <w:tcPr>
            <w:tcW w:w="1330" w:type="dxa"/>
          </w:tcPr>
          <w:p w14:paraId="7BDA73FA" w14:textId="77777777" w:rsidR="00CE524E" w:rsidRPr="00777390" w:rsidRDefault="00CE524E" w:rsidP="005A6A4D">
            <w:pPr>
              <w:pStyle w:val="TableParagraph"/>
              <w:spacing w:before="45"/>
              <w:ind w:left="112"/>
              <w:rPr>
                <w:sz w:val="20"/>
              </w:rPr>
            </w:pPr>
            <w:r w:rsidRPr="00777390">
              <w:rPr>
                <w:sz w:val="20"/>
              </w:rPr>
              <w:t>32</w:t>
            </w:r>
          </w:p>
        </w:tc>
        <w:tc>
          <w:tcPr>
            <w:tcW w:w="1327" w:type="dxa"/>
          </w:tcPr>
          <w:p w14:paraId="06A03F00" w14:textId="77777777" w:rsidR="00CE524E" w:rsidRPr="00777390" w:rsidRDefault="00CE524E" w:rsidP="005A6A4D">
            <w:pPr>
              <w:pStyle w:val="TableParagraph"/>
              <w:spacing w:before="45"/>
              <w:ind w:left="112"/>
              <w:rPr>
                <w:sz w:val="20"/>
              </w:rPr>
            </w:pPr>
            <w:r w:rsidRPr="00777390">
              <w:rPr>
                <w:sz w:val="20"/>
              </w:rPr>
              <w:t>59</w:t>
            </w:r>
          </w:p>
        </w:tc>
        <w:tc>
          <w:tcPr>
            <w:tcW w:w="1327" w:type="dxa"/>
          </w:tcPr>
          <w:p w14:paraId="4C9D9C2B" w14:textId="77777777" w:rsidR="00CE524E" w:rsidRPr="00777390" w:rsidRDefault="00CE524E" w:rsidP="005A6A4D">
            <w:pPr>
              <w:pStyle w:val="TableParagraph"/>
              <w:spacing w:before="45"/>
              <w:ind w:left="112"/>
              <w:rPr>
                <w:sz w:val="20"/>
              </w:rPr>
            </w:pPr>
            <w:r w:rsidRPr="00777390">
              <w:rPr>
                <w:sz w:val="20"/>
              </w:rPr>
              <w:t>90</w:t>
            </w:r>
          </w:p>
        </w:tc>
        <w:tc>
          <w:tcPr>
            <w:tcW w:w="1330" w:type="dxa"/>
          </w:tcPr>
          <w:p w14:paraId="557D0E2A" w14:textId="77777777" w:rsidR="00CE524E" w:rsidRPr="00777390" w:rsidRDefault="00CE524E" w:rsidP="005A6A4D">
            <w:pPr>
              <w:pStyle w:val="TableParagraph"/>
              <w:spacing w:before="45"/>
              <w:ind w:left="112"/>
              <w:rPr>
                <w:sz w:val="20"/>
              </w:rPr>
            </w:pPr>
            <w:r w:rsidRPr="00777390">
              <w:rPr>
                <w:sz w:val="20"/>
              </w:rPr>
              <w:t>126</w:t>
            </w:r>
          </w:p>
        </w:tc>
        <w:tc>
          <w:tcPr>
            <w:tcW w:w="1325" w:type="dxa"/>
          </w:tcPr>
          <w:p w14:paraId="3995345B" w14:textId="77777777" w:rsidR="00CE524E" w:rsidRPr="00777390" w:rsidRDefault="00CE524E" w:rsidP="005A6A4D">
            <w:pPr>
              <w:pStyle w:val="TableParagraph"/>
              <w:spacing w:before="45"/>
              <w:ind w:left="112"/>
              <w:rPr>
                <w:sz w:val="20"/>
              </w:rPr>
            </w:pPr>
            <w:r w:rsidRPr="00777390">
              <w:rPr>
                <w:sz w:val="20"/>
              </w:rPr>
              <w:t>188</w:t>
            </w:r>
          </w:p>
        </w:tc>
      </w:tr>
      <w:tr w:rsidR="00CE524E" w:rsidRPr="00777390" w14:paraId="10CA3D58" w14:textId="77777777" w:rsidTr="0083785E">
        <w:trPr>
          <w:trHeight w:val="308"/>
        </w:trPr>
        <w:tc>
          <w:tcPr>
            <w:tcW w:w="2155" w:type="dxa"/>
          </w:tcPr>
          <w:p w14:paraId="08872E59" w14:textId="77777777" w:rsidR="00CE524E" w:rsidRPr="00777390" w:rsidRDefault="00CE524E" w:rsidP="005A6A4D">
            <w:pPr>
              <w:pStyle w:val="TableParagraph"/>
              <w:spacing w:before="45"/>
              <w:ind w:left="112"/>
              <w:rPr>
                <w:sz w:val="20"/>
              </w:rPr>
            </w:pPr>
            <w:r w:rsidRPr="00777390">
              <w:rPr>
                <w:sz w:val="20"/>
              </w:rPr>
              <w:t>Sub-total cost</w:t>
            </w:r>
          </w:p>
        </w:tc>
        <w:tc>
          <w:tcPr>
            <w:tcW w:w="1330" w:type="dxa"/>
          </w:tcPr>
          <w:p w14:paraId="4509B8D7" w14:textId="77777777" w:rsidR="00CE524E" w:rsidRPr="00777390" w:rsidRDefault="00CE524E" w:rsidP="005A6A4D">
            <w:pPr>
              <w:pStyle w:val="TableParagraph"/>
              <w:spacing w:before="45"/>
              <w:ind w:left="112"/>
              <w:rPr>
                <w:sz w:val="20"/>
              </w:rPr>
            </w:pPr>
            <w:r w:rsidRPr="00777390">
              <w:rPr>
                <w:sz w:val="20"/>
              </w:rPr>
              <w:t>$8,734</w:t>
            </w:r>
          </w:p>
        </w:tc>
        <w:tc>
          <w:tcPr>
            <w:tcW w:w="1327" w:type="dxa"/>
          </w:tcPr>
          <w:p w14:paraId="2104E5E7" w14:textId="77777777" w:rsidR="00CE524E" w:rsidRPr="00777390" w:rsidRDefault="00CE524E" w:rsidP="005A6A4D">
            <w:pPr>
              <w:pStyle w:val="TableParagraph"/>
              <w:spacing w:before="45"/>
              <w:ind w:left="112"/>
              <w:rPr>
                <w:sz w:val="20"/>
              </w:rPr>
            </w:pPr>
            <w:r w:rsidRPr="00777390">
              <w:rPr>
                <w:sz w:val="20"/>
              </w:rPr>
              <w:t>$15,874</w:t>
            </w:r>
          </w:p>
        </w:tc>
        <w:tc>
          <w:tcPr>
            <w:tcW w:w="1327" w:type="dxa"/>
          </w:tcPr>
          <w:p w14:paraId="53F48192" w14:textId="77777777" w:rsidR="00CE524E" w:rsidRPr="00777390" w:rsidRDefault="00CE524E" w:rsidP="005A6A4D">
            <w:pPr>
              <w:pStyle w:val="TableParagraph"/>
              <w:spacing w:before="45"/>
              <w:ind w:left="112"/>
              <w:rPr>
                <w:sz w:val="20"/>
              </w:rPr>
            </w:pPr>
            <w:r w:rsidRPr="00777390">
              <w:rPr>
                <w:sz w:val="20"/>
              </w:rPr>
              <w:t>$25,547</w:t>
            </w:r>
          </w:p>
        </w:tc>
        <w:tc>
          <w:tcPr>
            <w:tcW w:w="1330" w:type="dxa"/>
          </w:tcPr>
          <w:p w14:paraId="661B8FC9" w14:textId="77777777" w:rsidR="00CE524E" w:rsidRPr="00777390" w:rsidRDefault="00CE524E" w:rsidP="005A6A4D">
            <w:pPr>
              <w:pStyle w:val="TableParagraph"/>
              <w:spacing w:before="45"/>
              <w:ind w:left="112"/>
              <w:rPr>
                <w:sz w:val="20"/>
              </w:rPr>
            </w:pPr>
            <w:r w:rsidRPr="00777390">
              <w:rPr>
                <w:sz w:val="20"/>
              </w:rPr>
              <w:t>$35,134</w:t>
            </w:r>
          </w:p>
        </w:tc>
        <w:tc>
          <w:tcPr>
            <w:tcW w:w="1325" w:type="dxa"/>
          </w:tcPr>
          <w:p w14:paraId="4A67F261" w14:textId="77777777" w:rsidR="00CE524E" w:rsidRPr="00777390" w:rsidRDefault="00CE524E" w:rsidP="005A6A4D">
            <w:pPr>
              <w:pStyle w:val="TableParagraph"/>
              <w:spacing w:before="45"/>
              <w:ind w:left="112"/>
              <w:rPr>
                <w:sz w:val="20"/>
              </w:rPr>
            </w:pPr>
            <w:r w:rsidRPr="00777390">
              <w:rPr>
                <w:sz w:val="20"/>
              </w:rPr>
              <w:t>$52,801</w:t>
            </w:r>
          </w:p>
        </w:tc>
      </w:tr>
      <w:tr w:rsidR="00CE524E" w:rsidRPr="00777390" w14:paraId="4FBBF889" w14:textId="77777777" w:rsidTr="0083785E">
        <w:trPr>
          <w:trHeight w:val="308"/>
        </w:trPr>
        <w:tc>
          <w:tcPr>
            <w:tcW w:w="8794" w:type="dxa"/>
            <w:gridSpan w:val="6"/>
          </w:tcPr>
          <w:p w14:paraId="39A02519" w14:textId="77777777" w:rsidR="00CE524E" w:rsidRPr="00777390" w:rsidRDefault="00CE524E" w:rsidP="005A6A4D">
            <w:pPr>
              <w:pStyle w:val="TableParagraph"/>
              <w:spacing w:before="45"/>
              <w:ind w:left="112"/>
              <w:rPr>
                <w:sz w:val="20"/>
              </w:rPr>
            </w:pPr>
            <w:r w:rsidRPr="00777390">
              <w:rPr>
                <w:sz w:val="20"/>
              </w:rPr>
              <w:t xml:space="preserve">Reduction in MBS services due to listing </w:t>
            </w:r>
            <w:r w:rsidRPr="002B3EA1">
              <w:rPr>
                <w:sz w:val="20"/>
              </w:rPr>
              <w:t>IMVAD</w:t>
            </w:r>
            <w:r>
              <w:rPr>
                <w:sz w:val="20"/>
              </w:rPr>
              <w:t xml:space="preserve"> (combined IABP, ECMO)</w:t>
            </w:r>
          </w:p>
        </w:tc>
      </w:tr>
      <w:tr w:rsidR="00CE524E" w:rsidRPr="00777390" w14:paraId="2DD8F2FA" w14:textId="77777777" w:rsidTr="0083785E">
        <w:trPr>
          <w:trHeight w:val="311"/>
        </w:trPr>
        <w:tc>
          <w:tcPr>
            <w:tcW w:w="2155" w:type="dxa"/>
          </w:tcPr>
          <w:p w14:paraId="793A9268" w14:textId="77777777" w:rsidR="00CE524E" w:rsidRPr="00777390" w:rsidRDefault="00CE524E" w:rsidP="005A6A4D">
            <w:pPr>
              <w:pStyle w:val="TableParagraph"/>
              <w:spacing w:before="45"/>
              <w:ind w:left="112"/>
              <w:rPr>
                <w:sz w:val="20"/>
              </w:rPr>
            </w:pPr>
            <w:r w:rsidRPr="00777390">
              <w:rPr>
                <w:sz w:val="20"/>
              </w:rPr>
              <w:t>Number of services</w:t>
            </w:r>
          </w:p>
        </w:tc>
        <w:tc>
          <w:tcPr>
            <w:tcW w:w="1330" w:type="dxa"/>
          </w:tcPr>
          <w:p w14:paraId="570F9C89" w14:textId="77777777" w:rsidR="00CE524E" w:rsidRPr="00777390" w:rsidRDefault="00CE524E" w:rsidP="005A6A4D">
            <w:pPr>
              <w:pStyle w:val="TableParagraph"/>
              <w:spacing w:before="45"/>
              <w:ind w:left="112"/>
              <w:rPr>
                <w:sz w:val="20"/>
              </w:rPr>
            </w:pPr>
            <w:r w:rsidRPr="00777390">
              <w:rPr>
                <w:sz w:val="20"/>
              </w:rPr>
              <w:t>55</w:t>
            </w:r>
          </w:p>
        </w:tc>
        <w:tc>
          <w:tcPr>
            <w:tcW w:w="1327" w:type="dxa"/>
          </w:tcPr>
          <w:p w14:paraId="0CF51E3F" w14:textId="77777777" w:rsidR="00CE524E" w:rsidRPr="00777390" w:rsidRDefault="00CE524E" w:rsidP="005A6A4D">
            <w:pPr>
              <w:pStyle w:val="TableParagraph"/>
              <w:spacing w:before="45"/>
              <w:ind w:left="112"/>
              <w:rPr>
                <w:sz w:val="20"/>
              </w:rPr>
            </w:pPr>
            <w:r w:rsidRPr="00777390">
              <w:rPr>
                <w:sz w:val="20"/>
              </w:rPr>
              <w:t>108</w:t>
            </w:r>
          </w:p>
        </w:tc>
        <w:tc>
          <w:tcPr>
            <w:tcW w:w="1327" w:type="dxa"/>
          </w:tcPr>
          <w:p w14:paraId="32960EA2" w14:textId="77777777" w:rsidR="00CE524E" w:rsidRPr="00777390" w:rsidRDefault="00CE524E" w:rsidP="005A6A4D">
            <w:pPr>
              <w:pStyle w:val="TableParagraph"/>
              <w:spacing w:before="45"/>
              <w:ind w:left="112"/>
              <w:rPr>
                <w:sz w:val="20"/>
              </w:rPr>
            </w:pPr>
            <w:r w:rsidRPr="00777390">
              <w:rPr>
                <w:sz w:val="20"/>
              </w:rPr>
              <w:t>171</w:t>
            </w:r>
          </w:p>
        </w:tc>
        <w:tc>
          <w:tcPr>
            <w:tcW w:w="1330" w:type="dxa"/>
          </w:tcPr>
          <w:p w14:paraId="41BC3C16" w14:textId="77777777" w:rsidR="00CE524E" w:rsidRPr="00777390" w:rsidRDefault="00CE524E" w:rsidP="005A6A4D">
            <w:pPr>
              <w:pStyle w:val="TableParagraph"/>
              <w:spacing w:before="45"/>
              <w:ind w:left="112"/>
              <w:rPr>
                <w:sz w:val="20"/>
              </w:rPr>
            </w:pPr>
            <w:r w:rsidRPr="00777390">
              <w:rPr>
                <w:sz w:val="20"/>
              </w:rPr>
              <w:t>237</w:t>
            </w:r>
          </w:p>
        </w:tc>
        <w:tc>
          <w:tcPr>
            <w:tcW w:w="1325" w:type="dxa"/>
          </w:tcPr>
          <w:p w14:paraId="6D59ECA9" w14:textId="77777777" w:rsidR="00CE524E" w:rsidRPr="00777390" w:rsidRDefault="00CE524E" w:rsidP="005A6A4D">
            <w:pPr>
              <w:pStyle w:val="TableParagraph"/>
              <w:spacing w:before="45"/>
              <w:ind w:left="112"/>
              <w:rPr>
                <w:sz w:val="20"/>
              </w:rPr>
            </w:pPr>
            <w:r w:rsidRPr="00777390">
              <w:rPr>
                <w:sz w:val="20"/>
              </w:rPr>
              <w:t>370</w:t>
            </w:r>
          </w:p>
        </w:tc>
      </w:tr>
      <w:tr w:rsidR="00CE524E" w:rsidRPr="00777390" w14:paraId="5FBF637C" w14:textId="77777777" w:rsidTr="0083785E">
        <w:trPr>
          <w:trHeight w:val="311"/>
        </w:trPr>
        <w:tc>
          <w:tcPr>
            <w:tcW w:w="2155" w:type="dxa"/>
          </w:tcPr>
          <w:p w14:paraId="76EE23BA" w14:textId="77777777" w:rsidR="00CE524E" w:rsidRPr="00777390" w:rsidRDefault="00CE524E" w:rsidP="005A6A4D">
            <w:pPr>
              <w:pStyle w:val="TableParagraph"/>
              <w:spacing w:before="45"/>
              <w:ind w:left="112"/>
              <w:rPr>
                <w:sz w:val="20"/>
              </w:rPr>
            </w:pPr>
            <w:r>
              <w:rPr>
                <w:sz w:val="20"/>
              </w:rPr>
              <w:t>Sub-total cost</w:t>
            </w:r>
          </w:p>
        </w:tc>
        <w:tc>
          <w:tcPr>
            <w:tcW w:w="1330" w:type="dxa"/>
          </w:tcPr>
          <w:p w14:paraId="28DD9EA4" w14:textId="77777777" w:rsidR="00CE524E" w:rsidRPr="00777390" w:rsidRDefault="00CE524E" w:rsidP="005A6A4D">
            <w:pPr>
              <w:pStyle w:val="TableParagraph"/>
              <w:spacing w:before="45"/>
              <w:ind w:left="112"/>
              <w:rPr>
                <w:sz w:val="20"/>
              </w:rPr>
            </w:pPr>
            <w:r>
              <w:rPr>
                <w:sz w:val="20"/>
              </w:rPr>
              <w:t>$16,957</w:t>
            </w:r>
          </w:p>
        </w:tc>
        <w:tc>
          <w:tcPr>
            <w:tcW w:w="1327" w:type="dxa"/>
          </w:tcPr>
          <w:p w14:paraId="591BCE05" w14:textId="77777777" w:rsidR="00CE524E" w:rsidRPr="00777390" w:rsidRDefault="00CE524E" w:rsidP="005A6A4D">
            <w:pPr>
              <w:pStyle w:val="TableParagraph"/>
              <w:spacing w:before="45"/>
              <w:ind w:left="112"/>
              <w:rPr>
                <w:sz w:val="20"/>
              </w:rPr>
            </w:pPr>
            <w:r>
              <w:rPr>
                <w:sz w:val="20"/>
              </w:rPr>
              <w:t>$33,945</w:t>
            </w:r>
          </w:p>
        </w:tc>
        <w:tc>
          <w:tcPr>
            <w:tcW w:w="1327" w:type="dxa"/>
          </w:tcPr>
          <w:p w14:paraId="1ABB8ADB" w14:textId="77777777" w:rsidR="00CE524E" w:rsidRPr="00777390" w:rsidRDefault="00CE524E" w:rsidP="005A6A4D">
            <w:pPr>
              <w:pStyle w:val="TableParagraph"/>
              <w:spacing w:before="45"/>
              <w:ind w:left="112"/>
              <w:rPr>
                <w:sz w:val="20"/>
              </w:rPr>
            </w:pPr>
            <w:r>
              <w:rPr>
                <w:sz w:val="20"/>
              </w:rPr>
              <w:t>$54,735</w:t>
            </w:r>
          </w:p>
        </w:tc>
        <w:tc>
          <w:tcPr>
            <w:tcW w:w="1330" w:type="dxa"/>
          </w:tcPr>
          <w:p w14:paraId="27CAC2C2" w14:textId="77777777" w:rsidR="00CE524E" w:rsidRPr="00777390" w:rsidRDefault="00CE524E" w:rsidP="005A6A4D">
            <w:pPr>
              <w:pStyle w:val="TableParagraph"/>
              <w:spacing w:before="45"/>
              <w:ind w:left="112"/>
              <w:rPr>
                <w:sz w:val="20"/>
              </w:rPr>
            </w:pPr>
            <w:r>
              <w:rPr>
                <w:sz w:val="20"/>
              </w:rPr>
              <w:t>$76,385</w:t>
            </w:r>
          </w:p>
        </w:tc>
        <w:tc>
          <w:tcPr>
            <w:tcW w:w="1325" w:type="dxa"/>
          </w:tcPr>
          <w:p w14:paraId="289E6618" w14:textId="77777777" w:rsidR="00CE524E" w:rsidRPr="00777390" w:rsidRDefault="00CE524E" w:rsidP="005A6A4D">
            <w:pPr>
              <w:pStyle w:val="TableParagraph"/>
              <w:spacing w:before="45"/>
              <w:ind w:left="112"/>
              <w:rPr>
                <w:sz w:val="20"/>
              </w:rPr>
            </w:pPr>
            <w:r>
              <w:rPr>
                <w:sz w:val="20"/>
              </w:rPr>
              <w:t>$119,026</w:t>
            </w:r>
          </w:p>
        </w:tc>
      </w:tr>
      <w:tr w:rsidR="00CE524E" w:rsidRPr="00777390" w14:paraId="26562DDD" w14:textId="77777777" w:rsidTr="0083785E">
        <w:trPr>
          <w:trHeight w:val="311"/>
        </w:trPr>
        <w:tc>
          <w:tcPr>
            <w:tcW w:w="2155" w:type="dxa"/>
          </w:tcPr>
          <w:p w14:paraId="4C5871CD" w14:textId="77777777" w:rsidR="00CE524E" w:rsidRPr="00777390" w:rsidRDefault="00CE524E" w:rsidP="005A6A4D">
            <w:pPr>
              <w:pStyle w:val="TableParagraph"/>
              <w:spacing w:before="45"/>
              <w:ind w:left="112"/>
              <w:rPr>
                <w:sz w:val="20"/>
              </w:rPr>
            </w:pPr>
            <w:r w:rsidRPr="002B3EA1">
              <w:rPr>
                <w:sz w:val="20"/>
              </w:rPr>
              <w:t>Net Impact to the MBS</w:t>
            </w:r>
          </w:p>
        </w:tc>
        <w:tc>
          <w:tcPr>
            <w:tcW w:w="1330" w:type="dxa"/>
          </w:tcPr>
          <w:p w14:paraId="78129292" w14:textId="77777777" w:rsidR="00CE524E" w:rsidRPr="00777390" w:rsidRDefault="00CE524E" w:rsidP="005A6A4D">
            <w:pPr>
              <w:pStyle w:val="TableParagraph"/>
              <w:spacing w:before="45"/>
              <w:ind w:left="112"/>
              <w:rPr>
                <w:sz w:val="20"/>
              </w:rPr>
            </w:pPr>
          </w:p>
        </w:tc>
        <w:tc>
          <w:tcPr>
            <w:tcW w:w="1327" w:type="dxa"/>
          </w:tcPr>
          <w:p w14:paraId="7B8DE7B7" w14:textId="77777777" w:rsidR="00CE524E" w:rsidRPr="00777390" w:rsidRDefault="00CE524E" w:rsidP="005A6A4D">
            <w:pPr>
              <w:pStyle w:val="TableParagraph"/>
              <w:spacing w:before="45"/>
              <w:ind w:left="112"/>
              <w:rPr>
                <w:sz w:val="20"/>
              </w:rPr>
            </w:pPr>
          </w:p>
        </w:tc>
        <w:tc>
          <w:tcPr>
            <w:tcW w:w="1327" w:type="dxa"/>
          </w:tcPr>
          <w:p w14:paraId="0DFF6147" w14:textId="77777777" w:rsidR="00CE524E" w:rsidRPr="00777390" w:rsidRDefault="00CE524E" w:rsidP="005A6A4D">
            <w:pPr>
              <w:pStyle w:val="TableParagraph"/>
              <w:spacing w:before="45"/>
              <w:ind w:left="112"/>
              <w:rPr>
                <w:sz w:val="20"/>
              </w:rPr>
            </w:pPr>
          </w:p>
        </w:tc>
        <w:tc>
          <w:tcPr>
            <w:tcW w:w="1330" w:type="dxa"/>
          </w:tcPr>
          <w:p w14:paraId="194395C5" w14:textId="77777777" w:rsidR="00CE524E" w:rsidRPr="00777390" w:rsidRDefault="00CE524E" w:rsidP="005A6A4D">
            <w:pPr>
              <w:pStyle w:val="TableParagraph"/>
              <w:spacing w:before="45"/>
              <w:ind w:left="112"/>
              <w:rPr>
                <w:sz w:val="20"/>
              </w:rPr>
            </w:pPr>
          </w:p>
        </w:tc>
        <w:tc>
          <w:tcPr>
            <w:tcW w:w="1325" w:type="dxa"/>
          </w:tcPr>
          <w:p w14:paraId="50D56A27" w14:textId="77777777" w:rsidR="00CE524E" w:rsidRPr="00777390" w:rsidRDefault="00CE524E" w:rsidP="005A6A4D">
            <w:pPr>
              <w:pStyle w:val="TableParagraph"/>
              <w:spacing w:before="45"/>
              <w:ind w:left="112"/>
              <w:rPr>
                <w:sz w:val="20"/>
              </w:rPr>
            </w:pPr>
          </w:p>
        </w:tc>
      </w:tr>
      <w:tr w:rsidR="00CE524E" w:rsidRPr="00777390" w14:paraId="6109ABE0" w14:textId="77777777" w:rsidTr="0083785E">
        <w:trPr>
          <w:trHeight w:val="311"/>
        </w:trPr>
        <w:tc>
          <w:tcPr>
            <w:tcW w:w="2155" w:type="dxa"/>
          </w:tcPr>
          <w:p w14:paraId="532A4D01" w14:textId="77777777" w:rsidR="00CE524E" w:rsidRPr="00777390" w:rsidRDefault="00CE524E" w:rsidP="005A6A4D">
            <w:pPr>
              <w:pStyle w:val="TableParagraph"/>
              <w:spacing w:before="45"/>
              <w:ind w:left="112"/>
              <w:rPr>
                <w:sz w:val="20"/>
              </w:rPr>
            </w:pPr>
            <w:r>
              <w:rPr>
                <w:sz w:val="20"/>
              </w:rPr>
              <w:t>Total services</w:t>
            </w:r>
          </w:p>
        </w:tc>
        <w:tc>
          <w:tcPr>
            <w:tcW w:w="1330" w:type="dxa"/>
          </w:tcPr>
          <w:p w14:paraId="18D8F16A" w14:textId="77777777" w:rsidR="00CE524E" w:rsidRPr="00777390" w:rsidRDefault="00CE524E" w:rsidP="005A6A4D">
            <w:pPr>
              <w:pStyle w:val="TableParagraph"/>
              <w:spacing w:before="45"/>
              <w:ind w:left="112"/>
              <w:rPr>
                <w:sz w:val="20"/>
              </w:rPr>
            </w:pPr>
            <w:r>
              <w:rPr>
                <w:sz w:val="20"/>
              </w:rPr>
              <w:t>-23</w:t>
            </w:r>
          </w:p>
        </w:tc>
        <w:tc>
          <w:tcPr>
            <w:tcW w:w="1327" w:type="dxa"/>
          </w:tcPr>
          <w:p w14:paraId="55B21F03" w14:textId="77777777" w:rsidR="00CE524E" w:rsidRPr="00777390" w:rsidRDefault="00CE524E" w:rsidP="005A6A4D">
            <w:pPr>
              <w:pStyle w:val="TableParagraph"/>
              <w:spacing w:before="45"/>
              <w:ind w:left="112"/>
              <w:rPr>
                <w:sz w:val="20"/>
              </w:rPr>
            </w:pPr>
            <w:r>
              <w:rPr>
                <w:sz w:val="20"/>
              </w:rPr>
              <w:t>-49</w:t>
            </w:r>
          </w:p>
        </w:tc>
        <w:tc>
          <w:tcPr>
            <w:tcW w:w="1327" w:type="dxa"/>
          </w:tcPr>
          <w:p w14:paraId="2D5C9613" w14:textId="77777777" w:rsidR="00CE524E" w:rsidRPr="00777390" w:rsidRDefault="00CE524E" w:rsidP="005A6A4D">
            <w:pPr>
              <w:pStyle w:val="TableParagraph"/>
              <w:spacing w:before="45"/>
              <w:ind w:left="112"/>
              <w:rPr>
                <w:sz w:val="20"/>
              </w:rPr>
            </w:pPr>
            <w:r>
              <w:rPr>
                <w:sz w:val="20"/>
              </w:rPr>
              <w:t>-81</w:t>
            </w:r>
          </w:p>
        </w:tc>
        <w:tc>
          <w:tcPr>
            <w:tcW w:w="1330" w:type="dxa"/>
          </w:tcPr>
          <w:p w14:paraId="53F62487" w14:textId="77777777" w:rsidR="00CE524E" w:rsidRPr="00777390" w:rsidRDefault="00CE524E" w:rsidP="005A6A4D">
            <w:pPr>
              <w:pStyle w:val="TableParagraph"/>
              <w:spacing w:before="45"/>
              <w:ind w:left="112"/>
              <w:rPr>
                <w:sz w:val="20"/>
              </w:rPr>
            </w:pPr>
            <w:r>
              <w:rPr>
                <w:sz w:val="20"/>
              </w:rPr>
              <w:t>-111</w:t>
            </w:r>
          </w:p>
        </w:tc>
        <w:tc>
          <w:tcPr>
            <w:tcW w:w="1325" w:type="dxa"/>
          </w:tcPr>
          <w:p w14:paraId="24E42FC7" w14:textId="77777777" w:rsidR="00CE524E" w:rsidRPr="00777390" w:rsidRDefault="00CE524E" w:rsidP="005A6A4D">
            <w:pPr>
              <w:pStyle w:val="TableParagraph"/>
              <w:spacing w:before="45"/>
              <w:ind w:left="112"/>
              <w:rPr>
                <w:sz w:val="20"/>
              </w:rPr>
            </w:pPr>
            <w:r>
              <w:rPr>
                <w:sz w:val="20"/>
              </w:rPr>
              <w:t>-182</w:t>
            </w:r>
          </w:p>
        </w:tc>
      </w:tr>
      <w:tr w:rsidR="00CE524E" w:rsidRPr="00777390" w14:paraId="79FBBFF4" w14:textId="77777777" w:rsidTr="0083785E">
        <w:trPr>
          <w:trHeight w:val="311"/>
        </w:trPr>
        <w:tc>
          <w:tcPr>
            <w:tcW w:w="2155" w:type="dxa"/>
          </w:tcPr>
          <w:p w14:paraId="4B138E43" w14:textId="77777777" w:rsidR="00CE524E" w:rsidRPr="00777390" w:rsidRDefault="00CE524E" w:rsidP="005A6A4D">
            <w:pPr>
              <w:pStyle w:val="TableParagraph"/>
              <w:spacing w:before="45"/>
              <w:ind w:left="112"/>
              <w:rPr>
                <w:sz w:val="20"/>
              </w:rPr>
            </w:pPr>
            <w:r w:rsidRPr="002B3EA1">
              <w:rPr>
                <w:sz w:val="20"/>
              </w:rPr>
              <w:t>Total cost</w:t>
            </w:r>
          </w:p>
        </w:tc>
        <w:tc>
          <w:tcPr>
            <w:tcW w:w="1330" w:type="dxa"/>
          </w:tcPr>
          <w:p w14:paraId="48456AAB" w14:textId="77777777" w:rsidR="00CE524E" w:rsidRPr="00777390" w:rsidRDefault="00CE524E" w:rsidP="005A6A4D">
            <w:pPr>
              <w:pStyle w:val="TableParagraph"/>
              <w:spacing w:before="45"/>
              <w:ind w:left="112"/>
              <w:rPr>
                <w:sz w:val="20"/>
              </w:rPr>
            </w:pPr>
            <w:r w:rsidRPr="002B3EA1">
              <w:rPr>
                <w:sz w:val="20"/>
              </w:rPr>
              <w:t>-$8,223</w:t>
            </w:r>
          </w:p>
        </w:tc>
        <w:tc>
          <w:tcPr>
            <w:tcW w:w="1327" w:type="dxa"/>
          </w:tcPr>
          <w:p w14:paraId="2A1A0328" w14:textId="77777777" w:rsidR="00CE524E" w:rsidRPr="00777390" w:rsidRDefault="00CE524E" w:rsidP="005A6A4D">
            <w:pPr>
              <w:pStyle w:val="TableParagraph"/>
              <w:spacing w:before="45"/>
              <w:ind w:left="112"/>
              <w:rPr>
                <w:sz w:val="20"/>
              </w:rPr>
            </w:pPr>
            <w:r w:rsidRPr="002B3EA1">
              <w:rPr>
                <w:sz w:val="20"/>
              </w:rPr>
              <w:t>-$18,071</w:t>
            </w:r>
          </w:p>
        </w:tc>
        <w:tc>
          <w:tcPr>
            <w:tcW w:w="1327" w:type="dxa"/>
          </w:tcPr>
          <w:p w14:paraId="42F7D1A0" w14:textId="77777777" w:rsidR="00CE524E" w:rsidRPr="00777390" w:rsidRDefault="00CE524E" w:rsidP="005A6A4D">
            <w:pPr>
              <w:pStyle w:val="TableParagraph"/>
              <w:spacing w:before="45"/>
              <w:ind w:left="112"/>
              <w:rPr>
                <w:sz w:val="20"/>
              </w:rPr>
            </w:pPr>
            <w:r w:rsidRPr="002B3EA1">
              <w:rPr>
                <w:sz w:val="20"/>
              </w:rPr>
              <w:t>-$29,188</w:t>
            </w:r>
          </w:p>
        </w:tc>
        <w:tc>
          <w:tcPr>
            <w:tcW w:w="1330" w:type="dxa"/>
          </w:tcPr>
          <w:p w14:paraId="3831B487" w14:textId="77777777" w:rsidR="00CE524E" w:rsidRPr="00777390" w:rsidRDefault="00CE524E" w:rsidP="005A6A4D">
            <w:pPr>
              <w:pStyle w:val="TableParagraph"/>
              <w:spacing w:before="45"/>
              <w:ind w:left="112"/>
              <w:rPr>
                <w:sz w:val="20"/>
              </w:rPr>
            </w:pPr>
            <w:r w:rsidRPr="002B3EA1">
              <w:rPr>
                <w:sz w:val="20"/>
              </w:rPr>
              <w:t>-$41,250</w:t>
            </w:r>
          </w:p>
        </w:tc>
        <w:tc>
          <w:tcPr>
            <w:tcW w:w="1325" w:type="dxa"/>
          </w:tcPr>
          <w:p w14:paraId="65E76ADE" w14:textId="77777777" w:rsidR="00CE524E" w:rsidRPr="00777390" w:rsidRDefault="00CE524E" w:rsidP="005A6A4D">
            <w:pPr>
              <w:pStyle w:val="TableParagraph"/>
              <w:spacing w:before="45"/>
              <w:ind w:left="112"/>
              <w:rPr>
                <w:sz w:val="20"/>
              </w:rPr>
            </w:pPr>
            <w:r w:rsidRPr="002B3EA1">
              <w:rPr>
                <w:sz w:val="20"/>
              </w:rPr>
              <w:t>-$66,225</w:t>
            </w:r>
          </w:p>
        </w:tc>
      </w:tr>
    </w:tbl>
    <w:p w14:paraId="49FFF6C4" w14:textId="77777777" w:rsidR="00CE524E" w:rsidRPr="0083785E" w:rsidRDefault="00CE524E" w:rsidP="0083785E">
      <w:pPr>
        <w:rPr>
          <w:rFonts w:ascii="Arial Narrow" w:hAnsi="Arial Narrow"/>
          <w:sz w:val="18"/>
          <w:szCs w:val="18"/>
        </w:rPr>
      </w:pPr>
      <w:r w:rsidRPr="0083785E">
        <w:rPr>
          <w:rFonts w:ascii="Arial Narrow" w:hAnsi="Arial Narrow"/>
          <w:sz w:val="18"/>
          <w:szCs w:val="18"/>
        </w:rPr>
        <w:t>Source: Table 202, p238-39 of the SBA</w:t>
      </w:r>
    </w:p>
    <w:p w14:paraId="7BAA923E" w14:textId="77777777" w:rsidR="00CE524E" w:rsidRDefault="00CE524E" w:rsidP="00CE524E">
      <w:pPr>
        <w:widowControl w:val="0"/>
        <w:spacing w:before="40" w:after="240"/>
        <w:rPr>
          <w:rFonts w:ascii="Arial Narrow" w:hAnsi="Arial Narrow" w:cs="Arial"/>
          <w:iCs/>
          <w:snapToGrid w:val="0"/>
          <w:sz w:val="18"/>
          <w:lang w:eastAsia="en-US"/>
        </w:rPr>
      </w:pPr>
      <w:r>
        <w:rPr>
          <w:rFonts w:ascii="Arial Narrow" w:hAnsi="Arial Narrow" w:cs="Arial"/>
          <w:iCs/>
          <w:snapToGrid w:val="0"/>
          <w:sz w:val="18"/>
          <w:lang w:eastAsia="en-US"/>
        </w:rPr>
        <w:t xml:space="preserve">ECMO = extracorporeal membrane oxygenation; </w:t>
      </w:r>
      <w:r w:rsidRPr="002A238E">
        <w:rPr>
          <w:rFonts w:ascii="Arial Narrow" w:hAnsi="Arial Narrow" w:cs="Arial"/>
          <w:iCs/>
          <w:snapToGrid w:val="0"/>
          <w:sz w:val="18"/>
          <w:lang w:eastAsia="en-US"/>
        </w:rPr>
        <w:t>IMVAD=</w:t>
      </w:r>
      <w:r w:rsidRPr="002A238E">
        <w:rPr>
          <w:rFonts w:ascii="Arial Narrow" w:hAnsi="Arial Narrow" w:cs="Arial"/>
          <w:i/>
          <w:iCs/>
          <w:snapToGrid w:val="0"/>
          <w:sz w:val="18"/>
          <w:lang w:eastAsia="en-US"/>
        </w:rPr>
        <w:t xml:space="preserve"> </w:t>
      </w:r>
      <w:r w:rsidRPr="002A238E">
        <w:rPr>
          <w:rFonts w:ascii="Arial Narrow" w:hAnsi="Arial Narrow" w:cs="Arial"/>
          <w:iCs/>
          <w:snapToGrid w:val="0"/>
          <w:sz w:val="18"/>
          <w:lang w:eastAsia="en-US"/>
        </w:rPr>
        <w:t>intravascular microaxial ventricular assist device</w:t>
      </w:r>
      <w:r>
        <w:rPr>
          <w:rFonts w:ascii="Arial Narrow" w:hAnsi="Arial Narrow" w:cs="Arial"/>
          <w:iCs/>
          <w:snapToGrid w:val="0"/>
          <w:sz w:val="18"/>
          <w:lang w:eastAsia="en-US"/>
        </w:rPr>
        <w:t>; MBS=Medicare Benefits Schedule</w:t>
      </w:r>
    </w:p>
    <w:p w14:paraId="59B95AF2" w14:textId="0F71BD04" w:rsidR="005F150D" w:rsidRDefault="005F150D" w:rsidP="005F150D">
      <w:r>
        <w:rPr>
          <w:lang w:eastAsia="en-US"/>
        </w:rPr>
        <w:t xml:space="preserve">The </w:t>
      </w:r>
      <w:r w:rsidR="00342009">
        <w:rPr>
          <w:lang w:eastAsia="en-US"/>
        </w:rPr>
        <w:t>application</w:t>
      </w:r>
      <w:r>
        <w:rPr>
          <w:lang w:eastAsia="en-US"/>
        </w:rPr>
        <w:t xml:space="preserve"> propose</w:t>
      </w:r>
      <w:r w:rsidR="00342009">
        <w:rPr>
          <w:lang w:eastAsia="en-US"/>
        </w:rPr>
        <w:t>d</w:t>
      </w:r>
      <w:r>
        <w:rPr>
          <w:lang w:eastAsia="en-US"/>
        </w:rPr>
        <w:t xml:space="preserve"> that </w:t>
      </w:r>
      <w:r w:rsidRPr="00481FAC">
        <w:t>nine patients would be treated with IMVAD in the first year of listing, increasing to 54 patients in the fifth year.</w:t>
      </w:r>
      <w:r>
        <w:t xml:space="preserve"> The Critique stated that</w:t>
      </w:r>
      <w:r w:rsidRPr="00717A48">
        <w:t xml:space="preserve"> </w:t>
      </w:r>
      <w:r>
        <w:t>t</w:t>
      </w:r>
      <w:r w:rsidRPr="00717A48">
        <w:t>here is potential for the net cost/year to the MBS to be g</w:t>
      </w:r>
      <w:r>
        <w:t xml:space="preserve">reater than estimated in the </w:t>
      </w:r>
      <w:r w:rsidR="00342009">
        <w:t>application</w:t>
      </w:r>
      <w:r w:rsidRPr="00717A48">
        <w:t xml:space="preserve"> due to the uncertainty in the eligible population, and the uncertainty relating to the reduction of ECMO services</w:t>
      </w:r>
      <w:r>
        <w:t>.</w:t>
      </w:r>
    </w:p>
    <w:p w14:paraId="36E2CAA9" w14:textId="77777777" w:rsidR="005F150D" w:rsidRDefault="005F150D" w:rsidP="005F150D">
      <w:pPr>
        <w:pStyle w:val="Heading2"/>
      </w:pPr>
      <w:r>
        <w:t>Additional financial analyses: Applicant Pre-ESC response</w:t>
      </w:r>
    </w:p>
    <w:p w14:paraId="5C9607D8" w14:textId="74F16D3E" w:rsidR="005F150D" w:rsidRDefault="00342009" w:rsidP="005F150D">
      <w:pPr>
        <w:rPr>
          <w:lang w:val="en-US"/>
        </w:rPr>
      </w:pPr>
      <w:r>
        <w:rPr>
          <w:lang w:eastAsia="en-US"/>
        </w:rPr>
        <w:t>The a</w:t>
      </w:r>
      <w:r w:rsidR="005F150D">
        <w:rPr>
          <w:lang w:eastAsia="en-US"/>
        </w:rPr>
        <w:t>pplicant stated that the key area of financial uncertainty is the number of patients wit</w:t>
      </w:r>
      <w:r>
        <w:rPr>
          <w:lang w:eastAsia="en-US"/>
        </w:rPr>
        <w:t>h RHF after heart surgery. The a</w:t>
      </w:r>
      <w:r w:rsidR="005F150D">
        <w:rPr>
          <w:lang w:eastAsia="en-US"/>
        </w:rPr>
        <w:t xml:space="preserve">pplicant acknowledged </w:t>
      </w:r>
      <w:r w:rsidR="005F150D">
        <w:rPr>
          <w:lang w:val="en-US"/>
        </w:rPr>
        <w:t>t</w:t>
      </w:r>
      <w:r w:rsidR="005F150D" w:rsidRPr="007C694F">
        <w:rPr>
          <w:lang w:val="en-US"/>
        </w:rPr>
        <w:t>here is limited data on the incidence of RHF after car</w:t>
      </w:r>
      <w:r>
        <w:rPr>
          <w:lang w:val="en-US"/>
        </w:rPr>
        <w:t>diac surgery therefore estimates</w:t>
      </w:r>
      <w:r w:rsidR="005F150D" w:rsidRPr="007C694F">
        <w:rPr>
          <w:lang w:val="en-US"/>
        </w:rPr>
        <w:t xml:space="preserve"> from the congenital heart disease population were used. </w:t>
      </w:r>
      <w:r w:rsidR="005F150D">
        <w:rPr>
          <w:lang w:val="en-US"/>
        </w:rPr>
        <w:t>T</w:t>
      </w:r>
      <w:r>
        <w:rPr>
          <w:lang w:val="en-US"/>
        </w:rPr>
        <w:t>he a</w:t>
      </w:r>
      <w:r w:rsidR="005F150D">
        <w:rPr>
          <w:lang w:val="en-US"/>
        </w:rPr>
        <w:t>pplicant performed a</w:t>
      </w:r>
      <w:r w:rsidR="005F150D" w:rsidRPr="007C694F">
        <w:rPr>
          <w:lang w:val="en-US"/>
        </w:rPr>
        <w:t xml:space="preserve">dditional sensitivity analyses to assess the impact of this. </w:t>
      </w:r>
      <w:r>
        <w:rPr>
          <w:lang w:val="en-US"/>
        </w:rPr>
        <w:t>The a</w:t>
      </w:r>
      <w:r w:rsidR="005F150D">
        <w:rPr>
          <w:lang w:val="en-US"/>
        </w:rPr>
        <w:t>pplicant stated that the C</w:t>
      </w:r>
      <w:r w:rsidR="005F150D" w:rsidRPr="007C694F">
        <w:rPr>
          <w:lang w:val="en-US"/>
        </w:rPr>
        <w:t xml:space="preserve">ritique incorrectly stated the item for percutaneous IMVAD removal is withdrawn, resulting in incorrect financial implications. An item for percutaneous removal has been requested and the financial estimates appropriately estimated the cost of IMVAD removal. Additional sensitivity analyses were performed assuming more IABP insertions and no use of IABP for cardiogenic shock. A sensitivity analysis assuming a 30% increase in the post-surgical RHF population did not increase net costs to the MBS although this scenario is </w:t>
      </w:r>
      <w:r w:rsidR="005F150D" w:rsidRPr="003E586F">
        <w:rPr>
          <w:lang w:val="en-US"/>
        </w:rPr>
        <w:t>unlikely</w:t>
      </w:r>
      <w:r w:rsidR="009F3C48">
        <w:rPr>
          <w:lang w:val="en-US"/>
        </w:rPr>
        <w:t xml:space="preserve"> (Table 19</w:t>
      </w:r>
      <w:r w:rsidR="002F439F">
        <w:rPr>
          <w:lang w:val="en-US"/>
        </w:rPr>
        <w:t>).</w:t>
      </w:r>
    </w:p>
    <w:p w14:paraId="02B7C496" w14:textId="775CD352" w:rsidR="005F150D" w:rsidRPr="007C694F" w:rsidRDefault="005F150D" w:rsidP="005F150D">
      <w:pPr>
        <w:keepNext/>
        <w:rPr>
          <w:rFonts w:ascii="Arial Narrow" w:hAnsi="Arial Narrow"/>
          <w:b/>
          <w:iCs/>
          <w:color w:val="000000" w:themeColor="text1"/>
          <w:sz w:val="20"/>
        </w:rPr>
      </w:pPr>
      <w:bookmarkStart w:id="16" w:name="_Ref19879295"/>
      <w:r w:rsidRPr="007C694F">
        <w:rPr>
          <w:rFonts w:ascii="Arial Narrow" w:hAnsi="Arial Narrow"/>
          <w:b/>
          <w:iCs/>
          <w:color w:val="000000" w:themeColor="text1"/>
          <w:sz w:val="20"/>
        </w:rPr>
        <w:lastRenderedPageBreak/>
        <w:t xml:space="preserve">Table </w:t>
      </w:r>
      <w:r>
        <w:rPr>
          <w:rFonts w:ascii="Arial Narrow" w:hAnsi="Arial Narrow"/>
          <w:b/>
          <w:iCs/>
          <w:color w:val="000000" w:themeColor="text1"/>
          <w:sz w:val="20"/>
        </w:rPr>
        <w:t>1</w:t>
      </w:r>
      <w:bookmarkEnd w:id="16"/>
      <w:r w:rsidR="009F3C48">
        <w:rPr>
          <w:rFonts w:ascii="Arial Narrow" w:hAnsi="Arial Narrow"/>
          <w:b/>
          <w:iCs/>
          <w:color w:val="000000" w:themeColor="text1"/>
          <w:sz w:val="20"/>
        </w:rPr>
        <w:t>9</w:t>
      </w:r>
      <w:r w:rsidRPr="007C694F">
        <w:rPr>
          <w:rFonts w:ascii="Arial Narrow" w:hAnsi="Arial Narrow"/>
          <w:b/>
          <w:iCs/>
          <w:color w:val="000000" w:themeColor="text1"/>
          <w:sz w:val="20"/>
        </w:rPr>
        <w:t>: Financial implications to the MBS</w:t>
      </w:r>
    </w:p>
    <w:tbl>
      <w:tblPr>
        <w:tblStyle w:val="TableGrid1"/>
        <w:tblW w:w="0" w:type="auto"/>
        <w:tblLook w:val="04A0" w:firstRow="1" w:lastRow="0" w:firstColumn="1" w:lastColumn="0" w:noHBand="0" w:noVBand="1"/>
        <w:tblDescription w:val="Estimated MBS financial implications"/>
      </w:tblPr>
      <w:tblGrid>
        <w:gridCol w:w="4233"/>
        <w:gridCol w:w="864"/>
        <w:gridCol w:w="864"/>
        <w:gridCol w:w="864"/>
        <w:gridCol w:w="864"/>
        <w:gridCol w:w="864"/>
      </w:tblGrid>
      <w:tr w:rsidR="005F150D" w:rsidRPr="007C694F" w14:paraId="05B555DD" w14:textId="77777777" w:rsidTr="00DC1117">
        <w:trPr>
          <w:cnfStyle w:val="100000000000" w:firstRow="1" w:lastRow="0" w:firstColumn="0" w:lastColumn="0" w:oddVBand="0" w:evenVBand="0" w:oddHBand="0" w:evenHBand="0" w:firstRowFirstColumn="0" w:firstRowLastColumn="0" w:lastRowFirstColumn="0" w:lastRowLastColumn="0"/>
          <w:tblHeader/>
        </w:trPr>
        <w:tc>
          <w:tcPr>
            <w:tcW w:w="0" w:type="auto"/>
          </w:tcPr>
          <w:p w14:paraId="5EFD5D2C" w14:textId="77777777" w:rsidR="005F150D" w:rsidRPr="007C694F" w:rsidRDefault="005F150D" w:rsidP="00525682">
            <w:pPr>
              <w:pStyle w:val="Tabletextright"/>
              <w:spacing w:after="40"/>
              <w:jc w:val="left"/>
            </w:pPr>
          </w:p>
        </w:tc>
        <w:tc>
          <w:tcPr>
            <w:tcW w:w="0" w:type="auto"/>
          </w:tcPr>
          <w:p w14:paraId="38EC410C" w14:textId="77777777" w:rsidR="005F150D" w:rsidRPr="007C694F" w:rsidRDefault="005F150D" w:rsidP="00DA1112">
            <w:pPr>
              <w:pStyle w:val="Tabletextright"/>
              <w:spacing w:after="40"/>
              <w:jc w:val="left"/>
              <w:rPr>
                <w:rFonts w:cs="Tahoma"/>
                <w:b/>
                <w:lang w:eastAsia="en-AU"/>
              </w:rPr>
            </w:pPr>
            <w:r w:rsidRPr="007C694F">
              <w:rPr>
                <w:rFonts w:cs="Tahoma"/>
                <w:b/>
                <w:lang w:eastAsia="en-AU"/>
              </w:rPr>
              <w:t>2020-21</w:t>
            </w:r>
          </w:p>
        </w:tc>
        <w:tc>
          <w:tcPr>
            <w:tcW w:w="0" w:type="auto"/>
            <w:shd w:val="clear" w:color="auto" w:fill="auto"/>
          </w:tcPr>
          <w:p w14:paraId="5A882E98" w14:textId="77777777" w:rsidR="005F150D" w:rsidRPr="007C694F" w:rsidRDefault="005F150D" w:rsidP="00DA1112">
            <w:pPr>
              <w:pStyle w:val="Tabletextright"/>
              <w:spacing w:after="40"/>
              <w:jc w:val="left"/>
              <w:rPr>
                <w:rFonts w:cs="Tahoma"/>
                <w:b/>
                <w:lang w:eastAsia="en-AU"/>
              </w:rPr>
            </w:pPr>
            <w:r w:rsidRPr="007C694F">
              <w:rPr>
                <w:rFonts w:cs="Tahoma"/>
                <w:b/>
                <w:lang w:eastAsia="en-AU"/>
              </w:rPr>
              <w:t>2021-22</w:t>
            </w:r>
          </w:p>
        </w:tc>
        <w:tc>
          <w:tcPr>
            <w:tcW w:w="0" w:type="auto"/>
            <w:shd w:val="clear" w:color="auto" w:fill="auto"/>
          </w:tcPr>
          <w:p w14:paraId="357050C4" w14:textId="77777777" w:rsidR="005F150D" w:rsidRPr="007C694F" w:rsidRDefault="005F150D" w:rsidP="00DA1112">
            <w:pPr>
              <w:pStyle w:val="Tabletextright"/>
              <w:spacing w:after="40"/>
              <w:jc w:val="left"/>
              <w:rPr>
                <w:rFonts w:cs="Tahoma"/>
                <w:b/>
                <w:lang w:eastAsia="en-AU"/>
              </w:rPr>
            </w:pPr>
            <w:r w:rsidRPr="007C694F">
              <w:rPr>
                <w:rFonts w:cs="Tahoma"/>
                <w:b/>
                <w:lang w:eastAsia="en-AU"/>
              </w:rPr>
              <w:t>2022-23</w:t>
            </w:r>
          </w:p>
        </w:tc>
        <w:tc>
          <w:tcPr>
            <w:tcW w:w="0" w:type="auto"/>
            <w:shd w:val="clear" w:color="auto" w:fill="auto"/>
          </w:tcPr>
          <w:p w14:paraId="30D736FC" w14:textId="77777777" w:rsidR="005F150D" w:rsidRPr="007C694F" w:rsidRDefault="005F150D" w:rsidP="00DA1112">
            <w:pPr>
              <w:pStyle w:val="Tabletextright"/>
              <w:spacing w:after="40"/>
              <w:jc w:val="left"/>
              <w:rPr>
                <w:rFonts w:cs="Tahoma"/>
                <w:b/>
                <w:lang w:eastAsia="en-AU"/>
              </w:rPr>
            </w:pPr>
            <w:r w:rsidRPr="007C694F">
              <w:rPr>
                <w:rFonts w:cs="Tahoma"/>
                <w:b/>
                <w:lang w:eastAsia="en-AU"/>
              </w:rPr>
              <w:t>2023-24</w:t>
            </w:r>
          </w:p>
        </w:tc>
        <w:tc>
          <w:tcPr>
            <w:tcW w:w="0" w:type="auto"/>
            <w:shd w:val="clear" w:color="auto" w:fill="auto"/>
          </w:tcPr>
          <w:p w14:paraId="4B653BD6" w14:textId="77777777" w:rsidR="005F150D" w:rsidRPr="007C694F" w:rsidRDefault="005F150D" w:rsidP="00DA1112">
            <w:pPr>
              <w:pStyle w:val="Tabletextright"/>
              <w:spacing w:after="40"/>
              <w:jc w:val="left"/>
              <w:rPr>
                <w:rFonts w:cs="Tahoma"/>
                <w:b/>
                <w:lang w:eastAsia="en-AU"/>
              </w:rPr>
            </w:pPr>
            <w:r w:rsidRPr="007C694F">
              <w:rPr>
                <w:rFonts w:cs="Tahoma"/>
                <w:b/>
                <w:lang w:eastAsia="en-AU"/>
              </w:rPr>
              <w:t>2024-25</w:t>
            </w:r>
          </w:p>
        </w:tc>
      </w:tr>
      <w:tr w:rsidR="005F150D" w:rsidRPr="007C694F" w14:paraId="77690878" w14:textId="77777777" w:rsidTr="00525682">
        <w:tc>
          <w:tcPr>
            <w:tcW w:w="0" w:type="auto"/>
          </w:tcPr>
          <w:p w14:paraId="18ABBFF3" w14:textId="77777777" w:rsidR="005F150D" w:rsidRPr="007C694F" w:rsidRDefault="005F150D" w:rsidP="00525682">
            <w:pPr>
              <w:pStyle w:val="Tabletextright"/>
              <w:spacing w:after="40"/>
              <w:jc w:val="left"/>
              <w:rPr>
                <w:b/>
              </w:rPr>
            </w:pPr>
            <w:r w:rsidRPr="007C694F">
              <w:rPr>
                <w:b/>
              </w:rPr>
              <w:t>Base case</w:t>
            </w:r>
          </w:p>
        </w:tc>
        <w:tc>
          <w:tcPr>
            <w:tcW w:w="0" w:type="auto"/>
          </w:tcPr>
          <w:p w14:paraId="0FEF9DC1" w14:textId="77777777" w:rsidR="005F150D" w:rsidRPr="007C694F" w:rsidRDefault="005F150D" w:rsidP="00DA1112">
            <w:pPr>
              <w:pStyle w:val="Tabletextright"/>
              <w:spacing w:after="40"/>
              <w:jc w:val="left"/>
              <w:rPr>
                <w:b/>
              </w:rPr>
            </w:pPr>
            <w:r w:rsidRPr="007C694F">
              <w:rPr>
                <w:b/>
              </w:rPr>
              <w:t>-$8,223</w:t>
            </w:r>
          </w:p>
        </w:tc>
        <w:tc>
          <w:tcPr>
            <w:tcW w:w="0" w:type="auto"/>
          </w:tcPr>
          <w:p w14:paraId="7683ABBC" w14:textId="77777777" w:rsidR="005F150D" w:rsidRPr="007C694F" w:rsidRDefault="005F150D" w:rsidP="00DA1112">
            <w:pPr>
              <w:pStyle w:val="Tabletextright"/>
              <w:spacing w:after="40"/>
              <w:jc w:val="left"/>
              <w:rPr>
                <w:b/>
              </w:rPr>
            </w:pPr>
            <w:r w:rsidRPr="007C694F">
              <w:rPr>
                <w:b/>
              </w:rPr>
              <w:t>-$18,071</w:t>
            </w:r>
          </w:p>
        </w:tc>
        <w:tc>
          <w:tcPr>
            <w:tcW w:w="0" w:type="auto"/>
          </w:tcPr>
          <w:p w14:paraId="34603519" w14:textId="77777777" w:rsidR="005F150D" w:rsidRPr="007C694F" w:rsidRDefault="005F150D" w:rsidP="00DA1112">
            <w:pPr>
              <w:pStyle w:val="Tabletextright"/>
              <w:spacing w:after="40"/>
              <w:jc w:val="left"/>
              <w:rPr>
                <w:b/>
              </w:rPr>
            </w:pPr>
            <w:r w:rsidRPr="007C694F">
              <w:rPr>
                <w:b/>
              </w:rPr>
              <w:t>-$29,188</w:t>
            </w:r>
          </w:p>
        </w:tc>
        <w:tc>
          <w:tcPr>
            <w:tcW w:w="0" w:type="auto"/>
          </w:tcPr>
          <w:p w14:paraId="69E1C5D7" w14:textId="77777777" w:rsidR="005F150D" w:rsidRPr="007C694F" w:rsidRDefault="005F150D" w:rsidP="00DA1112">
            <w:pPr>
              <w:pStyle w:val="Tabletextright"/>
              <w:spacing w:after="40"/>
              <w:jc w:val="left"/>
              <w:rPr>
                <w:b/>
              </w:rPr>
            </w:pPr>
            <w:r w:rsidRPr="007C694F">
              <w:rPr>
                <w:b/>
              </w:rPr>
              <w:t>-$41,250</w:t>
            </w:r>
          </w:p>
        </w:tc>
        <w:tc>
          <w:tcPr>
            <w:tcW w:w="0" w:type="auto"/>
          </w:tcPr>
          <w:p w14:paraId="156FA712" w14:textId="77777777" w:rsidR="005F150D" w:rsidRPr="007C694F" w:rsidRDefault="005F150D" w:rsidP="00DA1112">
            <w:pPr>
              <w:pStyle w:val="Tabletextright"/>
              <w:spacing w:after="40"/>
              <w:jc w:val="left"/>
              <w:rPr>
                <w:b/>
              </w:rPr>
            </w:pPr>
            <w:r w:rsidRPr="007C694F">
              <w:rPr>
                <w:b/>
              </w:rPr>
              <w:t>-$66,225</w:t>
            </w:r>
          </w:p>
        </w:tc>
      </w:tr>
      <w:tr w:rsidR="005F150D" w:rsidRPr="007C694F" w14:paraId="391D1743" w14:textId="77777777" w:rsidTr="00525682">
        <w:tc>
          <w:tcPr>
            <w:tcW w:w="0" w:type="auto"/>
          </w:tcPr>
          <w:p w14:paraId="1376E6DF" w14:textId="77777777" w:rsidR="005F150D" w:rsidRPr="007C694F" w:rsidRDefault="005F150D" w:rsidP="00525682">
            <w:pPr>
              <w:pStyle w:val="Tabletextright"/>
              <w:spacing w:after="40"/>
              <w:jc w:val="left"/>
              <w:rPr>
                <w:i/>
              </w:rPr>
            </w:pPr>
            <w:r w:rsidRPr="007C694F">
              <w:rPr>
                <w:i/>
              </w:rPr>
              <w:t>Corrected ECMO use for PCI to 10%</w:t>
            </w:r>
            <w:r w:rsidRPr="007C694F">
              <w:rPr>
                <w:i/>
                <w:vertAlign w:val="superscript"/>
              </w:rPr>
              <w:t xml:space="preserve"> (</w:t>
            </w:r>
            <w:r w:rsidRPr="007C694F">
              <w:rPr>
                <w:i/>
              </w:rPr>
              <w:t>base case 9%)</w:t>
            </w:r>
            <w:r w:rsidRPr="007C694F">
              <w:rPr>
                <w:i/>
                <w:vertAlign w:val="superscript"/>
              </w:rPr>
              <w:t xml:space="preserve"> a</w:t>
            </w:r>
          </w:p>
        </w:tc>
        <w:tc>
          <w:tcPr>
            <w:tcW w:w="0" w:type="auto"/>
          </w:tcPr>
          <w:p w14:paraId="5383B57A" w14:textId="77777777" w:rsidR="005F150D" w:rsidRPr="007C694F" w:rsidRDefault="005F150D" w:rsidP="00DA1112">
            <w:pPr>
              <w:pStyle w:val="Tabletextright"/>
              <w:spacing w:after="40"/>
              <w:jc w:val="left"/>
              <w:rPr>
                <w:i/>
              </w:rPr>
            </w:pPr>
            <w:r w:rsidRPr="007C694F">
              <w:rPr>
                <w:i/>
              </w:rPr>
              <w:t>-$8,223</w:t>
            </w:r>
          </w:p>
        </w:tc>
        <w:tc>
          <w:tcPr>
            <w:tcW w:w="0" w:type="auto"/>
          </w:tcPr>
          <w:p w14:paraId="7ED5F98F" w14:textId="77777777" w:rsidR="005F150D" w:rsidRPr="007C694F" w:rsidRDefault="005F150D" w:rsidP="00DA1112">
            <w:pPr>
              <w:pStyle w:val="Tabletextright"/>
              <w:spacing w:after="40"/>
              <w:jc w:val="left"/>
              <w:rPr>
                <w:i/>
              </w:rPr>
            </w:pPr>
            <w:r w:rsidRPr="007C694F">
              <w:rPr>
                <w:i/>
              </w:rPr>
              <w:t>-$16,279</w:t>
            </w:r>
          </w:p>
        </w:tc>
        <w:tc>
          <w:tcPr>
            <w:tcW w:w="0" w:type="auto"/>
          </w:tcPr>
          <w:p w14:paraId="71D3E6E5" w14:textId="77777777" w:rsidR="005F150D" w:rsidRPr="007C694F" w:rsidRDefault="005F150D" w:rsidP="00DA1112">
            <w:pPr>
              <w:pStyle w:val="Tabletextright"/>
              <w:spacing w:after="40"/>
              <w:jc w:val="left"/>
              <w:rPr>
                <w:i/>
              </w:rPr>
            </w:pPr>
            <w:r w:rsidRPr="007C694F">
              <w:rPr>
                <w:i/>
              </w:rPr>
              <w:t>-$29,188</w:t>
            </w:r>
          </w:p>
        </w:tc>
        <w:tc>
          <w:tcPr>
            <w:tcW w:w="0" w:type="auto"/>
          </w:tcPr>
          <w:p w14:paraId="694DDA72" w14:textId="77777777" w:rsidR="005F150D" w:rsidRPr="007C694F" w:rsidRDefault="005F150D" w:rsidP="00DA1112">
            <w:pPr>
              <w:pStyle w:val="Tabletextright"/>
              <w:spacing w:after="40"/>
              <w:jc w:val="left"/>
              <w:rPr>
                <w:i/>
              </w:rPr>
            </w:pPr>
            <w:r w:rsidRPr="007C694F">
              <w:rPr>
                <w:i/>
              </w:rPr>
              <w:t>-$41,250</w:t>
            </w:r>
          </w:p>
        </w:tc>
        <w:tc>
          <w:tcPr>
            <w:tcW w:w="0" w:type="auto"/>
          </w:tcPr>
          <w:p w14:paraId="6AC23FF9" w14:textId="77777777" w:rsidR="005F150D" w:rsidRPr="007C694F" w:rsidRDefault="005F150D" w:rsidP="00DA1112">
            <w:pPr>
              <w:pStyle w:val="Tabletextright"/>
              <w:spacing w:after="40"/>
              <w:jc w:val="left"/>
              <w:rPr>
                <w:i/>
              </w:rPr>
            </w:pPr>
            <w:r w:rsidRPr="007C694F">
              <w:rPr>
                <w:i/>
              </w:rPr>
              <w:t>-$66,225</w:t>
            </w:r>
          </w:p>
        </w:tc>
      </w:tr>
      <w:tr w:rsidR="005F150D" w:rsidRPr="007C694F" w14:paraId="51918F6A" w14:textId="77777777" w:rsidTr="00525682">
        <w:tc>
          <w:tcPr>
            <w:tcW w:w="0" w:type="auto"/>
          </w:tcPr>
          <w:p w14:paraId="2C123D15" w14:textId="77777777" w:rsidR="005F150D" w:rsidRPr="007C694F" w:rsidRDefault="005F150D" w:rsidP="00525682">
            <w:pPr>
              <w:pStyle w:val="Tabletextright"/>
              <w:spacing w:after="40"/>
              <w:jc w:val="left"/>
              <w:rPr>
                <w:i/>
                <w:vertAlign w:val="superscript"/>
              </w:rPr>
            </w:pPr>
            <w:r w:rsidRPr="007C694F">
              <w:rPr>
                <w:i/>
              </w:rPr>
              <w:t>More IABP insertions (base case 301 to 270 per year) </w:t>
            </w:r>
            <w:r w:rsidRPr="007C694F">
              <w:rPr>
                <w:i/>
                <w:vertAlign w:val="superscript"/>
              </w:rPr>
              <w:t>b</w:t>
            </w:r>
          </w:p>
        </w:tc>
        <w:tc>
          <w:tcPr>
            <w:tcW w:w="0" w:type="auto"/>
          </w:tcPr>
          <w:p w14:paraId="52BE1D01" w14:textId="77777777" w:rsidR="005F150D" w:rsidRPr="007C694F" w:rsidRDefault="005F150D" w:rsidP="00DA1112">
            <w:pPr>
              <w:pStyle w:val="Tabletextright"/>
              <w:spacing w:after="40"/>
              <w:jc w:val="left"/>
              <w:rPr>
                <w:i/>
              </w:rPr>
            </w:pPr>
            <w:r w:rsidRPr="007C694F">
              <w:rPr>
                <w:i/>
              </w:rPr>
              <w:t>-$8,213</w:t>
            </w:r>
          </w:p>
        </w:tc>
        <w:tc>
          <w:tcPr>
            <w:tcW w:w="0" w:type="auto"/>
          </w:tcPr>
          <w:p w14:paraId="626B890D" w14:textId="77777777" w:rsidR="005F150D" w:rsidRPr="007C694F" w:rsidRDefault="005F150D" w:rsidP="00DA1112">
            <w:pPr>
              <w:pStyle w:val="Tabletextright"/>
              <w:spacing w:after="40"/>
              <w:jc w:val="left"/>
              <w:rPr>
                <w:i/>
              </w:rPr>
            </w:pPr>
            <w:r w:rsidRPr="007C694F">
              <w:rPr>
                <w:i/>
              </w:rPr>
              <w:t>-$15,384</w:t>
            </w:r>
          </w:p>
        </w:tc>
        <w:tc>
          <w:tcPr>
            <w:tcW w:w="0" w:type="auto"/>
          </w:tcPr>
          <w:p w14:paraId="5275A1D2" w14:textId="77777777" w:rsidR="005F150D" w:rsidRPr="007C694F" w:rsidRDefault="005F150D" w:rsidP="00DA1112">
            <w:pPr>
              <w:pStyle w:val="Tabletextright"/>
              <w:spacing w:after="40"/>
              <w:jc w:val="left"/>
              <w:rPr>
                <w:i/>
              </w:rPr>
            </w:pPr>
            <w:r w:rsidRPr="007C694F">
              <w:rPr>
                <w:i/>
              </w:rPr>
              <w:t>-$28,249</w:t>
            </w:r>
          </w:p>
        </w:tc>
        <w:tc>
          <w:tcPr>
            <w:tcW w:w="0" w:type="auto"/>
          </w:tcPr>
          <w:p w14:paraId="05CDD6ED" w14:textId="77777777" w:rsidR="005F150D" w:rsidRPr="007C694F" w:rsidRDefault="005F150D" w:rsidP="00DA1112">
            <w:pPr>
              <w:pStyle w:val="Tabletextright"/>
              <w:spacing w:after="40"/>
              <w:jc w:val="left"/>
              <w:rPr>
                <w:i/>
              </w:rPr>
            </w:pPr>
            <w:r w:rsidRPr="007C694F">
              <w:rPr>
                <w:i/>
              </w:rPr>
              <w:t>-$39,331</w:t>
            </w:r>
          </w:p>
        </w:tc>
        <w:tc>
          <w:tcPr>
            <w:tcW w:w="0" w:type="auto"/>
          </w:tcPr>
          <w:p w14:paraId="44BAE936" w14:textId="77777777" w:rsidR="005F150D" w:rsidRPr="007C694F" w:rsidRDefault="005F150D" w:rsidP="00DA1112">
            <w:pPr>
              <w:pStyle w:val="Tabletextright"/>
              <w:spacing w:after="40"/>
              <w:jc w:val="left"/>
              <w:rPr>
                <w:i/>
              </w:rPr>
            </w:pPr>
            <w:r w:rsidRPr="007C694F">
              <w:rPr>
                <w:i/>
              </w:rPr>
              <w:t>-$61,902</w:t>
            </w:r>
          </w:p>
        </w:tc>
      </w:tr>
      <w:tr w:rsidR="005F150D" w:rsidRPr="007C694F" w14:paraId="4E548B1F" w14:textId="77777777" w:rsidTr="00525682">
        <w:tc>
          <w:tcPr>
            <w:tcW w:w="0" w:type="auto"/>
          </w:tcPr>
          <w:p w14:paraId="5837A455" w14:textId="77777777" w:rsidR="005F150D" w:rsidRPr="007C694F" w:rsidRDefault="005F150D" w:rsidP="00525682">
            <w:pPr>
              <w:pStyle w:val="Tabletextright"/>
              <w:spacing w:after="40"/>
              <w:jc w:val="left"/>
              <w:rPr>
                <w:i/>
              </w:rPr>
            </w:pPr>
            <w:r w:rsidRPr="007C694F">
              <w:rPr>
                <w:i/>
              </w:rPr>
              <w:t>No IABP for cardiogenic shock (base case 19%)</w:t>
            </w:r>
          </w:p>
        </w:tc>
        <w:tc>
          <w:tcPr>
            <w:tcW w:w="0" w:type="auto"/>
            <w:tcBorders>
              <w:top w:val="nil"/>
              <w:left w:val="nil"/>
              <w:bottom w:val="single" w:sz="8" w:space="0" w:color="auto"/>
              <w:right w:val="single" w:sz="8" w:space="0" w:color="auto"/>
            </w:tcBorders>
            <w:shd w:val="clear" w:color="auto" w:fill="auto"/>
            <w:vAlign w:val="center"/>
          </w:tcPr>
          <w:p w14:paraId="69A82E03" w14:textId="77777777" w:rsidR="005F150D" w:rsidRPr="007C694F" w:rsidRDefault="005F150D" w:rsidP="00DA1112">
            <w:pPr>
              <w:pStyle w:val="Tabletextright"/>
              <w:spacing w:after="40"/>
              <w:jc w:val="left"/>
              <w:rPr>
                <w:rFonts w:cs="Calibri"/>
                <w:i/>
                <w:color w:val="000000"/>
              </w:rPr>
            </w:pPr>
            <w:r w:rsidRPr="007C694F">
              <w:rPr>
                <w:rFonts w:cs="Calibri"/>
                <w:i/>
                <w:color w:val="000000"/>
              </w:rPr>
              <w:t>-$9,571</w:t>
            </w:r>
          </w:p>
        </w:tc>
        <w:tc>
          <w:tcPr>
            <w:tcW w:w="0" w:type="auto"/>
            <w:tcBorders>
              <w:top w:val="nil"/>
              <w:left w:val="nil"/>
              <w:bottom w:val="single" w:sz="8" w:space="0" w:color="auto"/>
              <w:right w:val="single" w:sz="8" w:space="0" w:color="auto"/>
            </w:tcBorders>
            <w:shd w:val="clear" w:color="auto" w:fill="auto"/>
            <w:vAlign w:val="center"/>
          </w:tcPr>
          <w:p w14:paraId="73FA20D3" w14:textId="77777777" w:rsidR="005F150D" w:rsidRPr="007C694F" w:rsidRDefault="005F150D" w:rsidP="00DA1112">
            <w:pPr>
              <w:pStyle w:val="Tabletextright"/>
              <w:spacing w:after="40"/>
              <w:jc w:val="left"/>
              <w:rPr>
                <w:rFonts w:cs="Calibri"/>
                <w:i/>
                <w:color w:val="000000"/>
              </w:rPr>
            </w:pPr>
            <w:r w:rsidRPr="007C694F">
              <w:rPr>
                <w:rFonts w:cs="Calibri"/>
                <w:i/>
                <w:color w:val="000000"/>
              </w:rPr>
              <w:t>-$19,019</w:t>
            </w:r>
          </w:p>
        </w:tc>
        <w:tc>
          <w:tcPr>
            <w:tcW w:w="0" w:type="auto"/>
            <w:tcBorders>
              <w:top w:val="nil"/>
              <w:left w:val="nil"/>
              <w:bottom w:val="single" w:sz="8" w:space="0" w:color="auto"/>
              <w:right w:val="single" w:sz="8" w:space="0" w:color="auto"/>
            </w:tcBorders>
            <w:shd w:val="clear" w:color="auto" w:fill="auto"/>
            <w:vAlign w:val="center"/>
          </w:tcPr>
          <w:p w14:paraId="5DCA2288" w14:textId="77777777" w:rsidR="005F150D" w:rsidRPr="007C694F" w:rsidRDefault="005F150D" w:rsidP="00DA1112">
            <w:pPr>
              <w:pStyle w:val="Tabletextright"/>
              <w:spacing w:after="40"/>
              <w:jc w:val="left"/>
              <w:rPr>
                <w:rFonts w:cs="Calibri"/>
                <w:i/>
                <w:color w:val="000000"/>
              </w:rPr>
            </w:pPr>
            <w:r w:rsidRPr="007C694F">
              <w:rPr>
                <w:rFonts w:cs="Calibri"/>
                <w:i/>
                <w:color w:val="000000"/>
              </w:rPr>
              <w:t>-$33,283</w:t>
            </w:r>
          </w:p>
        </w:tc>
        <w:tc>
          <w:tcPr>
            <w:tcW w:w="0" w:type="auto"/>
            <w:tcBorders>
              <w:top w:val="nil"/>
              <w:left w:val="nil"/>
              <w:bottom w:val="single" w:sz="8" w:space="0" w:color="auto"/>
              <w:right w:val="single" w:sz="8" w:space="0" w:color="auto"/>
            </w:tcBorders>
            <w:shd w:val="clear" w:color="auto" w:fill="auto"/>
            <w:vAlign w:val="center"/>
          </w:tcPr>
          <w:p w14:paraId="2E9B9A31" w14:textId="77777777" w:rsidR="005F150D" w:rsidRPr="007C694F" w:rsidRDefault="005F150D" w:rsidP="00DA1112">
            <w:pPr>
              <w:pStyle w:val="Tabletextright"/>
              <w:spacing w:after="40"/>
              <w:jc w:val="left"/>
              <w:rPr>
                <w:rFonts w:cs="Calibri"/>
                <w:i/>
                <w:color w:val="000000"/>
              </w:rPr>
            </w:pPr>
            <w:r w:rsidRPr="007C694F">
              <w:rPr>
                <w:rFonts w:cs="Calibri"/>
                <w:i/>
                <w:color w:val="000000"/>
              </w:rPr>
              <w:t>-$46,539</w:t>
            </w:r>
          </w:p>
        </w:tc>
        <w:tc>
          <w:tcPr>
            <w:tcW w:w="0" w:type="auto"/>
            <w:tcBorders>
              <w:top w:val="nil"/>
              <w:left w:val="nil"/>
              <w:bottom w:val="single" w:sz="8" w:space="0" w:color="auto"/>
              <w:right w:val="single" w:sz="8" w:space="0" w:color="auto"/>
            </w:tcBorders>
            <w:shd w:val="clear" w:color="auto" w:fill="auto"/>
            <w:vAlign w:val="center"/>
          </w:tcPr>
          <w:p w14:paraId="22771B06" w14:textId="77777777" w:rsidR="005F150D" w:rsidRPr="007C694F" w:rsidRDefault="005F150D" w:rsidP="00DA1112">
            <w:pPr>
              <w:pStyle w:val="Tabletextright"/>
              <w:spacing w:after="40"/>
              <w:jc w:val="left"/>
              <w:rPr>
                <w:rFonts w:cs="Calibri"/>
                <w:i/>
                <w:color w:val="000000"/>
              </w:rPr>
            </w:pPr>
            <w:r w:rsidRPr="007C694F">
              <w:rPr>
                <w:rFonts w:cs="Calibri"/>
                <w:i/>
                <w:color w:val="000000"/>
              </w:rPr>
              <w:t>-$73,826</w:t>
            </w:r>
          </w:p>
        </w:tc>
      </w:tr>
      <w:tr w:rsidR="005F150D" w:rsidRPr="007C694F" w14:paraId="6F5353D0" w14:textId="77777777" w:rsidTr="00525682">
        <w:tc>
          <w:tcPr>
            <w:tcW w:w="0" w:type="auto"/>
          </w:tcPr>
          <w:p w14:paraId="1C6A0B37" w14:textId="77777777" w:rsidR="005F150D" w:rsidRPr="007C694F" w:rsidRDefault="005F150D" w:rsidP="00525682">
            <w:pPr>
              <w:pStyle w:val="Tabletextright"/>
              <w:spacing w:after="40"/>
              <w:jc w:val="left"/>
              <w:rPr>
                <w:i/>
                <w:vertAlign w:val="superscript"/>
              </w:rPr>
            </w:pPr>
            <w:r w:rsidRPr="007C694F">
              <w:rPr>
                <w:i/>
              </w:rPr>
              <w:t xml:space="preserve">30% increase in post-surgical RHF population </w:t>
            </w:r>
            <w:r w:rsidRPr="007C694F">
              <w:rPr>
                <w:i/>
                <w:vertAlign w:val="superscript"/>
              </w:rPr>
              <w:t>c</w:t>
            </w:r>
          </w:p>
        </w:tc>
        <w:tc>
          <w:tcPr>
            <w:tcW w:w="0" w:type="auto"/>
          </w:tcPr>
          <w:p w14:paraId="2B3D067D" w14:textId="77777777" w:rsidR="005F150D" w:rsidRPr="007C694F" w:rsidRDefault="005F150D" w:rsidP="00DA1112">
            <w:pPr>
              <w:pStyle w:val="Tabletextright"/>
              <w:spacing w:after="40"/>
              <w:jc w:val="left"/>
              <w:rPr>
                <w:i/>
              </w:rPr>
            </w:pPr>
            <w:r w:rsidRPr="007C694F">
              <w:rPr>
                <w:i/>
              </w:rPr>
              <w:t>-$12,030</w:t>
            </w:r>
          </w:p>
        </w:tc>
        <w:tc>
          <w:tcPr>
            <w:tcW w:w="0" w:type="auto"/>
          </w:tcPr>
          <w:p w14:paraId="5F2EA427" w14:textId="77777777" w:rsidR="005F150D" w:rsidRPr="007C694F" w:rsidRDefault="005F150D" w:rsidP="00DA1112">
            <w:pPr>
              <w:pStyle w:val="Tabletextright"/>
              <w:spacing w:after="40"/>
              <w:jc w:val="left"/>
              <w:rPr>
                <w:i/>
              </w:rPr>
            </w:pPr>
            <w:r w:rsidRPr="007C694F">
              <w:rPr>
                <w:i/>
              </w:rPr>
              <w:t>-$24,747</w:t>
            </w:r>
          </w:p>
        </w:tc>
        <w:tc>
          <w:tcPr>
            <w:tcW w:w="0" w:type="auto"/>
          </w:tcPr>
          <w:p w14:paraId="1B5C5598" w14:textId="77777777" w:rsidR="005F150D" w:rsidRPr="007C694F" w:rsidRDefault="005F150D" w:rsidP="00DA1112">
            <w:pPr>
              <w:pStyle w:val="Tabletextright"/>
              <w:spacing w:after="40"/>
              <w:jc w:val="left"/>
              <w:rPr>
                <w:i/>
              </w:rPr>
            </w:pPr>
            <w:r w:rsidRPr="007C694F">
              <w:rPr>
                <w:i/>
              </w:rPr>
              <w:t>-$40,611</w:t>
            </w:r>
          </w:p>
        </w:tc>
        <w:tc>
          <w:tcPr>
            <w:tcW w:w="0" w:type="auto"/>
          </w:tcPr>
          <w:p w14:paraId="404C7180" w14:textId="77777777" w:rsidR="005F150D" w:rsidRPr="007C694F" w:rsidRDefault="005F150D" w:rsidP="00DA1112">
            <w:pPr>
              <w:pStyle w:val="Tabletextright"/>
              <w:spacing w:after="40"/>
              <w:jc w:val="left"/>
              <w:rPr>
                <w:i/>
              </w:rPr>
            </w:pPr>
            <w:r w:rsidRPr="007C694F">
              <w:rPr>
                <w:i/>
              </w:rPr>
              <w:t>-$57,647</w:t>
            </w:r>
          </w:p>
        </w:tc>
        <w:tc>
          <w:tcPr>
            <w:tcW w:w="0" w:type="auto"/>
          </w:tcPr>
          <w:p w14:paraId="4FAB07B4" w14:textId="77777777" w:rsidR="005F150D" w:rsidRPr="007C694F" w:rsidRDefault="005F150D" w:rsidP="00DA1112">
            <w:pPr>
              <w:pStyle w:val="Tabletextright"/>
              <w:spacing w:after="40"/>
              <w:jc w:val="left"/>
              <w:rPr>
                <w:i/>
              </w:rPr>
            </w:pPr>
            <w:r w:rsidRPr="007C694F">
              <w:rPr>
                <w:i/>
              </w:rPr>
              <w:t>-$94,045</w:t>
            </w:r>
          </w:p>
        </w:tc>
      </w:tr>
    </w:tbl>
    <w:p w14:paraId="6AC34114" w14:textId="77777777" w:rsidR="005F150D" w:rsidRPr="006C76C5" w:rsidRDefault="005F150D" w:rsidP="00525682">
      <w:pPr>
        <w:pStyle w:val="Tablenotes"/>
      </w:pPr>
      <w:r w:rsidRPr="006C76C5">
        <w:rPr>
          <w:sz w:val="20"/>
          <w:vertAlign w:val="superscript"/>
        </w:rPr>
        <w:t>a</w:t>
      </w:r>
      <w:r w:rsidRPr="007C694F">
        <w:rPr>
          <w:vertAlign w:val="superscript"/>
        </w:rPr>
        <w:t xml:space="preserve"> </w:t>
      </w:r>
      <w:r w:rsidRPr="006C76C5">
        <w:t>Input B17 = 9%</w:t>
      </w:r>
      <w:r>
        <w:t xml:space="preserve"> (10% was correct value for % of cardiac ECMO for high risk PCI [van den Brink 2018]</w:t>
      </w:r>
      <w:r w:rsidRPr="006C76C5">
        <w:br/>
      </w:r>
      <w:r w:rsidRPr="006C76C5">
        <w:rPr>
          <w:vertAlign w:val="superscript"/>
        </w:rPr>
        <w:t>b</w:t>
      </w:r>
      <w:r w:rsidRPr="006C76C5">
        <w:t xml:space="preserve"> MBS items M6:R6 = AVERAGE($C$6:$L$6)</w:t>
      </w:r>
    </w:p>
    <w:p w14:paraId="5FA49978" w14:textId="77777777" w:rsidR="005F150D" w:rsidRDefault="005F150D" w:rsidP="00525682">
      <w:pPr>
        <w:pStyle w:val="Tablenotes"/>
      </w:pPr>
      <w:r w:rsidRPr="006C76C5">
        <w:rPr>
          <w:vertAlign w:val="superscript"/>
        </w:rPr>
        <w:t xml:space="preserve">c </w:t>
      </w:r>
      <w:r w:rsidRPr="006C76C5">
        <w:t>Patient numbers B21:F21×1.3</w:t>
      </w:r>
    </w:p>
    <w:p w14:paraId="48A07E70" w14:textId="77777777" w:rsidR="00525682" w:rsidRDefault="00525682" w:rsidP="00525682">
      <w:pPr>
        <w:pStyle w:val="Heading2"/>
      </w:pPr>
      <w:r>
        <w:t>Pre-MSAC response</w:t>
      </w:r>
    </w:p>
    <w:p w14:paraId="619D81D5" w14:textId="764A557B" w:rsidR="004258D6" w:rsidRDefault="00342009" w:rsidP="002F439F">
      <w:pPr>
        <w:spacing w:after="240"/>
      </w:pPr>
      <w:r>
        <w:t>The a</w:t>
      </w:r>
      <w:r w:rsidR="00525682">
        <w:t xml:space="preserve">pplicant </w:t>
      </w:r>
      <w:r w:rsidR="00863295">
        <w:t xml:space="preserve">again </w:t>
      </w:r>
      <w:r w:rsidR="00525682">
        <w:t xml:space="preserve">provided </w:t>
      </w:r>
      <w:r w:rsidR="00DE5488">
        <w:t xml:space="preserve">an updated budget impact for </w:t>
      </w:r>
      <w:r w:rsidR="00525682" w:rsidRPr="006C66EF">
        <w:t xml:space="preserve">the introduction of </w:t>
      </w:r>
      <w:r w:rsidR="00525682">
        <w:t>IMVAD to the MBS</w:t>
      </w:r>
      <w:r w:rsidR="009F3C48">
        <w:t xml:space="preserve"> (Table 20</w:t>
      </w:r>
      <w:r w:rsidR="00044F98">
        <w:t>)</w:t>
      </w:r>
      <w:r w:rsidR="00525682">
        <w:t>,</w:t>
      </w:r>
      <w:r w:rsidR="00F64F1D">
        <w:t xml:space="preserve"> </w:t>
      </w:r>
      <w:r w:rsidR="00863295">
        <w:t>including the</w:t>
      </w:r>
      <w:r w:rsidR="00525682">
        <w:t xml:space="preserve"> removal of percut</w:t>
      </w:r>
      <w:r w:rsidR="004258D6">
        <w:t>aneous remo</w:t>
      </w:r>
      <w:r w:rsidR="00863295">
        <w:t>val MBS item (Table 5</w:t>
      </w:r>
      <w:r w:rsidR="00525682">
        <w:t>)</w:t>
      </w:r>
      <w:r w:rsidR="00F64F1D">
        <w:t>.</w:t>
      </w:r>
    </w:p>
    <w:p w14:paraId="728AADE7" w14:textId="0DCAA25B" w:rsidR="004258D6" w:rsidRPr="0083785E" w:rsidRDefault="004258D6" w:rsidP="0083785E">
      <w:pPr>
        <w:rPr>
          <w:rFonts w:ascii="Arial Narrow" w:hAnsi="Arial Narrow"/>
          <w:b/>
          <w:sz w:val="20"/>
        </w:rPr>
      </w:pPr>
      <w:r w:rsidRPr="0083785E">
        <w:rPr>
          <w:rFonts w:ascii="Arial Narrow" w:hAnsi="Arial Narrow"/>
          <w:b/>
          <w:sz w:val="20"/>
        </w:rPr>
        <w:t xml:space="preserve">Table </w:t>
      </w:r>
      <w:r w:rsidR="009F3C48" w:rsidRPr="0083785E">
        <w:rPr>
          <w:rFonts w:ascii="Arial Narrow" w:hAnsi="Arial Narrow"/>
          <w:b/>
          <w:sz w:val="20"/>
        </w:rPr>
        <w:t>20</w:t>
      </w:r>
      <w:r w:rsidRPr="0083785E">
        <w:rPr>
          <w:rFonts w:ascii="Arial Narrow" w:hAnsi="Arial Narrow"/>
          <w:b/>
          <w:sz w:val="20"/>
        </w:rPr>
        <w:tab/>
      </w:r>
      <w:r w:rsidR="00DE5488" w:rsidRPr="0083785E">
        <w:rPr>
          <w:rFonts w:ascii="Arial Narrow" w:hAnsi="Arial Narrow"/>
          <w:b/>
          <w:sz w:val="20"/>
        </w:rPr>
        <w:t>Updated f</w:t>
      </w:r>
      <w:r w:rsidRPr="0083785E">
        <w:rPr>
          <w:rFonts w:ascii="Arial Narrow" w:hAnsi="Arial Narrow"/>
          <w:b/>
          <w:sz w:val="20"/>
        </w:rPr>
        <w:t>i</w:t>
      </w:r>
      <w:r w:rsidR="0083785E" w:rsidRPr="0083785E">
        <w:rPr>
          <w:rFonts w:ascii="Arial Narrow" w:hAnsi="Arial Narrow"/>
          <w:b/>
          <w:sz w:val="20"/>
        </w:rPr>
        <w:t>nancial implications to the MBS</w:t>
      </w:r>
      <w:r w:rsidRPr="0083785E">
        <w:rPr>
          <w:rFonts w:ascii="Arial Narrow" w:hAnsi="Arial Narrow"/>
          <w:b/>
          <w:sz w:val="20"/>
        </w:rPr>
        <w:t xml:space="preserve"> </w:t>
      </w:r>
    </w:p>
    <w:tbl>
      <w:tblPr>
        <w:tblStyle w:val="TableGrid2"/>
        <w:tblpPr w:leftFromText="180" w:rightFromText="180" w:vertAnchor="text" w:horzAnchor="margin" w:tblpY="38"/>
        <w:tblW w:w="5000" w:type="pct"/>
        <w:tblLayout w:type="fixed"/>
        <w:tblLook w:val="01E0" w:firstRow="1" w:lastRow="1" w:firstColumn="1" w:lastColumn="1" w:noHBand="0" w:noVBand="0"/>
        <w:tblDescription w:val="Updated financial implications to the MBS "/>
      </w:tblPr>
      <w:tblGrid>
        <w:gridCol w:w="4500"/>
        <w:gridCol w:w="904"/>
        <w:gridCol w:w="903"/>
        <w:gridCol w:w="903"/>
        <w:gridCol w:w="903"/>
        <w:gridCol w:w="903"/>
      </w:tblGrid>
      <w:tr w:rsidR="004258D6" w:rsidRPr="00777390" w14:paraId="705709F6" w14:textId="77777777" w:rsidTr="0083785E">
        <w:trPr>
          <w:cnfStyle w:val="100000000000" w:firstRow="1" w:lastRow="0" w:firstColumn="0" w:lastColumn="0" w:oddVBand="0" w:evenVBand="0" w:oddHBand="0" w:evenHBand="0" w:firstRowFirstColumn="0" w:firstRowLastColumn="0" w:lastRowFirstColumn="0" w:lastRowLastColumn="0"/>
          <w:trHeight w:val="309"/>
          <w:tblHeader/>
        </w:trPr>
        <w:tc>
          <w:tcPr>
            <w:tcW w:w="2495" w:type="pct"/>
          </w:tcPr>
          <w:p w14:paraId="4D3E7BD7" w14:textId="77777777" w:rsidR="004258D6" w:rsidRPr="00777390" w:rsidRDefault="004258D6" w:rsidP="005A6A4D">
            <w:pPr>
              <w:widowControl w:val="0"/>
              <w:autoSpaceDE w:val="0"/>
              <w:autoSpaceDN w:val="0"/>
              <w:spacing w:before="42"/>
              <w:ind w:left="6"/>
              <w:jc w:val="center"/>
              <w:rPr>
                <w:rFonts w:ascii="Arial Narrow" w:eastAsia="Arial Narrow" w:hAnsi="Arial Narrow" w:cs="Arial Narrow"/>
                <w:lang w:bidi="en-AU"/>
              </w:rPr>
            </w:pPr>
          </w:p>
        </w:tc>
        <w:tc>
          <w:tcPr>
            <w:tcW w:w="501" w:type="pct"/>
          </w:tcPr>
          <w:p w14:paraId="7121C9EF" w14:textId="77777777" w:rsidR="004258D6" w:rsidRPr="00777390" w:rsidRDefault="004258D6" w:rsidP="00DA1112">
            <w:pPr>
              <w:widowControl w:val="0"/>
              <w:autoSpaceDE w:val="0"/>
              <w:autoSpaceDN w:val="0"/>
              <w:spacing w:before="42"/>
              <w:rPr>
                <w:rFonts w:ascii="Arial Narrow" w:eastAsia="Arial Narrow" w:hAnsi="Arial Narrow" w:cs="Arial Narrow"/>
                <w:b/>
                <w:lang w:bidi="en-AU"/>
              </w:rPr>
            </w:pPr>
            <w:r w:rsidRPr="00777390">
              <w:rPr>
                <w:rFonts w:ascii="Arial Narrow" w:eastAsia="Arial Narrow" w:hAnsi="Arial Narrow" w:cs="Arial Narrow"/>
                <w:b/>
                <w:lang w:bidi="en-AU"/>
              </w:rPr>
              <w:t>2020-21</w:t>
            </w:r>
          </w:p>
        </w:tc>
        <w:tc>
          <w:tcPr>
            <w:tcW w:w="501" w:type="pct"/>
          </w:tcPr>
          <w:p w14:paraId="384CC611" w14:textId="77777777" w:rsidR="004258D6" w:rsidRPr="00777390" w:rsidRDefault="004258D6" w:rsidP="00DA1112">
            <w:pPr>
              <w:widowControl w:val="0"/>
              <w:autoSpaceDE w:val="0"/>
              <w:autoSpaceDN w:val="0"/>
              <w:spacing w:before="42"/>
              <w:rPr>
                <w:rFonts w:ascii="Arial Narrow" w:eastAsia="Arial Narrow" w:hAnsi="Arial Narrow" w:cs="Arial Narrow"/>
                <w:b/>
                <w:lang w:bidi="en-AU"/>
              </w:rPr>
            </w:pPr>
            <w:r w:rsidRPr="00777390">
              <w:rPr>
                <w:rFonts w:ascii="Arial Narrow" w:eastAsia="Arial Narrow" w:hAnsi="Arial Narrow" w:cs="Arial Narrow"/>
                <w:b/>
                <w:lang w:bidi="en-AU"/>
              </w:rPr>
              <w:t>2021-22</w:t>
            </w:r>
          </w:p>
        </w:tc>
        <w:tc>
          <w:tcPr>
            <w:tcW w:w="501" w:type="pct"/>
          </w:tcPr>
          <w:p w14:paraId="745757E9" w14:textId="77777777" w:rsidR="004258D6" w:rsidRPr="00777390" w:rsidRDefault="004258D6" w:rsidP="00DA1112">
            <w:pPr>
              <w:widowControl w:val="0"/>
              <w:autoSpaceDE w:val="0"/>
              <w:autoSpaceDN w:val="0"/>
              <w:spacing w:before="42"/>
              <w:rPr>
                <w:rFonts w:ascii="Arial Narrow" w:eastAsia="Arial Narrow" w:hAnsi="Arial Narrow" w:cs="Arial Narrow"/>
                <w:b/>
                <w:lang w:bidi="en-AU"/>
              </w:rPr>
            </w:pPr>
            <w:r w:rsidRPr="00777390">
              <w:rPr>
                <w:rFonts w:ascii="Arial Narrow" w:eastAsia="Arial Narrow" w:hAnsi="Arial Narrow" w:cs="Arial Narrow"/>
                <w:b/>
                <w:lang w:bidi="en-AU"/>
              </w:rPr>
              <w:t>2022-23</w:t>
            </w:r>
          </w:p>
        </w:tc>
        <w:tc>
          <w:tcPr>
            <w:tcW w:w="501" w:type="pct"/>
          </w:tcPr>
          <w:p w14:paraId="55D46866" w14:textId="77777777" w:rsidR="004258D6" w:rsidRPr="00777390" w:rsidRDefault="004258D6" w:rsidP="00DA1112">
            <w:pPr>
              <w:widowControl w:val="0"/>
              <w:autoSpaceDE w:val="0"/>
              <w:autoSpaceDN w:val="0"/>
              <w:spacing w:before="42"/>
              <w:rPr>
                <w:rFonts w:ascii="Arial Narrow" w:eastAsia="Arial Narrow" w:hAnsi="Arial Narrow" w:cs="Arial Narrow"/>
                <w:b/>
                <w:lang w:bidi="en-AU"/>
              </w:rPr>
            </w:pPr>
            <w:r w:rsidRPr="00777390">
              <w:rPr>
                <w:rFonts w:ascii="Arial Narrow" w:eastAsia="Arial Narrow" w:hAnsi="Arial Narrow" w:cs="Arial Narrow"/>
                <w:b/>
                <w:lang w:bidi="en-AU"/>
              </w:rPr>
              <w:t>2023-24</w:t>
            </w:r>
          </w:p>
        </w:tc>
        <w:tc>
          <w:tcPr>
            <w:tcW w:w="501" w:type="pct"/>
          </w:tcPr>
          <w:p w14:paraId="50B5FA7A" w14:textId="77777777" w:rsidR="004258D6" w:rsidRPr="00777390" w:rsidRDefault="004258D6" w:rsidP="00DA1112">
            <w:pPr>
              <w:widowControl w:val="0"/>
              <w:autoSpaceDE w:val="0"/>
              <w:autoSpaceDN w:val="0"/>
              <w:spacing w:before="42"/>
              <w:rPr>
                <w:rFonts w:ascii="Arial Narrow" w:eastAsia="Arial Narrow" w:hAnsi="Arial Narrow" w:cs="Arial Narrow"/>
                <w:b/>
                <w:lang w:bidi="en-AU"/>
              </w:rPr>
            </w:pPr>
            <w:r w:rsidRPr="00777390">
              <w:rPr>
                <w:rFonts w:ascii="Arial Narrow" w:eastAsia="Arial Narrow" w:hAnsi="Arial Narrow" w:cs="Arial Narrow"/>
                <w:b/>
                <w:lang w:bidi="en-AU"/>
              </w:rPr>
              <w:t>2024-25</w:t>
            </w:r>
          </w:p>
        </w:tc>
      </w:tr>
      <w:tr w:rsidR="004258D6" w:rsidRPr="00777390" w14:paraId="2722AF4D" w14:textId="77777777" w:rsidTr="0083785E">
        <w:trPr>
          <w:trHeight w:val="309"/>
        </w:trPr>
        <w:tc>
          <w:tcPr>
            <w:tcW w:w="2495" w:type="pct"/>
          </w:tcPr>
          <w:p w14:paraId="562614EE" w14:textId="77777777" w:rsidR="004258D6" w:rsidRPr="00777390" w:rsidRDefault="004258D6" w:rsidP="00DA1112">
            <w:pPr>
              <w:pStyle w:val="TableParagraph"/>
              <w:spacing w:before="45"/>
              <w:rPr>
                <w:sz w:val="20"/>
              </w:rPr>
            </w:pPr>
            <w:r>
              <w:rPr>
                <w:sz w:val="20"/>
              </w:rPr>
              <w:t>Cost of Impella</w:t>
            </w:r>
            <w:r w:rsidRPr="004258D6">
              <w:rPr>
                <w:sz w:val="20"/>
                <w:vertAlign w:val="superscript"/>
              </w:rPr>
              <w:t>®</w:t>
            </w:r>
            <w:r>
              <w:rPr>
                <w:sz w:val="20"/>
              </w:rPr>
              <w:t xml:space="preserve"> to MBS</w:t>
            </w:r>
          </w:p>
        </w:tc>
        <w:tc>
          <w:tcPr>
            <w:tcW w:w="501" w:type="pct"/>
          </w:tcPr>
          <w:p w14:paraId="0DFDE454" w14:textId="77777777" w:rsidR="004258D6" w:rsidRPr="00777390" w:rsidRDefault="004258D6" w:rsidP="00DA1112">
            <w:pPr>
              <w:pStyle w:val="TableParagraph"/>
              <w:spacing w:before="45"/>
              <w:rPr>
                <w:sz w:val="20"/>
              </w:rPr>
            </w:pPr>
            <w:r>
              <w:rPr>
                <w:sz w:val="20"/>
              </w:rPr>
              <w:t>$5,614</w:t>
            </w:r>
          </w:p>
        </w:tc>
        <w:tc>
          <w:tcPr>
            <w:tcW w:w="501" w:type="pct"/>
          </w:tcPr>
          <w:p w14:paraId="602D1346" w14:textId="77777777" w:rsidR="004258D6" w:rsidRPr="00777390" w:rsidRDefault="004258D6" w:rsidP="00DA1112">
            <w:pPr>
              <w:pStyle w:val="TableParagraph"/>
              <w:spacing w:before="45"/>
              <w:rPr>
                <w:sz w:val="20"/>
              </w:rPr>
            </w:pPr>
            <w:r>
              <w:rPr>
                <w:sz w:val="20"/>
              </w:rPr>
              <w:t>$5,614</w:t>
            </w:r>
          </w:p>
        </w:tc>
        <w:tc>
          <w:tcPr>
            <w:tcW w:w="501" w:type="pct"/>
          </w:tcPr>
          <w:p w14:paraId="3C495D70" w14:textId="77777777" w:rsidR="004258D6" w:rsidRPr="00777390" w:rsidRDefault="004258D6" w:rsidP="00DA1112">
            <w:pPr>
              <w:pStyle w:val="TableParagraph"/>
              <w:spacing w:before="45"/>
              <w:rPr>
                <w:sz w:val="20"/>
              </w:rPr>
            </w:pPr>
            <w:r>
              <w:rPr>
                <w:sz w:val="20"/>
              </w:rPr>
              <w:t>$5,325</w:t>
            </w:r>
          </w:p>
        </w:tc>
        <w:tc>
          <w:tcPr>
            <w:tcW w:w="501" w:type="pct"/>
          </w:tcPr>
          <w:p w14:paraId="659278F0" w14:textId="77777777" w:rsidR="004258D6" w:rsidRPr="00777390" w:rsidRDefault="004258D6" w:rsidP="00DA1112">
            <w:pPr>
              <w:pStyle w:val="TableParagraph"/>
              <w:spacing w:before="45"/>
              <w:rPr>
                <w:sz w:val="20"/>
              </w:rPr>
            </w:pPr>
            <w:r>
              <w:rPr>
                <w:sz w:val="20"/>
              </w:rPr>
              <w:t>$5,325</w:t>
            </w:r>
          </w:p>
        </w:tc>
        <w:tc>
          <w:tcPr>
            <w:tcW w:w="501" w:type="pct"/>
          </w:tcPr>
          <w:p w14:paraId="3F367491" w14:textId="77777777" w:rsidR="004258D6" w:rsidRPr="00777390" w:rsidRDefault="004258D6" w:rsidP="00DA1112">
            <w:pPr>
              <w:pStyle w:val="TableParagraph"/>
              <w:spacing w:before="45"/>
              <w:rPr>
                <w:sz w:val="20"/>
              </w:rPr>
            </w:pPr>
            <w:r>
              <w:rPr>
                <w:sz w:val="20"/>
              </w:rPr>
              <w:t>$5,325</w:t>
            </w:r>
          </w:p>
        </w:tc>
      </w:tr>
      <w:tr w:rsidR="004258D6" w:rsidRPr="00777390" w14:paraId="2CBFF5A2" w14:textId="77777777" w:rsidTr="0083785E">
        <w:trPr>
          <w:trHeight w:val="308"/>
        </w:trPr>
        <w:tc>
          <w:tcPr>
            <w:tcW w:w="2495" w:type="pct"/>
          </w:tcPr>
          <w:p w14:paraId="78ABE187" w14:textId="77777777" w:rsidR="004258D6" w:rsidRPr="00777390" w:rsidRDefault="004258D6" w:rsidP="00DA1112">
            <w:pPr>
              <w:pStyle w:val="Tabletextcentred"/>
              <w:jc w:val="left"/>
            </w:pPr>
            <w:r>
              <w:t>Cost-offsets of Impella</w:t>
            </w:r>
            <w:r w:rsidRPr="006F7916">
              <w:rPr>
                <w:vertAlign w:val="superscript"/>
              </w:rPr>
              <w:t>®</w:t>
            </w:r>
            <w:r>
              <w:t xml:space="preserve"> to the MBS </w:t>
            </w:r>
          </w:p>
        </w:tc>
        <w:tc>
          <w:tcPr>
            <w:tcW w:w="501" w:type="pct"/>
          </w:tcPr>
          <w:p w14:paraId="74F7FFF6" w14:textId="77777777" w:rsidR="004258D6" w:rsidRPr="00777390" w:rsidRDefault="004258D6" w:rsidP="00DA1112">
            <w:pPr>
              <w:pStyle w:val="TableParagraph"/>
              <w:spacing w:before="45"/>
              <w:rPr>
                <w:sz w:val="20"/>
              </w:rPr>
            </w:pPr>
            <w:r>
              <w:rPr>
                <w:sz w:val="20"/>
                <w:szCs w:val="20"/>
              </w:rPr>
              <w:t xml:space="preserve">-$9,910 </w:t>
            </w:r>
          </w:p>
        </w:tc>
        <w:tc>
          <w:tcPr>
            <w:tcW w:w="501" w:type="pct"/>
          </w:tcPr>
          <w:p w14:paraId="69236D63" w14:textId="77777777" w:rsidR="004258D6" w:rsidRPr="00777390" w:rsidRDefault="004258D6" w:rsidP="00DA1112">
            <w:pPr>
              <w:pStyle w:val="TableParagraph"/>
              <w:spacing w:before="45"/>
              <w:rPr>
                <w:sz w:val="20"/>
              </w:rPr>
            </w:pPr>
            <w:r>
              <w:rPr>
                <w:sz w:val="20"/>
                <w:szCs w:val="20"/>
              </w:rPr>
              <w:t xml:space="preserve">-$9,910 </w:t>
            </w:r>
          </w:p>
        </w:tc>
        <w:tc>
          <w:tcPr>
            <w:tcW w:w="501" w:type="pct"/>
          </w:tcPr>
          <w:p w14:paraId="0F2853E6" w14:textId="77777777" w:rsidR="004258D6" w:rsidRPr="00777390" w:rsidRDefault="004258D6" w:rsidP="00DA1112">
            <w:pPr>
              <w:pStyle w:val="TableParagraph"/>
              <w:spacing w:before="45"/>
              <w:rPr>
                <w:sz w:val="20"/>
              </w:rPr>
            </w:pPr>
            <w:r>
              <w:rPr>
                <w:sz w:val="20"/>
                <w:szCs w:val="20"/>
              </w:rPr>
              <w:t xml:space="preserve">-$9,504 </w:t>
            </w:r>
          </w:p>
        </w:tc>
        <w:tc>
          <w:tcPr>
            <w:tcW w:w="501" w:type="pct"/>
          </w:tcPr>
          <w:p w14:paraId="1927455F" w14:textId="77777777" w:rsidR="004258D6" w:rsidRPr="00777390" w:rsidRDefault="004258D6" w:rsidP="00DA1112">
            <w:pPr>
              <w:pStyle w:val="TableParagraph"/>
              <w:spacing w:before="45"/>
              <w:rPr>
                <w:sz w:val="20"/>
              </w:rPr>
            </w:pPr>
            <w:r>
              <w:rPr>
                <w:sz w:val="20"/>
                <w:szCs w:val="20"/>
              </w:rPr>
              <w:t xml:space="preserve">-$9,504 </w:t>
            </w:r>
          </w:p>
        </w:tc>
        <w:tc>
          <w:tcPr>
            <w:tcW w:w="501" w:type="pct"/>
          </w:tcPr>
          <w:p w14:paraId="129D0470" w14:textId="77777777" w:rsidR="004258D6" w:rsidRPr="00777390" w:rsidRDefault="004258D6" w:rsidP="00DA1112">
            <w:pPr>
              <w:pStyle w:val="TableParagraph"/>
              <w:spacing w:before="45"/>
              <w:rPr>
                <w:sz w:val="20"/>
              </w:rPr>
            </w:pPr>
            <w:r>
              <w:rPr>
                <w:sz w:val="20"/>
                <w:szCs w:val="20"/>
              </w:rPr>
              <w:t xml:space="preserve">-$9,504 </w:t>
            </w:r>
          </w:p>
        </w:tc>
      </w:tr>
      <w:tr w:rsidR="004258D6" w:rsidRPr="00777390" w14:paraId="7744263C" w14:textId="77777777" w:rsidTr="0083785E">
        <w:trPr>
          <w:trHeight w:val="308"/>
        </w:trPr>
        <w:tc>
          <w:tcPr>
            <w:tcW w:w="2495" w:type="pct"/>
          </w:tcPr>
          <w:p w14:paraId="5B3F237D" w14:textId="77777777" w:rsidR="004258D6" w:rsidRPr="00777390" w:rsidRDefault="004258D6" w:rsidP="00DA1112">
            <w:pPr>
              <w:pStyle w:val="Tabletextcentred"/>
              <w:jc w:val="left"/>
            </w:pPr>
            <w:r>
              <w:rPr>
                <w:b/>
                <w:bCs/>
              </w:rPr>
              <w:t>Net Cost of listing Impella</w:t>
            </w:r>
            <w:r w:rsidRPr="006F7916">
              <w:rPr>
                <w:b/>
                <w:bCs/>
                <w:vertAlign w:val="superscript"/>
              </w:rPr>
              <w:t>®</w:t>
            </w:r>
            <w:r>
              <w:rPr>
                <w:b/>
                <w:bCs/>
              </w:rPr>
              <w:t xml:space="preserve"> to the MBS </w:t>
            </w:r>
          </w:p>
        </w:tc>
        <w:tc>
          <w:tcPr>
            <w:tcW w:w="501" w:type="pct"/>
          </w:tcPr>
          <w:p w14:paraId="204151DF" w14:textId="77777777" w:rsidR="004258D6" w:rsidRPr="00777390" w:rsidRDefault="004258D6" w:rsidP="00DA1112">
            <w:pPr>
              <w:pStyle w:val="TableParagraph"/>
              <w:spacing w:before="45"/>
              <w:rPr>
                <w:sz w:val="20"/>
              </w:rPr>
            </w:pPr>
            <w:r>
              <w:rPr>
                <w:b/>
                <w:bCs/>
                <w:sz w:val="20"/>
                <w:szCs w:val="20"/>
              </w:rPr>
              <w:t xml:space="preserve">-$4,296 </w:t>
            </w:r>
          </w:p>
        </w:tc>
        <w:tc>
          <w:tcPr>
            <w:tcW w:w="501" w:type="pct"/>
          </w:tcPr>
          <w:p w14:paraId="04EE9B3A" w14:textId="77777777" w:rsidR="004258D6" w:rsidRPr="00777390" w:rsidRDefault="004258D6" w:rsidP="00DA1112">
            <w:pPr>
              <w:pStyle w:val="TableParagraph"/>
              <w:spacing w:before="45"/>
              <w:rPr>
                <w:sz w:val="20"/>
              </w:rPr>
            </w:pPr>
            <w:r>
              <w:rPr>
                <w:b/>
                <w:bCs/>
                <w:sz w:val="20"/>
                <w:szCs w:val="20"/>
              </w:rPr>
              <w:t xml:space="preserve">-$4,296 </w:t>
            </w:r>
          </w:p>
        </w:tc>
        <w:tc>
          <w:tcPr>
            <w:tcW w:w="501" w:type="pct"/>
          </w:tcPr>
          <w:p w14:paraId="50C5B0EC" w14:textId="77777777" w:rsidR="004258D6" w:rsidRPr="00777390" w:rsidRDefault="004258D6" w:rsidP="00DA1112">
            <w:pPr>
              <w:pStyle w:val="TableParagraph"/>
              <w:spacing w:before="45"/>
              <w:rPr>
                <w:sz w:val="20"/>
              </w:rPr>
            </w:pPr>
            <w:r>
              <w:rPr>
                <w:b/>
                <w:bCs/>
                <w:sz w:val="20"/>
                <w:szCs w:val="20"/>
              </w:rPr>
              <w:t xml:space="preserve">-$4,179 </w:t>
            </w:r>
          </w:p>
        </w:tc>
        <w:tc>
          <w:tcPr>
            <w:tcW w:w="501" w:type="pct"/>
          </w:tcPr>
          <w:p w14:paraId="4B21380F" w14:textId="77777777" w:rsidR="004258D6" w:rsidRPr="00777390" w:rsidRDefault="004258D6" w:rsidP="00DA1112">
            <w:pPr>
              <w:pStyle w:val="TableParagraph"/>
              <w:spacing w:before="45"/>
              <w:rPr>
                <w:sz w:val="20"/>
              </w:rPr>
            </w:pPr>
            <w:r>
              <w:rPr>
                <w:b/>
                <w:bCs/>
                <w:sz w:val="20"/>
                <w:szCs w:val="20"/>
              </w:rPr>
              <w:t xml:space="preserve">-$4,179 </w:t>
            </w:r>
          </w:p>
        </w:tc>
        <w:tc>
          <w:tcPr>
            <w:tcW w:w="501" w:type="pct"/>
          </w:tcPr>
          <w:p w14:paraId="5470679F" w14:textId="77777777" w:rsidR="004258D6" w:rsidRPr="00777390" w:rsidRDefault="004258D6" w:rsidP="00DA1112">
            <w:pPr>
              <w:pStyle w:val="TableParagraph"/>
              <w:spacing w:before="45"/>
              <w:rPr>
                <w:sz w:val="20"/>
              </w:rPr>
            </w:pPr>
            <w:r>
              <w:rPr>
                <w:b/>
                <w:bCs/>
                <w:sz w:val="20"/>
                <w:szCs w:val="20"/>
              </w:rPr>
              <w:t xml:space="preserve">-$4,179 </w:t>
            </w:r>
          </w:p>
        </w:tc>
      </w:tr>
    </w:tbl>
    <w:p w14:paraId="0C7BC615" w14:textId="77777777" w:rsidR="004258D6" w:rsidRPr="0083785E" w:rsidRDefault="004258D6" w:rsidP="0083785E">
      <w:pPr>
        <w:rPr>
          <w:rFonts w:ascii="Arial Narrow" w:hAnsi="Arial Narrow"/>
          <w:sz w:val="18"/>
          <w:szCs w:val="18"/>
        </w:rPr>
      </w:pPr>
      <w:r w:rsidRPr="0083785E">
        <w:rPr>
          <w:rFonts w:ascii="Arial Narrow" w:hAnsi="Arial Narrow"/>
          <w:sz w:val="18"/>
          <w:szCs w:val="18"/>
        </w:rPr>
        <w:t>Source: Table 6 of pre-MSAC response</w:t>
      </w:r>
    </w:p>
    <w:p w14:paraId="34E90B83" w14:textId="28782B65" w:rsidR="00FE1A6F" w:rsidRPr="00DE5488" w:rsidRDefault="004258D6" w:rsidP="00DE5488">
      <w:pPr>
        <w:widowControl w:val="0"/>
        <w:spacing w:before="40"/>
        <w:rPr>
          <w:rFonts w:ascii="Arial Narrow" w:hAnsi="Arial Narrow" w:cs="Arial"/>
          <w:iCs/>
          <w:snapToGrid w:val="0"/>
          <w:sz w:val="18"/>
          <w:lang w:eastAsia="en-US"/>
        </w:rPr>
      </w:pPr>
      <w:r>
        <w:rPr>
          <w:rFonts w:ascii="Arial Narrow" w:hAnsi="Arial Narrow" w:cs="Arial"/>
          <w:iCs/>
          <w:snapToGrid w:val="0"/>
          <w:sz w:val="18"/>
          <w:lang w:eastAsia="en-US"/>
        </w:rPr>
        <w:t>MBS=Medicare Benefits Schedule</w:t>
      </w:r>
    </w:p>
    <w:p w14:paraId="6B6B7794" w14:textId="77777777" w:rsidR="00C57390" w:rsidRPr="00F715D1" w:rsidRDefault="00C57390" w:rsidP="00C57390">
      <w:pPr>
        <w:pStyle w:val="Heading1"/>
      </w:pPr>
      <w:r w:rsidRPr="00F715D1">
        <w:lastRenderedPageBreak/>
        <w:t>Key issues from ESC for MSAC</w:t>
      </w:r>
    </w:p>
    <w:tbl>
      <w:tblPr>
        <w:tblStyle w:val="TableGrid"/>
        <w:tblW w:w="8926" w:type="dxa"/>
        <w:tblLook w:val="04A0" w:firstRow="1" w:lastRow="0" w:firstColumn="1" w:lastColumn="0" w:noHBand="0" w:noVBand="1"/>
        <w:tblCaption w:val="Key issues from ESC for MSAC"/>
        <w:tblDescription w:val="Summary of ESC key issues"/>
      </w:tblPr>
      <w:tblGrid>
        <w:gridCol w:w="2660"/>
        <w:gridCol w:w="6266"/>
      </w:tblGrid>
      <w:tr w:rsidR="006507E7" w:rsidRPr="004E0FCD" w14:paraId="7A42A80A" w14:textId="77777777" w:rsidTr="00B60F40">
        <w:trPr>
          <w:tblHeader/>
        </w:trPr>
        <w:tc>
          <w:tcPr>
            <w:tcW w:w="2660" w:type="dxa"/>
          </w:tcPr>
          <w:p w14:paraId="14D7648D" w14:textId="77777777" w:rsidR="006507E7" w:rsidRPr="00B60F40" w:rsidRDefault="006507E7" w:rsidP="008C2A2E">
            <w:pPr>
              <w:pStyle w:val="TableHeading"/>
              <w:rPr>
                <w:rFonts w:cs="Times New Roman"/>
              </w:rPr>
            </w:pPr>
            <w:r w:rsidRPr="00B60F40">
              <w:rPr>
                <w:rFonts w:cs="Times New Roman"/>
              </w:rPr>
              <w:t>ESC key issue</w:t>
            </w:r>
          </w:p>
        </w:tc>
        <w:tc>
          <w:tcPr>
            <w:tcW w:w="6266" w:type="dxa"/>
          </w:tcPr>
          <w:p w14:paraId="26392B66" w14:textId="77777777" w:rsidR="006507E7" w:rsidRPr="00B60F40" w:rsidRDefault="006507E7" w:rsidP="008C2A2E">
            <w:pPr>
              <w:pStyle w:val="TableHeading"/>
              <w:rPr>
                <w:rFonts w:cs="Times New Roman"/>
              </w:rPr>
            </w:pPr>
            <w:r w:rsidRPr="00B60F40">
              <w:rPr>
                <w:rFonts w:cs="Times New Roman"/>
              </w:rPr>
              <w:t>ESC advice to MSAC</w:t>
            </w:r>
          </w:p>
        </w:tc>
      </w:tr>
      <w:tr w:rsidR="006507E7" w:rsidRPr="004E0FCD" w14:paraId="73AFC790" w14:textId="77777777" w:rsidTr="008C2A2E">
        <w:tc>
          <w:tcPr>
            <w:tcW w:w="2660" w:type="dxa"/>
          </w:tcPr>
          <w:p w14:paraId="6A358C7A"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Target populations</w:t>
            </w:r>
          </w:p>
        </w:tc>
        <w:tc>
          <w:tcPr>
            <w:tcW w:w="6266" w:type="dxa"/>
          </w:tcPr>
          <w:p w14:paraId="235B2679"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 xml:space="preserve">Population includes extremely heterogeneous conditions. </w:t>
            </w:r>
          </w:p>
          <w:p w14:paraId="7ADFB6FC"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Consider the need for separate applications, which will allow better characterisation of populations to inform the descriptor.</w:t>
            </w:r>
          </w:p>
          <w:p w14:paraId="737BE93D"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No RCT evidence available for the right heart failure (RHF) population.</w:t>
            </w:r>
          </w:p>
        </w:tc>
      </w:tr>
      <w:tr w:rsidR="006507E7" w:rsidRPr="004E0FCD" w14:paraId="49FF58E5" w14:textId="77777777" w:rsidTr="008C2A2E">
        <w:tc>
          <w:tcPr>
            <w:tcW w:w="2660" w:type="dxa"/>
          </w:tcPr>
          <w:p w14:paraId="3987C9A3"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Comparators</w:t>
            </w:r>
          </w:p>
        </w:tc>
        <w:tc>
          <w:tcPr>
            <w:tcW w:w="6266" w:type="dxa"/>
          </w:tcPr>
          <w:p w14:paraId="294F4277"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Agree with applicant’s pre-ESC response that correct comparators are:</w:t>
            </w:r>
          </w:p>
          <w:p w14:paraId="60B5974F" w14:textId="77777777" w:rsidR="006507E7" w:rsidRPr="00B60F40" w:rsidRDefault="006507E7" w:rsidP="006507E7">
            <w:pPr>
              <w:pStyle w:val="TableText"/>
              <w:numPr>
                <w:ilvl w:val="0"/>
                <w:numId w:val="4"/>
              </w:numPr>
              <w:tabs>
                <w:tab w:val="left" w:pos="227"/>
              </w:tabs>
              <w:spacing w:before="0" w:after="0"/>
              <w:rPr>
                <w:rFonts w:ascii="Arial Narrow" w:hAnsi="Arial Narrow"/>
                <w:sz w:val="20"/>
                <w:szCs w:val="20"/>
              </w:rPr>
            </w:pPr>
            <w:r w:rsidRPr="00B60F40">
              <w:rPr>
                <w:rFonts w:ascii="Arial Narrow" w:hAnsi="Arial Narrow"/>
                <w:sz w:val="20"/>
                <w:szCs w:val="20"/>
              </w:rPr>
              <w:t xml:space="preserve">for high-risk percutaneous coronary interventions (HR-PCI) – intra-aortic balloon pump (IABP) and extracorporeal membrane oxygenation (ECMO) </w:t>
            </w:r>
          </w:p>
          <w:p w14:paraId="317AA7DD" w14:textId="77777777" w:rsidR="006507E7" w:rsidRPr="00B60F40" w:rsidRDefault="006507E7" w:rsidP="006507E7">
            <w:pPr>
              <w:pStyle w:val="TableText"/>
              <w:numPr>
                <w:ilvl w:val="0"/>
                <w:numId w:val="4"/>
              </w:numPr>
              <w:tabs>
                <w:tab w:val="left" w:pos="227"/>
              </w:tabs>
              <w:spacing w:before="0" w:after="0"/>
              <w:rPr>
                <w:rFonts w:ascii="Arial Narrow" w:hAnsi="Arial Narrow"/>
                <w:sz w:val="20"/>
                <w:szCs w:val="20"/>
              </w:rPr>
            </w:pPr>
            <w:r w:rsidRPr="00B60F40">
              <w:rPr>
                <w:rFonts w:ascii="Arial Narrow" w:hAnsi="Arial Narrow"/>
                <w:sz w:val="20"/>
                <w:szCs w:val="20"/>
              </w:rPr>
              <w:t>for cardiogenic shock (CS) – ECMO (probably true, but no evidence); algorithm for both intravascular microaxial ventricular assist device (IMVAD) + ECMO justified within a very narrow patient population</w:t>
            </w:r>
          </w:p>
          <w:p w14:paraId="49868DEB" w14:textId="77777777" w:rsidR="006507E7" w:rsidRPr="00B60F40" w:rsidRDefault="006507E7" w:rsidP="006507E7">
            <w:pPr>
              <w:pStyle w:val="TableText"/>
              <w:numPr>
                <w:ilvl w:val="0"/>
                <w:numId w:val="4"/>
              </w:numPr>
              <w:tabs>
                <w:tab w:val="left" w:pos="227"/>
              </w:tabs>
              <w:spacing w:before="0"/>
              <w:ind w:left="227" w:hanging="227"/>
              <w:rPr>
                <w:rFonts w:ascii="Arial Narrow" w:hAnsi="Arial Narrow"/>
                <w:sz w:val="20"/>
                <w:szCs w:val="20"/>
              </w:rPr>
            </w:pPr>
            <w:r w:rsidRPr="00B60F40">
              <w:rPr>
                <w:rFonts w:ascii="Arial Narrow" w:hAnsi="Arial Narrow"/>
                <w:sz w:val="20"/>
                <w:szCs w:val="20"/>
              </w:rPr>
              <w:t>for RHF – ECMO.</w:t>
            </w:r>
          </w:p>
        </w:tc>
      </w:tr>
      <w:tr w:rsidR="006507E7" w:rsidRPr="004E0FCD" w14:paraId="6E328ABB" w14:textId="77777777" w:rsidTr="008C2A2E">
        <w:tc>
          <w:tcPr>
            <w:tcW w:w="2660" w:type="dxa"/>
          </w:tcPr>
          <w:p w14:paraId="640231F0"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Evidence regarding safety</w:t>
            </w:r>
          </w:p>
        </w:tc>
        <w:tc>
          <w:tcPr>
            <w:tcW w:w="6266" w:type="dxa"/>
          </w:tcPr>
          <w:p w14:paraId="4342C1D8"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 xml:space="preserve">No RCT evidence to compare IMVAD with ECMO. </w:t>
            </w:r>
          </w:p>
          <w:p w14:paraId="73134665"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Poor-quality data from the RCTs in HR-PCI and CS.</w:t>
            </w:r>
          </w:p>
          <w:p w14:paraId="4580831B"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IMVAD may not be as safe as IABP, which highlights the importance of conducting better quality studies.</w:t>
            </w:r>
          </w:p>
        </w:tc>
      </w:tr>
      <w:tr w:rsidR="006507E7" w:rsidRPr="004E0FCD" w14:paraId="06290581" w14:textId="77777777" w:rsidTr="008C2A2E">
        <w:tc>
          <w:tcPr>
            <w:tcW w:w="2660" w:type="dxa"/>
          </w:tcPr>
          <w:p w14:paraId="240125AA"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Evidence regarding effectiveness</w:t>
            </w:r>
          </w:p>
        </w:tc>
        <w:tc>
          <w:tcPr>
            <w:tcW w:w="6266" w:type="dxa"/>
          </w:tcPr>
          <w:p w14:paraId="5B0EBCCE"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 xml:space="preserve">No randomised controlled trial (RCT) evidence to compare IMVAD with ECMO. </w:t>
            </w:r>
          </w:p>
          <w:p w14:paraId="5F6E00B4"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Poor-quality data  in HR-PCI and CS.</w:t>
            </w:r>
          </w:p>
          <w:p w14:paraId="1A1DD960"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Methodology for naïve indirect comparisons is flawed.</w:t>
            </w:r>
          </w:p>
        </w:tc>
      </w:tr>
      <w:tr w:rsidR="006507E7" w:rsidRPr="004E0FCD" w14:paraId="7F35F973" w14:textId="77777777" w:rsidTr="008C2A2E">
        <w:tc>
          <w:tcPr>
            <w:tcW w:w="2660" w:type="dxa"/>
          </w:tcPr>
          <w:p w14:paraId="6EC4E03B"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Item numbers / service fees</w:t>
            </w:r>
          </w:p>
        </w:tc>
        <w:tc>
          <w:tcPr>
            <w:tcW w:w="6266" w:type="dxa"/>
          </w:tcPr>
          <w:p w14:paraId="11DB2462"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Although the time for surgical IMVAD insertion and removal is higher than percutaneous methods, the quantum of reimbursement is not adequately justified.</w:t>
            </w:r>
          </w:p>
          <w:p w14:paraId="1F0F7B47"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It is reasonable to remove the percutaneous removal item.</w:t>
            </w:r>
          </w:p>
          <w:p w14:paraId="2FF904B2"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A case to remove management/monitoring fee could be made.</w:t>
            </w:r>
          </w:p>
        </w:tc>
      </w:tr>
      <w:tr w:rsidR="006507E7" w:rsidRPr="004E0FCD" w14:paraId="0610A09E" w14:textId="77777777" w:rsidTr="008C2A2E">
        <w:tc>
          <w:tcPr>
            <w:tcW w:w="2660" w:type="dxa"/>
          </w:tcPr>
          <w:p w14:paraId="54AFBA58" w14:textId="77777777" w:rsidR="006507E7" w:rsidRPr="00B60F40" w:rsidRDefault="006507E7" w:rsidP="008C2A2E">
            <w:pPr>
              <w:pStyle w:val="TableText"/>
              <w:rPr>
                <w:rFonts w:ascii="Arial Narrow" w:hAnsi="Arial Narrow"/>
                <w:sz w:val="20"/>
                <w:szCs w:val="20"/>
              </w:rPr>
            </w:pPr>
            <w:r w:rsidRPr="00B60F40">
              <w:rPr>
                <w:rFonts w:ascii="Arial Narrow" w:hAnsi="Arial Narrow"/>
                <w:sz w:val="20"/>
                <w:szCs w:val="20"/>
              </w:rPr>
              <w:t>Uncertainties that could significantly impact the base case analysis</w:t>
            </w:r>
          </w:p>
        </w:tc>
        <w:tc>
          <w:tcPr>
            <w:tcW w:w="6266" w:type="dxa"/>
          </w:tcPr>
          <w:p w14:paraId="748CAEB0" w14:textId="77777777" w:rsidR="006507E7" w:rsidRPr="00B60F40" w:rsidRDefault="006507E7" w:rsidP="006507E7">
            <w:pPr>
              <w:pStyle w:val="TableText"/>
              <w:numPr>
                <w:ilvl w:val="0"/>
                <w:numId w:val="4"/>
              </w:numPr>
              <w:tabs>
                <w:tab w:val="left" w:pos="227"/>
              </w:tabs>
              <w:spacing w:after="0"/>
              <w:ind w:left="227" w:hanging="227"/>
              <w:rPr>
                <w:rFonts w:ascii="Arial Narrow" w:hAnsi="Arial Narrow"/>
                <w:sz w:val="20"/>
                <w:szCs w:val="20"/>
              </w:rPr>
            </w:pPr>
            <w:r w:rsidRPr="00B60F40">
              <w:rPr>
                <w:rFonts w:ascii="Arial Narrow" w:hAnsi="Arial Narrow"/>
                <w:sz w:val="20"/>
                <w:szCs w:val="20"/>
              </w:rPr>
              <w:t>Inconsistent comparators, especially for the CS population</w:t>
            </w:r>
          </w:p>
          <w:p w14:paraId="54168548" w14:textId="77777777" w:rsidR="006507E7" w:rsidRPr="00B60F40" w:rsidRDefault="006507E7" w:rsidP="006507E7">
            <w:pPr>
              <w:pStyle w:val="TableText"/>
              <w:numPr>
                <w:ilvl w:val="0"/>
                <w:numId w:val="4"/>
              </w:numPr>
              <w:tabs>
                <w:tab w:val="left" w:pos="227"/>
              </w:tabs>
              <w:spacing w:before="0" w:after="0"/>
              <w:ind w:left="227" w:hanging="227"/>
              <w:rPr>
                <w:rFonts w:ascii="Arial Narrow" w:hAnsi="Arial Narrow"/>
                <w:sz w:val="20"/>
                <w:szCs w:val="20"/>
              </w:rPr>
            </w:pPr>
            <w:r w:rsidRPr="00B60F40">
              <w:rPr>
                <w:rFonts w:ascii="Arial Narrow" w:hAnsi="Arial Narrow"/>
                <w:sz w:val="20"/>
                <w:szCs w:val="20"/>
              </w:rPr>
              <w:t>Uncertain weighting of comparator in economic evaluation (38% ECMO for HR-PCI and 100% ECMO for CS); not in line with PICO; favours the intervention Unclear applicability issues, especially for studies of CS and RHF populations</w:t>
            </w:r>
          </w:p>
          <w:p w14:paraId="7F03F1FF" w14:textId="77777777" w:rsidR="006507E7" w:rsidRPr="00B60F40" w:rsidRDefault="006507E7" w:rsidP="006507E7">
            <w:pPr>
              <w:pStyle w:val="TableText"/>
              <w:numPr>
                <w:ilvl w:val="0"/>
                <w:numId w:val="4"/>
              </w:numPr>
              <w:tabs>
                <w:tab w:val="left" w:pos="227"/>
              </w:tabs>
              <w:spacing w:before="0" w:after="0"/>
              <w:ind w:left="227" w:hanging="227"/>
              <w:rPr>
                <w:rFonts w:ascii="Arial Narrow" w:hAnsi="Arial Narrow"/>
                <w:sz w:val="20"/>
                <w:szCs w:val="20"/>
              </w:rPr>
            </w:pPr>
            <w:r w:rsidRPr="00B60F40">
              <w:rPr>
                <w:rFonts w:ascii="Arial Narrow" w:hAnsi="Arial Narrow"/>
                <w:sz w:val="20"/>
                <w:szCs w:val="20"/>
              </w:rPr>
              <w:t>Structural issues/assumptions favour the intervention</w:t>
            </w:r>
          </w:p>
          <w:p w14:paraId="5567B17B" w14:textId="77777777" w:rsidR="006507E7" w:rsidRPr="00B60F40" w:rsidRDefault="006507E7" w:rsidP="006507E7">
            <w:pPr>
              <w:pStyle w:val="TableText"/>
              <w:numPr>
                <w:ilvl w:val="0"/>
                <w:numId w:val="4"/>
              </w:numPr>
              <w:tabs>
                <w:tab w:val="left" w:pos="227"/>
              </w:tabs>
              <w:spacing w:before="0"/>
              <w:ind w:left="227" w:hanging="227"/>
              <w:rPr>
                <w:rFonts w:ascii="Arial Narrow" w:hAnsi="Arial Narrow"/>
                <w:sz w:val="20"/>
                <w:szCs w:val="20"/>
              </w:rPr>
            </w:pPr>
            <w:r w:rsidRPr="00B60F40">
              <w:rPr>
                <w:rFonts w:ascii="Arial Narrow" w:hAnsi="Arial Narrow"/>
                <w:sz w:val="20"/>
                <w:szCs w:val="20"/>
              </w:rPr>
              <w:t xml:space="preserve">Highly uncertain and low-quality evidence (and data analysis) to estimate key model inputs with a high risk of bias. </w:t>
            </w:r>
          </w:p>
        </w:tc>
      </w:tr>
    </w:tbl>
    <w:p w14:paraId="46EE7436" w14:textId="77777777" w:rsidR="006507E7" w:rsidRPr="006032B0" w:rsidRDefault="006507E7" w:rsidP="006032B0">
      <w:pPr>
        <w:pStyle w:val="Heading2"/>
        <w:spacing w:after="120"/>
        <w:rPr>
          <w:b/>
          <w:i w:val="0"/>
        </w:rPr>
      </w:pPr>
      <w:r w:rsidRPr="006032B0">
        <w:rPr>
          <w:b/>
          <w:i w:val="0"/>
        </w:rPr>
        <w:t>ESC discussion</w:t>
      </w:r>
    </w:p>
    <w:p w14:paraId="56E1353A" w14:textId="545DA631" w:rsidR="006507E7" w:rsidRPr="00EB3768" w:rsidRDefault="006507E7" w:rsidP="002F439F">
      <w:pPr>
        <w:spacing w:after="240"/>
      </w:pPr>
      <w:r>
        <w:t xml:space="preserve">ESC noted the six proposed MBS item descriptors for </w:t>
      </w:r>
      <w:r w:rsidRPr="003220BE">
        <w:t>insertion, management, repositioning and removal of an intravascular microaxial ventricular assist device ([IMVAD] Impella</w:t>
      </w:r>
      <w:r w:rsidRPr="003220BE">
        <w:rPr>
          <w:vertAlign w:val="superscript"/>
        </w:rPr>
        <w:t>®</w:t>
      </w:r>
      <w:r w:rsidRPr="003220BE">
        <w:t>)</w:t>
      </w:r>
      <w:r>
        <w:t xml:space="preserve">. ESC suggested that an item for daily management and monitoring is not warranted. ESC also considered that a separate item for percutaneous removal is not necessary and could be removed. ESC noted that surgical insertion would be used as a last resort (i.e. only if percutaneous insertion is not possible) and this should </w:t>
      </w:r>
      <w:r w:rsidR="002F439F">
        <w:t>be reflected in the descriptor.</w:t>
      </w:r>
    </w:p>
    <w:p w14:paraId="2AB77837" w14:textId="556F399F" w:rsidR="006507E7" w:rsidRPr="00EB3768" w:rsidRDefault="006507E7" w:rsidP="002F439F">
      <w:pPr>
        <w:spacing w:after="240"/>
      </w:pPr>
      <w:r>
        <w:t xml:space="preserve">ESC noted that the application is supported by </w:t>
      </w:r>
      <w:r w:rsidRPr="006C1EA2">
        <w:t>consumer and professional groups</w:t>
      </w:r>
      <w:r>
        <w:t xml:space="preserve">, but acknowledged that </w:t>
      </w:r>
      <w:r w:rsidRPr="003220BE">
        <w:t>I</w:t>
      </w:r>
      <w:r>
        <w:t xml:space="preserve">MVAD use is proposed in a </w:t>
      </w:r>
      <w:r w:rsidRPr="006C1EA2">
        <w:t xml:space="preserve">small group of patients </w:t>
      </w:r>
      <w:r>
        <w:t>expected to have</w:t>
      </w:r>
      <w:r w:rsidRPr="006C1EA2">
        <w:t xml:space="preserve"> very poor </w:t>
      </w:r>
      <w:r>
        <w:t xml:space="preserve">health </w:t>
      </w:r>
      <w:r w:rsidRPr="006C1EA2">
        <w:t>outcomes</w:t>
      </w:r>
      <w:r>
        <w:t>,</w:t>
      </w:r>
      <w:r w:rsidRPr="006C1EA2">
        <w:t xml:space="preserve"> </w:t>
      </w:r>
      <w:r>
        <w:t>who would be</w:t>
      </w:r>
      <w:r w:rsidRPr="006C1EA2">
        <w:t xml:space="preserve"> likely to support </w:t>
      </w:r>
      <w:r>
        <w:t>any intervention</w:t>
      </w:r>
      <w:r w:rsidRPr="006C1EA2">
        <w:t xml:space="preserve"> that might have </w:t>
      </w:r>
      <w:r>
        <w:t xml:space="preserve">a </w:t>
      </w:r>
      <w:r w:rsidRPr="006C1EA2">
        <w:t xml:space="preserve">positive impact on </w:t>
      </w:r>
      <w:r>
        <w:t xml:space="preserve">their </w:t>
      </w:r>
      <w:r w:rsidRPr="006C1EA2">
        <w:t>life</w:t>
      </w:r>
      <w:r>
        <w:t>. ESC noted that the intervention would need to be provided in a tertiary hospital with associated out-of-pocket costs and access issues. Although expensive, it is the only therapeutic opti</w:t>
      </w:r>
      <w:r w:rsidR="002F439F">
        <w:t>on some of these patients have.</w:t>
      </w:r>
    </w:p>
    <w:p w14:paraId="1580C405" w14:textId="03BDEAD8" w:rsidR="006507E7" w:rsidRPr="00EB3768" w:rsidRDefault="006507E7" w:rsidP="002F439F">
      <w:pPr>
        <w:spacing w:after="240"/>
      </w:pPr>
      <w:r>
        <w:t>ESC noted that t</w:t>
      </w:r>
      <w:r w:rsidRPr="00040062">
        <w:t xml:space="preserve">he </w:t>
      </w:r>
      <w:r>
        <w:t xml:space="preserve">proposed </w:t>
      </w:r>
      <w:r w:rsidRPr="00040062">
        <w:t xml:space="preserve">algorithm for cardiogenic shock </w:t>
      </w:r>
      <w:r>
        <w:t xml:space="preserve">(CS) </w:t>
      </w:r>
      <w:r w:rsidRPr="00040062">
        <w:t>allow</w:t>
      </w:r>
      <w:r>
        <w:t>s</w:t>
      </w:r>
      <w:r w:rsidRPr="00040062">
        <w:t xml:space="preserve"> for </w:t>
      </w:r>
      <w:r w:rsidRPr="0091498E">
        <w:t xml:space="preserve">extracorporeal membrane oxygenation </w:t>
      </w:r>
      <w:r>
        <w:t>(</w:t>
      </w:r>
      <w:r w:rsidRPr="00040062">
        <w:t>ECMO</w:t>
      </w:r>
      <w:r>
        <w:t>)</w:t>
      </w:r>
      <w:r w:rsidRPr="00040062">
        <w:t xml:space="preserve"> to be used in addition to IMVAD despite the PICO confirmation requesting otherwise</w:t>
      </w:r>
      <w:r>
        <w:t xml:space="preserve">. ESC considered that </w:t>
      </w:r>
      <w:r w:rsidRPr="00040062">
        <w:t xml:space="preserve">there could be a case for using both </w:t>
      </w:r>
      <w:r w:rsidRPr="00040062">
        <w:lastRenderedPageBreak/>
        <w:t xml:space="preserve">in </w:t>
      </w:r>
      <w:r>
        <w:t>patients</w:t>
      </w:r>
      <w:r w:rsidRPr="00040062">
        <w:t xml:space="preserve"> who require better oxygenation.</w:t>
      </w:r>
      <w:r>
        <w:t xml:space="preserve"> ESC noted that there is an active trial in the USA using Impella to comple</w:t>
      </w:r>
      <w:r w:rsidR="002F439F">
        <w:t>ment ECMO for CS (NCT03431467).</w:t>
      </w:r>
    </w:p>
    <w:p w14:paraId="1F531D78" w14:textId="5232F012" w:rsidR="006507E7" w:rsidRDefault="006507E7" w:rsidP="002F439F">
      <w:pPr>
        <w:spacing w:after="240"/>
      </w:pPr>
      <w:r>
        <w:t xml:space="preserve">ESC considered that a price differential between percutaneous and surgical insertion procedures is appropriate, but </w:t>
      </w:r>
      <w:r w:rsidRPr="003220BE">
        <w:t xml:space="preserve">the quantum of reimbursement </w:t>
      </w:r>
      <w:r>
        <w:t>has</w:t>
      </w:r>
      <w:r w:rsidRPr="003220BE">
        <w:t xml:space="preserve"> not</w:t>
      </w:r>
      <w:r>
        <w:t xml:space="preserve"> been</w:t>
      </w:r>
      <w:r w:rsidRPr="003220BE">
        <w:t xml:space="preserve"> adequately justified</w:t>
      </w:r>
      <w:r>
        <w:t>. ESC considered that the p</w:t>
      </w:r>
      <w:r w:rsidRPr="00040062">
        <w:t xml:space="preserve">rice </w:t>
      </w:r>
      <w:r>
        <w:t>differential</w:t>
      </w:r>
      <w:r w:rsidRPr="00040062">
        <w:t xml:space="preserve"> between methods </w:t>
      </w:r>
      <w:r>
        <w:t>is unlikely to influence</w:t>
      </w:r>
      <w:r w:rsidRPr="00040062">
        <w:t xml:space="preserve"> practitioner behaviour and patient choice</w:t>
      </w:r>
      <w:r w:rsidR="002F439F">
        <w:t>.</w:t>
      </w:r>
    </w:p>
    <w:p w14:paraId="1CE504AD" w14:textId="52FEA4AF" w:rsidR="006507E7" w:rsidRPr="002F439F" w:rsidRDefault="006507E7" w:rsidP="002F439F">
      <w:pPr>
        <w:spacing w:after="240"/>
        <w:rPr>
          <w:iCs/>
        </w:rPr>
      </w:pPr>
      <w:r>
        <w:t xml:space="preserve">ESC noted there are no current restrictions on the proposed MBS item descriptors on the number of times the device can be used (including insertion, and removal) in a single period of care. ESC noted the device would remain insitu for a </w:t>
      </w:r>
      <w:r w:rsidRPr="00615717">
        <w:rPr>
          <w:iCs/>
        </w:rPr>
        <w:t xml:space="preserve">number of days and require </w:t>
      </w:r>
      <w:r>
        <w:rPr>
          <w:iCs/>
        </w:rPr>
        <w:t>regular review by the treating d</w:t>
      </w:r>
      <w:r w:rsidRPr="00615717">
        <w:rPr>
          <w:iCs/>
        </w:rPr>
        <w:t>octor in either an intensive care, high dependency or a coronary care unit setting.</w:t>
      </w:r>
    </w:p>
    <w:p w14:paraId="18F1251C" w14:textId="77777777" w:rsidR="006507E7" w:rsidRDefault="006507E7" w:rsidP="006507E7">
      <w:pPr>
        <w:pStyle w:val="NormalBeforeBullet"/>
      </w:pPr>
      <w:r>
        <w:t>ESC noted the complexity and uncertainty regarding appropriate comparators for each of the proposed populations. ESC confirmed that the appropriate comparators are:</w:t>
      </w:r>
    </w:p>
    <w:p w14:paraId="762968DA" w14:textId="77777777" w:rsidR="006507E7" w:rsidRDefault="006507E7" w:rsidP="006507E7">
      <w:pPr>
        <w:pStyle w:val="Bullet"/>
      </w:pPr>
      <w:r>
        <w:t>for p</w:t>
      </w:r>
      <w:r w:rsidRPr="00EE5BC5">
        <w:t xml:space="preserve">atients undergoing </w:t>
      </w:r>
      <w:r>
        <w:t>h</w:t>
      </w:r>
      <w:r w:rsidRPr="00D53E58">
        <w:t xml:space="preserve">igh-risk percutaneous coronary interventions </w:t>
      </w:r>
      <w:r>
        <w:t>(</w:t>
      </w:r>
      <w:r w:rsidRPr="00D53E58">
        <w:t>HR-PCI</w:t>
      </w:r>
      <w:r>
        <w:t xml:space="preserve">) – </w:t>
      </w:r>
      <w:r w:rsidRPr="00D53E58">
        <w:t xml:space="preserve">intra-aortic balloon pump </w:t>
      </w:r>
      <w:r>
        <w:t>(</w:t>
      </w:r>
      <w:r w:rsidRPr="00D53E58">
        <w:t>IABP</w:t>
      </w:r>
      <w:r>
        <w:t xml:space="preserve">) and </w:t>
      </w:r>
      <w:r w:rsidRPr="00D53E58">
        <w:t>ECMO</w:t>
      </w:r>
    </w:p>
    <w:p w14:paraId="2DA8708D" w14:textId="77777777" w:rsidR="006507E7" w:rsidRDefault="006507E7" w:rsidP="006507E7">
      <w:pPr>
        <w:pStyle w:val="Bullet"/>
      </w:pPr>
      <w:r>
        <w:t>for p</w:t>
      </w:r>
      <w:r w:rsidRPr="00EE5BC5">
        <w:t xml:space="preserve">atients with </w:t>
      </w:r>
      <w:r>
        <w:t>CS – ECMO (though no evidence for this)</w:t>
      </w:r>
    </w:p>
    <w:p w14:paraId="31F2A6B8" w14:textId="77777777" w:rsidR="006507E7" w:rsidRDefault="006507E7" w:rsidP="006507E7">
      <w:pPr>
        <w:pStyle w:val="BulletLast"/>
      </w:pPr>
      <w:r>
        <w:t>for p</w:t>
      </w:r>
      <w:r w:rsidRPr="00720300">
        <w:t>atients with isolated right heart failure (RHF)</w:t>
      </w:r>
      <w:r>
        <w:t xml:space="preserve"> – ECMO.</w:t>
      </w:r>
    </w:p>
    <w:p w14:paraId="2AA3AEC8" w14:textId="5A04A206" w:rsidR="006507E7" w:rsidRDefault="006507E7" w:rsidP="002F439F">
      <w:pPr>
        <w:spacing w:after="240"/>
      </w:pPr>
      <w:r>
        <w:t>However, ESC noted that for the HR-PCI population, the weightings given to IABP (62%) and ECMO (38%) are not sufficiently justified. Recent studies have shown that IABP has limited value in the context of HR-PCI, and ECMO is now more widely used. ESC also noted that although ECMO is likely to be the treatment of choice for CS, there is no evidence that IABP is not used at all. ESC noted that guidelines quoted in the applicant’s pre-ESC response (justifying the choice of ECMO over IABP as comparator) refer to routine use of IABP in CS (</w:t>
      </w:r>
      <w:r w:rsidRPr="002A73C5">
        <w:rPr>
          <w:lang w:val="en-US"/>
        </w:rPr>
        <w:t>European Society of Cardiology</w:t>
      </w:r>
      <w:r>
        <w:rPr>
          <w:lang w:val="en-US"/>
        </w:rPr>
        <w:t xml:space="preserve">, </w:t>
      </w:r>
      <w:r w:rsidRPr="00E504F9">
        <w:t>Class IIIB recommendation</w:t>
      </w:r>
      <w:r>
        <w:rPr>
          <w:lang w:val="en-US"/>
        </w:rPr>
        <w:t xml:space="preserve">) and use of IABP in </w:t>
      </w:r>
      <w:r>
        <w:t>CS associated with</w:t>
      </w:r>
      <w:r w:rsidRPr="00E504F9">
        <w:t xml:space="preserve"> acute myocardial infarction</w:t>
      </w:r>
      <w:r>
        <w:t xml:space="preserve"> (</w:t>
      </w:r>
      <w:r w:rsidRPr="00E504F9">
        <w:rPr>
          <w:lang w:val="en-US"/>
        </w:rPr>
        <w:t>Card</w:t>
      </w:r>
      <w:bookmarkStart w:id="17" w:name="Editing"/>
      <w:bookmarkEnd w:id="17"/>
      <w:r w:rsidRPr="00E504F9">
        <w:rPr>
          <w:lang w:val="en-US"/>
        </w:rPr>
        <w:t>iac Society of Australia and New Zealand</w:t>
      </w:r>
      <w:r>
        <w:rPr>
          <w:lang w:val="en-US"/>
        </w:rPr>
        <w:t>)</w:t>
      </w:r>
      <w:r w:rsidR="002F439F">
        <w:t>.</w:t>
      </w:r>
    </w:p>
    <w:p w14:paraId="73D49B5B" w14:textId="391E960D" w:rsidR="006507E7" w:rsidRDefault="006507E7" w:rsidP="002F439F">
      <w:pPr>
        <w:spacing w:after="240"/>
      </w:pPr>
      <w:r w:rsidRPr="00DB195E">
        <w:t xml:space="preserve">ESC considered that it would be useful to have more data </w:t>
      </w:r>
      <w:r>
        <w:t>on</w:t>
      </w:r>
      <w:r w:rsidRPr="00DB195E">
        <w:t xml:space="preserve"> the proportions of ECMO and IABP used in practice in </w:t>
      </w:r>
      <w:r w:rsidRPr="00D53E58">
        <w:t>HR-PCI</w:t>
      </w:r>
      <w:r w:rsidRPr="00DB195E">
        <w:t xml:space="preserve"> </w:t>
      </w:r>
      <w:r>
        <w:t>and CS sub</w:t>
      </w:r>
      <w:r w:rsidRPr="00DB195E">
        <w:t>populations.</w:t>
      </w:r>
      <w:r>
        <w:t xml:space="preserve"> ESC suggested that data may be available from the </w:t>
      </w:r>
      <w:r w:rsidRPr="004772C0">
        <w:t xml:space="preserve">Australian and New Zealand Intensive Care Society </w:t>
      </w:r>
      <w:r w:rsidR="002F439F">
        <w:t>ECMO Registry.</w:t>
      </w:r>
    </w:p>
    <w:p w14:paraId="741F33D9" w14:textId="40A559C4" w:rsidR="006507E7" w:rsidRDefault="006507E7" w:rsidP="002F439F">
      <w:pPr>
        <w:spacing w:after="240"/>
      </w:pPr>
      <w:r>
        <w:t xml:space="preserve">ESC noted that the limited randomised controlled trials (RCTs) comparing IMVAD to IABP (in HR-PCI and CS subpopulations) suggested that </w:t>
      </w:r>
      <w:r w:rsidRPr="002A214C">
        <w:t>IMVAD may not be as safe as IABP</w:t>
      </w:r>
      <w:r>
        <w:t>, which highlights the necessity for better quality studies. However, ESC also acknowledged the difficulty of conducting RCTs in this population due to difficulties in recruitment and gaining consent, especially for patients with CS. ESC also noted the pivotal RCT (PROTECTII) in HR-PCI population was not completed as planned on the grounds of futility. ESC noted that there are no relevant trials currently rec</w:t>
      </w:r>
      <w:r w:rsidR="002F439F">
        <w:t>ruiting for the RHF population.</w:t>
      </w:r>
    </w:p>
    <w:p w14:paraId="7B81C95C" w14:textId="49AF54A2" w:rsidR="006507E7" w:rsidRDefault="006507E7" w:rsidP="002F439F">
      <w:pPr>
        <w:spacing w:after="240"/>
      </w:pPr>
      <w:r>
        <w:t xml:space="preserve">ESC noted that – because of the lack of RCT data, the poor quality of data (e.g., sourcing from a small single arm study) and flawed naïve indirect comparisons – comparative safety and effectiveness are highly uncertain. The </w:t>
      </w:r>
      <w:r w:rsidRPr="00353DDB">
        <w:t>assessment</w:t>
      </w:r>
      <w:r>
        <w:t>s for</w:t>
      </w:r>
      <w:r w:rsidRPr="00353DDB">
        <w:t xml:space="preserve"> safety </w:t>
      </w:r>
      <w:r>
        <w:t>and</w:t>
      </w:r>
      <w:r w:rsidRPr="00353DDB">
        <w:t xml:space="preserve"> effectiveness </w:t>
      </w:r>
      <w:r>
        <w:t>are all</w:t>
      </w:r>
      <w:r w:rsidRPr="00353DDB">
        <w:t xml:space="preserve"> subject to bias and confounding</w:t>
      </w:r>
      <w:r w:rsidR="002F439F">
        <w:t>.</w:t>
      </w:r>
    </w:p>
    <w:p w14:paraId="2DF92DC5" w14:textId="1982AA71" w:rsidR="006507E7" w:rsidRPr="00EB3768" w:rsidRDefault="006507E7" w:rsidP="002F439F">
      <w:pPr>
        <w:spacing w:after="240"/>
      </w:pPr>
      <w:r>
        <w:t>ESC also noted that there is likely to be anchoring bias among clinicians leading to IMVAD being u</w:t>
      </w:r>
      <w:r w:rsidR="002F439F">
        <w:t>sed despite a lack of evidence.</w:t>
      </w:r>
    </w:p>
    <w:p w14:paraId="65C5DBF6" w14:textId="1A7537CC" w:rsidR="006507E7" w:rsidRPr="001F017C" w:rsidRDefault="006507E7" w:rsidP="002F439F">
      <w:pPr>
        <w:spacing w:after="240"/>
      </w:pPr>
      <w:r>
        <w:t xml:space="preserve">ESC noted that issues raised in the Critique in relation to 30-day mortality data (primary effectiveness outcome) had not been adequately addressed due to the poor quality of the data, </w:t>
      </w:r>
      <w:r>
        <w:lastRenderedPageBreak/>
        <w:t>and the submission’s flawed methodology for conducting the naïve indirect comparisons of single-arm</w:t>
      </w:r>
      <w:r w:rsidR="002F439F">
        <w:t xml:space="preserve"> studies (e.g. simple pooling).</w:t>
      </w:r>
    </w:p>
    <w:p w14:paraId="3DD78B1B" w14:textId="515647E5" w:rsidR="006507E7" w:rsidRDefault="006507E7" w:rsidP="002F439F">
      <w:pPr>
        <w:spacing w:after="240"/>
      </w:pPr>
      <w:r>
        <w:t>ESC noted that issues remain about the applicability of study populations to the proposed MBS population (in particular, for studies</w:t>
      </w:r>
      <w:r w:rsidR="002F439F">
        <w:t xml:space="preserve"> in CS and RHF subpopulations).</w:t>
      </w:r>
    </w:p>
    <w:p w14:paraId="11006AA5" w14:textId="77777777" w:rsidR="006507E7" w:rsidRDefault="006507E7" w:rsidP="006507E7">
      <w:pPr>
        <w:pStyle w:val="NormalBeforeBullet"/>
      </w:pPr>
      <w:r>
        <w:t>ESC noted the following key structural issues with the model:</w:t>
      </w:r>
    </w:p>
    <w:p w14:paraId="5807FBA1" w14:textId="77777777" w:rsidR="006507E7" w:rsidRDefault="006507E7" w:rsidP="006507E7">
      <w:pPr>
        <w:pStyle w:val="Bullet"/>
      </w:pPr>
      <w:r>
        <w:t xml:space="preserve">No conceptualisation process or justification for the </w:t>
      </w:r>
      <w:r w:rsidRPr="00A42DF5">
        <w:t>health states in th</w:t>
      </w:r>
      <w:r>
        <w:t>e</w:t>
      </w:r>
      <w:r w:rsidRPr="00A42DF5">
        <w:t xml:space="preserve"> model</w:t>
      </w:r>
      <w:r>
        <w:t xml:space="preserve"> was provided</w:t>
      </w:r>
      <w:r w:rsidRPr="00A42DF5">
        <w:t xml:space="preserve">, </w:t>
      </w:r>
      <w:r>
        <w:t xml:space="preserve">so it is unclear whether chosen health states and events reflect clinical progression of disease; choosing health states on the basis of available </w:t>
      </w:r>
      <w:r w:rsidRPr="00A42DF5">
        <w:t xml:space="preserve">data </w:t>
      </w:r>
      <w:r>
        <w:t>is</w:t>
      </w:r>
      <w:r w:rsidRPr="00A42DF5">
        <w:t xml:space="preserve"> inappropriate </w:t>
      </w:r>
    </w:p>
    <w:p w14:paraId="454D3876" w14:textId="564F64D5" w:rsidR="006507E7" w:rsidRDefault="006507E7" w:rsidP="006507E7">
      <w:pPr>
        <w:pStyle w:val="Bullet"/>
      </w:pPr>
      <w:r>
        <w:t>ESC noted the model is spilt between cycle 1, and cycles 2 and beyond. Cycle 1 is procedure dependent representing short term events (e.g., major bleeding) with stroke as the only long-term state with zero probability for the IMVAD arm. If</w:t>
      </w:r>
      <w:r w:rsidRPr="00A42DF5">
        <w:t xml:space="preserve"> patients experience stroke, they enter the </w:t>
      </w:r>
      <w:r>
        <w:t>‘</w:t>
      </w:r>
      <w:r w:rsidRPr="00A42DF5">
        <w:t>post-stroke</w:t>
      </w:r>
      <w:r>
        <w:t>’</w:t>
      </w:r>
      <w:r w:rsidRPr="00A42DF5">
        <w:t xml:space="preserve"> state at cycle</w:t>
      </w:r>
      <w:r>
        <w:t> 2</w:t>
      </w:r>
      <w:r w:rsidRPr="00A42DF5">
        <w:t xml:space="preserve"> and remain for 5</w:t>
      </w:r>
      <w:r>
        <w:t> </w:t>
      </w:r>
      <w:r w:rsidRPr="00A42DF5">
        <w:t xml:space="preserve">years </w:t>
      </w:r>
      <w:r w:rsidRPr="001E4B09">
        <w:t>until death</w:t>
      </w:r>
      <w:r>
        <w:t>.  Cycle 2 and beyond represent long-term events (e.g., hear</w:t>
      </w:r>
      <w:r w:rsidR="00A2313E">
        <w:t>t</w:t>
      </w:r>
      <w:r>
        <w:t xml:space="preserve"> failure), all events are procedure independent (due to lack of data); only one event </w:t>
      </w:r>
      <w:r w:rsidRPr="001E4B09">
        <w:t>can be experienced</w:t>
      </w:r>
      <w:r>
        <w:t xml:space="preserve"> and</w:t>
      </w:r>
      <w:r w:rsidRPr="001E4B09">
        <w:t xml:space="preserve"> </w:t>
      </w:r>
      <w:r>
        <w:t>p</w:t>
      </w:r>
      <w:r w:rsidRPr="001E4B09">
        <w:t>atients who experience an event remain for 5</w:t>
      </w:r>
      <w:r>
        <w:t> </w:t>
      </w:r>
      <w:r w:rsidRPr="001E4B09">
        <w:t>years until death</w:t>
      </w:r>
      <w:r>
        <w:t>. However, i</w:t>
      </w:r>
      <w:r w:rsidRPr="001E4B09">
        <w:t>n reality</w:t>
      </w:r>
      <w:r>
        <w:t>,</w:t>
      </w:r>
      <w:r w:rsidRPr="001E4B09">
        <w:t xml:space="preserve"> </w:t>
      </w:r>
      <w:r>
        <w:t xml:space="preserve">a </w:t>
      </w:r>
      <w:r w:rsidRPr="001E4B09">
        <w:t>patient could experience more than one of the events over the</w:t>
      </w:r>
      <w:r>
        <w:t xml:space="preserve"> model’s 5-year time horizon (e.g. </w:t>
      </w:r>
      <w:r w:rsidRPr="001E4B09">
        <w:t xml:space="preserve">an </w:t>
      </w:r>
      <w:r w:rsidRPr="00E504F9">
        <w:t>acute myocardial infarction</w:t>
      </w:r>
      <w:r w:rsidRPr="001E4B09">
        <w:t xml:space="preserve"> and then a stroke in a subsequent cycle</w:t>
      </w:r>
      <w:r>
        <w:t>).</w:t>
      </w:r>
    </w:p>
    <w:p w14:paraId="342891BE" w14:textId="7191F45D" w:rsidR="006507E7" w:rsidRDefault="006507E7" w:rsidP="002F439F">
      <w:pPr>
        <w:spacing w:after="240"/>
      </w:pPr>
      <w:r>
        <w:t>ESC also noted that key model inputs were sourced from low-quality evidence which had inappro</w:t>
      </w:r>
      <w:r w:rsidR="002F439F">
        <w:t>priate data analysis at source.</w:t>
      </w:r>
    </w:p>
    <w:p w14:paraId="2F5DC8D0" w14:textId="4BBF386B" w:rsidR="006507E7" w:rsidRDefault="006507E7" w:rsidP="002F439F">
      <w:pPr>
        <w:spacing w:before="240" w:after="240"/>
      </w:pPr>
      <w:r>
        <w:t xml:space="preserve">ESC noted that the Applicant revised the economic (base case) models in their pre-ESC response, acknowledging multiple errors made in analysis and estimates including Australian Refined Diagnosis-Related Groups (AR-DRGs), length of hospital and intensive care unit (ICU) stay, cost of device and cost adjustments. ESC suggested that the Assessment Group verify the revised economic models and estimates before the submission proceeds to MSAC, given the significant </w:t>
      </w:r>
      <w:r w:rsidR="002F439F">
        <w:t>impact on the base-case models.</w:t>
      </w:r>
    </w:p>
    <w:p w14:paraId="28F3F0A7" w14:textId="133AC548" w:rsidR="006507E7" w:rsidRDefault="006507E7" w:rsidP="002F439F">
      <w:pPr>
        <w:spacing w:after="240"/>
      </w:pPr>
      <w:r>
        <w:t>ESC noted that the revised incremental cost-effectiveness ratio (ICER) for the HR-PCI group is based on possible incorrect weightings of ECMO vs IABP (weights were based on a Dutch hospital registry). ESC also noted that the primary comparator in the PICO is IABP, and inclusion of ECMO in the economic evaluation favours the intervention. In addition, ESC noted that inconsistent use of per protocol data (rather than intention-to-treat [ITT] data) in the HR-PCI m</w:t>
      </w:r>
      <w:r w:rsidR="002F439F">
        <w:t>odel favours the intervention.</w:t>
      </w:r>
    </w:p>
    <w:p w14:paraId="61F1F569" w14:textId="7A6004EB" w:rsidR="006507E7" w:rsidRDefault="006507E7" w:rsidP="002F439F">
      <w:pPr>
        <w:spacing w:after="240"/>
      </w:pPr>
      <w:r>
        <w:t>ESC noted that use of ECMO as the comparator for the CS model</w:t>
      </w:r>
      <w:r w:rsidR="002F439F">
        <w:t xml:space="preserve"> is inconsistent with the PICO.</w:t>
      </w:r>
    </w:p>
    <w:p w14:paraId="0BE83589" w14:textId="0756FC88" w:rsidR="006507E7" w:rsidRDefault="006507E7" w:rsidP="002F439F">
      <w:pPr>
        <w:spacing w:after="240"/>
      </w:pPr>
      <w:r>
        <w:t>ESC noted the Applicant provided additional financial analyses (sensitivity analyses) in their pre-ESC response due to the uncertainty in the eligible population (in particular, the number of patients with RHF after heart surgery</w:t>
      </w:r>
      <w:r w:rsidR="0024334B">
        <w:t>)</w:t>
      </w:r>
      <w:r w:rsidR="002F439F">
        <w:t>.</w:t>
      </w:r>
    </w:p>
    <w:p w14:paraId="36EA7F3E" w14:textId="25CE5CB0" w:rsidR="006507E7" w:rsidRDefault="006507E7" w:rsidP="006507E7">
      <w:r>
        <w:t>ESC noted that cost savings to the MBS would mainly result from reduction in the use of ECMO. ESC considered that cost savings may be less than estimated due to uncertainty around the s</w:t>
      </w:r>
      <w:r w:rsidRPr="00424C37">
        <w:t>ize of</w:t>
      </w:r>
      <w:r>
        <w:t xml:space="preserve"> the</w:t>
      </w:r>
      <w:r w:rsidRPr="00424C37">
        <w:t xml:space="preserve"> eligible population (especially the RHF population)</w:t>
      </w:r>
      <w:r>
        <w:t>, and the u</w:t>
      </w:r>
      <w:r w:rsidRPr="00424C37">
        <w:t xml:space="preserve">se of ECMO and </w:t>
      </w:r>
      <w:r>
        <w:t xml:space="preserve">associated </w:t>
      </w:r>
      <w:r w:rsidRPr="00424C37">
        <w:t>costs associated</w:t>
      </w:r>
      <w:r w:rsidR="002F439F">
        <w:t>.</w:t>
      </w:r>
    </w:p>
    <w:p w14:paraId="397B76AD" w14:textId="43409348" w:rsidR="006507E7" w:rsidRDefault="006507E7" w:rsidP="002F439F">
      <w:pPr>
        <w:spacing w:after="240"/>
      </w:pPr>
      <w:r>
        <w:lastRenderedPageBreak/>
        <w:t>ESC noted that the financial estimates include the item for percutaneous removal of the device. ESC noted contradictory statements in the Critique and the pre-ESC response as to whether the percutaneous removal item was withdra</w:t>
      </w:r>
      <w:r w:rsidR="002F439F">
        <w:t>wn. This needs to be clarified.</w:t>
      </w:r>
    </w:p>
    <w:p w14:paraId="50849088" w14:textId="0CE4C505" w:rsidR="006507E7" w:rsidRDefault="006507E7" w:rsidP="006507E7">
      <w:r>
        <w:t>ESC noted a submi</w:t>
      </w:r>
      <w:r w:rsidR="00032834">
        <w:t xml:space="preserve">ssion for the device to the </w:t>
      </w:r>
      <w:r w:rsidR="0057033E">
        <w:t>PLAC was underway</w:t>
      </w:r>
      <w:r>
        <w:t>.</w:t>
      </w:r>
    </w:p>
    <w:p w14:paraId="6AE28678" w14:textId="77777777" w:rsidR="00C57390" w:rsidRPr="00F715D1" w:rsidRDefault="00C57390" w:rsidP="00C57390">
      <w:pPr>
        <w:pStyle w:val="Heading1"/>
      </w:pPr>
      <w:r w:rsidRPr="00F715D1">
        <w:t>Other significant factors</w:t>
      </w:r>
    </w:p>
    <w:p w14:paraId="0F4DAC7F" w14:textId="23F9C89C" w:rsidR="00C57390" w:rsidRPr="00DA1112" w:rsidRDefault="00C57390" w:rsidP="00C57390">
      <w:pPr>
        <w:spacing w:after="240"/>
        <w:rPr>
          <w:szCs w:val="24"/>
        </w:rPr>
      </w:pPr>
      <w:r w:rsidRPr="00DA1112">
        <w:rPr>
          <w:szCs w:val="24"/>
        </w:rPr>
        <w:t>Nil</w:t>
      </w:r>
    </w:p>
    <w:p w14:paraId="31DF4434" w14:textId="77777777" w:rsidR="00C57390" w:rsidRPr="00F715D1" w:rsidRDefault="00C57390" w:rsidP="00C57390">
      <w:pPr>
        <w:pStyle w:val="Heading1"/>
      </w:pPr>
      <w:r w:rsidRPr="00F715D1">
        <w:t>Applicant’s comments on MSAC’s Public Summary Document</w:t>
      </w:r>
    </w:p>
    <w:p w14:paraId="70275646" w14:textId="759009C9" w:rsidR="00B7708D" w:rsidRPr="009F3C48" w:rsidRDefault="00B7708D" w:rsidP="002F439F">
      <w:pPr>
        <w:autoSpaceDE w:val="0"/>
        <w:autoSpaceDN w:val="0"/>
        <w:spacing w:after="240"/>
        <w:rPr>
          <w:szCs w:val="24"/>
        </w:rPr>
      </w:pPr>
      <w:r w:rsidRPr="009F3C48">
        <w:rPr>
          <w:color w:val="000000"/>
          <w:szCs w:val="24"/>
        </w:rPr>
        <w:t xml:space="preserve">Abiomed is disappointed with MSAC’s decision not to recommend Impella for reimbursement for the Australian population on the Medicare Benefits Schedule.  </w:t>
      </w:r>
      <w:r w:rsidRPr="009F3C48">
        <w:rPr>
          <w:szCs w:val="24"/>
        </w:rPr>
        <w:t>Impella® devices are approved as safe and effective by several international regulatory bodies including the U.S. FDA (2015, 2016) and Japan PMDA (2016).  Impella heart pumps are supported in eight clinical society guidelines.   Based on the best available evidence, the applicant believes that it has demonstrated that Impella® is as effective as IABP in HR-PCI patients and more effective than ECMO in RHF and CS patients. The cardiogenic shock population presents unique challenges for randomized clinical trials (RCTs) and over seven RCTs have been attempted but have been stopped due to low enrolment or methodological flaws.  Recent publications from the physician-led National Cardiogenic Shock Initiative have shown CS survival rates over seventy percent with the use of Impella and CS protocols.  Impella®, with defined patient selection and protocolized management, is showing improved survival (72% survival in 171 patients) in AMI Cardiogeni</w:t>
      </w:r>
      <w:r w:rsidR="002F439F">
        <w:rPr>
          <w:szCs w:val="24"/>
        </w:rPr>
        <w:t>c Shock (Mir B. Basir. et al.).</w:t>
      </w:r>
    </w:p>
    <w:p w14:paraId="47C85CD9" w14:textId="613E3222" w:rsidR="00B7708D" w:rsidRPr="002F439F" w:rsidRDefault="00B7708D" w:rsidP="002F439F">
      <w:pPr>
        <w:autoSpaceDE w:val="0"/>
        <w:autoSpaceDN w:val="0"/>
        <w:spacing w:after="240"/>
        <w:rPr>
          <w:szCs w:val="24"/>
        </w:rPr>
      </w:pPr>
      <w:r w:rsidRPr="009F3C48">
        <w:rPr>
          <w:szCs w:val="24"/>
        </w:rPr>
        <w:t>Analysis of systematic reviews (Maini et al. 2014) have demonstrated that pVADs achieve better outcomes at lower costs and that they are a dominant therapy (e.g., discharge survival was greater with pVADs than surgical alternatives (56% vs. 42%, P &lt; 0.001) with a strong trend toward reduced LOS (13.2 and 17.9 days, respectively, P = 0.055) and a lower cost of the index admission (US$90.929 and US$144,257, respectively, P &lt; 0.0001).  Impella has been demonstrated to be cost-effective in several settings. Gregory et al. (2013) found Impella is cost-effective in HR-PCI with an ICER of US$39,389/QALY and Stretch, et al. (2014) demonstrated that, in cardiogenic shock and other heart disease, pVADs reduced costs by US$45,000 and US$54,000 per case, respectively,</w:t>
      </w:r>
      <w:r w:rsidR="002F439F">
        <w:rPr>
          <w:szCs w:val="24"/>
        </w:rPr>
        <w:t xml:space="preserve"> and reduced mortality by 58%.</w:t>
      </w:r>
    </w:p>
    <w:p w14:paraId="2E3AFA09" w14:textId="0A7EBCA3" w:rsidR="00B7708D" w:rsidRDefault="00B7708D" w:rsidP="00B7708D">
      <w:pPr>
        <w:autoSpaceDE w:val="0"/>
        <w:autoSpaceDN w:val="0"/>
        <w:rPr>
          <w:sz w:val="20"/>
        </w:rPr>
      </w:pPr>
      <w:r>
        <w:rPr>
          <w:sz w:val="20"/>
        </w:rPr>
        <w:t>References:</w:t>
      </w:r>
    </w:p>
    <w:p w14:paraId="6C9EDD53" w14:textId="30259E69" w:rsidR="00B7708D" w:rsidRDefault="00B7708D" w:rsidP="00B7708D">
      <w:pPr>
        <w:autoSpaceDE w:val="0"/>
        <w:autoSpaceDN w:val="0"/>
        <w:rPr>
          <w:sz w:val="20"/>
        </w:rPr>
      </w:pPr>
      <w:r>
        <w:rPr>
          <w:sz w:val="20"/>
        </w:rPr>
        <w:t>[{</w:t>
      </w:r>
      <w:r>
        <w:rPr>
          <w:color w:val="000000"/>
          <w:sz w:val="20"/>
        </w:rPr>
        <w:t xml:space="preserve">Atkinson, T.M., et al., </w:t>
      </w:r>
      <w:r>
        <w:rPr>
          <w:i/>
          <w:iCs/>
          <w:color w:val="000000"/>
          <w:sz w:val="20"/>
        </w:rPr>
        <w:t>A practical approach to mechanical circulatory support in patients undergoing percutaneous coronary intervention: an interventional perspective</w:t>
      </w:r>
      <w:r>
        <w:rPr>
          <w:color w:val="000000"/>
          <w:sz w:val="20"/>
        </w:rPr>
        <w:t>. JACC: Cardiovascular Interventions, 2016. 9(9): p. 871-883</w:t>
      </w:r>
      <w:r>
        <w:rPr>
          <w:sz w:val="20"/>
        </w:rPr>
        <w:t xml:space="preserve">}; {Gregory, D. et al., </w:t>
      </w:r>
      <w:r>
        <w:rPr>
          <w:i/>
          <w:iCs/>
          <w:sz w:val="20"/>
        </w:rPr>
        <w:t>A value-based analysis of hemodynamic support strategies for high-risk heart failure patients undergoing a percutaneous coronary intervention.</w:t>
      </w:r>
      <w:r>
        <w:rPr>
          <w:sz w:val="20"/>
        </w:rPr>
        <w:t xml:space="preserve"> 2013. 6(2): p. 88.}; {Maini, B., D.J. Scotti, and D. Gregory, </w:t>
      </w:r>
      <w:r>
        <w:rPr>
          <w:i/>
          <w:iCs/>
          <w:sz w:val="20"/>
        </w:rPr>
        <w:t>Health economics of percutaneous hemodynamic support in the treatment of high-risk cardiac patients: a systematic appraisal of the literature.</w:t>
      </w:r>
      <w:r>
        <w:rPr>
          <w:sz w:val="20"/>
        </w:rPr>
        <w:t xml:space="preserve"> Expert review of pharmacoeconomics &amp; outcomes research, 2014. 14(3): p. 403-416}; {Mir B. Basir., et al. </w:t>
      </w:r>
      <w:r>
        <w:rPr>
          <w:i/>
          <w:iCs/>
          <w:sz w:val="20"/>
        </w:rPr>
        <w:t>Improved Outcomes Associated with the use of Shock Protocols: Updates from the National Cardiogenic Shock Initiative</w:t>
      </w:r>
      <w:r>
        <w:rPr>
          <w:sz w:val="20"/>
        </w:rPr>
        <w:t xml:space="preserve">, Catheter Cardiovasc Interv. 2019;1–11}; {Stretch, R. et al. </w:t>
      </w:r>
      <w:r>
        <w:rPr>
          <w:i/>
          <w:iCs/>
          <w:sz w:val="20"/>
        </w:rPr>
        <w:t>National Trends in the Utilization of Short-Term Mechanical Circulatory Support. Journal of the American College of Cardiology</w:t>
      </w:r>
      <w:r>
        <w:rPr>
          <w:sz w:val="20"/>
        </w:rPr>
        <w:t>, 2014. 64(14): p. 1407-1415}]</w:t>
      </w:r>
    </w:p>
    <w:p w14:paraId="377E9DC7" w14:textId="77777777" w:rsidR="00C57390" w:rsidRPr="00F715D1" w:rsidRDefault="00C57390" w:rsidP="00C57390">
      <w:pPr>
        <w:pStyle w:val="Heading1"/>
      </w:pPr>
      <w:r w:rsidRPr="00F715D1">
        <w:t>Further information on MSAC</w:t>
      </w:r>
    </w:p>
    <w:p w14:paraId="57DDC44E" w14:textId="76B38469" w:rsidR="00280050" w:rsidRPr="006032B0" w:rsidRDefault="00C57390" w:rsidP="006032B0">
      <w:pPr>
        <w:spacing w:after="240"/>
        <w:rPr>
          <w:szCs w:val="24"/>
        </w:rPr>
      </w:pPr>
      <w:r w:rsidRPr="00F715D1">
        <w:rPr>
          <w:szCs w:val="24"/>
        </w:rPr>
        <w:t xml:space="preserve">MSAC Terms of Reference and other information are available on the MSAC Website: </w:t>
      </w:r>
      <w:r>
        <w:rPr>
          <w:szCs w:val="24"/>
        </w:rPr>
        <w:br/>
      </w:r>
      <w:hyperlink r:id="rId14" w:tooltip="Link to Medical Services Advisory Committee website" w:history="1">
        <w:r w:rsidRPr="00F715D1">
          <w:rPr>
            <w:rStyle w:val="Hyperlink"/>
            <w:szCs w:val="24"/>
          </w:rPr>
          <w:t>visit the MSAC website</w:t>
        </w:r>
      </w:hyperlink>
    </w:p>
    <w:sectPr w:rsidR="00280050" w:rsidRPr="006032B0" w:rsidSect="008C2A2E">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7C729" w16cid:durableId="21F7A657"/>
  <w16cid:commentId w16cid:paraId="35448D4E" w16cid:durableId="21F7A7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F22D" w14:textId="77777777" w:rsidR="00DC1117" w:rsidRDefault="00DC1117">
      <w:r>
        <w:separator/>
      </w:r>
    </w:p>
  </w:endnote>
  <w:endnote w:type="continuationSeparator" w:id="0">
    <w:p w14:paraId="3D4B3C48" w14:textId="77777777" w:rsidR="00DC1117" w:rsidRDefault="00DC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14117" w14:textId="77777777" w:rsidR="00DC1117" w:rsidRDefault="00DC1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706839A4" w14:textId="7F42E40A" w:rsidR="00DC1117" w:rsidRDefault="00DC1117">
        <w:pPr>
          <w:pStyle w:val="Footer"/>
          <w:jc w:val="right"/>
        </w:pPr>
        <w:r>
          <w:fldChar w:fldCharType="begin"/>
        </w:r>
        <w:r>
          <w:instrText xml:space="preserve"> PAGE   \* MERGEFORMAT </w:instrText>
        </w:r>
        <w:r>
          <w:fldChar w:fldCharType="separate"/>
        </w:r>
        <w:r w:rsidR="00265C8C">
          <w:rPr>
            <w:noProof/>
          </w:rPr>
          <w:t>1</w:t>
        </w:r>
        <w:r>
          <w:rPr>
            <w:noProof/>
          </w:rPr>
          <w:fldChar w:fldCharType="end"/>
        </w:r>
      </w:p>
    </w:sdtContent>
  </w:sdt>
  <w:p w14:paraId="697844F5" w14:textId="77777777" w:rsidR="00DC1117" w:rsidRDefault="00DC1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1D72A" w14:textId="77777777" w:rsidR="00DC1117" w:rsidRDefault="00DC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310F3" w14:textId="77777777" w:rsidR="00DC1117" w:rsidRDefault="00DC1117">
      <w:r>
        <w:separator/>
      </w:r>
    </w:p>
  </w:footnote>
  <w:footnote w:type="continuationSeparator" w:id="0">
    <w:p w14:paraId="6D7B7BD2" w14:textId="77777777" w:rsidR="00DC1117" w:rsidRDefault="00DC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6955" w14:textId="77777777" w:rsidR="00DC1117" w:rsidRDefault="00DC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ACA9" w14:textId="77777777" w:rsidR="00DC1117" w:rsidRDefault="00DC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8C2B" w14:textId="77777777" w:rsidR="00DC1117" w:rsidRDefault="00DC1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D1E"/>
    <w:multiLevelType w:val="hybridMultilevel"/>
    <w:tmpl w:val="C10C6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013B92"/>
    <w:multiLevelType w:val="hybridMultilevel"/>
    <w:tmpl w:val="FB5A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085E9C"/>
    <w:multiLevelType w:val="hybridMultilevel"/>
    <w:tmpl w:val="B6CA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751461"/>
    <w:multiLevelType w:val="hybridMultilevel"/>
    <w:tmpl w:val="135E3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8"/>
  </w:num>
  <w:num w:numId="6">
    <w:abstractNumId w:val="7"/>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90"/>
    <w:rsid w:val="000000C8"/>
    <w:rsid w:val="0000509D"/>
    <w:rsid w:val="00012603"/>
    <w:rsid w:val="00032834"/>
    <w:rsid w:val="00044F98"/>
    <w:rsid w:val="0005332B"/>
    <w:rsid w:val="00057D7D"/>
    <w:rsid w:val="000B4F7D"/>
    <w:rsid w:val="000C7356"/>
    <w:rsid w:val="00116C66"/>
    <w:rsid w:val="00122F1B"/>
    <w:rsid w:val="00133D04"/>
    <w:rsid w:val="00152F0F"/>
    <w:rsid w:val="00190C0F"/>
    <w:rsid w:val="001E0947"/>
    <w:rsid w:val="00202335"/>
    <w:rsid w:val="00216ECF"/>
    <w:rsid w:val="00225C41"/>
    <w:rsid w:val="00230A9A"/>
    <w:rsid w:val="0024334B"/>
    <w:rsid w:val="00246988"/>
    <w:rsid w:val="00246999"/>
    <w:rsid w:val="00265C8C"/>
    <w:rsid w:val="00280050"/>
    <w:rsid w:val="00296D8C"/>
    <w:rsid w:val="002B1B73"/>
    <w:rsid w:val="002B400B"/>
    <w:rsid w:val="002B577A"/>
    <w:rsid w:val="002E2A45"/>
    <w:rsid w:val="002F439F"/>
    <w:rsid w:val="00342009"/>
    <w:rsid w:val="003D7E9C"/>
    <w:rsid w:val="004258D6"/>
    <w:rsid w:val="00437DCA"/>
    <w:rsid w:val="00455376"/>
    <w:rsid w:val="004763BC"/>
    <w:rsid w:val="00491373"/>
    <w:rsid w:val="00494F2A"/>
    <w:rsid w:val="00525682"/>
    <w:rsid w:val="0057033E"/>
    <w:rsid w:val="00583220"/>
    <w:rsid w:val="00585748"/>
    <w:rsid w:val="005A6A4D"/>
    <w:rsid w:val="005F150D"/>
    <w:rsid w:val="006032B0"/>
    <w:rsid w:val="006507E7"/>
    <w:rsid w:val="006F23D5"/>
    <w:rsid w:val="006F4EA4"/>
    <w:rsid w:val="006F7916"/>
    <w:rsid w:val="007225C4"/>
    <w:rsid w:val="00732A99"/>
    <w:rsid w:val="00763108"/>
    <w:rsid w:val="00764995"/>
    <w:rsid w:val="00782D1A"/>
    <w:rsid w:val="007C24CF"/>
    <w:rsid w:val="007E5229"/>
    <w:rsid w:val="00831366"/>
    <w:rsid w:val="0083785E"/>
    <w:rsid w:val="00863295"/>
    <w:rsid w:val="008665E1"/>
    <w:rsid w:val="008C2A2E"/>
    <w:rsid w:val="00923978"/>
    <w:rsid w:val="009734F1"/>
    <w:rsid w:val="009752FD"/>
    <w:rsid w:val="009C33E4"/>
    <w:rsid w:val="009F3C48"/>
    <w:rsid w:val="00A2313E"/>
    <w:rsid w:val="00A23693"/>
    <w:rsid w:val="00A24C9E"/>
    <w:rsid w:val="00A26E03"/>
    <w:rsid w:val="00A463D3"/>
    <w:rsid w:val="00A672E6"/>
    <w:rsid w:val="00A738C7"/>
    <w:rsid w:val="00AB0E2D"/>
    <w:rsid w:val="00AB7CBE"/>
    <w:rsid w:val="00AD394D"/>
    <w:rsid w:val="00AE6936"/>
    <w:rsid w:val="00B168CA"/>
    <w:rsid w:val="00B3231B"/>
    <w:rsid w:val="00B33044"/>
    <w:rsid w:val="00B60F40"/>
    <w:rsid w:val="00B73596"/>
    <w:rsid w:val="00B7708D"/>
    <w:rsid w:val="00B93497"/>
    <w:rsid w:val="00BC0133"/>
    <w:rsid w:val="00C02E32"/>
    <w:rsid w:val="00C02E4D"/>
    <w:rsid w:val="00C200A0"/>
    <w:rsid w:val="00C25290"/>
    <w:rsid w:val="00C255BF"/>
    <w:rsid w:val="00C57390"/>
    <w:rsid w:val="00C764BE"/>
    <w:rsid w:val="00C775D0"/>
    <w:rsid w:val="00C825F7"/>
    <w:rsid w:val="00CE524E"/>
    <w:rsid w:val="00CE7A1F"/>
    <w:rsid w:val="00D35D5D"/>
    <w:rsid w:val="00D723D6"/>
    <w:rsid w:val="00D72AC0"/>
    <w:rsid w:val="00DA1112"/>
    <w:rsid w:val="00DC1117"/>
    <w:rsid w:val="00DD7BD9"/>
    <w:rsid w:val="00DE5488"/>
    <w:rsid w:val="00E5015D"/>
    <w:rsid w:val="00E9311B"/>
    <w:rsid w:val="00EF604E"/>
    <w:rsid w:val="00F1219B"/>
    <w:rsid w:val="00F14D6C"/>
    <w:rsid w:val="00F27E20"/>
    <w:rsid w:val="00F45C30"/>
    <w:rsid w:val="00F64F1D"/>
    <w:rsid w:val="00FB35CE"/>
    <w:rsid w:val="00FE1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54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90"/>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C57390"/>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6507E7"/>
    <w:pPr>
      <w:keepNext/>
      <w:keepLines/>
      <w:spacing w:before="20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8C2A2E"/>
    <w:pPr>
      <w:keepNext/>
      <w:keepLines/>
      <w:spacing w:before="4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7390"/>
    <w:rPr>
      <w:rFonts w:ascii="Arial" w:eastAsia="Times New Roman" w:hAnsi="Arial"/>
      <w:b/>
      <w:bCs/>
      <w:szCs w:val="28"/>
      <w:lang w:eastAsia="en-AU"/>
    </w:rPr>
  </w:style>
  <w:style w:type="character" w:styleId="Hyperlink">
    <w:name w:val="Hyperlink"/>
    <w:basedOn w:val="DefaultParagraphFont"/>
    <w:uiPriority w:val="99"/>
    <w:rsid w:val="00C57390"/>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C57390"/>
    <w:pPr>
      <w:ind w:left="720"/>
      <w:contextualSpacing/>
    </w:pPr>
  </w:style>
  <w:style w:type="paragraph" w:styleId="Footer">
    <w:name w:val="footer"/>
    <w:basedOn w:val="Normal"/>
    <w:link w:val="FooterChar"/>
    <w:uiPriority w:val="99"/>
    <w:rsid w:val="00C57390"/>
    <w:pPr>
      <w:tabs>
        <w:tab w:val="center" w:pos="4513"/>
        <w:tab w:val="right" w:pos="9026"/>
      </w:tabs>
    </w:pPr>
  </w:style>
  <w:style w:type="character" w:customStyle="1" w:styleId="FooterChar">
    <w:name w:val="Footer Char"/>
    <w:basedOn w:val="DefaultParagraphFont"/>
    <w:link w:val="Footer"/>
    <w:uiPriority w:val="99"/>
    <w:rsid w:val="00C57390"/>
    <w:rPr>
      <w:rFonts w:eastAsia="Times New Roman"/>
      <w:szCs w:val="20"/>
      <w:lang w:eastAsia="en-AU"/>
    </w:rPr>
  </w:style>
  <w:style w:type="paragraph" w:customStyle="1" w:styleId="Default">
    <w:name w:val="Default"/>
    <w:rsid w:val="00C57390"/>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C57390"/>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C57390"/>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C57390"/>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C57390"/>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6507E7"/>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D35D5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6507E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6507E7"/>
    <w:rPr>
      <w:rFonts w:ascii="Arial Narrow" w:eastAsia="Times New Roman" w:hAnsi="Arial Narrow" w:cs="Tahoma"/>
      <w:b/>
      <w:noProof/>
      <w:sz w:val="20"/>
      <w:szCs w:val="20"/>
      <w:lang w:eastAsia="en-AU"/>
    </w:rPr>
  </w:style>
  <w:style w:type="paragraph" w:customStyle="1" w:styleId="TableText">
    <w:name w:val="TableText"/>
    <w:basedOn w:val="Normal"/>
    <w:rsid w:val="006507E7"/>
    <w:pPr>
      <w:keepNext/>
      <w:spacing w:before="60" w:after="60"/>
    </w:pPr>
    <w:rPr>
      <w:color w:val="000000"/>
      <w:sz w:val="21"/>
      <w:szCs w:val="21"/>
    </w:rPr>
  </w:style>
  <w:style w:type="paragraph" w:customStyle="1" w:styleId="BulletBeforeDash">
    <w:name w:val="BulletBeforeDash"/>
    <w:basedOn w:val="Normal"/>
    <w:rsid w:val="006507E7"/>
    <w:pPr>
      <w:numPr>
        <w:numId w:val="5"/>
      </w:numPr>
      <w:ind w:left="720"/>
    </w:pPr>
    <w:rPr>
      <w:color w:val="000000"/>
    </w:rPr>
  </w:style>
  <w:style w:type="paragraph" w:customStyle="1" w:styleId="Bullet">
    <w:name w:val="Bullet"/>
    <w:basedOn w:val="BulletBeforeDash"/>
    <w:qFormat/>
    <w:rsid w:val="006507E7"/>
    <w:pPr>
      <w:spacing w:after="120"/>
    </w:pPr>
  </w:style>
  <w:style w:type="paragraph" w:customStyle="1" w:styleId="BulletLast">
    <w:name w:val="BulletLast"/>
    <w:basedOn w:val="Bullet"/>
    <w:qFormat/>
    <w:rsid w:val="006507E7"/>
    <w:pPr>
      <w:spacing w:after="240"/>
    </w:pPr>
  </w:style>
  <w:style w:type="paragraph" w:customStyle="1" w:styleId="NormalBeforeBullet">
    <w:name w:val="NormalBeforeBullet"/>
    <w:basedOn w:val="Normal"/>
    <w:qFormat/>
    <w:rsid w:val="006507E7"/>
    <w:pPr>
      <w:keepNext/>
      <w:spacing w:after="120"/>
    </w:pPr>
    <w:rPr>
      <w:color w:val="000000"/>
    </w:rPr>
  </w:style>
  <w:style w:type="paragraph" w:styleId="NormalWeb">
    <w:name w:val="Normal (Web)"/>
    <w:basedOn w:val="Normal"/>
    <w:uiPriority w:val="99"/>
    <w:unhideWhenUsed/>
    <w:rsid w:val="006507E7"/>
    <w:rPr>
      <w:szCs w:val="24"/>
    </w:rPr>
  </w:style>
  <w:style w:type="paragraph" w:customStyle="1" w:styleId="Tabletext0">
    <w:name w:val="Table text"/>
    <w:basedOn w:val="Normal"/>
    <w:link w:val="TabletextChar"/>
    <w:uiPriority w:val="2"/>
    <w:qFormat/>
    <w:rsid w:val="006507E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uiPriority w:val="2"/>
    <w:rsid w:val="006507E7"/>
    <w:rPr>
      <w:rFonts w:ascii="Arial Narrow" w:eastAsia="Times New Roman" w:hAnsi="Arial Narrow"/>
      <w:sz w:val="20"/>
    </w:rPr>
  </w:style>
  <w:style w:type="paragraph" w:customStyle="1" w:styleId="Tablecaption">
    <w:name w:val="Table caption"/>
    <w:basedOn w:val="Normal"/>
    <w:link w:val="TablecaptionChar"/>
    <w:qFormat/>
    <w:rsid w:val="006507E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6507E7"/>
    <w:rPr>
      <w:rFonts w:ascii="Arial Narrow" w:eastAsia="Times New Roman" w:hAnsi="Arial Narrow" w:cs="Arial"/>
      <w:sz w:val="20"/>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6507E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35"/>
    <w:rsid w:val="006507E7"/>
    <w:rPr>
      <w:rFonts w:ascii="Arial Narrow" w:eastAsia="Times New Roman" w:hAnsi="Arial Narrow" w:cs="Arial"/>
      <w:b/>
      <w:bCs/>
      <w:iCs/>
      <w:sz w:val="20"/>
      <w:szCs w:val="20"/>
    </w:rPr>
  </w:style>
  <w:style w:type="paragraph" w:customStyle="1" w:styleId="Tabletextright">
    <w:name w:val="Table text right"/>
    <w:basedOn w:val="Normal"/>
    <w:link w:val="TabletextrightChar"/>
    <w:qFormat/>
    <w:rsid w:val="006507E7"/>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507E7"/>
    <w:rPr>
      <w:rFonts w:ascii="Arial Narrow" w:eastAsia="Times New Roman" w:hAnsi="Arial Narrow" w:cs="Arial"/>
      <w:sz w:val="20"/>
      <w:szCs w:val="20"/>
    </w:rPr>
  </w:style>
  <w:style w:type="paragraph" w:customStyle="1" w:styleId="Tablenotes">
    <w:name w:val="Tablenotes"/>
    <w:basedOn w:val="Normal"/>
    <w:link w:val="TablenotesChar"/>
    <w:autoRedefine/>
    <w:qFormat/>
    <w:rsid w:val="00525682"/>
    <w:pPr>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525682"/>
    <w:rPr>
      <w:rFonts w:ascii="Arial Narrow" w:eastAsia="Times New Roman" w:hAnsi="Arial Narrow" w:cs="Arial"/>
      <w:snapToGrid w:val="0"/>
      <w:sz w:val="18"/>
      <w:szCs w:val="20"/>
    </w:rPr>
  </w:style>
  <w:style w:type="paragraph" w:customStyle="1" w:styleId="TableNotes0">
    <w:name w:val="TableNotes"/>
    <w:basedOn w:val="Normal"/>
    <w:link w:val="TableNotesChar0"/>
    <w:rsid w:val="006507E7"/>
    <w:pPr>
      <w:keepLines/>
      <w:spacing w:after="360" w:line="312" w:lineRule="auto"/>
      <w:ind w:left="720"/>
      <w:contextualSpacing/>
    </w:pPr>
    <w:rPr>
      <w:rFonts w:ascii="Arial Narrow" w:hAnsi="Arial Narrow" w:cs="Tahoma"/>
      <w:sz w:val="16"/>
      <w:szCs w:val="22"/>
    </w:rPr>
  </w:style>
  <w:style w:type="character" w:customStyle="1" w:styleId="TableNotesChar0">
    <w:name w:val="TableNotes Char"/>
    <w:link w:val="TableNotes0"/>
    <w:rsid w:val="006507E7"/>
    <w:rPr>
      <w:rFonts w:ascii="Arial Narrow" w:eastAsia="Times New Roman" w:hAnsi="Arial Narrow" w:cs="Tahoma"/>
      <w:sz w:val="16"/>
      <w:szCs w:val="22"/>
      <w:lang w:eastAsia="en-AU"/>
    </w:rPr>
  </w:style>
  <w:style w:type="paragraph" w:customStyle="1" w:styleId="Comment">
    <w:name w:val="Comment"/>
    <w:basedOn w:val="Normal"/>
    <w:link w:val="CommentChar"/>
    <w:qFormat/>
    <w:rsid w:val="006507E7"/>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6507E7"/>
    <w:rPr>
      <w:rFonts w:ascii="Calibri" w:eastAsia="Times New Roman" w:hAnsi="Calibri" w:cs="Tahoma"/>
      <w:i/>
      <w:sz w:val="22"/>
      <w:szCs w:val="22"/>
      <w:lang w:eastAsia="en-AU"/>
    </w:rPr>
  </w:style>
  <w:style w:type="character" w:customStyle="1" w:styleId="ListParagraphChar">
    <w:name w:val="List Paragraph Char"/>
    <w:aliases w:val="Styl moj Char,Akapit z listą1 Char,Akapit z listą11 Char"/>
    <w:link w:val="ListParagraph"/>
    <w:uiPriority w:val="34"/>
    <w:rsid w:val="008C2A2E"/>
    <w:rPr>
      <w:rFonts w:eastAsia="Times New Roman"/>
      <w:szCs w:val="20"/>
      <w:lang w:eastAsia="en-AU"/>
    </w:rPr>
  </w:style>
  <w:style w:type="character" w:customStyle="1" w:styleId="Heading3Char">
    <w:name w:val="Heading 3 Char"/>
    <w:basedOn w:val="DefaultParagraphFont"/>
    <w:link w:val="Heading3"/>
    <w:uiPriority w:val="9"/>
    <w:rsid w:val="008C2A2E"/>
    <w:rPr>
      <w:rFonts w:eastAsiaTheme="majorEastAsia" w:cstheme="majorBidi"/>
      <w:u w:val="single"/>
      <w:lang w:eastAsia="en-AU"/>
    </w:rPr>
  </w:style>
  <w:style w:type="paragraph" w:customStyle="1" w:styleId="Tabletextcentred">
    <w:name w:val="Table text centred"/>
    <w:basedOn w:val="Tabletext0"/>
    <w:link w:val="TabletextcentredChar"/>
    <w:qFormat/>
    <w:rsid w:val="008C2A2E"/>
    <w:pPr>
      <w:jc w:val="center"/>
    </w:pPr>
  </w:style>
  <w:style w:type="character" w:customStyle="1" w:styleId="TabletextcentredChar">
    <w:name w:val="Table text centred Char"/>
    <w:basedOn w:val="TabletextChar"/>
    <w:link w:val="Tabletextcentred"/>
    <w:rsid w:val="008C2A2E"/>
    <w:rPr>
      <w:rFonts w:ascii="Arial Narrow" w:eastAsia="Times New Roman" w:hAnsi="Arial Narrow"/>
      <w:sz w:val="20"/>
    </w:rPr>
  </w:style>
  <w:style w:type="table" w:customStyle="1" w:styleId="TableGrid2">
    <w:name w:val="Table Grid2"/>
    <w:basedOn w:val="TableNormal"/>
    <w:next w:val="TableGrid"/>
    <w:rsid w:val="008C2A2E"/>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customStyle="1" w:styleId="TableGrid1">
    <w:name w:val="Table Grid1"/>
    <w:basedOn w:val="TableNormal"/>
    <w:next w:val="TableGrid"/>
    <w:uiPriority w:val="39"/>
    <w:rsid w:val="008C2A2E"/>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paragraph" w:customStyle="1" w:styleId="TableParagraph">
    <w:name w:val="Table Paragraph"/>
    <w:basedOn w:val="Normal"/>
    <w:uiPriority w:val="1"/>
    <w:qFormat/>
    <w:rsid w:val="007E5229"/>
    <w:pPr>
      <w:widowControl w:val="0"/>
      <w:autoSpaceDE w:val="0"/>
      <w:autoSpaceDN w:val="0"/>
    </w:pPr>
    <w:rPr>
      <w:rFonts w:ascii="Arial Narrow" w:eastAsia="Arial Narrow" w:hAnsi="Arial Narrow" w:cs="Arial Narrow"/>
      <w:sz w:val="22"/>
      <w:szCs w:val="22"/>
      <w:lang w:bidi="en-AU"/>
    </w:rPr>
  </w:style>
  <w:style w:type="paragraph" w:styleId="BalloonText">
    <w:name w:val="Balloon Text"/>
    <w:basedOn w:val="Normal"/>
    <w:link w:val="BalloonTextChar"/>
    <w:uiPriority w:val="99"/>
    <w:semiHidden/>
    <w:unhideWhenUsed/>
    <w:rsid w:val="004258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8D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4258D6"/>
    <w:rPr>
      <w:sz w:val="16"/>
      <w:szCs w:val="16"/>
    </w:rPr>
  </w:style>
  <w:style w:type="paragraph" w:styleId="CommentText">
    <w:name w:val="annotation text"/>
    <w:basedOn w:val="Normal"/>
    <w:link w:val="CommentTextChar"/>
    <w:uiPriority w:val="99"/>
    <w:semiHidden/>
    <w:unhideWhenUsed/>
    <w:rsid w:val="004258D6"/>
    <w:rPr>
      <w:sz w:val="20"/>
    </w:rPr>
  </w:style>
  <w:style w:type="character" w:customStyle="1" w:styleId="CommentTextChar">
    <w:name w:val="Comment Text Char"/>
    <w:basedOn w:val="DefaultParagraphFont"/>
    <w:link w:val="CommentText"/>
    <w:uiPriority w:val="99"/>
    <w:semiHidden/>
    <w:rsid w:val="004258D6"/>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258D6"/>
    <w:rPr>
      <w:b/>
      <w:bCs/>
    </w:rPr>
  </w:style>
  <w:style w:type="character" w:customStyle="1" w:styleId="CommentSubjectChar">
    <w:name w:val="Comment Subject Char"/>
    <w:basedOn w:val="CommentTextChar"/>
    <w:link w:val="CommentSubject"/>
    <w:uiPriority w:val="99"/>
    <w:semiHidden/>
    <w:rsid w:val="004258D6"/>
    <w:rPr>
      <w:rFonts w:eastAsia="Times New Roman"/>
      <w:b/>
      <w:bCs/>
      <w:sz w:val="20"/>
      <w:szCs w:val="20"/>
      <w:lang w:eastAsia="en-AU"/>
    </w:rPr>
  </w:style>
  <w:style w:type="paragraph" w:styleId="Header">
    <w:name w:val="header"/>
    <w:basedOn w:val="Normal"/>
    <w:link w:val="HeaderChar"/>
    <w:uiPriority w:val="99"/>
    <w:unhideWhenUsed/>
    <w:rsid w:val="00216ECF"/>
    <w:pPr>
      <w:tabs>
        <w:tab w:val="center" w:pos="4513"/>
        <w:tab w:val="right" w:pos="9026"/>
      </w:tabs>
    </w:pPr>
  </w:style>
  <w:style w:type="character" w:customStyle="1" w:styleId="HeaderChar">
    <w:name w:val="Header Char"/>
    <w:basedOn w:val="DefaultParagraphFont"/>
    <w:link w:val="Header"/>
    <w:uiPriority w:val="99"/>
    <w:rsid w:val="00216ECF"/>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8DE85-C0A9-4DDC-A1C0-3436E240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8931</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1523 Final PSD_redacted</vt:lpstr>
    </vt:vector>
  </TitlesOfParts>
  <Company/>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1523 Final PSD_redacted</dc:title>
  <dc:subject/>
  <dc:creator/>
  <cp:keywords/>
  <dc:description/>
  <cp:lastModifiedBy/>
  <cp:revision>1</cp:revision>
  <dcterms:created xsi:type="dcterms:W3CDTF">2020-02-28T01:52:00Z</dcterms:created>
  <dcterms:modified xsi:type="dcterms:W3CDTF">2020-03-02T03:46:00Z</dcterms:modified>
</cp:coreProperties>
</file>