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49A" w14:textId="551D6A88" w:rsidR="00772829" w:rsidRPr="00C72177" w:rsidRDefault="007838DA" w:rsidP="00FB6325">
      <w:pPr>
        <w:pStyle w:val="Heading1"/>
        <w:numPr>
          <w:ilvl w:val="0"/>
          <w:numId w:val="0"/>
        </w:numPr>
        <w:pBdr>
          <w:bottom w:val="none" w:sz="0" w:space="0" w:color="auto"/>
        </w:pBdr>
        <w:spacing w:before="480" w:after="240"/>
        <w:jc w:val="center"/>
        <w:rPr>
          <w:rFonts w:ascii="Arial" w:hAnsi="Arial" w:cs="Arial"/>
          <w:b/>
          <w:bCs/>
          <w:color w:val="000080"/>
          <w:sz w:val="36"/>
          <w:szCs w:val="36"/>
        </w:rPr>
      </w:pPr>
      <w:bookmarkStart w:id="0" w:name="_Hlk68005436"/>
      <w:bookmarkStart w:id="1" w:name="_Toc69491414"/>
      <w:r>
        <w:rPr>
          <w:rFonts w:ascii="Arial" w:hAnsi="Arial" w:cs="Arial"/>
          <w:b/>
          <w:bCs/>
          <w:color w:val="000080"/>
          <w:sz w:val="36"/>
          <w:szCs w:val="36"/>
        </w:rPr>
        <w:t xml:space="preserve">Medical Services Advisory Committee </w:t>
      </w:r>
      <w:r w:rsidR="000C2287">
        <w:rPr>
          <w:rFonts w:ascii="Arial" w:hAnsi="Arial" w:cs="Arial"/>
          <w:b/>
          <w:bCs/>
          <w:color w:val="000080"/>
          <w:sz w:val="36"/>
          <w:szCs w:val="36"/>
        </w:rPr>
        <w:t>(MSAC)</w:t>
      </w:r>
      <w:r>
        <w:rPr>
          <w:rFonts w:ascii="Arial" w:hAnsi="Arial" w:cs="Arial"/>
          <w:b/>
          <w:bCs/>
          <w:color w:val="000080"/>
          <w:sz w:val="36"/>
          <w:szCs w:val="36"/>
        </w:rPr>
        <w:br/>
      </w:r>
      <w:bookmarkEnd w:id="0"/>
      <w:bookmarkEnd w:id="1"/>
      <w:r w:rsidR="000C2287">
        <w:rPr>
          <w:rFonts w:ascii="Arial" w:hAnsi="Arial" w:cs="Arial"/>
          <w:b/>
          <w:bCs/>
          <w:color w:val="000080"/>
          <w:sz w:val="36"/>
          <w:szCs w:val="36"/>
        </w:rPr>
        <w:t>Public Summary Document</w:t>
      </w:r>
    </w:p>
    <w:p w14:paraId="7A128FDE" w14:textId="3D34225C" w:rsidR="00772829" w:rsidRPr="00CE28E3" w:rsidRDefault="00772829" w:rsidP="00082D80">
      <w:pPr>
        <w:pStyle w:val="Subtitle"/>
        <w:spacing w:before="360"/>
      </w:pPr>
      <w:r w:rsidRPr="00CE28E3">
        <w:t>Application No</w:t>
      </w:r>
      <w:r w:rsidRPr="007838DA">
        <w:t xml:space="preserve">. </w:t>
      </w:r>
      <w:r w:rsidR="00C65FAA" w:rsidRPr="007838DA">
        <w:t>1549</w:t>
      </w:r>
      <w:r w:rsidRPr="007838DA">
        <w:t xml:space="preserve"> – </w:t>
      </w:r>
      <w:r w:rsidR="00E138A7" w:rsidRPr="007838DA">
        <w:t>PD</w:t>
      </w:r>
      <w:r w:rsidR="00E138A7" w:rsidRPr="00E138A7">
        <w:t>-L1 immunohistochemistry testing for access to pembrolizumab in combination with chemotherapy for first line treatment of triple negative breast cancer</w:t>
      </w:r>
      <w:r w:rsidR="00E138A7">
        <w:t xml:space="preserve"> </w:t>
      </w:r>
    </w:p>
    <w:p w14:paraId="35263561" w14:textId="4F914F25"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E138A7" w:rsidRPr="00E138A7">
        <w:rPr>
          <w:rFonts w:ascii="Arial" w:hAnsi="Arial" w:cs="Arial"/>
          <w:b/>
          <w:szCs w:val="24"/>
        </w:rPr>
        <w:t>M</w:t>
      </w:r>
      <w:r w:rsidR="00BA1AEF">
        <w:rPr>
          <w:rFonts w:ascii="Arial" w:hAnsi="Arial" w:cs="Arial"/>
          <w:b/>
          <w:szCs w:val="24"/>
        </w:rPr>
        <w:t xml:space="preserve">erck </w:t>
      </w:r>
      <w:r w:rsidR="00E138A7" w:rsidRPr="00E138A7">
        <w:rPr>
          <w:rFonts w:ascii="Arial" w:hAnsi="Arial" w:cs="Arial"/>
          <w:b/>
          <w:szCs w:val="24"/>
        </w:rPr>
        <w:t>S</w:t>
      </w:r>
      <w:r w:rsidR="00BA1AEF">
        <w:rPr>
          <w:rFonts w:ascii="Arial" w:hAnsi="Arial" w:cs="Arial"/>
          <w:b/>
          <w:szCs w:val="24"/>
        </w:rPr>
        <w:t xml:space="preserve">harp &amp; </w:t>
      </w:r>
      <w:r w:rsidR="00E138A7" w:rsidRPr="00E138A7">
        <w:rPr>
          <w:rFonts w:ascii="Arial" w:hAnsi="Arial" w:cs="Arial"/>
          <w:b/>
          <w:szCs w:val="24"/>
        </w:rPr>
        <w:t>D</w:t>
      </w:r>
      <w:r w:rsidR="00BA1AEF">
        <w:rPr>
          <w:rFonts w:ascii="Arial" w:hAnsi="Arial" w:cs="Arial"/>
          <w:b/>
          <w:szCs w:val="24"/>
        </w:rPr>
        <w:t>ohme</w:t>
      </w:r>
      <w:r w:rsidR="00E138A7" w:rsidRPr="00E138A7">
        <w:rPr>
          <w:rFonts w:ascii="Arial" w:hAnsi="Arial" w:cs="Arial"/>
          <w:b/>
          <w:szCs w:val="24"/>
        </w:rPr>
        <w:t xml:space="preserve"> (Australia) Pty Limited</w:t>
      </w:r>
    </w:p>
    <w:p w14:paraId="70367234" w14:textId="77777777" w:rsidR="000C2287"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0C2287">
        <w:rPr>
          <w:rFonts w:ascii="Arial" w:hAnsi="Arial" w:cs="Arial"/>
          <w:b/>
          <w:szCs w:val="24"/>
        </w:rPr>
        <w:t>30-31 March 2023</w:t>
      </w:r>
    </w:p>
    <w:p w14:paraId="0B7F4F53" w14:textId="6B7AE900" w:rsidR="000C2287" w:rsidRDefault="000C2287" w:rsidP="000C2287">
      <w:pPr>
        <w:tabs>
          <w:tab w:val="left" w:pos="3686"/>
        </w:tabs>
        <w:spacing w:after="360"/>
      </w:pPr>
      <w:r>
        <w:t xml:space="preserve">Context for decision: MSAC makes its advice in accordance with its Terms of Reference, </w:t>
      </w:r>
      <w:hyperlink r:id="rId8" w:tooltip="Link to Medical Services Advisory Committee website" w:history="1">
        <w:r w:rsidRPr="00F715D1">
          <w:rPr>
            <w:rStyle w:val="Hyperlink"/>
            <w:szCs w:val="24"/>
          </w:rPr>
          <w:t>visit the MSAC website</w:t>
        </w:r>
      </w:hyperlink>
      <w:r>
        <w:rPr>
          <w:rStyle w:val="Hyperlink"/>
          <w:szCs w:val="24"/>
        </w:rPr>
        <w:t>.</w:t>
      </w:r>
      <w:bookmarkStart w:id="2" w:name="_Toc69491415"/>
    </w:p>
    <w:p w14:paraId="233C761C" w14:textId="12900DD3" w:rsidR="000C2287" w:rsidRPr="00CE28E3" w:rsidRDefault="000C2287" w:rsidP="000C2287">
      <w:pPr>
        <w:pStyle w:val="Heading2"/>
        <w:numPr>
          <w:ilvl w:val="0"/>
          <w:numId w:val="0"/>
        </w:numPr>
      </w:pPr>
      <w:bookmarkStart w:id="3" w:name="_Hlk69734469"/>
      <w:bookmarkEnd w:id="2"/>
      <w:r>
        <w:t>1.</w:t>
      </w:r>
      <w:r>
        <w:tab/>
        <w:t>Purpose of application</w:t>
      </w:r>
    </w:p>
    <w:p w14:paraId="2B03B099" w14:textId="03E39EAF" w:rsidR="00772829" w:rsidRPr="009A3778" w:rsidRDefault="00772829" w:rsidP="009B2245">
      <w:pPr>
        <w:spacing w:after="120"/>
        <w:rPr>
          <w:iCs/>
          <w:szCs w:val="24"/>
        </w:rPr>
      </w:pPr>
      <w:r w:rsidRPr="009A3778">
        <w:rPr>
          <w:iCs/>
          <w:szCs w:val="24"/>
        </w:rPr>
        <w:t xml:space="preserve">The </w:t>
      </w:r>
      <w:r w:rsidR="003A747D">
        <w:rPr>
          <w:iCs/>
          <w:szCs w:val="24"/>
        </w:rPr>
        <w:t xml:space="preserve">streamlined </w:t>
      </w:r>
      <w:r w:rsidRPr="009A3778">
        <w:rPr>
          <w:iCs/>
          <w:szCs w:val="24"/>
        </w:rPr>
        <w:t xml:space="preserve">codependent </w:t>
      </w:r>
      <w:r w:rsidR="003A747D">
        <w:rPr>
          <w:iCs/>
          <w:szCs w:val="24"/>
        </w:rPr>
        <w:t>submission</w:t>
      </w:r>
      <w:r w:rsidRPr="009A3778">
        <w:rPr>
          <w:iCs/>
          <w:szCs w:val="24"/>
        </w:rPr>
        <w:t xml:space="preserve"> requested:</w:t>
      </w:r>
    </w:p>
    <w:p w14:paraId="51ABE4CC" w14:textId="26135723" w:rsidR="003A747D" w:rsidRPr="003A747D" w:rsidRDefault="003A747D" w:rsidP="00F244B7">
      <w:pPr>
        <w:pStyle w:val="ListParagraph"/>
        <w:numPr>
          <w:ilvl w:val="0"/>
          <w:numId w:val="7"/>
        </w:numPr>
        <w:rPr>
          <w:iCs/>
          <w:szCs w:val="24"/>
        </w:rPr>
      </w:pPr>
      <w:r w:rsidRPr="003A747D">
        <w:rPr>
          <w:iCs/>
          <w:szCs w:val="24"/>
        </w:rPr>
        <w:t>An amendment of Medicare Benefits Schedule (MBS) item 72814 for programmed death ligand-1 (PD-L1) immunohistochemical (IHC) testing to include locally recurrent unresectable or metastatic triple negative breast cancer</w:t>
      </w:r>
      <w:r w:rsidR="006B4438">
        <w:rPr>
          <w:iCs/>
          <w:szCs w:val="24"/>
        </w:rPr>
        <w:t xml:space="preserve"> (TNBC); and</w:t>
      </w:r>
    </w:p>
    <w:p w14:paraId="21AF7B60" w14:textId="4F029116" w:rsidR="003A747D" w:rsidRDefault="003A747D" w:rsidP="00F244B7">
      <w:pPr>
        <w:pStyle w:val="ListParagraph"/>
        <w:numPr>
          <w:ilvl w:val="0"/>
          <w:numId w:val="7"/>
        </w:numPr>
        <w:rPr>
          <w:iCs/>
          <w:szCs w:val="24"/>
        </w:rPr>
      </w:pPr>
      <w:r w:rsidRPr="003A747D">
        <w:rPr>
          <w:iCs/>
          <w:szCs w:val="24"/>
        </w:rPr>
        <w:t xml:space="preserve">Pharmaceutical Benefits Schedule (PBS) listing of pembrolizumab for the treatment of people with locally recurrent unresectable or metastatic </w:t>
      </w:r>
      <w:r w:rsidR="00CF085E">
        <w:rPr>
          <w:iCs/>
          <w:szCs w:val="24"/>
        </w:rPr>
        <w:t>TNBC</w:t>
      </w:r>
      <w:r w:rsidRPr="003A747D">
        <w:rPr>
          <w:iCs/>
          <w:szCs w:val="24"/>
        </w:rPr>
        <w:t xml:space="preserve"> whose tumours express PD-L1 </w:t>
      </w:r>
      <w:r w:rsidR="00960349" w:rsidRPr="003A747D">
        <w:rPr>
          <w:iCs/>
          <w:szCs w:val="24"/>
        </w:rPr>
        <w:t>Combined Positive Score (CPS)</w:t>
      </w:r>
      <w:r w:rsidR="006A1C60">
        <w:rPr>
          <w:iCs/>
          <w:szCs w:val="24"/>
        </w:rPr>
        <w:t xml:space="preserve"> </w:t>
      </w:r>
      <w:r w:rsidRPr="00960349">
        <w:rPr>
          <w:iCs/>
          <w:szCs w:val="24"/>
        </w:rPr>
        <w:t>≥10 who have not received prior chemotherapy for metastatic disease.</w:t>
      </w:r>
    </w:p>
    <w:p w14:paraId="2EE036DF" w14:textId="239D6294" w:rsidR="00714791" w:rsidRPr="00696EB1" w:rsidRDefault="00714791" w:rsidP="00055DDB">
      <w:pPr>
        <w:rPr>
          <w:iCs/>
        </w:rPr>
      </w:pPr>
      <w:r w:rsidRPr="00696EB1">
        <w:rPr>
          <w:iCs/>
        </w:rPr>
        <w:t xml:space="preserve">For brevity, locally recurrent unresectable or metastatic TNBC is referred to as advanced TNBC. </w:t>
      </w:r>
    </w:p>
    <w:p w14:paraId="6DB48365" w14:textId="6230FC9B" w:rsidR="000C2287" w:rsidRDefault="00C36633" w:rsidP="002A18BE">
      <w:pPr>
        <w:pStyle w:val="Heading2"/>
        <w:numPr>
          <w:ilvl w:val="0"/>
          <w:numId w:val="0"/>
        </w:numPr>
      </w:pPr>
      <w:bookmarkStart w:id="4" w:name="_Toc69491416"/>
      <w:bookmarkEnd w:id="3"/>
      <w:r>
        <w:t>2.</w:t>
      </w:r>
      <w:r>
        <w:tab/>
      </w:r>
      <w:r w:rsidR="000C2287">
        <w:t>MSAC’S advice to the Minister</w:t>
      </w:r>
    </w:p>
    <w:p w14:paraId="0F5B5743" w14:textId="2FF4C57C" w:rsidR="00F1526F" w:rsidRDefault="00F1526F" w:rsidP="134ED476">
      <w:r>
        <w:t xml:space="preserve">After considering the strength of the available evidence in relation to comparative safety, clinical effectiveness, cost-effectiveness and total cost, MSAC supported an amendment to Medicare Benefits Schedule (MBS) item 72814 for programmed death ligand 1 (PD-L1) immunohistochemistry (IHC) testing to also include testing of tumour material from patients with inoperable locally recurrent or metastatic triple-negative breast cancer (TNBC). MSAC recalled its concerns regarding the poor analytical performance and inconsistent clinical utility of PD-L1 IHC testing it had outlined in its position statement on PD-L1 testing. However, MSAC considered that in this specific case, PD-L1 IHC testing with a combined positive score (CPS) threshold of ≥10 has sufficient clinical value in identifying which patients may derive greater benefit from pembrolizumab in combination with chemotherapy, as there is no evidence that adding pembrolizumab to chemotherapy improves outcomes in the broader population with inoperable locally recurrent or metastatic triple-negative breast cancer. MSAC </w:t>
      </w:r>
      <w:r w:rsidR="00B11D5E">
        <w:t>advised that</w:t>
      </w:r>
      <w:r>
        <w:t xml:space="preserve"> the item </w:t>
      </w:r>
      <w:r w:rsidR="008218AA">
        <w:t xml:space="preserve">should not </w:t>
      </w:r>
      <w:r>
        <w:t xml:space="preserve">be pathologist determinable </w:t>
      </w:r>
      <w:r w:rsidR="00BF5A11">
        <w:t xml:space="preserve">for consistency with the existing item. MSAC </w:t>
      </w:r>
      <w:r w:rsidR="00B11D5E">
        <w:t xml:space="preserve">did not </w:t>
      </w:r>
      <w:r w:rsidR="001A6B2A">
        <w:t xml:space="preserve">the </w:t>
      </w:r>
      <w:r>
        <w:t xml:space="preserve">specify </w:t>
      </w:r>
      <w:r w:rsidR="001A6B2A">
        <w:t xml:space="preserve">testing using a </w:t>
      </w:r>
      <w:r>
        <w:t xml:space="preserve">core biopsy or excisional tissue as a requirement because compliance could not be ensured. MSAC advised the testing was cost-effective, and that the financial cost to the MBS was modest and acceptable. MSAC considered that testing should be accompanied by </w:t>
      </w:r>
      <w:r w:rsidR="00D86894">
        <w:t xml:space="preserve">relevant </w:t>
      </w:r>
      <w:r>
        <w:t>pathologist training and quality assurance requirements.</w:t>
      </w:r>
    </w:p>
    <w:tbl>
      <w:tblPr>
        <w:tblStyle w:val="TableGrid"/>
        <w:tblW w:w="0" w:type="auto"/>
        <w:tblLook w:val="04A0" w:firstRow="1" w:lastRow="0" w:firstColumn="1" w:lastColumn="0" w:noHBand="0" w:noVBand="1"/>
      </w:tblPr>
      <w:tblGrid>
        <w:gridCol w:w="9016"/>
      </w:tblGrid>
      <w:tr w:rsidR="00F1526F" w14:paraId="3D0F91D3" w14:textId="77777777" w:rsidTr="1A218E7F">
        <w:tc>
          <w:tcPr>
            <w:tcW w:w="9016" w:type="dxa"/>
          </w:tcPr>
          <w:p w14:paraId="3E2F7105" w14:textId="77777777" w:rsidR="00F1526F" w:rsidRPr="00390570" w:rsidRDefault="00F1526F" w:rsidP="00641D47">
            <w:pPr>
              <w:rPr>
                <w:rFonts w:ascii="Arial Narrow" w:hAnsi="Arial Narrow" w:cs="Arial"/>
                <w:sz w:val="20"/>
                <w:szCs w:val="20"/>
              </w:rPr>
            </w:pPr>
            <w:r w:rsidRPr="00390570">
              <w:rPr>
                <w:rFonts w:ascii="Arial Narrow" w:hAnsi="Arial Narrow" w:cs="Arial"/>
                <w:sz w:val="20"/>
                <w:szCs w:val="20"/>
              </w:rPr>
              <w:lastRenderedPageBreak/>
              <w:t>Category 6 – Pathology Services</w:t>
            </w:r>
          </w:p>
        </w:tc>
      </w:tr>
      <w:tr w:rsidR="00F1526F" w14:paraId="7C7F1545" w14:textId="77777777" w:rsidTr="1A218E7F">
        <w:tc>
          <w:tcPr>
            <w:tcW w:w="9016" w:type="dxa"/>
          </w:tcPr>
          <w:p w14:paraId="195A30A9" w14:textId="77777777" w:rsidR="00F1526F" w:rsidRPr="00390570" w:rsidRDefault="00F1526F" w:rsidP="00641D47">
            <w:pPr>
              <w:rPr>
                <w:rFonts w:ascii="Arial Narrow" w:hAnsi="Arial Narrow" w:cs="Arial"/>
                <w:sz w:val="20"/>
                <w:szCs w:val="20"/>
              </w:rPr>
            </w:pPr>
            <w:r w:rsidRPr="00390570">
              <w:rPr>
                <w:rFonts w:ascii="Arial Narrow" w:hAnsi="Arial Narrow" w:cs="Arial"/>
                <w:sz w:val="20"/>
                <w:szCs w:val="20"/>
              </w:rPr>
              <w:t>Item 72814</w:t>
            </w:r>
          </w:p>
          <w:p w14:paraId="3409712D" w14:textId="796FD873" w:rsidR="00F1526F" w:rsidRPr="00390570" w:rsidRDefault="00F1526F" w:rsidP="00641D47">
            <w:pPr>
              <w:rPr>
                <w:rFonts w:ascii="Arial Narrow" w:hAnsi="Arial Narrow" w:cs="Arial"/>
                <w:sz w:val="20"/>
                <w:szCs w:val="20"/>
              </w:rPr>
            </w:pPr>
            <w:r w:rsidRPr="1A218E7F">
              <w:rPr>
                <w:rFonts w:ascii="Arial Narrow" w:hAnsi="Arial Narrow" w:cs="Arial"/>
                <w:sz w:val="20"/>
                <w:szCs w:val="20"/>
              </w:rPr>
              <w:t xml:space="preserve">Immunohistochemical examination by immunoperoxidase or other labelled antibody techniques using the programmed cell death ligand 1 (PD-L1) antibody of tumour material from a patient diagnosed with non-small cell lung cancer; recurrent or metastatic squamous cell carcinoma of the oral cavity, pharynx or larynx; or </w:t>
            </w:r>
            <w:r w:rsidRPr="004B1E56">
              <w:rPr>
                <w:rFonts w:ascii="Arial Narrow" w:hAnsi="Arial Narrow" w:cs="Arial"/>
                <w:color w:val="FF0000"/>
                <w:sz w:val="20"/>
                <w:szCs w:val="20"/>
              </w:rPr>
              <w:t>inoperable locally recurrent or metastatic triple-negative breast cancer</w:t>
            </w:r>
            <w:r w:rsidRPr="1A218E7F">
              <w:rPr>
                <w:rFonts w:ascii="Arial Narrow" w:hAnsi="Arial Narrow" w:cs="Arial"/>
                <w:sz w:val="20"/>
                <w:szCs w:val="20"/>
              </w:rPr>
              <w:t>.</w:t>
            </w:r>
          </w:p>
          <w:p w14:paraId="6947A483" w14:textId="5B3F504D" w:rsidR="00F1526F" w:rsidRPr="00390570" w:rsidRDefault="00F1526F" w:rsidP="00641D47">
            <w:pPr>
              <w:rPr>
                <w:rFonts w:ascii="Arial Narrow" w:hAnsi="Arial Narrow" w:cs="Arial"/>
                <w:sz w:val="20"/>
                <w:szCs w:val="20"/>
              </w:rPr>
            </w:pPr>
            <w:r w:rsidRPr="00390570">
              <w:rPr>
                <w:rFonts w:ascii="Arial Narrow" w:hAnsi="Arial Narrow" w:cs="Arial"/>
                <w:sz w:val="20"/>
                <w:szCs w:val="20"/>
              </w:rPr>
              <w:t>Fee: $74.50  Benefit: 75% = $55.90 85% = $63.35</w:t>
            </w:r>
          </w:p>
        </w:tc>
      </w:tr>
    </w:tbl>
    <w:p w14:paraId="325FF68C" w14:textId="77777777" w:rsidR="00F1526F" w:rsidRDefault="00F1526F" w:rsidP="00F1526F">
      <w:pPr>
        <w:rPr>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F1526F" w:rsidRPr="00AF46D8" w14:paraId="69A0E890" w14:textId="77777777" w:rsidTr="00641D47">
        <w:trPr>
          <w:tblHeader/>
        </w:trPr>
        <w:tc>
          <w:tcPr>
            <w:tcW w:w="9016" w:type="dxa"/>
          </w:tcPr>
          <w:p w14:paraId="268223B7" w14:textId="77777777" w:rsidR="00F1526F" w:rsidRPr="00AF46D8" w:rsidRDefault="00F1526F" w:rsidP="00451FA2">
            <w:pPr>
              <w:pStyle w:val="Heading3"/>
              <w:spacing w:before="120" w:after="120"/>
              <w:outlineLvl w:val="2"/>
              <w:rPr>
                <w:rFonts w:eastAsiaTheme="minorHAnsi" w:cstheme="minorBidi"/>
                <w:iCs/>
              </w:rPr>
            </w:pPr>
            <w:r w:rsidRPr="00AF46D8">
              <w:t>Consumer summary</w:t>
            </w:r>
          </w:p>
        </w:tc>
      </w:tr>
      <w:tr w:rsidR="00F1526F" w:rsidRPr="00AF46D8" w14:paraId="455E074E" w14:textId="77777777" w:rsidTr="00641D47">
        <w:tc>
          <w:tcPr>
            <w:tcW w:w="9016" w:type="dxa"/>
          </w:tcPr>
          <w:p w14:paraId="5D06C848" w14:textId="77777777" w:rsidR="00F1526F" w:rsidRDefault="00F1526F" w:rsidP="00641D47">
            <w:r w:rsidRPr="00AF46D8">
              <w:t xml:space="preserve">This is an application from </w:t>
            </w:r>
            <w:r>
              <w:t>MSD Australia</w:t>
            </w:r>
            <w:r w:rsidRPr="00AF46D8">
              <w:t xml:space="preserve"> requesting </w:t>
            </w:r>
            <w:r>
              <w:t xml:space="preserve">expanding current </w:t>
            </w:r>
            <w:r w:rsidRPr="00AF46D8">
              <w:t xml:space="preserve">Medicare Benefits Schedule (MBS) </w:t>
            </w:r>
            <w:r>
              <w:t xml:space="preserve">item 72814 to include people with inoperable locally recurrent or metastatic triple-negative breast cancer (TNBC). MBS item 72814 currently funds testing for PD-L1 status in people with </w:t>
            </w:r>
            <w:r>
              <w:rPr>
                <w:szCs w:val="24"/>
              </w:rPr>
              <w:t xml:space="preserve">non-small cell lung cancer and recurrent or metastatic squamous cell carcinoma of the oral cavity, pharynx or larynx, for access to a drug called </w:t>
            </w:r>
            <w:r w:rsidRPr="00B1676F">
              <w:t>pembrolizumab</w:t>
            </w:r>
            <w:r>
              <w:t xml:space="preserve"> on the Pharmaceutical Benefits Scheme (PBS).</w:t>
            </w:r>
          </w:p>
          <w:p w14:paraId="683E688A" w14:textId="2E5D32D4" w:rsidR="00F1526F" w:rsidRDefault="00F1526F" w:rsidP="00641D47">
            <w:r>
              <w:t xml:space="preserve">PD-L1 testing is </w:t>
            </w:r>
            <w:r w:rsidR="00AF674E">
              <w:t>a special test</w:t>
            </w:r>
            <w:r>
              <w:t xml:space="preserve"> that </w:t>
            </w:r>
            <w:r w:rsidR="00646066">
              <w:t xml:space="preserve">measures </w:t>
            </w:r>
            <w:r>
              <w:t>how much of a protein called programmed death ligand 1 – or PD-L1 – is on the surface of cancer cells</w:t>
            </w:r>
            <w:r w:rsidR="00804832">
              <w:t xml:space="preserve"> and </w:t>
            </w:r>
            <w:r w:rsidR="00624BC1">
              <w:t xml:space="preserve">the </w:t>
            </w:r>
            <w:r w:rsidR="00804832">
              <w:t>cells surrounding the cancer</w:t>
            </w:r>
            <w:r>
              <w:t>. If there is enough of this protein present – measured by something called the c</w:t>
            </w:r>
            <w:r w:rsidRPr="00B1676F">
              <w:t xml:space="preserve">ombined </w:t>
            </w:r>
            <w:r>
              <w:t>p</w:t>
            </w:r>
            <w:r w:rsidRPr="00B1676F">
              <w:t xml:space="preserve">ositive </w:t>
            </w:r>
            <w:r>
              <w:t>s</w:t>
            </w:r>
            <w:r w:rsidRPr="00B1676F">
              <w:t>core (CPS)</w:t>
            </w:r>
            <w:r>
              <w:t xml:space="preserve"> – </w:t>
            </w:r>
            <w:r w:rsidR="003B5E13">
              <w:t xml:space="preserve">patients will be eligible for </w:t>
            </w:r>
            <w:r w:rsidR="00696EB1">
              <w:t xml:space="preserve">medications </w:t>
            </w:r>
            <w:r>
              <w:t xml:space="preserve">such as </w:t>
            </w:r>
            <w:r w:rsidRPr="00B1676F">
              <w:t xml:space="preserve">pembrolizumab </w:t>
            </w:r>
            <w:r w:rsidR="003B5E13">
              <w:t xml:space="preserve">that </w:t>
            </w:r>
            <w:r>
              <w:t>can target the cells and help fight the cancer.</w:t>
            </w:r>
          </w:p>
          <w:p w14:paraId="3EF30368" w14:textId="53709AAD" w:rsidR="0007356A" w:rsidRDefault="00F1526F" w:rsidP="00641D47">
            <w:r>
              <w:t xml:space="preserve">MSAC has </w:t>
            </w:r>
            <w:r w:rsidR="00572D21">
              <w:t>said</w:t>
            </w:r>
            <w:r w:rsidR="00767F37">
              <w:t xml:space="preserve"> </w:t>
            </w:r>
            <w:r>
              <w:t xml:space="preserve">in the past that it did not consider PD-L1 testing to be </w:t>
            </w:r>
            <w:r w:rsidR="004922BF">
              <w:t>a</w:t>
            </w:r>
            <w:r>
              <w:t xml:space="preserve"> reliable </w:t>
            </w:r>
            <w:r w:rsidR="00767F37">
              <w:t xml:space="preserve">test </w:t>
            </w:r>
            <w:r w:rsidR="00AB1B84">
              <w:t xml:space="preserve">to </w:t>
            </w:r>
            <w:r w:rsidR="004922BF">
              <w:t>identify</w:t>
            </w:r>
            <w:r w:rsidR="00AB1B84">
              <w:t xml:space="preserve"> patients who</w:t>
            </w:r>
            <w:r w:rsidR="00C52A2B">
              <w:t>se</w:t>
            </w:r>
            <w:r w:rsidR="00AB1B84">
              <w:t xml:space="preserve"> </w:t>
            </w:r>
            <w:r w:rsidR="00462A2E">
              <w:t xml:space="preserve">cancers will </w:t>
            </w:r>
            <w:r w:rsidR="00101907">
              <w:t xml:space="preserve">benefit from treatment with </w:t>
            </w:r>
            <w:r w:rsidR="00462A2E">
              <w:t xml:space="preserve">pembrolizumab </w:t>
            </w:r>
            <w:r w:rsidR="00281152">
              <w:t xml:space="preserve">or </w:t>
            </w:r>
            <w:r w:rsidR="00462A2E">
              <w:t xml:space="preserve">other </w:t>
            </w:r>
            <w:r w:rsidR="004922BF">
              <w:t xml:space="preserve">similar </w:t>
            </w:r>
            <w:r w:rsidR="00462A2E">
              <w:t xml:space="preserve">medicines called </w:t>
            </w:r>
            <w:r w:rsidR="00921512">
              <w:t>PD</w:t>
            </w:r>
            <w:r w:rsidR="006C0DEE">
              <w:noBreakHyphen/>
            </w:r>
            <w:r w:rsidR="00921512">
              <w:t>(L)1 immune checkpoint inhibitors. MSAC has said this is</w:t>
            </w:r>
            <w:r w:rsidR="005C05B6">
              <w:t xml:space="preserve"> </w:t>
            </w:r>
            <w:r>
              <w:t>because</w:t>
            </w:r>
            <w:r w:rsidR="00281152">
              <w:t xml:space="preserve"> while</w:t>
            </w:r>
            <w:r>
              <w:t xml:space="preserve"> </w:t>
            </w:r>
            <w:r w:rsidR="006C0DEE" w:rsidRPr="006C0DEE">
              <w:t>PD</w:t>
            </w:r>
            <w:r w:rsidR="005F4CAE">
              <w:noBreakHyphen/>
            </w:r>
            <w:r w:rsidR="006C0DEE" w:rsidRPr="006C0DEE">
              <w:t xml:space="preserve">(L)1 immune checkpoint inhibitors </w:t>
            </w:r>
            <w:r w:rsidR="00B0795F">
              <w:t xml:space="preserve">can </w:t>
            </w:r>
            <w:r w:rsidR="00250523">
              <w:t xml:space="preserve">sometimes </w:t>
            </w:r>
            <w:r w:rsidR="00674186">
              <w:t xml:space="preserve">be an effective </w:t>
            </w:r>
            <w:r w:rsidR="00D21371">
              <w:t xml:space="preserve">treatment for cancers with low levels of </w:t>
            </w:r>
            <w:r w:rsidR="00250523">
              <w:t>PD-L1 protein</w:t>
            </w:r>
            <w:r w:rsidR="00281152">
              <w:t xml:space="preserve">, </w:t>
            </w:r>
            <w:r w:rsidR="00E6675F">
              <w:t>PD-L1 testing is also complex and can lead to variable results from laboratories.</w:t>
            </w:r>
          </w:p>
          <w:p w14:paraId="31D4A2BF" w14:textId="7476E5CA" w:rsidR="002A430D" w:rsidRDefault="00F1526F" w:rsidP="002A430D">
            <w:r>
              <w:t>However,</w:t>
            </w:r>
            <w:r w:rsidR="00303C10">
              <w:t xml:space="preserve"> in this case</w:t>
            </w:r>
            <w:r>
              <w:t xml:space="preserve"> MSAC</w:t>
            </w:r>
            <w:r w:rsidR="00303C10">
              <w:t xml:space="preserve"> considered PD-L1 testing is needed to decide </w:t>
            </w:r>
            <w:r w:rsidR="002A430D">
              <w:t xml:space="preserve">which patients with </w:t>
            </w:r>
            <w:r w:rsidR="00696EB1">
              <w:t>advanced</w:t>
            </w:r>
            <w:r w:rsidR="002A430D" w:rsidRPr="00057208">
              <w:t xml:space="preserve"> </w:t>
            </w:r>
            <w:r w:rsidR="002A430D">
              <w:t xml:space="preserve">TNBC should receive pembrolizumab treatment. MSAC considered the clinical evidence </w:t>
            </w:r>
            <w:r w:rsidR="005F4CAE">
              <w:t>showed</w:t>
            </w:r>
            <w:r w:rsidR="002A430D">
              <w:t xml:space="preserve"> that </w:t>
            </w:r>
            <w:r w:rsidR="002A430D" w:rsidRPr="00B1676F">
              <w:t>pembrolizumab</w:t>
            </w:r>
            <w:r w:rsidR="002A430D">
              <w:t xml:space="preserve"> helps improve survival for people with </w:t>
            </w:r>
            <w:r w:rsidR="005F4CAE">
              <w:t xml:space="preserve">advanced </w:t>
            </w:r>
            <w:r w:rsidR="002A430D">
              <w:t xml:space="preserve">TNBC whose </w:t>
            </w:r>
            <w:r w:rsidR="002A430D" w:rsidRPr="005F4CAE">
              <w:t xml:space="preserve">CPS </w:t>
            </w:r>
            <w:r w:rsidR="005F4CAE" w:rsidRPr="005F4CAE">
              <w:t xml:space="preserve">score of </w:t>
            </w:r>
            <w:r w:rsidR="002A430D" w:rsidRPr="005F4CAE">
              <w:t>10</w:t>
            </w:r>
            <w:r w:rsidR="00452499">
              <w:t xml:space="preserve"> </w:t>
            </w:r>
            <w:r w:rsidR="005F4CAE">
              <w:t xml:space="preserve">or greater </w:t>
            </w:r>
            <w:r w:rsidR="00452499">
              <w:t xml:space="preserve">but does not for other patients. </w:t>
            </w:r>
            <w:r w:rsidR="002A430D">
              <w:t xml:space="preserve">MSAC recognised that this patient group often has poor health outcomes and few treatment options, and considered it important that the patients gain access to a drug that can benefit them. </w:t>
            </w:r>
            <w:r w:rsidR="00153AC3">
              <w:t xml:space="preserve">MSAC supported expanding the existing MBS item to include testing </w:t>
            </w:r>
            <w:r w:rsidR="00153AC3" w:rsidRPr="00452499">
              <w:t>o</w:t>
            </w:r>
            <w:r w:rsidR="00153AC3">
              <w:t>f</w:t>
            </w:r>
            <w:r w:rsidR="00153AC3" w:rsidRPr="00452499">
              <w:t xml:space="preserve"> </w:t>
            </w:r>
            <w:r w:rsidR="00153AC3">
              <w:t>advanced TNBC</w:t>
            </w:r>
            <w:r w:rsidR="00153AC3" w:rsidRPr="00452499">
              <w:t>.</w:t>
            </w:r>
          </w:p>
          <w:p w14:paraId="3D3D7609" w14:textId="6B715CC5" w:rsidR="00F1526F" w:rsidRDefault="00F1526F" w:rsidP="00641D47">
            <w:r>
              <w:t xml:space="preserve">MSAC also recommended that laboratories performing the </w:t>
            </w:r>
            <w:r w:rsidR="005A1B69">
              <w:t xml:space="preserve">PD-L1 test </w:t>
            </w:r>
            <w:r>
              <w:t xml:space="preserve">ensure that their staff have additional training, and that the </w:t>
            </w:r>
            <w:r w:rsidR="00FC6B6D">
              <w:t xml:space="preserve">tests are regularly </w:t>
            </w:r>
            <w:r w:rsidR="00E26A5B">
              <w:t>monitored</w:t>
            </w:r>
            <w:r w:rsidR="00FC6B6D">
              <w:t xml:space="preserve"> to make sure they are </w:t>
            </w:r>
            <w:r w:rsidR="005C0959">
              <w:t xml:space="preserve">of </w:t>
            </w:r>
            <w:r w:rsidR="00FC6B6D">
              <w:t>high quality.</w:t>
            </w:r>
            <w:r>
              <w:t xml:space="preserve"> </w:t>
            </w:r>
          </w:p>
          <w:p w14:paraId="0A844CD7" w14:textId="5D00EFA2" w:rsidR="00F1526F" w:rsidRPr="00AF46D8" w:rsidRDefault="00F1526F" w:rsidP="00641D47">
            <w:pPr>
              <w:pStyle w:val="Heading3"/>
              <w:outlineLvl w:val="2"/>
            </w:pPr>
            <w:r w:rsidRPr="00AF46D8">
              <w:t>MSAC’s advice to the Commonwealth Minister for Health</w:t>
            </w:r>
            <w:r w:rsidR="00354EED">
              <w:t xml:space="preserve"> and Aged Care</w:t>
            </w:r>
          </w:p>
          <w:p w14:paraId="10847A8C" w14:textId="77777777" w:rsidR="00F1526F" w:rsidRPr="00AF46D8" w:rsidRDefault="00F1526F" w:rsidP="00641D47">
            <w:r w:rsidRPr="00AF46D8">
              <w:t>MSAC supported</w:t>
            </w:r>
            <w:r>
              <w:t xml:space="preserve"> expanding the listing for MBS item 72814 (for PD-L1 testing) to include people with inoperable locally recurrent or metastatic TNBC so that they can access </w:t>
            </w:r>
            <w:r w:rsidRPr="00B1676F">
              <w:t>pembrolizumab</w:t>
            </w:r>
            <w:r>
              <w:t xml:space="preserve"> on the PBS. MSAC considered the test to be safe, effective and good value for money in this group of patients.</w:t>
            </w:r>
          </w:p>
        </w:tc>
      </w:tr>
    </w:tbl>
    <w:p w14:paraId="656BB4D0" w14:textId="77777777" w:rsidR="00CA08A2" w:rsidRDefault="00CA08A2">
      <w:pPr>
        <w:spacing w:before="0"/>
        <w:rPr>
          <w:rFonts w:ascii="Franklin Gothic Medium" w:eastAsiaTheme="majorEastAsia" w:hAnsi="Franklin Gothic Medium" w:cstheme="majorBidi"/>
          <w:color w:val="000000" w:themeColor="text1"/>
          <w:sz w:val="32"/>
          <w:szCs w:val="26"/>
        </w:rPr>
      </w:pPr>
      <w:r>
        <w:br w:type="page"/>
      </w:r>
    </w:p>
    <w:p w14:paraId="0C57B1FC" w14:textId="6B2429FD" w:rsidR="000C2287" w:rsidRDefault="000C2287" w:rsidP="000C2287">
      <w:pPr>
        <w:pStyle w:val="Heading2"/>
        <w:numPr>
          <w:ilvl w:val="0"/>
          <w:numId w:val="0"/>
        </w:numPr>
      </w:pPr>
      <w:r>
        <w:t>3.</w:t>
      </w:r>
      <w:r>
        <w:tab/>
        <w:t>Summary of consideration and rationale for MSAC’s advice</w:t>
      </w:r>
    </w:p>
    <w:p w14:paraId="0365A564" w14:textId="4F0F147E" w:rsidR="00323D09" w:rsidRDefault="00323D09" w:rsidP="00323D09">
      <w:r w:rsidRPr="00516D4E">
        <w:t>MSAC</w:t>
      </w:r>
      <w:r>
        <w:t xml:space="preserve"> noted that this streamlined, co-dependent application from MSD request</w:t>
      </w:r>
      <w:r w:rsidR="005C0959">
        <w:t>ed</w:t>
      </w:r>
      <w:r w:rsidR="002D3BF2">
        <w:t xml:space="preserve"> </w:t>
      </w:r>
      <w:r w:rsidRPr="00B1676F">
        <w:t>amendment of MBS item 72814 for PD-L1 IHC testing to include locally recurrent unresectable or metastatic TNBC</w:t>
      </w:r>
      <w:r>
        <w:t xml:space="preserve"> for P</w:t>
      </w:r>
      <w:r w:rsidRPr="00B1676F">
        <w:t xml:space="preserve">harmaceutical Benefits Schedule (PBS) </w:t>
      </w:r>
      <w:r>
        <w:t>access to</w:t>
      </w:r>
      <w:r w:rsidRPr="00B1676F">
        <w:t xml:space="preserve"> pembrolizumab for </w:t>
      </w:r>
      <w:r>
        <w:t>patients</w:t>
      </w:r>
      <w:r w:rsidRPr="00B1676F">
        <w:t xml:space="preserve"> whose tumours express PD-L1 CPS ≥10 </w:t>
      </w:r>
      <w:r>
        <w:t xml:space="preserve">and </w:t>
      </w:r>
      <w:r w:rsidRPr="00B1676F">
        <w:t xml:space="preserve">who have not received prior chemotherapy for metastatic disease. </w:t>
      </w:r>
    </w:p>
    <w:p w14:paraId="6D868FDE" w14:textId="4C049BEB" w:rsidR="00323D09" w:rsidRDefault="00323D09" w:rsidP="00323D09">
      <w:r>
        <w:t>MSAC noted that, at its March 2023 meeting, the Pharmaceutical Benefits Advisory Committee (</w:t>
      </w:r>
      <w:r w:rsidRPr="00903F76">
        <w:t>PBAC</w:t>
      </w:r>
      <w:r>
        <w:t>)</w:t>
      </w:r>
      <w:r w:rsidRPr="00903F76">
        <w:t xml:space="preserve"> recommended the </w:t>
      </w:r>
      <w:r w:rsidR="00FF41A5">
        <w:t xml:space="preserve">PBS </w:t>
      </w:r>
      <w:r w:rsidRPr="00903F76">
        <w:t xml:space="preserve">listing of pembrolizumab for the treatment of patients with locally recurrent unresectable or metastatic </w:t>
      </w:r>
      <w:r>
        <w:t>TNBC</w:t>
      </w:r>
      <w:r w:rsidRPr="00903F76">
        <w:t xml:space="preserve"> whose tumours express PD-L1 (CPS ≥10)</w:t>
      </w:r>
      <w:r>
        <w:t xml:space="preserve">. MSAC noted that the </w:t>
      </w:r>
      <w:r w:rsidRPr="00AE72FB">
        <w:t>PBAC</w:t>
      </w:r>
      <w:r w:rsidR="00A54254">
        <w:t>:</w:t>
      </w:r>
    </w:p>
    <w:p w14:paraId="5E4A2DBC" w14:textId="77777777" w:rsidR="00323D09" w:rsidRPr="00DC6137" w:rsidRDefault="00323D09" w:rsidP="00F244B7">
      <w:pPr>
        <w:pStyle w:val="Bullet"/>
        <w:numPr>
          <w:ilvl w:val="0"/>
          <w:numId w:val="12"/>
        </w:numPr>
        <w:spacing w:before="0"/>
        <w:ind w:left="720"/>
        <w:rPr>
          <w:rFonts w:ascii="Franklin Gothic Book" w:hAnsi="Franklin Gothic Book"/>
        </w:rPr>
      </w:pPr>
      <w:r w:rsidRPr="00DC6137">
        <w:rPr>
          <w:rFonts w:ascii="Franklin Gothic Book" w:hAnsi="Franklin Gothic Book"/>
        </w:rPr>
        <w:t>noted there is a high clinical need for effective treatment in this patient population, who are typically young and have a poor prognosis</w:t>
      </w:r>
    </w:p>
    <w:p w14:paraId="5EC96953" w14:textId="39B8FE05" w:rsidR="00323D09" w:rsidRPr="00DC6137" w:rsidRDefault="00323D09" w:rsidP="00F244B7">
      <w:pPr>
        <w:pStyle w:val="Bullet"/>
        <w:numPr>
          <w:ilvl w:val="0"/>
          <w:numId w:val="12"/>
        </w:numPr>
        <w:spacing w:before="0"/>
        <w:ind w:left="720"/>
        <w:rPr>
          <w:rFonts w:ascii="Franklin Gothic Book" w:hAnsi="Franklin Gothic Book"/>
        </w:rPr>
      </w:pPr>
      <w:r w:rsidRPr="00DC6137">
        <w:rPr>
          <w:rFonts w:ascii="Franklin Gothic Book" w:hAnsi="Franklin Gothic Book"/>
        </w:rPr>
        <w:t>considered that pembrolizumab in combination with chemotherapy provides a meaningful improvement in overall survival (OS) compared with standard chemotherapy alone</w:t>
      </w:r>
      <w:r w:rsidR="00887886" w:rsidRPr="00DC6137">
        <w:rPr>
          <w:rFonts w:ascii="Franklin Gothic Book" w:hAnsi="Franklin Gothic Book"/>
        </w:rPr>
        <w:t xml:space="preserve">. </w:t>
      </w:r>
      <w:r w:rsidRPr="00DC6137">
        <w:rPr>
          <w:rFonts w:ascii="Franklin Gothic Book" w:hAnsi="Franklin Gothic Book"/>
        </w:rPr>
        <w:t xml:space="preserve"> </w:t>
      </w:r>
    </w:p>
    <w:p w14:paraId="2B3F3CD3" w14:textId="773DDC44" w:rsidR="008E1707" w:rsidRDefault="008E1707" w:rsidP="00DC6137">
      <w:pPr>
        <w:pStyle w:val="Bullet"/>
        <w:numPr>
          <w:ilvl w:val="0"/>
          <w:numId w:val="0"/>
        </w:numPr>
        <w:spacing w:before="0"/>
      </w:pPr>
      <w:r>
        <w:rPr>
          <w:rFonts w:ascii="Franklin Gothic Book" w:hAnsi="Franklin Gothic Book"/>
        </w:rPr>
        <w:t xml:space="preserve">MSAC recalled it was previously inclined to support </w:t>
      </w:r>
      <w:r w:rsidR="003E48C0">
        <w:rPr>
          <w:rFonts w:ascii="Franklin Gothic Book" w:hAnsi="Franklin Gothic Book"/>
        </w:rPr>
        <w:t>PD-L1 testing</w:t>
      </w:r>
      <w:r w:rsidR="00DF2E03">
        <w:rPr>
          <w:rFonts w:ascii="Franklin Gothic Book" w:hAnsi="Franklin Gothic Book"/>
        </w:rPr>
        <w:t xml:space="preserve"> for some</w:t>
      </w:r>
      <w:r w:rsidR="003E48C0">
        <w:rPr>
          <w:rFonts w:ascii="Franklin Gothic Book" w:hAnsi="Franklin Gothic Book"/>
        </w:rPr>
        <w:t xml:space="preserve"> </w:t>
      </w:r>
      <w:r w:rsidR="00DF2E03" w:rsidRPr="00DF2E03">
        <w:rPr>
          <w:rFonts w:ascii="Franklin Gothic Book" w:hAnsi="Franklin Gothic Book"/>
        </w:rPr>
        <w:t xml:space="preserve">patients with </w:t>
      </w:r>
      <w:r w:rsidR="00DC6137">
        <w:rPr>
          <w:rFonts w:ascii="Franklin Gothic Book" w:hAnsi="Franklin Gothic Book"/>
        </w:rPr>
        <w:t>advanced</w:t>
      </w:r>
      <w:r w:rsidR="00DF2E03" w:rsidRPr="00DF2E03">
        <w:rPr>
          <w:rFonts w:ascii="Franklin Gothic Book" w:hAnsi="Franklin Gothic Book"/>
        </w:rPr>
        <w:t xml:space="preserve"> </w:t>
      </w:r>
      <w:r w:rsidR="00B348F2">
        <w:rPr>
          <w:rFonts w:ascii="Franklin Gothic Book" w:hAnsi="Franklin Gothic Book"/>
        </w:rPr>
        <w:t xml:space="preserve">TNBC to determine eligibility for treatment with </w:t>
      </w:r>
      <w:r w:rsidR="00B348F2" w:rsidRPr="00B348F2">
        <w:rPr>
          <w:rFonts w:ascii="Franklin Gothic Book" w:hAnsi="Franklin Gothic Book"/>
        </w:rPr>
        <w:t>atezolizumab</w:t>
      </w:r>
      <w:r w:rsidR="00B348F2">
        <w:rPr>
          <w:rFonts w:ascii="Franklin Gothic Book" w:hAnsi="Franklin Gothic Book"/>
        </w:rPr>
        <w:t xml:space="preserve"> (p</w:t>
      </w:r>
      <w:r w:rsidR="00962821">
        <w:rPr>
          <w:rFonts w:ascii="Franklin Gothic Book" w:hAnsi="Franklin Gothic Book"/>
        </w:rPr>
        <w:t xml:space="preserve">1, </w:t>
      </w:r>
      <w:hyperlink r:id="rId9" w:history="1">
        <w:r w:rsidR="00962821" w:rsidRPr="00BD51FC">
          <w:rPr>
            <w:rStyle w:val="Hyperlink"/>
            <w:rFonts w:ascii="Franklin Gothic Book" w:hAnsi="Franklin Gothic Book"/>
          </w:rPr>
          <w:t>MSAC Application 1570 Public Summary Document [PSD]</w:t>
        </w:r>
      </w:hyperlink>
      <w:r w:rsidR="00962821">
        <w:rPr>
          <w:rFonts w:ascii="Franklin Gothic Book" w:hAnsi="Franklin Gothic Book"/>
        </w:rPr>
        <w:t xml:space="preserve">). </w:t>
      </w:r>
    </w:p>
    <w:p w14:paraId="50D30AEF" w14:textId="461B6D8B" w:rsidR="00323D09" w:rsidRDefault="00323D09" w:rsidP="00323D09">
      <w:r>
        <w:t xml:space="preserve">MSAC considered there were no safety issues associated with the </w:t>
      </w:r>
      <w:r w:rsidR="008E3EDD">
        <w:t>testing process</w:t>
      </w:r>
      <w:r>
        <w:t>.</w:t>
      </w:r>
    </w:p>
    <w:p w14:paraId="4BC09777" w14:textId="6C6E765B" w:rsidR="006F3A29" w:rsidRDefault="00323D09" w:rsidP="00F8290A">
      <w:pPr>
        <w:rPr>
          <w:lang w:val="en-US"/>
        </w:rPr>
      </w:pPr>
      <w:r>
        <w:t xml:space="preserve">Regarding the analytical performance of PD-L1 testing, MSAC recalled </w:t>
      </w:r>
      <w:hyperlink r:id="rId10" w:history="1">
        <w:r w:rsidRPr="00DF0BC9">
          <w:rPr>
            <w:rStyle w:val="Hyperlink"/>
          </w:rPr>
          <w:t>its position statement on PD-L1 IHC testing for determining patient eligibility for treatment with PD-(L)1 checkpoint inhibitors</w:t>
        </w:r>
      </w:hyperlink>
      <w:r>
        <w:t>: “</w:t>
      </w:r>
      <w:r w:rsidRPr="00AE72FB">
        <w:t xml:space="preserve">MSAC </w:t>
      </w:r>
      <w:r w:rsidRPr="00AE72FB">
        <w:rPr>
          <w:lang w:val="en-US"/>
        </w:rPr>
        <w:t>will not, in the future, support the use of PD-L1 IHC testing as being essential for the purpose of helping to make decisions affecting the eligibility of patients for treatment involving PD-L1 or PD-1 checkpoint inhibitors”.</w:t>
      </w:r>
      <w:r>
        <w:rPr>
          <w:lang w:val="en-US"/>
        </w:rPr>
        <w:t xml:space="preserve"> However, MSAC also </w:t>
      </w:r>
      <w:r w:rsidR="00C73B6F">
        <w:rPr>
          <w:lang w:val="en-US"/>
        </w:rPr>
        <w:t xml:space="preserve">noted </w:t>
      </w:r>
      <w:r>
        <w:rPr>
          <w:lang w:val="en-US"/>
        </w:rPr>
        <w:t xml:space="preserve">that </w:t>
      </w:r>
      <w:r w:rsidR="00F8290A">
        <w:rPr>
          <w:lang w:val="en-US"/>
        </w:rPr>
        <w:t>its</w:t>
      </w:r>
      <w:r w:rsidR="00F8290A" w:rsidRPr="00F8290A">
        <w:rPr>
          <w:lang w:val="en-US"/>
        </w:rPr>
        <w:t xml:space="preserve"> Position Statement enables applicants to lodge streamlined codependent submissions requesting subsidy for PD-L1 IHC testing on a case-by-case basis.</w:t>
      </w:r>
    </w:p>
    <w:p w14:paraId="701CAC39" w14:textId="49597BC3" w:rsidR="00800587" w:rsidRDefault="00323D09" w:rsidP="00323D09">
      <w:pPr>
        <w:rPr>
          <w:lang w:val="en-US"/>
        </w:rPr>
      </w:pPr>
      <w:r>
        <w:rPr>
          <w:lang w:val="en-US"/>
        </w:rPr>
        <w:t>MSAC agreed with PBAC that there is unmet clinical need for these patients, and also noted this</w:t>
      </w:r>
      <w:r w:rsidR="00BA0415">
        <w:rPr>
          <w:lang w:val="en-US"/>
        </w:rPr>
        <w:t xml:space="preserve"> was stated</w:t>
      </w:r>
      <w:r>
        <w:rPr>
          <w:lang w:val="en-US"/>
        </w:rPr>
        <w:t xml:space="preserve"> in the pre-MSAC response.</w:t>
      </w:r>
    </w:p>
    <w:p w14:paraId="10B610B5" w14:textId="12FC8CDF" w:rsidR="007F2E7F" w:rsidRDefault="007F2E7F" w:rsidP="007F2E7F">
      <w:pPr>
        <w:rPr>
          <w:lang w:val="en-US"/>
        </w:rPr>
      </w:pPr>
      <w:r>
        <w:rPr>
          <w:lang w:val="en-US"/>
        </w:rPr>
        <w:t xml:space="preserve">MSAC noted that as a streamlined codependent submission, an assessment of analytical performance was not included. MSAC </w:t>
      </w:r>
      <w:r w:rsidR="00C73B6F">
        <w:rPr>
          <w:lang w:val="en-US"/>
        </w:rPr>
        <w:t xml:space="preserve">noted </w:t>
      </w:r>
      <w:r>
        <w:rPr>
          <w:lang w:val="en-US"/>
        </w:rPr>
        <w:t xml:space="preserve">that one of the main issues with PD-L1 testing is that the platforms and antibodies used can differ between laboratories. This can lead to variable results being obtained on the same sample. In addition, MSAC noted that </w:t>
      </w:r>
      <w:r w:rsidRPr="00B05E6D">
        <w:rPr>
          <w:lang w:val="en-US"/>
        </w:rPr>
        <w:t xml:space="preserve">the </w:t>
      </w:r>
      <w:r>
        <w:rPr>
          <w:lang w:val="en-US"/>
        </w:rPr>
        <w:t>Royal College of Pathologists Australasia (RCPA)</w:t>
      </w:r>
      <w:r w:rsidRPr="00B05E6D">
        <w:rPr>
          <w:lang w:val="en-US"/>
        </w:rPr>
        <w:t xml:space="preserve"> and the Australasian Society for Breast Disease consider the several IHC antibod</w:t>
      </w:r>
      <w:r>
        <w:rPr>
          <w:lang w:val="en-US"/>
        </w:rPr>
        <w:t xml:space="preserve">ies </w:t>
      </w:r>
      <w:r w:rsidRPr="00B05E6D">
        <w:rPr>
          <w:lang w:val="en-US"/>
        </w:rPr>
        <w:t>available for PD</w:t>
      </w:r>
      <w:r>
        <w:rPr>
          <w:lang w:val="en-US"/>
        </w:rPr>
        <w:t>-</w:t>
      </w:r>
      <w:r w:rsidRPr="00B05E6D">
        <w:rPr>
          <w:lang w:val="en-US"/>
        </w:rPr>
        <w:t xml:space="preserve">L1 testing to be non-interchangeable, as they vary considerably in sensitivity. For each PD-L1 indication, these </w:t>
      </w:r>
      <w:r w:rsidRPr="00750FD5">
        <w:t>organisations</w:t>
      </w:r>
      <w:r w:rsidRPr="00B05E6D">
        <w:rPr>
          <w:lang w:val="en-US"/>
        </w:rPr>
        <w:t xml:space="preserve"> recommend that the assay and scoring method that was supported by the relevant trials be used. </w:t>
      </w:r>
      <w:r>
        <w:rPr>
          <w:lang w:val="en-US"/>
        </w:rPr>
        <w:t xml:space="preserve">MSAC recalled it had previously considered the analytical performance of the 22C3 antibody using the Ventana platform in its consideration of application 1522.1 (p4, </w:t>
      </w:r>
      <w:hyperlink r:id="rId11" w:history="1">
        <w:r w:rsidRPr="002C103E">
          <w:rPr>
            <w:rStyle w:val="Hyperlink"/>
            <w:lang w:val="en-US"/>
          </w:rPr>
          <w:t>MSAC Application 1522.1 Public Summary Document</w:t>
        </w:r>
      </w:hyperlink>
      <w:r>
        <w:rPr>
          <w:lang w:val="en-US"/>
        </w:rPr>
        <w:t xml:space="preserve">) and not specified a particular platform for testing.  </w:t>
      </w:r>
    </w:p>
    <w:p w14:paraId="0BE57B51" w14:textId="39E59FA3" w:rsidR="00F331E1" w:rsidRDefault="00F331E1" w:rsidP="007F2E7F">
      <w:pPr>
        <w:rPr>
          <w:lang w:val="en-US"/>
        </w:rPr>
      </w:pPr>
      <w:r>
        <w:rPr>
          <w:lang w:val="en-US"/>
        </w:rPr>
        <w:t xml:space="preserve">MSAC considered that another issue with PD-L1 assays is inter-observer and intra-observer variability when assessing PD-L1 scores. MSAC considered that this variability could be addressed through more intensive user training and certification, and through the RCPA external Quality Assurance Program (QAP). MSAC considered the CPS scoring to be more difficult than tumour </w:t>
      </w:r>
      <w:r w:rsidR="00BD779B" w:rsidRPr="00BD779B">
        <w:rPr>
          <w:lang w:val="en-US"/>
        </w:rPr>
        <w:t xml:space="preserve">proportion </w:t>
      </w:r>
      <w:r w:rsidRPr="00BD779B">
        <w:rPr>
          <w:lang w:val="en-US"/>
        </w:rPr>
        <w:t>scoring</w:t>
      </w:r>
      <w:r w:rsidR="00641D47">
        <w:rPr>
          <w:lang w:val="en-US"/>
        </w:rPr>
        <w:t xml:space="preserve"> </w:t>
      </w:r>
      <w:r w:rsidR="00641D47" w:rsidRPr="006F4847">
        <w:rPr>
          <w:lang w:val="en-US"/>
        </w:rPr>
        <w:t>(TPS)</w:t>
      </w:r>
      <w:r w:rsidRPr="006F4847">
        <w:rPr>
          <w:lang w:val="en-US"/>
        </w:rPr>
        <w:t>.</w:t>
      </w:r>
      <w:r>
        <w:rPr>
          <w:lang w:val="en-US"/>
        </w:rPr>
        <w:t xml:space="preserve"> </w:t>
      </w:r>
      <w:r w:rsidR="00641D47">
        <w:rPr>
          <w:lang w:val="en-US"/>
        </w:rPr>
        <w:t xml:space="preserve"> </w:t>
      </w:r>
    </w:p>
    <w:p w14:paraId="10825D22" w14:textId="7E59771E" w:rsidR="00C73F20" w:rsidRDefault="00323D09" w:rsidP="00323D09">
      <w:r>
        <w:rPr>
          <w:lang w:val="en-US"/>
        </w:rPr>
        <w:t xml:space="preserve">MSAC noted the clinical evidence from the KN-355 </w:t>
      </w:r>
      <w:r w:rsidR="007227A9">
        <w:rPr>
          <w:lang w:val="en-US"/>
        </w:rPr>
        <w:t xml:space="preserve">trial </w:t>
      </w:r>
      <w:r>
        <w:rPr>
          <w:lang w:val="en-US"/>
        </w:rPr>
        <w:t>supporting the use of pembrolizumab in the TNBC patient group</w:t>
      </w:r>
      <w:r w:rsidR="009B138C">
        <w:rPr>
          <w:lang w:val="en-US"/>
        </w:rPr>
        <w:t xml:space="preserve"> who had CPS</w:t>
      </w:r>
      <w:r w:rsidR="009B138C" w:rsidRPr="00903F76">
        <w:t>≥10</w:t>
      </w:r>
      <w:r w:rsidR="007227A9">
        <w:rPr>
          <w:lang w:val="en-US"/>
        </w:rPr>
        <w:t>. MSAC noted i</w:t>
      </w:r>
      <w:r w:rsidR="003D1206">
        <w:rPr>
          <w:lang w:val="en-US"/>
        </w:rPr>
        <w:t>mprovements</w:t>
      </w:r>
      <w:r w:rsidR="007874E2">
        <w:rPr>
          <w:lang w:val="en-US"/>
        </w:rPr>
        <w:t xml:space="preserve"> </w:t>
      </w:r>
      <w:r w:rsidR="00460C33">
        <w:rPr>
          <w:lang w:val="en-US"/>
        </w:rPr>
        <w:t>in OS</w:t>
      </w:r>
      <w:r w:rsidR="00173B9F">
        <w:rPr>
          <w:lang w:val="en-US"/>
        </w:rPr>
        <w:t xml:space="preserve"> between the treatment and placebo arms</w:t>
      </w:r>
      <w:r w:rsidR="00460C33">
        <w:rPr>
          <w:lang w:val="en-US"/>
        </w:rPr>
        <w:t xml:space="preserve"> were not </w:t>
      </w:r>
      <w:r w:rsidR="00FD3B92">
        <w:rPr>
          <w:lang w:val="en-US"/>
        </w:rPr>
        <w:t>found</w:t>
      </w:r>
      <w:r w:rsidR="00460C33">
        <w:rPr>
          <w:lang w:val="en-US"/>
        </w:rPr>
        <w:t xml:space="preserve"> in the CPS</w:t>
      </w:r>
      <w:r w:rsidR="00460C33" w:rsidRPr="00903F76">
        <w:t>≥1</w:t>
      </w:r>
      <w:r w:rsidR="00460C33">
        <w:t xml:space="preserve"> </w:t>
      </w:r>
      <w:r w:rsidR="007874E2">
        <w:t xml:space="preserve">or </w:t>
      </w:r>
      <w:r w:rsidR="00BF2519">
        <w:t>intention to treat (</w:t>
      </w:r>
      <w:r w:rsidR="007874E2">
        <w:t>ITT</w:t>
      </w:r>
      <w:r w:rsidR="00BF2519">
        <w:t>)</w:t>
      </w:r>
      <w:r w:rsidR="007874E2">
        <w:t xml:space="preserve"> patient groups.</w:t>
      </w:r>
      <w:r w:rsidR="00BB0D35">
        <w:t xml:space="preserve"> </w:t>
      </w:r>
    </w:p>
    <w:p w14:paraId="2C78DE4F" w14:textId="419D7BCF" w:rsidR="00C73F20" w:rsidRDefault="006258F7" w:rsidP="00323D09">
      <w:r>
        <w:t xml:space="preserve">MSAC considered several aspects of the </w:t>
      </w:r>
      <w:r w:rsidRPr="006258F7">
        <w:t>KN-355 trial</w:t>
      </w:r>
      <w:r>
        <w:t xml:space="preserve"> reduced its confidence </w:t>
      </w:r>
      <w:r w:rsidR="00176A06">
        <w:t>the trial results and</w:t>
      </w:r>
      <w:r w:rsidR="00B410D8">
        <w:t xml:space="preserve"> the claim </w:t>
      </w:r>
      <w:r w:rsidR="00CB3120">
        <w:t xml:space="preserve">that </w:t>
      </w:r>
      <w:r w:rsidR="00F53109">
        <w:t>the trial supported the codep</w:t>
      </w:r>
      <w:r w:rsidR="009975F9">
        <w:t>en</w:t>
      </w:r>
      <w:r w:rsidR="00F53109">
        <w:t>dency</w:t>
      </w:r>
      <w:r>
        <w:t xml:space="preserve">. </w:t>
      </w:r>
      <w:r w:rsidR="005C42E1">
        <w:t>This included:</w:t>
      </w:r>
    </w:p>
    <w:p w14:paraId="477F43C7" w14:textId="2CD8E32F" w:rsidR="005C42E1" w:rsidRDefault="009975F9" w:rsidP="00F244B7">
      <w:pPr>
        <w:pStyle w:val="ListParagraph"/>
        <w:numPr>
          <w:ilvl w:val="0"/>
          <w:numId w:val="13"/>
        </w:numPr>
      </w:pPr>
      <w:r>
        <w:t>The c</w:t>
      </w:r>
      <w:r w:rsidR="005C42E1">
        <w:t>hange in primary</w:t>
      </w:r>
      <w:r w:rsidR="00FC047A" w:rsidRPr="00FC047A">
        <w:t xml:space="preserve"> </w:t>
      </w:r>
      <w:r w:rsidR="00FC047A">
        <w:t>endpoint between the first interim analysis and final analysis</w:t>
      </w:r>
      <w:r w:rsidR="009F669C">
        <w:t>.</w:t>
      </w:r>
    </w:p>
    <w:p w14:paraId="0FFA3DCA" w14:textId="6247E681" w:rsidR="00FC047A" w:rsidRDefault="004D6CC3" w:rsidP="00F244B7">
      <w:pPr>
        <w:pStyle w:val="ListParagraph"/>
        <w:numPr>
          <w:ilvl w:val="0"/>
          <w:numId w:val="13"/>
        </w:numPr>
      </w:pPr>
      <w:r>
        <w:t xml:space="preserve">The trial being </w:t>
      </w:r>
      <w:r w:rsidRPr="004D6CC3">
        <w:t>originally stratified by the proportion of CPS ≥1 as opposed to CPS ≥10</w:t>
      </w:r>
      <w:r>
        <w:t>. Therefore</w:t>
      </w:r>
      <w:r w:rsidRPr="004D6CC3">
        <w:t xml:space="preserve"> the CPS ≥10 subgroup could potentially </w:t>
      </w:r>
      <w:r w:rsidR="00EB30E0">
        <w:t>be</w:t>
      </w:r>
      <w:r w:rsidRPr="004D6CC3">
        <w:t xml:space="preserve"> inadequately randomised and may carry a higher risk of bias.</w:t>
      </w:r>
    </w:p>
    <w:p w14:paraId="431BE151" w14:textId="3E5ACC9D" w:rsidR="004D6CC3" w:rsidRDefault="004D6CC3" w:rsidP="00F244B7">
      <w:pPr>
        <w:pStyle w:val="ListParagraph"/>
        <w:numPr>
          <w:ilvl w:val="0"/>
          <w:numId w:val="13"/>
        </w:numPr>
      </w:pPr>
      <w:r>
        <w:t xml:space="preserve">Overlapping confidence intervals </w:t>
      </w:r>
      <w:r w:rsidR="006B0398">
        <w:t xml:space="preserve">for OS </w:t>
      </w:r>
      <w:r>
        <w:t xml:space="preserve">across </w:t>
      </w:r>
      <w:r w:rsidR="002343A1">
        <w:t xml:space="preserve">the subgroups by CPS status. </w:t>
      </w:r>
    </w:p>
    <w:p w14:paraId="3438C98D" w14:textId="21E17BEF" w:rsidR="00220D98" w:rsidRDefault="00220D98">
      <w:r>
        <w:t xml:space="preserve">MSAC considered </w:t>
      </w:r>
      <w:r w:rsidR="0088434D">
        <w:t xml:space="preserve">pembrolizumab’s PD-L1 agnostic </w:t>
      </w:r>
      <w:r w:rsidR="00D121CD">
        <w:t>Therapeutic Goods Administration</w:t>
      </w:r>
      <w:r w:rsidR="0088434D">
        <w:t xml:space="preserve"> indication for early </w:t>
      </w:r>
      <w:r w:rsidR="001B39C6">
        <w:t xml:space="preserve">TNBC </w:t>
      </w:r>
      <w:r w:rsidR="003664AA">
        <w:t xml:space="preserve">but not advanced TNBC </w:t>
      </w:r>
      <w:r w:rsidR="00FD4E92">
        <w:t xml:space="preserve">weakened </w:t>
      </w:r>
      <w:r w:rsidR="006A576A">
        <w:t>suggestions based on biological plausibility</w:t>
      </w:r>
      <w:r w:rsidR="00927B38">
        <w:t xml:space="preserve"> that </w:t>
      </w:r>
      <w:r w:rsidR="002D3831">
        <w:t xml:space="preserve">PD-L1 expression (as measured by CPS score) </w:t>
      </w:r>
      <w:r w:rsidR="00196EFF">
        <w:t xml:space="preserve">predicts response to pembrolizumab in </w:t>
      </w:r>
      <w:r w:rsidR="00800587">
        <w:t xml:space="preserve">advanced </w:t>
      </w:r>
      <w:r w:rsidR="00196EFF">
        <w:t xml:space="preserve">TNBC. </w:t>
      </w:r>
    </w:p>
    <w:p w14:paraId="574CB899" w14:textId="0DF6D26A" w:rsidR="0048382F" w:rsidRDefault="0048382F" w:rsidP="00323D09">
      <w:pPr>
        <w:rPr>
          <w:lang w:val="en-US"/>
        </w:rPr>
      </w:pPr>
      <w:r>
        <w:t>MSAC noted that the application presented a cost-utility analysis. MSAC noted that, although eligible patients require their condition to express PD-L1 with a CPS ≥10 as determined by a validated test, a test-treat model structure (where false positives and false negatives are explicitly modelled) was not adopted for this economic evaluation. MSAC considered the submission’s modelling approach to be consistent with the streamlined co-dependent pathway, and with advice provided by the Department.</w:t>
      </w:r>
      <w:r w:rsidR="00BC02D6">
        <w:t xml:space="preserve"> MSAC noted that the ICER</w:t>
      </w:r>
      <w:r w:rsidR="00622CF9">
        <w:t xml:space="preserve"> increased </w:t>
      </w:r>
      <w:r w:rsidR="00BC02D6">
        <w:t xml:space="preserve">from </w:t>
      </w:r>
      <w:r w:rsidR="00616E8F" w:rsidRPr="00616E8F">
        <w:t xml:space="preserve">$55,000 to &lt; $75,000 </w:t>
      </w:r>
      <w:r w:rsidR="00BC02D6">
        <w:t xml:space="preserve">to </w:t>
      </w:r>
      <w:r w:rsidR="00616E8F" w:rsidRPr="00616E8F">
        <w:t xml:space="preserve">$55,000 to &lt; $75,000 </w:t>
      </w:r>
      <w:r w:rsidR="00BC02D6">
        <w:t>per quality-adjusted life year (QALY)</w:t>
      </w:r>
      <w:r w:rsidR="00622CF9">
        <w:t xml:space="preserve"> </w:t>
      </w:r>
      <w:r w:rsidR="00994D02">
        <w:t xml:space="preserve">in a multivariate analysis addressing several issues </w:t>
      </w:r>
      <w:r w:rsidR="002E07BE">
        <w:t>identified</w:t>
      </w:r>
      <w:r w:rsidR="00994D02">
        <w:t xml:space="preserve"> in the commentary and by </w:t>
      </w:r>
      <w:r w:rsidR="00F21273">
        <w:t xml:space="preserve">the </w:t>
      </w:r>
      <w:r w:rsidR="00994D02">
        <w:t xml:space="preserve">PBAC’s Economics Sub-Committee. </w:t>
      </w:r>
    </w:p>
    <w:p w14:paraId="09411F6F" w14:textId="14462A56" w:rsidR="00323D09" w:rsidRPr="00AE72FB" w:rsidRDefault="00323D09" w:rsidP="00323D09">
      <w:pPr>
        <w:rPr>
          <w:lang w:val="en-US"/>
        </w:rPr>
      </w:pPr>
      <w:r>
        <w:rPr>
          <w:lang w:val="en-US"/>
        </w:rPr>
        <w:t xml:space="preserve">MSAC noted that the application stated that expanding this testing to patients with TNBC would result in an additional </w:t>
      </w:r>
      <w:r w:rsidR="00100442" w:rsidRPr="00100442">
        <w:rPr>
          <w:lang w:val="en-US"/>
        </w:rPr>
        <w:t>500 to &lt; 5,000</w:t>
      </w:r>
      <w:r w:rsidR="00100442">
        <w:rPr>
          <w:lang w:val="en-US"/>
        </w:rPr>
        <w:t xml:space="preserve"> </w:t>
      </w:r>
      <w:r>
        <w:rPr>
          <w:lang w:val="en-US"/>
        </w:rPr>
        <w:t>services each year.</w:t>
      </w:r>
      <w:r w:rsidR="0048382F" w:rsidRPr="0048382F">
        <w:t xml:space="preserve"> </w:t>
      </w:r>
      <w:r w:rsidR="0048382F">
        <w:t xml:space="preserve">MSAC noted the relatively minor impact to the MBS of </w:t>
      </w:r>
      <w:r w:rsidR="00100442" w:rsidRPr="00100442">
        <w:t>$0 to &lt; $10 million</w:t>
      </w:r>
      <w:r w:rsidR="0048382F">
        <w:t xml:space="preserve"> in year 1 to </w:t>
      </w:r>
      <w:r w:rsidR="00100442" w:rsidRPr="00100442">
        <w:t>$0 to &lt; $10 million</w:t>
      </w:r>
      <w:r w:rsidR="0048382F">
        <w:t xml:space="preserve"> in year 6.</w:t>
      </w:r>
    </w:p>
    <w:p w14:paraId="18D7E1D0" w14:textId="1B46BE7A" w:rsidR="009975F9" w:rsidRDefault="006B14B6">
      <w:pPr>
        <w:rPr>
          <w:szCs w:val="24"/>
        </w:rPr>
      </w:pPr>
      <w:r>
        <w:t>On balance</w:t>
      </w:r>
      <w:r w:rsidR="00323D09">
        <w:t xml:space="preserve">, MSAC supported expanding the listing of MBS item 72814 to include </w:t>
      </w:r>
      <w:r w:rsidR="00323D09">
        <w:rPr>
          <w:szCs w:val="24"/>
        </w:rPr>
        <w:t xml:space="preserve">inoperable locally recurrent or metastatic TNBC. </w:t>
      </w:r>
      <w:r w:rsidR="00994D02">
        <w:rPr>
          <w:szCs w:val="24"/>
        </w:rPr>
        <w:t xml:space="preserve">MSAC considered that the issues it outlined in its </w:t>
      </w:r>
      <w:r w:rsidR="0008612D" w:rsidRPr="00F36D12">
        <w:rPr>
          <w:szCs w:val="24"/>
        </w:rPr>
        <w:t>Position Statement on PD-L1 immunohistochemistry testing to determine eligibility for treatment with PD-(L)1 checkpoint inhibitors</w:t>
      </w:r>
      <w:r w:rsidR="00EB6BE2">
        <w:rPr>
          <w:szCs w:val="24"/>
        </w:rPr>
        <w:t xml:space="preserve"> re</w:t>
      </w:r>
      <w:r w:rsidR="003F41BE">
        <w:rPr>
          <w:szCs w:val="24"/>
        </w:rPr>
        <w:t xml:space="preserve">main. </w:t>
      </w:r>
      <w:r w:rsidR="00BB0D35" w:rsidRPr="00BB0D35">
        <w:rPr>
          <w:szCs w:val="24"/>
        </w:rPr>
        <w:t xml:space="preserve">However, MSAC considered that in this </w:t>
      </w:r>
      <w:r w:rsidR="003B454A">
        <w:rPr>
          <w:szCs w:val="24"/>
        </w:rPr>
        <w:t>specific application</w:t>
      </w:r>
      <w:r w:rsidR="00BB0D35" w:rsidRPr="00BB0D35">
        <w:rPr>
          <w:szCs w:val="24"/>
        </w:rPr>
        <w:t>, PD-L1 IHC testing with a CPS threshold of ≥10 has sufficient value in identifying which patients may derive greater benefit from pembrolizumab in combination with chemotherapy</w:t>
      </w:r>
      <w:r w:rsidR="00AE78EC">
        <w:rPr>
          <w:szCs w:val="24"/>
        </w:rPr>
        <w:t>.</w:t>
      </w:r>
      <w:r w:rsidR="00C15511">
        <w:rPr>
          <w:szCs w:val="24"/>
        </w:rPr>
        <w:t xml:space="preserve"> </w:t>
      </w:r>
      <w:r w:rsidR="00AE78EC">
        <w:rPr>
          <w:szCs w:val="24"/>
        </w:rPr>
        <w:t xml:space="preserve">Of note, </w:t>
      </w:r>
      <w:r w:rsidR="00C15511">
        <w:rPr>
          <w:szCs w:val="24"/>
        </w:rPr>
        <w:t>the addition of</w:t>
      </w:r>
      <w:r w:rsidR="00BB0D35" w:rsidRPr="00BB0D35">
        <w:rPr>
          <w:szCs w:val="24"/>
        </w:rPr>
        <w:t xml:space="preserve"> pembrolizumab did not demonstrate a clinical benefit </w:t>
      </w:r>
      <w:r w:rsidR="00C15511">
        <w:rPr>
          <w:szCs w:val="24"/>
        </w:rPr>
        <w:t>for</w:t>
      </w:r>
      <w:r w:rsidR="00220D98">
        <w:rPr>
          <w:szCs w:val="24"/>
        </w:rPr>
        <w:t xml:space="preserve"> </w:t>
      </w:r>
      <w:r w:rsidR="00BB0D35" w:rsidRPr="00BB0D35">
        <w:rPr>
          <w:szCs w:val="24"/>
        </w:rPr>
        <w:t xml:space="preserve">the broader population </w:t>
      </w:r>
      <w:r w:rsidR="00F21273">
        <w:rPr>
          <w:szCs w:val="24"/>
        </w:rPr>
        <w:t>(I</w:t>
      </w:r>
      <w:r w:rsidR="00F36D12">
        <w:rPr>
          <w:szCs w:val="24"/>
        </w:rPr>
        <w:t xml:space="preserve">TT population) </w:t>
      </w:r>
      <w:r w:rsidR="00BB0D35" w:rsidRPr="00BB0D35">
        <w:rPr>
          <w:szCs w:val="24"/>
        </w:rPr>
        <w:t xml:space="preserve">with </w:t>
      </w:r>
      <w:r w:rsidR="00F36D12">
        <w:rPr>
          <w:szCs w:val="24"/>
        </w:rPr>
        <w:t>advanced TNBC</w:t>
      </w:r>
      <w:r w:rsidR="00BB0D35">
        <w:rPr>
          <w:szCs w:val="24"/>
        </w:rPr>
        <w:t xml:space="preserve">. </w:t>
      </w:r>
      <w:r w:rsidR="00757650">
        <w:rPr>
          <w:szCs w:val="24"/>
        </w:rPr>
        <w:t xml:space="preserve"> </w:t>
      </w:r>
    </w:p>
    <w:p w14:paraId="7A55C46E" w14:textId="04061CD9" w:rsidR="003F0EC4" w:rsidRDefault="004C1AA8">
      <w:pPr>
        <w:rPr>
          <w:lang w:val="en-US"/>
        </w:rPr>
      </w:pPr>
      <w:r>
        <w:rPr>
          <w:lang w:val="en-US"/>
        </w:rPr>
        <w:t xml:space="preserve">MSAC </w:t>
      </w:r>
      <w:r w:rsidR="003F0EC4">
        <w:rPr>
          <w:lang w:val="en-US"/>
        </w:rPr>
        <w:t xml:space="preserve">advised that the item descriptor should </w:t>
      </w:r>
      <w:r w:rsidR="006B14B6">
        <w:rPr>
          <w:lang w:val="en-US"/>
        </w:rPr>
        <w:t>state</w:t>
      </w:r>
      <w:r w:rsidR="003F0EC4">
        <w:rPr>
          <w:lang w:val="en-US"/>
        </w:rPr>
        <w:t xml:space="preserve"> “</w:t>
      </w:r>
      <w:r w:rsidR="003F0EC4" w:rsidRPr="003F0EC4">
        <w:rPr>
          <w:lang w:val="en-US"/>
        </w:rPr>
        <w:t>inoperable locally recurrent or metastatic triple negative breast cancer</w:t>
      </w:r>
      <w:r w:rsidR="003F0EC4">
        <w:rPr>
          <w:lang w:val="en-US"/>
        </w:rPr>
        <w:t>”</w:t>
      </w:r>
      <w:r w:rsidR="006B14B6">
        <w:rPr>
          <w:lang w:val="en-US"/>
        </w:rPr>
        <w:t xml:space="preserve"> for consistency with </w:t>
      </w:r>
      <w:r w:rsidR="006B14B6" w:rsidRPr="006B14B6">
        <w:rPr>
          <w:lang w:val="en-US"/>
        </w:rPr>
        <w:t>standard clinical nomenclature</w:t>
      </w:r>
      <w:r w:rsidR="006B14B6">
        <w:rPr>
          <w:lang w:val="en-US"/>
        </w:rPr>
        <w:t xml:space="preserve">. </w:t>
      </w:r>
    </w:p>
    <w:p w14:paraId="3A0BBB2F" w14:textId="5693BBBE" w:rsidR="00331F84" w:rsidRPr="002D3BF2" w:rsidRDefault="005C0959">
      <w:pPr>
        <w:rPr>
          <w:lang w:val="en-US"/>
        </w:rPr>
      </w:pPr>
      <w:r>
        <w:rPr>
          <w:lang w:val="en-US"/>
        </w:rPr>
        <w:t>MSAC advise</w:t>
      </w:r>
      <w:r w:rsidR="00F15F5E">
        <w:rPr>
          <w:lang w:val="en-US"/>
        </w:rPr>
        <w:t>d</w:t>
      </w:r>
      <w:r>
        <w:rPr>
          <w:lang w:val="en-US"/>
        </w:rPr>
        <w:t xml:space="preserve"> that it is</w:t>
      </w:r>
      <w:r w:rsidR="004C1AA8">
        <w:rPr>
          <w:lang w:val="en-US"/>
        </w:rPr>
        <w:t xml:space="preserve"> appropriate to include the wording “inoperable”</w:t>
      </w:r>
      <w:r w:rsidR="005128DE">
        <w:rPr>
          <w:lang w:val="en-US"/>
        </w:rPr>
        <w:t xml:space="preserve"> rather than “unresectable”</w:t>
      </w:r>
      <w:r w:rsidR="004C1AA8">
        <w:rPr>
          <w:lang w:val="en-US"/>
        </w:rPr>
        <w:t xml:space="preserve"> in the MBS item descriptor.</w:t>
      </w:r>
      <w:r w:rsidR="00D87E92">
        <w:rPr>
          <w:lang w:val="en-US"/>
        </w:rPr>
        <w:t xml:space="preserve"> </w:t>
      </w:r>
      <w:r w:rsidR="00331F84">
        <w:rPr>
          <w:lang w:val="en-US"/>
        </w:rPr>
        <w:t>MSAC advised the explanatory notes</w:t>
      </w:r>
      <w:r w:rsidR="00E255B1">
        <w:rPr>
          <w:lang w:val="en-US"/>
        </w:rPr>
        <w:t xml:space="preserve"> specify th</w:t>
      </w:r>
      <w:r w:rsidR="000174AA">
        <w:rPr>
          <w:lang w:val="en-US"/>
        </w:rPr>
        <w:t>at the</w:t>
      </w:r>
      <w:r w:rsidR="00E255B1">
        <w:rPr>
          <w:lang w:val="en-US"/>
        </w:rPr>
        <w:t xml:space="preserve"> </w:t>
      </w:r>
      <w:r w:rsidR="000174AA" w:rsidRPr="000174AA">
        <w:rPr>
          <w:lang w:val="en-US"/>
        </w:rPr>
        <w:t xml:space="preserve">22C3 antibody </w:t>
      </w:r>
      <w:r w:rsidR="007554E6" w:rsidRPr="002D3BF2">
        <w:rPr>
          <w:lang w:val="en-US"/>
        </w:rPr>
        <w:t xml:space="preserve">should </w:t>
      </w:r>
      <w:r w:rsidR="008251DD" w:rsidRPr="002D3BF2">
        <w:rPr>
          <w:lang w:val="en-US"/>
        </w:rPr>
        <w:t xml:space="preserve">be used for testing TNBC </w:t>
      </w:r>
      <w:r w:rsidR="00303CE9" w:rsidRPr="002D3BF2">
        <w:rPr>
          <w:lang w:val="en-US"/>
        </w:rPr>
        <w:t xml:space="preserve">samples </w:t>
      </w:r>
      <w:r w:rsidR="008251DD" w:rsidRPr="002D3BF2">
        <w:rPr>
          <w:lang w:val="en-US"/>
        </w:rPr>
        <w:t xml:space="preserve">to determine eligibility for pembrolizumab. </w:t>
      </w:r>
    </w:p>
    <w:p w14:paraId="29CD0DD1" w14:textId="6CC74E23" w:rsidR="00323D09" w:rsidRPr="00F36D12" w:rsidRDefault="00D87E92">
      <w:pPr>
        <w:rPr>
          <w:lang w:val="en-US"/>
        </w:rPr>
      </w:pPr>
      <w:r w:rsidRPr="002D3BF2">
        <w:rPr>
          <w:lang w:val="en-US"/>
        </w:rPr>
        <w:t>MSAC advised that the test should not be pathologist determinable</w:t>
      </w:r>
      <w:r w:rsidR="00C37827" w:rsidRPr="002D3BF2">
        <w:rPr>
          <w:lang w:val="en-US"/>
        </w:rPr>
        <w:t xml:space="preserve"> for consistency with the </w:t>
      </w:r>
      <w:r w:rsidR="002E07BE" w:rsidRPr="002D3BF2">
        <w:rPr>
          <w:lang w:val="en-US"/>
        </w:rPr>
        <w:t>existing</w:t>
      </w:r>
      <w:r w:rsidR="00C37827" w:rsidRPr="002D3BF2">
        <w:rPr>
          <w:lang w:val="en-US"/>
        </w:rPr>
        <w:t xml:space="preserve"> MBS item.</w:t>
      </w:r>
      <w:r w:rsidR="00C37827">
        <w:rPr>
          <w:lang w:val="en-US"/>
        </w:rPr>
        <w:t xml:space="preserve"> </w:t>
      </w:r>
    </w:p>
    <w:p w14:paraId="26B20EEC" w14:textId="72925F24" w:rsidR="000C2287" w:rsidRPr="00CE28E3" w:rsidRDefault="000C2287" w:rsidP="000C2287">
      <w:pPr>
        <w:pStyle w:val="Heading2"/>
        <w:numPr>
          <w:ilvl w:val="0"/>
          <w:numId w:val="0"/>
        </w:numPr>
      </w:pPr>
      <w:bookmarkStart w:id="5" w:name="_Hlk69734494"/>
      <w:bookmarkEnd w:id="4"/>
      <w:r>
        <w:t>4.</w:t>
      </w:r>
      <w:r>
        <w:tab/>
        <w:t>Background</w:t>
      </w:r>
    </w:p>
    <w:p w14:paraId="7DF72D76" w14:textId="23451345" w:rsidR="006B4438" w:rsidRDefault="006B4438" w:rsidP="006B4438">
      <w:r w:rsidRPr="006B4438">
        <w:t xml:space="preserve">At its July 2022 meeting, MSAC ratified its </w:t>
      </w:r>
      <w:hyperlink r:id="rId12" w:history="1">
        <w:r w:rsidRPr="00A2586E">
          <w:rPr>
            <w:rStyle w:val="Hyperlink"/>
          </w:rPr>
          <w:t>Position Statement PD-L1 IHC testing for determining patient eligibility for treatment with PD-(L)1 checkpoint inhibitors</w:t>
        </w:r>
      </w:hyperlink>
      <w:r w:rsidRPr="006B4438">
        <w:t>. MSAC considered that the Position Statement appropriately retains the option of streamlined codependent submissions on a case-by-case basis. This will enable each application to provide a rationale for PD-L1 IHC testing by addressing the MSAC Position Statement in order to access PD-(L)1 checkpoint inhibitors, whilst still leaving the option of having a PD-L1 agnostic PBS listing. MSAC considered that this would facilitate its proportionate appraisal of each application.</w:t>
      </w:r>
    </w:p>
    <w:p w14:paraId="7ECE6565" w14:textId="2B788C82" w:rsidR="006B4438" w:rsidRDefault="006B4438" w:rsidP="00E138A7">
      <w:r>
        <w:t>At its April 2022 meeting, MSAC considered a codependent submission for testing of PD-L1 expression on tumour-infiltrating immune cells (IC) to determine eligibility for treatment with atezolizumab plus a taxane in patients with unresectable locally advanced or metastatic triple</w:t>
      </w:r>
      <w:r w:rsidR="00FB1F9B">
        <w:t xml:space="preserve"> </w:t>
      </w:r>
      <w:r>
        <w:t>negative breast cancer (TNBC).</w:t>
      </w:r>
      <w:r w:rsidR="00E138A7">
        <w:t xml:space="preserve"> MSAC deferred its advice on the creation of an MBS item for this purpose. Although inclined to support, MSAC will expeditiously reconsider this application at such time as the Pharmaceutical Benefits Advisory Committee (PBAC) </w:t>
      </w:r>
      <w:r w:rsidR="00261655">
        <w:t>were to</w:t>
      </w:r>
      <w:r w:rsidR="00641D47">
        <w:t xml:space="preserve"> </w:t>
      </w:r>
      <w:r w:rsidR="00E138A7">
        <w:t>recommend the codependent PBS listing of atezolizumab.</w:t>
      </w:r>
    </w:p>
    <w:p w14:paraId="6F52500A" w14:textId="1B321054" w:rsidR="00772829" w:rsidRPr="00CE28E3" w:rsidRDefault="000C2287" w:rsidP="002A18BE">
      <w:pPr>
        <w:pStyle w:val="Heading2"/>
        <w:numPr>
          <w:ilvl w:val="0"/>
          <w:numId w:val="0"/>
        </w:numPr>
      </w:pPr>
      <w:bookmarkStart w:id="6" w:name="_Toc69491417"/>
      <w:bookmarkEnd w:id="5"/>
      <w:r>
        <w:t>5</w:t>
      </w:r>
      <w:r w:rsidR="00C36633">
        <w:t>.</w:t>
      </w:r>
      <w:r w:rsidR="00C36633">
        <w:tab/>
      </w:r>
      <w:r w:rsidR="00772829" w:rsidRPr="00CE28E3">
        <w:t>Prerequisites to implementation of any funding advice</w:t>
      </w:r>
      <w:bookmarkEnd w:id="6"/>
    </w:p>
    <w:p w14:paraId="27881653" w14:textId="6B756D34" w:rsidR="00782AB1" w:rsidRDefault="002950BD" w:rsidP="00E138A7">
      <w:r>
        <w:t xml:space="preserve">The submission stated that a </w:t>
      </w:r>
      <w:r w:rsidR="00782AB1">
        <w:t xml:space="preserve">Quality Assurance Program will be developed with </w:t>
      </w:r>
      <w:r w:rsidR="00782AB1" w:rsidRPr="00E138A7">
        <w:t>Royal College of Pathologists of Australasia Quality Assurance Programs</w:t>
      </w:r>
      <w:r w:rsidR="00782AB1">
        <w:t xml:space="preserve"> (RCPAQAP). </w:t>
      </w:r>
    </w:p>
    <w:p w14:paraId="792C3636" w14:textId="6D36C3E8" w:rsidR="00E138A7" w:rsidRDefault="00E138A7" w:rsidP="00E138A7">
      <w:r>
        <w:t>The National</w:t>
      </w:r>
      <w:r w:rsidRPr="00E138A7">
        <w:t xml:space="preserve"> Pathology Accreditation Advisory Council </w:t>
      </w:r>
      <w:r>
        <w:t>(NPAAC) advised that a</w:t>
      </w:r>
      <w:r w:rsidRPr="00E138A7">
        <w:t>n External Quality Assurance program is available from RCPAQAP for other PD</w:t>
      </w:r>
      <w:r>
        <w:t>-</w:t>
      </w:r>
      <w:r w:rsidRPr="00E138A7">
        <w:t>L1 antibodies and it is expected that this will now include this particular antibody.</w:t>
      </w:r>
      <w:r w:rsidR="002950BD">
        <w:t xml:space="preserve"> </w:t>
      </w:r>
    </w:p>
    <w:p w14:paraId="27B67A1A" w14:textId="318E2DAF" w:rsidR="00A24AB4" w:rsidRDefault="00A24AB4" w:rsidP="00E138A7">
      <w:r>
        <w:t>The application stated that a</w:t>
      </w:r>
      <w:r w:rsidRPr="00A24AB4">
        <w:t>n application has</w:t>
      </w:r>
      <w:r w:rsidR="00773B3C">
        <w:t xml:space="preserve"> been</w:t>
      </w:r>
      <w:r w:rsidRPr="00A24AB4">
        <w:t xml:space="preserve"> submitted to the TGA on 29th April 2022 to update the Instructions for Use for the 22C3 PharmDx kit to include triple negative breast cancer.  Approval is expected within 6 months.</w:t>
      </w:r>
    </w:p>
    <w:p w14:paraId="600E9AA1" w14:textId="73EF17A8" w:rsidR="00C65FAA" w:rsidRDefault="00C65FAA" w:rsidP="00C65FAA">
      <w:r>
        <w:t>The TGA has approved pembrolizumab for the following indications:</w:t>
      </w:r>
    </w:p>
    <w:p w14:paraId="4DDB4045" w14:textId="28B7E93E" w:rsidR="00C65FAA" w:rsidRDefault="00C65FAA" w:rsidP="00F244B7">
      <w:pPr>
        <w:pStyle w:val="ListParagraph"/>
        <w:numPr>
          <w:ilvl w:val="0"/>
          <w:numId w:val="11"/>
        </w:numPr>
      </w:pPr>
      <w:r w:rsidRPr="00C65FAA">
        <w:t>in combination with chemotherapy, is indicated for the treatment of patients with locally recurrent unresectable or metastatic TNBC whose tumours express PD-L1 (CPS ≥10) as determined by a validated test and who have not received prior chemotherapy for metastatic disease</w:t>
      </w:r>
      <w:r w:rsidR="00CE726E">
        <w:t xml:space="preserve">; and </w:t>
      </w:r>
    </w:p>
    <w:p w14:paraId="2E033E7C" w14:textId="010CF6FD" w:rsidR="00151E5F" w:rsidRPr="00151E5F" w:rsidRDefault="00CE726E" w:rsidP="00151E5F">
      <w:pPr>
        <w:pStyle w:val="ListParagraph"/>
        <w:numPr>
          <w:ilvl w:val="0"/>
          <w:numId w:val="11"/>
        </w:numPr>
      </w:pPr>
      <w:r>
        <w:t xml:space="preserve">the treatment of patients with high-risk early-stage TNBC in combination with chemotherapy as neoadjuvant treatment, and then continued as monotherapy as adjuvant treatment after surgery (to be considered </w:t>
      </w:r>
      <w:r w:rsidR="003779E0">
        <w:t xml:space="preserve">as a separate submission at the </w:t>
      </w:r>
      <w:r>
        <w:t xml:space="preserve">March 2023 PBAC meeting). </w:t>
      </w:r>
      <w:r w:rsidR="00151E5F">
        <w:br w:type="page"/>
      </w:r>
    </w:p>
    <w:p w14:paraId="44C3B242" w14:textId="47EEC4DD" w:rsidR="00772829" w:rsidRPr="00CE28E3" w:rsidRDefault="000C2287" w:rsidP="002A18BE">
      <w:pPr>
        <w:pStyle w:val="Heading2"/>
        <w:numPr>
          <w:ilvl w:val="0"/>
          <w:numId w:val="0"/>
        </w:numPr>
      </w:pPr>
      <w:bookmarkStart w:id="7" w:name="_Toc69491418"/>
      <w:r>
        <w:t>6</w:t>
      </w:r>
      <w:r w:rsidR="00C36633">
        <w:t>.</w:t>
      </w:r>
      <w:r w:rsidR="00C36633">
        <w:tab/>
      </w:r>
      <w:r w:rsidR="00772829" w:rsidRPr="00CE28E3">
        <w:t>Proposal for public funding</w:t>
      </w:r>
      <w:bookmarkEnd w:id="7"/>
    </w:p>
    <w:p w14:paraId="39392CFD" w14:textId="0038D0AD" w:rsidR="003328A9" w:rsidRPr="00CE28E3" w:rsidRDefault="00310C3F" w:rsidP="00310C3F">
      <w:pPr>
        <w:pStyle w:val="Caption"/>
        <w:rPr>
          <w:rFonts w:cs="Arial"/>
        </w:rPr>
      </w:pPr>
      <w:bookmarkStart w:id="8" w:name="_Ref69481033"/>
      <w:r>
        <w:t>Table</w:t>
      </w:r>
      <w:r w:rsidR="004A4FDF">
        <w:t> </w:t>
      </w:r>
      <w:r w:rsidR="00641D47">
        <w:rPr>
          <w:noProof/>
        </w:rPr>
        <w:fldChar w:fldCharType="begin"/>
      </w:r>
      <w:r w:rsidR="00641D47">
        <w:rPr>
          <w:noProof/>
        </w:rPr>
        <w:instrText xml:space="preserve"> SEQ Table \* ARABIC </w:instrText>
      </w:r>
      <w:r w:rsidR="00641D47">
        <w:rPr>
          <w:noProof/>
        </w:rPr>
        <w:fldChar w:fldCharType="separate"/>
      </w:r>
      <w:r w:rsidR="000E4BEF">
        <w:rPr>
          <w:noProof/>
        </w:rPr>
        <w:t>1</w:t>
      </w:r>
      <w:r w:rsidR="00641D47">
        <w:rPr>
          <w:noProof/>
        </w:rPr>
        <w:fldChar w:fldCharType="end"/>
      </w:r>
      <w:bookmarkEnd w:id="8"/>
      <w:r w:rsidR="003328A9" w:rsidRPr="00CE28E3">
        <w:rPr>
          <w:rFonts w:cs="Arial"/>
        </w:rPr>
        <w:tab/>
      </w:r>
      <w:r w:rsidR="00D867B5">
        <w:rPr>
          <w:rFonts w:cs="Arial"/>
        </w:rPr>
        <w:t>Proposed</w:t>
      </w:r>
      <w:r w:rsidR="00B26622" w:rsidRPr="00CE28E3">
        <w:rPr>
          <w:rFonts w:cs="Arial"/>
        </w:rPr>
        <w:t xml:space="preserve"> </w:t>
      </w:r>
      <w:r w:rsidR="007E3377" w:rsidRPr="007E3377">
        <w:rPr>
          <w:rFonts w:cs="Arial"/>
        </w:rPr>
        <w:t>amendment to MBS item 72814</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170D5B">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0A551876" w:rsidR="003328A9" w:rsidRPr="00CE28E3" w:rsidRDefault="003328A9" w:rsidP="00824458">
            <w:pPr>
              <w:pStyle w:val="TableText"/>
              <w:rPr>
                <w:sz w:val="24"/>
              </w:rPr>
            </w:pPr>
            <w:r w:rsidRPr="00CE28E3">
              <w:t xml:space="preserve">Category </w:t>
            </w:r>
            <w:r w:rsidR="00D867B5" w:rsidRPr="00D867B5">
              <w:t>6 - PATHOLOGY SERVICES</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B1A915B" w:rsidR="00E3330E" w:rsidRPr="00170D5B" w:rsidRDefault="00E3330E" w:rsidP="00170D5B">
            <w:pPr>
              <w:spacing w:after="120"/>
              <w:rPr>
                <w:rFonts w:ascii="Arial Narrow" w:hAnsi="Arial Narrow"/>
                <w:lang w:val="en-US" w:eastAsia="ja-JP"/>
              </w:rPr>
            </w:pPr>
            <w:r w:rsidRPr="00170D5B">
              <w:rPr>
                <w:rFonts w:ascii="Arial Narrow" w:hAnsi="Arial Narrow"/>
                <w:lang w:val="en-US" w:eastAsia="ja-JP"/>
              </w:rPr>
              <w:t xml:space="preserve">MBS item </w:t>
            </w:r>
            <w:r w:rsidR="00D867B5" w:rsidRPr="00D867B5">
              <w:rPr>
                <w:rFonts w:ascii="Arial Narrow" w:hAnsi="Arial Narrow"/>
                <w:lang w:val="en-US" w:eastAsia="ja-JP"/>
              </w:rPr>
              <w:t>72814</w:t>
            </w:r>
          </w:p>
          <w:p w14:paraId="3EEC2DE6" w14:textId="37D5ADF7" w:rsidR="003328A9" w:rsidRPr="00170D5B" w:rsidRDefault="00D867B5" w:rsidP="00170D5B">
            <w:pPr>
              <w:spacing w:after="120"/>
              <w:rPr>
                <w:rFonts w:ascii="Arial Narrow" w:hAnsi="Arial Narrow"/>
                <w:lang w:val="en-US" w:eastAsia="ja-JP"/>
              </w:rPr>
            </w:pPr>
            <w:r w:rsidRPr="00D867B5">
              <w:rPr>
                <w:rFonts w:ascii="Arial Narrow" w:hAnsi="Arial Narrow"/>
                <w:lang w:val="en-US" w:eastAsia="ja-JP"/>
              </w:rPr>
              <w:t>Immunohistochemical examination by immunoperoxidase or other labelled antibody techniques using the programmed cell death ligand 1 (</w:t>
            </w:r>
            <w:r w:rsidR="00CF085E" w:rsidRPr="00D867B5">
              <w:rPr>
                <w:rFonts w:ascii="Arial Narrow" w:hAnsi="Arial Narrow"/>
                <w:lang w:val="en-US" w:eastAsia="ja-JP"/>
              </w:rPr>
              <w:t>PD</w:t>
            </w:r>
            <w:r w:rsidR="00CF085E">
              <w:rPr>
                <w:rFonts w:ascii="Arial Narrow" w:hAnsi="Arial Narrow"/>
                <w:lang w:val="en-US" w:eastAsia="ja-JP"/>
              </w:rPr>
              <w:noBreakHyphen/>
            </w:r>
            <w:r w:rsidRPr="00D867B5">
              <w:rPr>
                <w:rFonts w:ascii="Arial Narrow" w:hAnsi="Arial Narrow"/>
                <w:lang w:val="en-US" w:eastAsia="ja-JP"/>
              </w:rPr>
              <w:t xml:space="preserve">L1) antibody of tumour material from a patient diagnosed with non-small cell lung cancer, recurrent or metastatic squamous cell carcinoma of the oral cavity, pharynx or larynx </w:t>
            </w:r>
            <w:r w:rsidRPr="007E3377">
              <w:rPr>
                <w:rFonts w:ascii="Arial Narrow" w:hAnsi="Arial Narrow"/>
                <w:color w:val="FF0000"/>
                <w:lang w:val="en-US" w:eastAsia="ja-JP"/>
              </w:rPr>
              <w:t xml:space="preserve">or locally recurrent unresectable or </w:t>
            </w:r>
            <w:r w:rsidRPr="00D867B5">
              <w:rPr>
                <w:rFonts w:ascii="Arial Narrow" w:hAnsi="Arial Narrow"/>
                <w:color w:val="FF0000"/>
                <w:lang w:val="en-US" w:eastAsia="ja-JP"/>
              </w:rPr>
              <w:t>metastatic triple negative breast cancer.</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20241001" w:rsidR="003328A9" w:rsidRPr="005D749D" w:rsidRDefault="00D867B5" w:rsidP="00170D5B">
            <w:pPr>
              <w:pStyle w:val="TableText"/>
            </w:pPr>
            <w:r w:rsidRPr="00D867B5">
              <w:t>Fee: $74.50 Benefit: 75% = $55.90 85% = $63.35</w:t>
            </w:r>
          </w:p>
        </w:tc>
      </w:tr>
    </w:tbl>
    <w:p w14:paraId="5F839BAE" w14:textId="4773A025" w:rsidR="002950BD" w:rsidRDefault="002950BD" w:rsidP="002950BD">
      <w:r w:rsidRPr="002950BD">
        <w:t>The submission considered PD-L1 testing was necessary to determine eligibility for pembrolizumab</w:t>
      </w:r>
      <w:r w:rsidR="00332BF4">
        <w:t xml:space="preserve"> based on the results of the KN355 trial which demonstrated a clinical benefit for patients with a PD-L1</w:t>
      </w:r>
      <w:r w:rsidR="00332BF4" w:rsidRPr="00332BF4">
        <w:t xml:space="preserve"> CPS ≥10</w:t>
      </w:r>
      <w:r w:rsidR="00332BF4">
        <w:t xml:space="preserve">. </w:t>
      </w:r>
    </w:p>
    <w:p w14:paraId="4FC03F49" w14:textId="7093EC5D" w:rsidR="00714791" w:rsidRDefault="00332BF4" w:rsidP="002950BD">
      <w:r>
        <w:t>At its Ma</w:t>
      </w:r>
      <w:r w:rsidR="00773B3C">
        <w:t>r</w:t>
      </w:r>
      <w:r>
        <w:t>ch 2023 meeting, the PBAC will consider a separate submission for pembrolizumab in early TNBC for a PD-L1 agnostic population. The PBAC submission noted this difference but did not provide a clear biological rationale for the difference between early and advanced disease. However, the submission considered that this was consistent</w:t>
      </w:r>
      <w:r w:rsidR="00773B3C">
        <w:t xml:space="preserve"> with</w:t>
      </w:r>
      <w:r>
        <w:t xml:space="preserve"> trials for </w:t>
      </w:r>
      <w:r w:rsidRPr="00332BF4">
        <w:t>atezolizumab</w:t>
      </w:r>
      <w:r>
        <w:t xml:space="preserve"> – another </w:t>
      </w:r>
      <w:r w:rsidRPr="00332BF4">
        <w:t xml:space="preserve">PD-1/PD-L1 </w:t>
      </w:r>
      <w:r>
        <w:t xml:space="preserve">checkpoint </w:t>
      </w:r>
      <w:r w:rsidRPr="00332BF4">
        <w:t>inhibit</w:t>
      </w:r>
      <w:r>
        <w:t xml:space="preserve">or where a benefit was demonstrated for </w:t>
      </w:r>
      <w:r w:rsidR="00714791">
        <w:t>PD-L1 positive metastatic disease. The PBAC submission concluded that this</w:t>
      </w:r>
      <w:r w:rsidR="00714791" w:rsidRPr="00714791">
        <w:t xml:space="preserve"> suggest</w:t>
      </w:r>
      <w:r w:rsidR="00773B3C">
        <w:t>ed</w:t>
      </w:r>
      <w:r w:rsidR="00714791" w:rsidRPr="00714791">
        <w:t xml:space="preserve"> that baseline tumour PD-L1 expression plays a differential role in the efficacy of PD-1/PD-L1 inhibition in early, as compared with advanced TNBC</w:t>
      </w:r>
      <w:r w:rsidR="00714791">
        <w:t xml:space="preserve">. </w:t>
      </w:r>
    </w:p>
    <w:p w14:paraId="730FC260" w14:textId="5F4DD4F4" w:rsidR="00714791" w:rsidRPr="00F15F5E" w:rsidRDefault="00A4267E" w:rsidP="00714791">
      <w:r w:rsidRPr="00F15F5E">
        <w:t xml:space="preserve">There </w:t>
      </w:r>
      <w:r w:rsidR="00F15F5E" w:rsidRPr="00F15F5E">
        <w:t>was</w:t>
      </w:r>
      <w:r w:rsidRPr="00F15F5E">
        <w:t xml:space="preserve"> insufficient evidence to show </w:t>
      </w:r>
      <w:r w:rsidR="00714791" w:rsidRPr="00F15F5E">
        <w:t xml:space="preserve">whether findings from PD-L1 expression from atezolizumab using the SP142 antibody would be applicable to pembrolizumab and the 22C3 antibody. PD-L1 expression to determine eligibility for atezolizumab was based on PD-L1 expression on immune cells covering ≥1% of tumour area. In contrast, CPS measures the number of PD-L1 </w:t>
      </w:r>
      <w:r w:rsidRPr="00F15F5E">
        <w:t>expressing</w:t>
      </w:r>
      <w:r w:rsidR="00714791" w:rsidRPr="00F15F5E">
        <w:t xml:space="preserve"> cells, including tumour cells, lymphocytes, and macrophages, divided by the total number of viable tumour cells, multiplied by 100. </w:t>
      </w:r>
    </w:p>
    <w:p w14:paraId="607EA2AB" w14:textId="6C01F215" w:rsidR="002950BD" w:rsidRDefault="002950BD" w:rsidP="002950BD">
      <w:r>
        <w:t xml:space="preserve">The submission considered that a newly obtained sample (core or excisional biopsy) should be used (as per KN355). The submission considered fine needle aspirates should not be used and that this aligned with previous MSAC advice for PD-L1 testing using the CPS scoring system. </w:t>
      </w:r>
    </w:p>
    <w:p w14:paraId="21B1056B" w14:textId="26F0915C" w:rsidR="002950BD" w:rsidRDefault="002950BD" w:rsidP="002950BD">
      <w:r>
        <w:t xml:space="preserve">The submission considered testing should only be performed using the </w:t>
      </w:r>
      <w:r w:rsidRPr="002950BD">
        <w:t>22C3 antibody</w:t>
      </w:r>
      <w:r>
        <w:t xml:space="preserve"> due to a lack of concordance data. </w:t>
      </w:r>
    </w:p>
    <w:p w14:paraId="34E0B08F" w14:textId="3B71D244" w:rsidR="00772829" w:rsidRPr="00CE28E3" w:rsidRDefault="000C2287" w:rsidP="002A18BE">
      <w:pPr>
        <w:pStyle w:val="Heading2"/>
        <w:numPr>
          <w:ilvl w:val="0"/>
          <w:numId w:val="0"/>
        </w:numPr>
      </w:pPr>
      <w:bookmarkStart w:id="9" w:name="_Toc69491419"/>
      <w:r>
        <w:t>7</w:t>
      </w:r>
      <w:r w:rsidR="00C36633">
        <w:t>.</w:t>
      </w:r>
      <w:r w:rsidR="00C36633">
        <w:tab/>
      </w:r>
      <w:r w:rsidR="00772829" w:rsidRPr="00CE28E3">
        <w:t>Population</w:t>
      </w:r>
      <w:bookmarkEnd w:id="9"/>
      <w:r w:rsidR="00772829" w:rsidRPr="00CE28E3">
        <w:t xml:space="preserve"> </w:t>
      </w:r>
    </w:p>
    <w:p w14:paraId="5B18B0CE" w14:textId="2117CF15" w:rsidR="00310C3F" w:rsidRDefault="00782AB1" w:rsidP="00782AB1">
      <w:r>
        <w:t>The proposed population for testing is p</w:t>
      </w:r>
      <w:r w:rsidRPr="00782AB1">
        <w:t>atients newly diagnosed with locally recurrent unresectable or metastatic triple negative breast cancer</w:t>
      </w:r>
      <w:r>
        <w:t xml:space="preserve">. </w:t>
      </w:r>
    </w:p>
    <w:p w14:paraId="719ABB89" w14:textId="7B819D0B" w:rsidR="00946C24" w:rsidRPr="00760D9D" w:rsidRDefault="00946C24" w:rsidP="00946C24">
      <w:pPr>
        <w:rPr>
          <w:i/>
          <w:iCs/>
        </w:rPr>
      </w:pPr>
      <w:r>
        <w:t xml:space="preserve">The requested PBS listing for advanced TNBC allows patients who have completed treatment with pembrolizumab for early TNBC to use pembrolizumab for advanced disease. The PBAC submission considered that this group of patients </w:t>
      </w:r>
      <w:r w:rsidRPr="00946C24">
        <w:t xml:space="preserve">should still be eligible for </w:t>
      </w:r>
      <w:r>
        <w:t>pembrolizumab treatment</w:t>
      </w:r>
      <w:r w:rsidRPr="00946C24">
        <w:t xml:space="preserve"> in the metastatic setting if they had not progressed on </w:t>
      </w:r>
      <w:r>
        <w:t xml:space="preserve">pembrolizumab </w:t>
      </w:r>
      <w:r w:rsidRPr="00946C24">
        <w:t xml:space="preserve">treatment in the early setting. </w:t>
      </w:r>
      <w:r w:rsidR="00760D9D" w:rsidRPr="00A2586E">
        <w:t xml:space="preserve">However, KN355 excluded patients who had received prior therapy with an anti–PD-1, anti–PD-L1, or anti–PD-L2 agent (p62, KN355 CSR). </w:t>
      </w:r>
    </w:p>
    <w:p w14:paraId="66BDFCC1" w14:textId="3EC35CEC" w:rsidR="00772829" w:rsidRPr="00CE28E3" w:rsidRDefault="000C2287" w:rsidP="002A18BE">
      <w:pPr>
        <w:pStyle w:val="Heading2"/>
        <w:numPr>
          <w:ilvl w:val="0"/>
          <w:numId w:val="0"/>
        </w:numPr>
      </w:pPr>
      <w:bookmarkStart w:id="10" w:name="_Toc69491420"/>
      <w:r>
        <w:t>8</w:t>
      </w:r>
      <w:r w:rsidR="00C36633">
        <w:t>.</w:t>
      </w:r>
      <w:r w:rsidR="00C36633">
        <w:tab/>
      </w:r>
      <w:r w:rsidR="00772829" w:rsidRPr="00CE28E3">
        <w:t>Comparator</w:t>
      </w:r>
      <w:bookmarkEnd w:id="10"/>
    </w:p>
    <w:p w14:paraId="7E9E6187" w14:textId="720E7A4F" w:rsidR="001905A3" w:rsidRDefault="001905A3" w:rsidP="00E76AE0">
      <w:pPr>
        <w:pStyle w:val="Instructionaltext"/>
        <w:rPr>
          <w:color w:val="auto"/>
        </w:rPr>
      </w:pPr>
      <w:r w:rsidRPr="001905A3">
        <w:rPr>
          <w:color w:val="auto"/>
        </w:rPr>
        <w:t xml:space="preserve">The proposed comparator in the Application Form was no PD-L1 testing. </w:t>
      </w:r>
      <w:r w:rsidR="00782AB1">
        <w:rPr>
          <w:color w:val="auto"/>
        </w:rPr>
        <w:t xml:space="preserve">This was appropriate. </w:t>
      </w:r>
    </w:p>
    <w:p w14:paraId="47BC3A84" w14:textId="479F0CEA" w:rsidR="00772829" w:rsidRPr="00CE28E3" w:rsidRDefault="000C2287" w:rsidP="002A18BE">
      <w:pPr>
        <w:pStyle w:val="Heading2"/>
        <w:numPr>
          <w:ilvl w:val="0"/>
          <w:numId w:val="0"/>
        </w:numPr>
      </w:pPr>
      <w:bookmarkStart w:id="11" w:name="_Toc69491421"/>
      <w:r>
        <w:t>9</w:t>
      </w:r>
      <w:r w:rsidR="00C36633">
        <w:t>.</w:t>
      </w:r>
      <w:r w:rsidR="00C36633">
        <w:tab/>
      </w:r>
      <w:r w:rsidR="00772829" w:rsidRPr="00CE28E3">
        <w:t xml:space="preserve">Summary of public consultation </w:t>
      </w:r>
      <w:r w:rsidR="0052575D">
        <w:t>input</w:t>
      </w:r>
      <w:bookmarkEnd w:id="11"/>
    </w:p>
    <w:p w14:paraId="5E8D643F" w14:textId="77777777" w:rsidR="006E1EF3" w:rsidRPr="006E1EF3" w:rsidRDefault="006E1EF3" w:rsidP="006E1EF3">
      <w:bookmarkStart w:id="12" w:name="_Hlk127533674"/>
      <w:bookmarkStart w:id="13" w:name="_Toc69491422"/>
      <w:r w:rsidRPr="006E1EF3">
        <w:t>Consultation feedback was received from two medical organisations and one individual consumer:</w:t>
      </w:r>
    </w:p>
    <w:p w14:paraId="714BBF8B" w14:textId="77777777" w:rsidR="006E1EF3" w:rsidRPr="006E1EF3" w:rsidRDefault="006E1EF3" w:rsidP="00F244B7">
      <w:pPr>
        <w:pStyle w:val="ListParagraph"/>
        <w:numPr>
          <w:ilvl w:val="0"/>
          <w:numId w:val="14"/>
        </w:numPr>
      </w:pPr>
      <w:r w:rsidRPr="006E1EF3">
        <w:t>The Royal College of Pathologists of Australasia (RCPA)</w:t>
      </w:r>
    </w:p>
    <w:p w14:paraId="02001E9A" w14:textId="77777777" w:rsidR="006E1EF3" w:rsidRPr="006E1EF3" w:rsidRDefault="006E1EF3" w:rsidP="00F244B7">
      <w:pPr>
        <w:pStyle w:val="ListParagraph"/>
        <w:numPr>
          <w:ilvl w:val="0"/>
          <w:numId w:val="14"/>
        </w:numPr>
      </w:pPr>
      <w:r w:rsidRPr="006E1EF3">
        <w:t>The Australian Society for Breast Disease (ASBD)</w:t>
      </w:r>
    </w:p>
    <w:p w14:paraId="59A2AB06" w14:textId="77777777" w:rsidR="006E1EF3" w:rsidRPr="006E1EF3" w:rsidRDefault="006E1EF3" w:rsidP="006E1EF3">
      <w:r w:rsidRPr="006E1EF3">
        <w:t xml:space="preserve">Both organisations noted that these patients have poorer prognosis and limited access to publicly funded treatment options compared to other patients with breast cancer. Both organisations considered that even small incremental improvements on survival for these patients are worthy of consideration and that funding this test will improve patient access to more treatment options, which may improve prognosis, quality of life and life expectancy. </w:t>
      </w:r>
    </w:p>
    <w:bookmarkEnd w:id="12"/>
    <w:p w14:paraId="5087DE0C" w14:textId="72B86DEB" w:rsidR="006E1EF3" w:rsidRPr="006E1EF3" w:rsidRDefault="006E1EF3" w:rsidP="006E1EF3">
      <w:r w:rsidRPr="006E1EF3">
        <w:t>The organisations did not agree with the clinical claim and that all associated interventions had been adequately captured. They noted the variability in assay choice in PD</w:t>
      </w:r>
      <w:r w:rsidR="00F244B7">
        <w:noBreakHyphen/>
      </w:r>
      <w:r w:rsidRPr="006E1EF3">
        <w:t xml:space="preserve">L1 testing significantly influences the results translated to the patient (and therefore their outcomes) in addition to the variability in IHC antibodies for PDL1 which are not interchangeable. They noted that correlative studies comparing the test assays are not available and considered that the funded tests should be specific to the assays used in the studies to support the clinical outcomes achieved for the relevant patient group. </w:t>
      </w:r>
    </w:p>
    <w:p w14:paraId="075E4D2D" w14:textId="77777777" w:rsidR="006E1EF3" w:rsidRPr="006E1EF3" w:rsidRDefault="006E1EF3" w:rsidP="006E1EF3">
      <w:r w:rsidRPr="006E1EF3">
        <w:t xml:space="preserve">The individual consumer supported the public funding of the application and shared their experience of funding their own treatment with pembrolizumab to treat their diagnosis of TNBC which has created a large burden of cost to them. </w:t>
      </w:r>
    </w:p>
    <w:p w14:paraId="03C7A1F1" w14:textId="3C7736F1" w:rsidR="00772829" w:rsidRPr="00CE28E3" w:rsidRDefault="000C2287" w:rsidP="002A18BE">
      <w:pPr>
        <w:pStyle w:val="Heading2"/>
        <w:numPr>
          <w:ilvl w:val="0"/>
          <w:numId w:val="0"/>
        </w:numPr>
      </w:pPr>
      <w:r>
        <w:t>10</w:t>
      </w:r>
      <w:r w:rsidR="00C36633">
        <w:t>.</w:t>
      </w:r>
      <w:r w:rsidR="00C36633">
        <w:tab/>
      </w:r>
      <w:r w:rsidR="00772829" w:rsidRPr="00CE28E3">
        <w:t>Characteristics of the evidence base</w:t>
      </w:r>
      <w:bookmarkEnd w:id="13"/>
    </w:p>
    <w:p w14:paraId="5070EEA5" w14:textId="0D8F878E" w:rsidR="00D92775" w:rsidRDefault="00D92775" w:rsidP="00D92775">
      <w:pPr>
        <w:pStyle w:val="Instructionaltext"/>
        <w:rPr>
          <w:color w:val="auto"/>
        </w:rPr>
      </w:pPr>
      <w:r>
        <w:rPr>
          <w:color w:val="auto"/>
        </w:rPr>
        <w:t xml:space="preserve">The key evidence presented in the submission was from the Keynote-355 (KN355) trial. KN355 was a </w:t>
      </w:r>
      <w:r w:rsidRPr="00D92775">
        <w:rPr>
          <w:color w:val="auto"/>
        </w:rPr>
        <w:t xml:space="preserve">phase III </w:t>
      </w:r>
      <w:r>
        <w:rPr>
          <w:color w:val="auto"/>
        </w:rPr>
        <w:t xml:space="preserve">randomised controlled trial (RCT) that compared </w:t>
      </w:r>
      <w:r w:rsidRPr="00D92775">
        <w:rPr>
          <w:color w:val="auto"/>
        </w:rPr>
        <w:t xml:space="preserve">pembrolizumab + chemotherapy </w:t>
      </w:r>
      <w:r>
        <w:rPr>
          <w:color w:val="auto"/>
        </w:rPr>
        <w:t>(</w:t>
      </w:r>
      <w:r w:rsidRPr="00D92775">
        <w:rPr>
          <w:color w:val="auto"/>
        </w:rPr>
        <w:t>nab-paclitaxel, paclitaxel, or</w:t>
      </w:r>
      <w:r>
        <w:rPr>
          <w:color w:val="auto"/>
        </w:rPr>
        <w:t xml:space="preserve"> </w:t>
      </w:r>
      <w:r w:rsidRPr="00D92775">
        <w:rPr>
          <w:color w:val="auto"/>
        </w:rPr>
        <w:t xml:space="preserve">gemcitabine carboplatin) </w:t>
      </w:r>
      <w:r>
        <w:rPr>
          <w:color w:val="auto"/>
        </w:rPr>
        <w:t>with</w:t>
      </w:r>
      <w:r w:rsidRPr="00D92775">
        <w:rPr>
          <w:color w:val="auto"/>
        </w:rPr>
        <w:t xml:space="preserve"> chemotherapy for previously untreated locally recurrent unresectable or metastatic triple negative breast cancer.</w:t>
      </w:r>
    </w:p>
    <w:p w14:paraId="18FC9772" w14:textId="03AF2162" w:rsidR="00CB0811" w:rsidRDefault="00CB0811" w:rsidP="00CB0811">
      <w:pPr>
        <w:pStyle w:val="Instructionaltext"/>
        <w:rPr>
          <w:color w:val="auto"/>
        </w:rPr>
      </w:pPr>
      <w:r>
        <w:rPr>
          <w:color w:val="auto"/>
        </w:rPr>
        <w:t xml:space="preserve">KN355 assessed </w:t>
      </w:r>
      <w:r w:rsidRPr="00760D9D">
        <w:rPr>
          <w:color w:val="auto"/>
        </w:rPr>
        <w:t xml:space="preserve">PD-L1 expression status </w:t>
      </w:r>
      <w:r>
        <w:rPr>
          <w:color w:val="auto"/>
        </w:rPr>
        <w:t xml:space="preserve">using </w:t>
      </w:r>
      <w:r w:rsidR="00A4267E">
        <w:rPr>
          <w:color w:val="auto"/>
        </w:rPr>
        <w:t xml:space="preserve">a </w:t>
      </w:r>
      <w:r>
        <w:rPr>
          <w:color w:val="auto"/>
        </w:rPr>
        <w:t>new or recent sample from</w:t>
      </w:r>
      <w:r w:rsidRPr="00760D9D">
        <w:rPr>
          <w:color w:val="auto"/>
        </w:rPr>
        <w:t xml:space="preserve"> a core or excisional biopsy obtained from a locally advanced inoperable or metastatic TNBC tumour lesion.</w:t>
      </w:r>
      <w:r>
        <w:rPr>
          <w:color w:val="auto"/>
        </w:rPr>
        <w:t xml:space="preserve"> </w:t>
      </w:r>
      <w:r w:rsidRPr="00760D9D">
        <w:rPr>
          <w:color w:val="auto"/>
        </w:rPr>
        <w:t>PD-L1 expression was determined centrally using the investigational PD-L1</w:t>
      </w:r>
      <w:r>
        <w:rPr>
          <w:color w:val="auto"/>
        </w:rPr>
        <w:t xml:space="preserve"> </w:t>
      </w:r>
      <w:r w:rsidRPr="00760D9D">
        <w:rPr>
          <w:color w:val="auto"/>
        </w:rPr>
        <w:t>IHC 22C3 pharmDx kit. The assay is labelled for investigational use only and is otherwise</w:t>
      </w:r>
      <w:r>
        <w:rPr>
          <w:color w:val="auto"/>
        </w:rPr>
        <w:t xml:space="preserve"> </w:t>
      </w:r>
      <w:r w:rsidRPr="00760D9D">
        <w:rPr>
          <w:color w:val="auto"/>
        </w:rPr>
        <w:t>identical to the FDA-approved PD</w:t>
      </w:r>
      <w:r>
        <w:rPr>
          <w:color w:val="auto"/>
        </w:rPr>
        <w:noBreakHyphen/>
      </w:r>
      <w:r w:rsidRPr="00760D9D">
        <w:rPr>
          <w:color w:val="auto"/>
        </w:rPr>
        <w:t>L1 IHC 22C3 pharmDx kit</w:t>
      </w:r>
      <w:r>
        <w:rPr>
          <w:color w:val="auto"/>
        </w:rPr>
        <w:t xml:space="preserve"> (p66, KN355 CSR). </w:t>
      </w:r>
    </w:p>
    <w:p w14:paraId="1E2F0E15" w14:textId="03F3F133" w:rsidR="00CB0811" w:rsidRDefault="00CB0811" w:rsidP="00CB0811">
      <w:pPr>
        <w:pStyle w:val="Caption"/>
      </w:pPr>
      <w:r>
        <w:t xml:space="preserve">Table </w:t>
      </w:r>
      <w:r w:rsidR="00641D47">
        <w:rPr>
          <w:noProof/>
        </w:rPr>
        <w:fldChar w:fldCharType="begin"/>
      </w:r>
      <w:r w:rsidR="00641D47">
        <w:rPr>
          <w:noProof/>
        </w:rPr>
        <w:instrText xml:space="preserve"> SEQ Table \* ARABIC </w:instrText>
      </w:r>
      <w:r w:rsidR="00641D47">
        <w:rPr>
          <w:noProof/>
        </w:rPr>
        <w:fldChar w:fldCharType="separate"/>
      </w:r>
      <w:r w:rsidR="000E4BEF">
        <w:rPr>
          <w:noProof/>
        </w:rPr>
        <w:t>2</w:t>
      </w:r>
      <w:r w:rsidR="00641D47">
        <w:rPr>
          <w:noProof/>
        </w:rPr>
        <w:fldChar w:fldCharType="end"/>
      </w:r>
      <w:r w:rsidRPr="00CB0811">
        <w:rPr>
          <w:rFonts w:eastAsia="MS Gothic"/>
          <w:szCs w:val="24"/>
        </w:rPr>
        <w:t xml:space="preserve"> Key features of KN-355</w:t>
      </w:r>
    </w:p>
    <w:tbl>
      <w:tblPr>
        <w:tblStyle w:val="TableGrid1"/>
        <w:tblW w:w="5000" w:type="pct"/>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CB0811" w:rsidRPr="00CB0811" w14:paraId="3FBBE229" w14:textId="77777777" w:rsidTr="00641D47">
        <w:trPr>
          <w:cnfStyle w:val="100000000000" w:firstRow="1" w:lastRow="0" w:firstColumn="0" w:lastColumn="0" w:oddVBand="0" w:evenVBand="0" w:oddHBand="0" w:evenHBand="0" w:firstRowFirstColumn="0" w:firstRowLastColumn="0" w:lastRowFirstColumn="0" w:lastRowLastColumn="0"/>
          <w:cantSplit/>
          <w:tblHeader/>
        </w:trPr>
        <w:tc>
          <w:tcPr>
            <w:tcW w:w="713" w:type="pct"/>
            <w:tcBorders>
              <w:top w:val="single" w:sz="4" w:space="0" w:color="auto"/>
              <w:left w:val="single" w:sz="4" w:space="0" w:color="auto"/>
              <w:bottom w:val="single" w:sz="4" w:space="0" w:color="auto"/>
              <w:right w:val="single" w:sz="4" w:space="0" w:color="auto"/>
            </w:tcBorders>
            <w:vAlign w:val="center"/>
            <w:hideMark/>
          </w:tcPr>
          <w:p w14:paraId="0E3BF866" w14:textId="77777777" w:rsidR="00CB0811" w:rsidRPr="00CB0811" w:rsidRDefault="00CB0811" w:rsidP="00641D47">
            <w:pPr>
              <w:keepNext/>
              <w:keepLines/>
              <w:spacing w:before="0" w:after="0"/>
              <w:rPr>
                <w:rFonts w:ascii="Arial Narrow" w:eastAsia="MS Gothic" w:hAnsi="Arial Narrow"/>
                <w:b/>
                <w:szCs w:val="24"/>
                <w:lang w:val="en-US"/>
              </w:rPr>
            </w:pPr>
            <w:r w:rsidRPr="00CB0811">
              <w:rPr>
                <w:rFonts w:ascii="Arial Narrow" w:eastAsia="MS Gothic" w:hAnsi="Arial Narrow"/>
                <w:b/>
                <w:szCs w:val="24"/>
              </w:rPr>
              <w:t>Trial</w:t>
            </w:r>
          </w:p>
        </w:tc>
        <w:tc>
          <w:tcPr>
            <w:tcW w:w="466" w:type="pct"/>
            <w:tcBorders>
              <w:top w:val="single" w:sz="4" w:space="0" w:color="auto"/>
              <w:left w:val="single" w:sz="4" w:space="0" w:color="auto"/>
              <w:bottom w:val="single" w:sz="4" w:space="0" w:color="auto"/>
              <w:right w:val="single" w:sz="4" w:space="0" w:color="auto"/>
            </w:tcBorders>
            <w:vAlign w:val="center"/>
            <w:hideMark/>
          </w:tcPr>
          <w:p w14:paraId="2DB52072" w14:textId="77777777" w:rsidR="00CB0811" w:rsidRPr="00CB0811" w:rsidRDefault="00CB0811" w:rsidP="00641D47">
            <w:pPr>
              <w:keepNext/>
              <w:keepLines/>
              <w:spacing w:before="0" w:after="0"/>
              <w:jc w:val="center"/>
              <w:rPr>
                <w:rFonts w:ascii="Arial Narrow" w:eastAsia="MS Gothic" w:hAnsi="Arial Narrow"/>
                <w:b/>
                <w:szCs w:val="24"/>
              </w:rPr>
            </w:pPr>
            <w:r w:rsidRPr="00CB0811">
              <w:rPr>
                <w:rFonts w:ascii="Arial Narrow" w:eastAsia="MS Gothic" w:hAnsi="Arial Narrow"/>
                <w:b/>
                <w:szCs w:val="24"/>
              </w:rPr>
              <w:t>N</w:t>
            </w:r>
          </w:p>
        </w:tc>
        <w:tc>
          <w:tcPr>
            <w:tcW w:w="782" w:type="pct"/>
            <w:tcBorders>
              <w:top w:val="single" w:sz="4" w:space="0" w:color="auto"/>
              <w:left w:val="single" w:sz="4" w:space="0" w:color="auto"/>
              <w:bottom w:val="single" w:sz="4" w:space="0" w:color="auto"/>
              <w:right w:val="single" w:sz="4" w:space="0" w:color="auto"/>
            </w:tcBorders>
            <w:vAlign w:val="center"/>
            <w:hideMark/>
          </w:tcPr>
          <w:p w14:paraId="18AA8285" w14:textId="77777777" w:rsidR="00CB0811" w:rsidRPr="00CB0811" w:rsidRDefault="00CB0811" w:rsidP="00641D47">
            <w:pPr>
              <w:keepNext/>
              <w:keepLines/>
              <w:spacing w:before="0" w:after="0"/>
              <w:jc w:val="center"/>
              <w:rPr>
                <w:rFonts w:ascii="Arial Narrow" w:eastAsia="MS Gothic" w:hAnsi="Arial Narrow"/>
                <w:b/>
                <w:szCs w:val="24"/>
              </w:rPr>
            </w:pPr>
            <w:r w:rsidRPr="00CB0811">
              <w:rPr>
                <w:rFonts w:ascii="Arial Narrow" w:eastAsia="MS Gothic" w:hAnsi="Arial Narrow"/>
                <w:b/>
                <w:szCs w:val="24"/>
              </w:rPr>
              <w:t>Design/ duration</w:t>
            </w:r>
          </w:p>
        </w:tc>
        <w:tc>
          <w:tcPr>
            <w:tcW w:w="621" w:type="pct"/>
            <w:tcBorders>
              <w:top w:val="single" w:sz="4" w:space="0" w:color="auto"/>
              <w:left w:val="single" w:sz="4" w:space="0" w:color="auto"/>
              <w:bottom w:val="single" w:sz="4" w:space="0" w:color="auto"/>
              <w:right w:val="single" w:sz="4" w:space="0" w:color="auto"/>
            </w:tcBorders>
            <w:vAlign w:val="center"/>
            <w:hideMark/>
          </w:tcPr>
          <w:p w14:paraId="605DD845" w14:textId="77777777" w:rsidR="00CB0811" w:rsidRPr="00CB0811" w:rsidRDefault="00CB0811" w:rsidP="00641D47">
            <w:pPr>
              <w:keepNext/>
              <w:keepLines/>
              <w:spacing w:before="0" w:after="0"/>
              <w:jc w:val="center"/>
              <w:rPr>
                <w:rFonts w:ascii="Arial Narrow" w:eastAsia="MS Gothic" w:hAnsi="Arial Narrow"/>
                <w:b/>
                <w:szCs w:val="24"/>
              </w:rPr>
            </w:pPr>
            <w:r w:rsidRPr="00CB0811">
              <w:rPr>
                <w:rFonts w:ascii="Arial Narrow" w:eastAsia="MS Gothic" w:hAnsi="Arial Narrow"/>
                <w:b/>
                <w:szCs w:val="24"/>
              </w:rPr>
              <w:t>Risk of bias</w:t>
            </w:r>
          </w:p>
        </w:tc>
        <w:tc>
          <w:tcPr>
            <w:tcW w:w="857" w:type="pct"/>
            <w:tcBorders>
              <w:top w:val="single" w:sz="4" w:space="0" w:color="auto"/>
              <w:left w:val="single" w:sz="4" w:space="0" w:color="auto"/>
              <w:bottom w:val="single" w:sz="4" w:space="0" w:color="auto"/>
              <w:right w:val="single" w:sz="4" w:space="0" w:color="auto"/>
            </w:tcBorders>
            <w:vAlign w:val="center"/>
            <w:hideMark/>
          </w:tcPr>
          <w:p w14:paraId="0B3EB280" w14:textId="77777777" w:rsidR="00CB0811" w:rsidRPr="00CB0811" w:rsidRDefault="00CB0811" w:rsidP="00641D47">
            <w:pPr>
              <w:keepNext/>
              <w:keepLines/>
              <w:spacing w:before="0" w:after="0"/>
              <w:jc w:val="center"/>
              <w:rPr>
                <w:rFonts w:ascii="Arial Narrow" w:eastAsia="MS Gothic" w:hAnsi="Arial Narrow"/>
                <w:b/>
                <w:szCs w:val="24"/>
              </w:rPr>
            </w:pPr>
            <w:r w:rsidRPr="00CB0811">
              <w:rPr>
                <w:rFonts w:ascii="Arial Narrow" w:eastAsia="MS Gothic" w:hAnsi="Arial Narrow"/>
                <w:b/>
                <w:szCs w:val="24"/>
              </w:rPr>
              <w:t>Patient population</w:t>
            </w:r>
          </w:p>
        </w:tc>
        <w:tc>
          <w:tcPr>
            <w:tcW w:w="622" w:type="pct"/>
            <w:tcBorders>
              <w:top w:val="single" w:sz="4" w:space="0" w:color="auto"/>
              <w:left w:val="single" w:sz="4" w:space="0" w:color="auto"/>
              <w:bottom w:val="single" w:sz="4" w:space="0" w:color="auto"/>
              <w:right w:val="single" w:sz="4" w:space="0" w:color="auto"/>
            </w:tcBorders>
            <w:vAlign w:val="center"/>
            <w:hideMark/>
          </w:tcPr>
          <w:p w14:paraId="7F528D65" w14:textId="77777777" w:rsidR="00CB0811" w:rsidRPr="00CB0811" w:rsidRDefault="00CB0811" w:rsidP="00641D47">
            <w:pPr>
              <w:keepNext/>
              <w:keepLines/>
              <w:spacing w:before="0" w:after="0"/>
              <w:jc w:val="center"/>
              <w:rPr>
                <w:rFonts w:ascii="Arial Narrow" w:eastAsia="MS Gothic" w:hAnsi="Arial Narrow"/>
                <w:b/>
                <w:szCs w:val="24"/>
              </w:rPr>
            </w:pPr>
            <w:r w:rsidRPr="00CB0811">
              <w:rPr>
                <w:rFonts w:ascii="Arial Narrow" w:eastAsia="MS Gothic" w:hAnsi="Arial Narrow"/>
                <w:b/>
                <w:szCs w:val="24"/>
              </w:rPr>
              <w:t>Outcome(s)</w:t>
            </w:r>
          </w:p>
        </w:tc>
        <w:tc>
          <w:tcPr>
            <w:tcW w:w="939" w:type="pct"/>
            <w:tcBorders>
              <w:top w:val="single" w:sz="4" w:space="0" w:color="auto"/>
              <w:left w:val="single" w:sz="4" w:space="0" w:color="auto"/>
              <w:bottom w:val="single" w:sz="4" w:space="0" w:color="auto"/>
              <w:right w:val="single" w:sz="4" w:space="0" w:color="auto"/>
            </w:tcBorders>
            <w:vAlign w:val="center"/>
            <w:hideMark/>
          </w:tcPr>
          <w:p w14:paraId="1D07650A" w14:textId="77777777" w:rsidR="00CB0811" w:rsidRPr="00CB0811" w:rsidRDefault="00CB0811" w:rsidP="00641D47">
            <w:pPr>
              <w:keepNext/>
              <w:keepLines/>
              <w:spacing w:before="0" w:after="0"/>
              <w:jc w:val="center"/>
              <w:rPr>
                <w:rFonts w:ascii="Arial Narrow" w:eastAsia="MS Gothic" w:hAnsi="Arial Narrow"/>
                <w:b/>
                <w:szCs w:val="24"/>
              </w:rPr>
            </w:pPr>
            <w:r w:rsidRPr="00CB0811">
              <w:rPr>
                <w:rFonts w:ascii="Arial Narrow" w:eastAsia="MS Gothic" w:hAnsi="Arial Narrow"/>
                <w:b/>
                <w:szCs w:val="24"/>
              </w:rPr>
              <w:t>Use in modelled evaluation</w:t>
            </w:r>
          </w:p>
        </w:tc>
      </w:tr>
      <w:tr w:rsidR="00CB0811" w:rsidRPr="00CB0811" w14:paraId="218091B4" w14:textId="77777777" w:rsidTr="00641D4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5E01B35" w14:textId="77777777" w:rsidR="00CB0811" w:rsidRPr="00CB0811" w:rsidRDefault="00CB0811" w:rsidP="00641D47">
            <w:pPr>
              <w:keepNext/>
              <w:keepLines/>
              <w:spacing w:before="0" w:after="0"/>
              <w:rPr>
                <w:rFonts w:ascii="Arial Narrow" w:eastAsia="MS Gothic" w:hAnsi="Arial Narrow"/>
                <w:b/>
                <w:szCs w:val="24"/>
              </w:rPr>
            </w:pPr>
            <w:r w:rsidRPr="00CB0811">
              <w:rPr>
                <w:rFonts w:ascii="Arial Narrow" w:eastAsia="MS Gothic" w:hAnsi="Arial Narrow"/>
                <w:b/>
                <w:szCs w:val="24"/>
              </w:rPr>
              <w:t>Pembrolizumab plus chemo versus placebo plus chemo</w:t>
            </w:r>
          </w:p>
        </w:tc>
      </w:tr>
      <w:tr w:rsidR="00CB0811" w:rsidRPr="00CB0811" w14:paraId="2C8CC70A" w14:textId="77777777" w:rsidTr="00641D47">
        <w:trPr>
          <w:cantSplit/>
        </w:trPr>
        <w:tc>
          <w:tcPr>
            <w:tcW w:w="713" w:type="pct"/>
            <w:tcBorders>
              <w:top w:val="single" w:sz="4" w:space="0" w:color="auto"/>
              <w:left w:val="single" w:sz="4" w:space="0" w:color="auto"/>
              <w:bottom w:val="single" w:sz="4" w:space="0" w:color="auto"/>
              <w:right w:val="single" w:sz="4" w:space="0" w:color="auto"/>
            </w:tcBorders>
            <w:vAlign w:val="center"/>
            <w:hideMark/>
          </w:tcPr>
          <w:p w14:paraId="5C626AE0" w14:textId="77777777" w:rsidR="00CB0811" w:rsidRPr="00CB0811" w:rsidRDefault="00CB0811" w:rsidP="00641D47">
            <w:pPr>
              <w:keepNext/>
              <w:keepLines/>
              <w:spacing w:before="0" w:after="0"/>
              <w:rPr>
                <w:rFonts w:ascii="Arial Narrow" w:eastAsia="MS Gothic" w:hAnsi="Arial Narrow"/>
                <w:bCs/>
                <w:szCs w:val="24"/>
              </w:rPr>
            </w:pPr>
            <w:r w:rsidRPr="00CB0811">
              <w:rPr>
                <w:rFonts w:ascii="Arial Narrow" w:eastAsia="MS Gothic" w:hAnsi="Arial Narrow"/>
                <w:b/>
                <w:szCs w:val="16"/>
              </w:rPr>
              <w:t>KN-355</w:t>
            </w:r>
          </w:p>
        </w:tc>
        <w:tc>
          <w:tcPr>
            <w:tcW w:w="466" w:type="pct"/>
            <w:tcBorders>
              <w:top w:val="single" w:sz="4" w:space="0" w:color="auto"/>
              <w:left w:val="single" w:sz="4" w:space="0" w:color="auto"/>
              <w:bottom w:val="single" w:sz="4" w:space="0" w:color="auto"/>
              <w:right w:val="single" w:sz="4" w:space="0" w:color="auto"/>
            </w:tcBorders>
            <w:vAlign w:val="center"/>
            <w:hideMark/>
          </w:tcPr>
          <w:p w14:paraId="46AAEDF7" w14:textId="77777777" w:rsidR="00CB0811" w:rsidRPr="00CB0811" w:rsidRDefault="00CB0811" w:rsidP="00641D47">
            <w:pPr>
              <w:keepNext/>
              <w:keepLines/>
              <w:spacing w:before="0" w:after="0"/>
              <w:jc w:val="center"/>
              <w:rPr>
                <w:rFonts w:ascii="Arial Narrow" w:eastAsia="MS Gothic" w:hAnsi="Arial Narrow"/>
                <w:bCs/>
                <w:szCs w:val="24"/>
              </w:rPr>
            </w:pPr>
            <w:r w:rsidRPr="00CB0811">
              <w:rPr>
                <w:rFonts w:ascii="Arial Narrow" w:eastAsia="MS Gothic" w:hAnsi="Arial Narrow"/>
                <w:bCs/>
                <w:szCs w:val="24"/>
              </w:rPr>
              <w:t>847</w:t>
            </w:r>
          </w:p>
        </w:tc>
        <w:tc>
          <w:tcPr>
            <w:tcW w:w="782" w:type="pct"/>
            <w:tcBorders>
              <w:top w:val="single" w:sz="4" w:space="0" w:color="auto"/>
              <w:left w:val="single" w:sz="4" w:space="0" w:color="auto"/>
              <w:bottom w:val="single" w:sz="4" w:space="0" w:color="auto"/>
              <w:right w:val="single" w:sz="4" w:space="0" w:color="auto"/>
            </w:tcBorders>
            <w:vAlign w:val="center"/>
            <w:hideMark/>
          </w:tcPr>
          <w:p w14:paraId="2677E75C" w14:textId="77777777" w:rsidR="00CB0811" w:rsidRPr="00CB0811" w:rsidRDefault="00CB0811" w:rsidP="00641D47">
            <w:pPr>
              <w:keepNext/>
              <w:keepLines/>
              <w:spacing w:before="0" w:after="0"/>
              <w:jc w:val="center"/>
              <w:rPr>
                <w:rFonts w:ascii="Arial Narrow" w:eastAsia="MS Gothic" w:hAnsi="Arial Narrow"/>
                <w:bCs/>
                <w:szCs w:val="24"/>
              </w:rPr>
            </w:pPr>
            <w:r w:rsidRPr="00CB0811">
              <w:rPr>
                <w:rFonts w:ascii="Arial Narrow" w:eastAsia="MS Gothic" w:hAnsi="Arial Narrow"/>
                <w:bCs/>
                <w:szCs w:val="24"/>
              </w:rPr>
              <w:t>R, DB/</w:t>
            </w:r>
          </w:p>
          <w:p w14:paraId="60F38AF6" w14:textId="77777777" w:rsidR="00CB0811" w:rsidRPr="00CB0811" w:rsidRDefault="00CB0811" w:rsidP="00641D47">
            <w:pPr>
              <w:keepNext/>
              <w:keepLines/>
              <w:spacing w:before="0" w:after="0"/>
              <w:jc w:val="center"/>
              <w:rPr>
                <w:rFonts w:ascii="Arial Narrow" w:eastAsia="MS Gothic" w:hAnsi="Arial Narrow"/>
                <w:bCs/>
                <w:szCs w:val="24"/>
                <w:vertAlign w:val="superscript"/>
              </w:rPr>
            </w:pPr>
            <w:r w:rsidRPr="00CB0811">
              <w:rPr>
                <w:rFonts w:ascii="Arial Narrow" w:eastAsia="MS Gothic" w:hAnsi="Arial Narrow"/>
                <w:bCs/>
                <w:szCs w:val="24"/>
              </w:rPr>
              <w:t>17.0 months</w:t>
            </w:r>
            <w:r w:rsidRPr="00CB0811">
              <w:rPr>
                <w:rFonts w:ascii="Arial Narrow" w:eastAsia="MS Gothic" w:hAnsi="Arial Narrow"/>
                <w:bCs/>
                <w:szCs w:val="24"/>
                <w:vertAlign w:val="superscript"/>
              </w:rPr>
              <w:t>a</w:t>
            </w:r>
          </w:p>
        </w:tc>
        <w:tc>
          <w:tcPr>
            <w:tcW w:w="621" w:type="pct"/>
            <w:tcBorders>
              <w:top w:val="single" w:sz="4" w:space="0" w:color="auto"/>
              <w:left w:val="single" w:sz="4" w:space="0" w:color="auto"/>
              <w:bottom w:val="single" w:sz="4" w:space="0" w:color="auto"/>
              <w:right w:val="single" w:sz="4" w:space="0" w:color="auto"/>
            </w:tcBorders>
            <w:vAlign w:val="center"/>
            <w:hideMark/>
          </w:tcPr>
          <w:p w14:paraId="7A26F7B3" w14:textId="77777777" w:rsidR="00CB0811" w:rsidRPr="00CB0811" w:rsidRDefault="00CB0811" w:rsidP="00641D47">
            <w:pPr>
              <w:keepNext/>
              <w:keepLines/>
              <w:spacing w:before="0" w:after="0"/>
              <w:jc w:val="center"/>
              <w:rPr>
                <w:rFonts w:ascii="Arial Narrow" w:eastAsia="MS Gothic" w:hAnsi="Arial Narrow"/>
                <w:bCs/>
                <w:i/>
                <w:szCs w:val="24"/>
                <w:vertAlign w:val="superscript"/>
              </w:rPr>
            </w:pPr>
            <w:r w:rsidRPr="00CB0811">
              <w:rPr>
                <w:rFonts w:ascii="Arial Narrow" w:eastAsia="MS Gothic" w:hAnsi="Arial Narrow"/>
                <w:bCs/>
                <w:iCs/>
                <w:szCs w:val="24"/>
              </w:rPr>
              <w:t>Low</w:t>
            </w:r>
            <w:r w:rsidRPr="00CB0811">
              <w:rPr>
                <w:rFonts w:ascii="Arial Narrow" w:eastAsia="MS Gothic" w:hAnsi="Arial Narrow"/>
                <w:bCs/>
                <w:iCs/>
                <w:szCs w:val="24"/>
                <w:vertAlign w:val="superscript"/>
              </w:rPr>
              <w:t>b</w:t>
            </w:r>
          </w:p>
        </w:tc>
        <w:tc>
          <w:tcPr>
            <w:tcW w:w="857" w:type="pct"/>
            <w:tcBorders>
              <w:top w:val="single" w:sz="4" w:space="0" w:color="auto"/>
              <w:left w:val="single" w:sz="4" w:space="0" w:color="auto"/>
              <w:bottom w:val="single" w:sz="4" w:space="0" w:color="auto"/>
              <w:right w:val="single" w:sz="4" w:space="0" w:color="auto"/>
            </w:tcBorders>
            <w:vAlign w:val="center"/>
            <w:hideMark/>
          </w:tcPr>
          <w:p w14:paraId="43F9834A" w14:textId="77777777" w:rsidR="00CB0811" w:rsidRPr="00CB0811" w:rsidRDefault="00CB0811" w:rsidP="00641D47">
            <w:pPr>
              <w:keepNext/>
              <w:keepLines/>
              <w:spacing w:before="0" w:after="0"/>
              <w:jc w:val="center"/>
              <w:rPr>
                <w:rFonts w:ascii="Arial Narrow" w:eastAsia="MS Gothic" w:hAnsi="Arial Narrow"/>
                <w:bCs/>
                <w:szCs w:val="24"/>
              </w:rPr>
            </w:pPr>
            <w:r w:rsidRPr="00CB0811">
              <w:rPr>
                <w:rFonts w:ascii="Arial Narrow" w:eastAsia="MS Gothic" w:hAnsi="Arial Narrow"/>
                <w:bCs/>
                <w:szCs w:val="24"/>
              </w:rPr>
              <w:t>Advanced, metastatic TNBC, first line</w:t>
            </w:r>
          </w:p>
        </w:tc>
        <w:tc>
          <w:tcPr>
            <w:tcW w:w="622" w:type="pct"/>
            <w:tcBorders>
              <w:top w:val="single" w:sz="4" w:space="0" w:color="auto"/>
              <w:left w:val="single" w:sz="4" w:space="0" w:color="auto"/>
              <w:bottom w:val="single" w:sz="4" w:space="0" w:color="auto"/>
              <w:right w:val="single" w:sz="4" w:space="0" w:color="auto"/>
            </w:tcBorders>
            <w:vAlign w:val="center"/>
            <w:hideMark/>
          </w:tcPr>
          <w:p w14:paraId="562E9210" w14:textId="77777777" w:rsidR="00CB0811" w:rsidRPr="00CB0811" w:rsidRDefault="00CB0811" w:rsidP="00641D47">
            <w:pPr>
              <w:keepNext/>
              <w:keepLines/>
              <w:spacing w:before="0" w:after="0"/>
              <w:jc w:val="center"/>
              <w:rPr>
                <w:rFonts w:ascii="Arial Narrow" w:eastAsia="MS Gothic" w:hAnsi="Arial Narrow"/>
                <w:bCs/>
                <w:szCs w:val="24"/>
              </w:rPr>
            </w:pPr>
            <w:r w:rsidRPr="00CB0811">
              <w:rPr>
                <w:rFonts w:ascii="Arial Narrow" w:eastAsia="MS Gothic" w:hAnsi="Arial Narrow"/>
                <w:bCs/>
                <w:szCs w:val="24"/>
              </w:rPr>
              <w:t>OS, PFS</w:t>
            </w:r>
          </w:p>
        </w:tc>
        <w:tc>
          <w:tcPr>
            <w:tcW w:w="939" w:type="pct"/>
            <w:tcBorders>
              <w:top w:val="single" w:sz="4" w:space="0" w:color="auto"/>
              <w:left w:val="single" w:sz="4" w:space="0" w:color="auto"/>
              <w:bottom w:val="single" w:sz="4" w:space="0" w:color="auto"/>
              <w:right w:val="single" w:sz="4" w:space="0" w:color="auto"/>
            </w:tcBorders>
            <w:vAlign w:val="center"/>
            <w:hideMark/>
          </w:tcPr>
          <w:p w14:paraId="53A64408" w14:textId="77777777" w:rsidR="00CB0811" w:rsidRPr="00CB0811" w:rsidRDefault="00CB0811" w:rsidP="00641D47">
            <w:pPr>
              <w:keepNext/>
              <w:keepLines/>
              <w:spacing w:before="0" w:after="0"/>
              <w:jc w:val="center"/>
              <w:rPr>
                <w:rFonts w:ascii="Arial Narrow" w:eastAsia="MS Gothic" w:hAnsi="Arial Narrow"/>
                <w:bCs/>
                <w:szCs w:val="24"/>
              </w:rPr>
            </w:pPr>
            <w:r w:rsidRPr="00CB0811">
              <w:rPr>
                <w:rFonts w:ascii="Arial Narrow" w:eastAsia="MS Gothic" w:hAnsi="Arial Narrow"/>
                <w:bCs/>
                <w:szCs w:val="24"/>
              </w:rPr>
              <w:t>used</w:t>
            </w:r>
          </w:p>
        </w:tc>
      </w:tr>
    </w:tbl>
    <w:p w14:paraId="2FBCA632" w14:textId="77777777" w:rsidR="00CB0811" w:rsidRPr="00CB0811" w:rsidRDefault="00CB0811" w:rsidP="00CB0811">
      <w:pPr>
        <w:keepNext/>
        <w:keepLines/>
        <w:snapToGrid w:val="0"/>
        <w:spacing w:before="0" w:after="120" w:line="240" w:lineRule="auto"/>
        <w:contextualSpacing/>
        <w:rPr>
          <w:rFonts w:ascii="Arial Narrow" w:eastAsia="Calibri" w:hAnsi="Arial Narrow" w:cs="Times New Roman"/>
          <w:sz w:val="18"/>
        </w:rPr>
      </w:pPr>
      <w:r w:rsidRPr="00CB0811">
        <w:rPr>
          <w:rFonts w:ascii="Arial Narrow" w:eastAsia="Calibri" w:hAnsi="Arial Narrow" w:cs="Times New Roman"/>
          <w:sz w:val="18"/>
        </w:rPr>
        <w:t>Source: pp19-40 of the submission.</w:t>
      </w:r>
    </w:p>
    <w:p w14:paraId="7340A4A7" w14:textId="77777777" w:rsidR="00CB0811" w:rsidRPr="00CB0811" w:rsidRDefault="00CB0811" w:rsidP="00CB0811">
      <w:pPr>
        <w:keepNext/>
        <w:keepLines/>
        <w:snapToGrid w:val="0"/>
        <w:spacing w:before="0" w:after="120" w:line="240" w:lineRule="auto"/>
        <w:contextualSpacing/>
        <w:rPr>
          <w:rFonts w:ascii="Arial Narrow" w:eastAsia="Calibri" w:hAnsi="Arial Narrow" w:cs="Times New Roman"/>
          <w:sz w:val="18"/>
        </w:rPr>
      </w:pPr>
      <w:r w:rsidRPr="00CB0811">
        <w:rPr>
          <w:rFonts w:ascii="Arial Narrow" w:eastAsia="Calibri" w:hAnsi="Arial Narrow" w:cs="Times New Roman"/>
          <w:sz w:val="18"/>
        </w:rPr>
        <w:t>DB = double blind; MC = multi-centre; OL = open label; OS = overall survival; PFS = progression-free survival; R = randomised, TNBC = triple negative breast cancer.</w:t>
      </w:r>
    </w:p>
    <w:p w14:paraId="11F9885E" w14:textId="77777777" w:rsidR="00CB0811" w:rsidRPr="00CB0811" w:rsidRDefault="00CB0811" w:rsidP="00CB0811">
      <w:pPr>
        <w:keepNext/>
        <w:keepLines/>
        <w:snapToGrid w:val="0"/>
        <w:spacing w:before="0" w:after="120" w:line="240" w:lineRule="auto"/>
        <w:contextualSpacing/>
        <w:rPr>
          <w:rFonts w:ascii="Arial Narrow" w:eastAsia="Calibri" w:hAnsi="Arial Narrow" w:cs="Times New Roman"/>
          <w:sz w:val="18"/>
        </w:rPr>
      </w:pPr>
      <w:r w:rsidRPr="00CB0811">
        <w:rPr>
          <w:rFonts w:ascii="Arial Narrow" w:eastAsia="Calibri" w:hAnsi="Arial Narrow" w:cs="Times New Roman"/>
          <w:sz w:val="18"/>
          <w:vertAlign w:val="superscript"/>
        </w:rPr>
        <w:t>a</w:t>
      </w:r>
      <w:r w:rsidRPr="00CB0811">
        <w:rPr>
          <w:rFonts w:ascii="Arial Narrow" w:eastAsia="Calibri" w:hAnsi="Arial Narrow" w:cs="Times New Roman"/>
          <w:sz w:val="18"/>
        </w:rPr>
        <w:t xml:space="preserve"> Median follow-up for all patients defined as the time from randomization to the date of death or the database cut-off date if the subject is still alive. In the economic evaluation follow-up of 44.0-44.4 months defined as, the median time since randomisation at the data cut-off date</w:t>
      </w:r>
    </w:p>
    <w:p w14:paraId="2CF12EA1" w14:textId="77777777" w:rsidR="00CB0811" w:rsidRPr="00CB0811" w:rsidRDefault="00CB0811" w:rsidP="00CB0811">
      <w:pPr>
        <w:keepNext/>
        <w:keepLines/>
        <w:snapToGrid w:val="0"/>
        <w:spacing w:before="0" w:after="120" w:line="240" w:lineRule="auto"/>
        <w:contextualSpacing/>
        <w:rPr>
          <w:rFonts w:ascii="Arial Narrow" w:eastAsia="Calibri" w:hAnsi="Arial Narrow" w:cs="Times New Roman"/>
          <w:b/>
          <w:sz w:val="18"/>
        </w:rPr>
      </w:pPr>
      <w:r w:rsidRPr="00CB0811">
        <w:rPr>
          <w:rFonts w:ascii="Arial Narrow" w:eastAsia="Calibri" w:hAnsi="Arial Narrow" w:cs="Times New Roman"/>
          <w:sz w:val="18"/>
          <w:vertAlign w:val="superscript"/>
        </w:rPr>
        <w:t>b</w:t>
      </w:r>
      <w:r w:rsidRPr="00CB0811">
        <w:rPr>
          <w:rFonts w:ascii="Arial Narrow" w:eastAsia="Calibri" w:hAnsi="Arial Narrow" w:cs="Times New Roman"/>
          <w:sz w:val="18"/>
        </w:rPr>
        <w:t xml:space="preserve"> Low for CPS ≥ 1 and all patient population. Possibly higher in CPS ≥ 10 subgroup due to amendment which prioritised CPS ≥ 10 subgroup occurring after first interim analysis and randomisation was not stratified by CPS ≥ 10. </w:t>
      </w:r>
    </w:p>
    <w:p w14:paraId="079B162E" w14:textId="06387BFA" w:rsidR="00D92775" w:rsidRDefault="00D92775" w:rsidP="0086737E">
      <w:pPr>
        <w:pStyle w:val="Instructionaltext"/>
        <w:spacing w:before="240"/>
        <w:rPr>
          <w:color w:val="auto"/>
        </w:rPr>
      </w:pPr>
      <w:r>
        <w:rPr>
          <w:color w:val="auto"/>
        </w:rPr>
        <w:t>Participants were</w:t>
      </w:r>
      <w:r w:rsidRPr="00D92775">
        <w:rPr>
          <w:color w:val="auto"/>
        </w:rPr>
        <w:t xml:space="preserve"> stratified by chemotherapy (taxane vs</w:t>
      </w:r>
      <w:r>
        <w:rPr>
          <w:color w:val="auto"/>
        </w:rPr>
        <w:t xml:space="preserve"> </w:t>
      </w:r>
      <w:r w:rsidRPr="00D92775">
        <w:rPr>
          <w:color w:val="auto"/>
        </w:rPr>
        <w:t xml:space="preserve">gemcitabine/carboplatin), </w:t>
      </w:r>
      <w:r w:rsidR="003302EF" w:rsidRPr="00D92775">
        <w:rPr>
          <w:color w:val="auto"/>
        </w:rPr>
        <w:t>tumour</w:t>
      </w:r>
      <w:r w:rsidRPr="00D92775">
        <w:rPr>
          <w:color w:val="auto"/>
        </w:rPr>
        <w:t xml:space="preserve"> PD-L1 status (CPS ≥1 vs CPS &lt;1), and prior treatment with</w:t>
      </w:r>
      <w:r>
        <w:rPr>
          <w:color w:val="auto"/>
        </w:rPr>
        <w:t xml:space="preserve"> </w:t>
      </w:r>
      <w:r w:rsidRPr="00D92775">
        <w:rPr>
          <w:color w:val="auto"/>
        </w:rPr>
        <w:t>the same class of chemotherapy in the (neo)adjuvant setting (yes vs no)</w:t>
      </w:r>
      <w:r w:rsidR="003302EF">
        <w:rPr>
          <w:color w:val="auto"/>
        </w:rPr>
        <w:t xml:space="preserve">. </w:t>
      </w:r>
    </w:p>
    <w:p w14:paraId="4EA03A27" w14:textId="20C64D62" w:rsidR="00CB0811" w:rsidRPr="00CB0811" w:rsidRDefault="00CB0811" w:rsidP="00CB0811">
      <w:pPr>
        <w:rPr>
          <w:i/>
          <w:iCs/>
        </w:rPr>
      </w:pPr>
      <w:bookmarkStart w:id="14" w:name="_Ref124711533"/>
      <w:r w:rsidRPr="00CB0811">
        <w:t xml:space="preserve">The KN-355 trial was originally designed with PFS and OS in all patients as well as in those expressing PD-L1 positive tumours at CPS ≥1 as co-primary endpoints. The submission noted that, based on emerging data external to the trial, the protocol underwent its final amendment (Amendment 5) on the 4th of October 2019 to add PFS and OS in subjects with PD-L1 positive tumours (CPS ≥10) as two additional primary endpoints. This amendment also changed the multiplicity strategy such that CPS ≥10 was the subgroup which would be first tested in stepwise fashion, essentially giving priority to this subgroup. This last amendment was completed prior to the final analysis </w:t>
      </w:r>
      <w:r w:rsidR="00F90CA4">
        <w:t>(</w:t>
      </w:r>
      <w:r w:rsidRPr="00CB0811">
        <w:t xml:space="preserve">which </w:t>
      </w:r>
      <w:r w:rsidR="00F90CA4">
        <w:t xml:space="preserve">was </w:t>
      </w:r>
      <w:r w:rsidRPr="00CB0811">
        <w:t>completed on 15th June 2021</w:t>
      </w:r>
      <w:r w:rsidR="00F90CA4">
        <w:t>)</w:t>
      </w:r>
      <w:r w:rsidRPr="00CB0811">
        <w:t xml:space="preserve"> but was after the first interim analysis (IA1).</w:t>
      </w:r>
      <w:bookmarkEnd w:id="14"/>
      <w:r w:rsidRPr="00CB0811">
        <w:t xml:space="preserve"> The PBAC PSCR noted that revisions to the statistical analysis plan are statistically justified by eliminating the alpha spent in IA1. The PBAC ESC considered that the multiplicity strategy presented in the submission was difficult to interpret, but that error spending appeared to have been applied appropriately. The PBAC ESC considered that the protocol change, although it occurred almost 2 years prior to the final analysis, may have introduced bias in terms of the statistical analysis.</w:t>
      </w:r>
      <w:r w:rsidRPr="00CB0811">
        <w:rPr>
          <w:i/>
          <w:iCs/>
        </w:rPr>
        <w:t xml:space="preserve"> </w:t>
      </w:r>
    </w:p>
    <w:p w14:paraId="73E3DC95" w14:textId="2EF82965" w:rsidR="00CB0811" w:rsidRPr="00CB0811" w:rsidRDefault="00CB0811" w:rsidP="00CB0811">
      <w:r>
        <w:t xml:space="preserve">The PBAC commentary considered that </w:t>
      </w:r>
      <w:r w:rsidRPr="00CB0811">
        <w:t xml:space="preserve">given that KN-355 was originally stratified by the proportion of CPS ≥1 as opposed to CPS ≥10, the CPS ≥10 subgroup could be considered potentially inadequately randomised and may carry a higher risk of bias. </w:t>
      </w:r>
      <w:r w:rsidRPr="00CB0811">
        <w:rPr>
          <w:i/>
          <w:iCs/>
        </w:rPr>
        <w:t xml:space="preserve">The </w:t>
      </w:r>
      <w:r>
        <w:rPr>
          <w:i/>
          <w:iCs/>
        </w:rPr>
        <w:t xml:space="preserve">PBAC </w:t>
      </w:r>
      <w:r w:rsidRPr="00CB0811">
        <w:rPr>
          <w:i/>
          <w:iCs/>
        </w:rPr>
        <w:t xml:space="preserve">PSCR noted that a similar strategy was implemented in KN119-05 (also in patients with mTNBC) with regards to the addition of CPS ≥10, and the sponsor conducted an evaluation of the potential for imbalance in the CPS ≥10 population. This evaluation concluded that the impact of not having CPS ≥10 would be minimal and it is unlikely that there would be large imbalances in baseline factors between the treatment groups. The </w:t>
      </w:r>
      <w:r>
        <w:rPr>
          <w:i/>
          <w:iCs/>
        </w:rPr>
        <w:t xml:space="preserve">PBAC </w:t>
      </w:r>
      <w:r w:rsidRPr="00CB0811">
        <w:rPr>
          <w:i/>
          <w:iCs/>
        </w:rPr>
        <w:t>ESC considered that this is unlikely to be a substantial source of bias.</w:t>
      </w:r>
      <w:r w:rsidRPr="00CB0811">
        <w:t xml:space="preserve"> </w:t>
      </w:r>
    </w:p>
    <w:p w14:paraId="079227FC" w14:textId="0936C71D" w:rsidR="00CB0811" w:rsidRPr="00CB0811" w:rsidRDefault="00CB0811" w:rsidP="00CB0811">
      <w:r w:rsidRPr="00CB0811">
        <w:t xml:space="preserve">The statistical analysis plan included consideration of efficacy bars (expressed as a one-sided p-value which must be met, along with an estimated hazard ratio denoting the boundary). If an efficacy bar was crossed for OS, in all patients or patients with CPS ≥1 or CPS ≥10, the study would be declared to have met its primary objective. </w:t>
      </w:r>
      <w:r w:rsidRPr="00CB0811">
        <w:rPr>
          <w:i/>
          <w:iCs/>
        </w:rPr>
        <w:t>The</w:t>
      </w:r>
      <w:r>
        <w:rPr>
          <w:i/>
          <w:iCs/>
        </w:rPr>
        <w:t xml:space="preserve"> PBAC</w:t>
      </w:r>
      <w:r w:rsidRPr="00CB0811">
        <w:rPr>
          <w:i/>
          <w:iCs/>
        </w:rPr>
        <w:t xml:space="preserve"> ESC considered that the use of approximate values for the efficacy bars (i.e., ‘CPS ≥ 10 OS HR = ~0.72’) increased uncertainty regarding their application in the statistical analysis plan.</w:t>
      </w:r>
      <w:r w:rsidRPr="00CB0811">
        <w:t xml:space="preserve"> </w:t>
      </w:r>
    </w:p>
    <w:p w14:paraId="3B9FC2AD" w14:textId="464DB945" w:rsidR="00772829" w:rsidRPr="00CE28E3" w:rsidRDefault="000C2287" w:rsidP="002A18BE">
      <w:pPr>
        <w:pStyle w:val="Heading2"/>
        <w:numPr>
          <w:ilvl w:val="0"/>
          <w:numId w:val="0"/>
        </w:numPr>
      </w:pPr>
      <w:bookmarkStart w:id="15" w:name="_Toc69491423"/>
      <w:r>
        <w:t>11</w:t>
      </w:r>
      <w:r w:rsidR="00C36633">
        <w:t>.</w:t>
      </w:r>
      <w:r w:rsidR="00C36633">
        <w:tab/>
      </w:r>
      <w:r w:rsidR="00772829" w:rsidRPr="00CE28E3">
        <w:t>Comparative safety</w:t>
      </w:r>
      <w:bookmarkEnd w:id="15"/>
    </w:p>
    <w:p w14:paraId="1C7BB536" w14:textId="2D15C6A0" w:rsidR="00292E79" w:rsidRDefault="00CC33AD" w:rsidP="00CC33AD">
      <w:r>
        <w:t>The submission did not make a clinical claim with respect to comparative safety</w:t>
      </w:r>
      <w:r w:rsidR="000D129A">
        <w:t xml:space="preserve"> of PD-L1 testing. </w:t>
      </w:r>
      <w:r w:rsidR="000D1C90">
        <w:t xml:space="preserve">The test procedure is unlikely to have any safety implications. </w:t>
      </w:r>
    </w:p>
    <w:p w14:paraId="3771AC76" w14:textId="471ADE08" w:rsidR="002028A2" w:rsidRDefault="00F51D4C" w:rsidP="00CC33AD">
      <w:r w:rsidRPr="002028A2">
        <w:t>The submission considered that targeting pembrolizumab to the approximately 38% advanced TNBC with CPS</w:t>
      </w:r>
      <w:r w:rsidR="006A1C60">
        <w:t xml:space="preserve"> </w:t>
      </w:r>
      <w:r w:rsidRPr="002028A2">
        <w:t xml:space="preserve">≥10 would minimise harms </w:t>
      </w:r>
      <w:r>
        <w:t>from pembrolizumab for patients with CPS</w:t>
      </w:r>
      <w:r w:rsidR="006A1C60">
        <w:t xml:space="preserve"> </w:t>
      </w:r>
      <w:r>
        <w:t>&lt;10 who would not experience a survival benefit.</w:t>
      </w:r>
    </w:p>
    <w:p w14:paraId="175D7BC1" w14:textId="77777777" w:rsidR="002028A2" w:rsidRDefault="000D1C90" w:rsidP="00292E79">
      <w:r>
        <w:t>However, there may be safety consider</w:t>
      </w:r>
      <w:r w:rsidR="00292E79">
        <w:t xml:space="preserve">ations due to the poor analytical performance of PD-L1 testing and the resulting changes in clinical management. MSAC has previously raised concerns regarding the poor analytical performance of PD-L1 testing which are summarised in the </w:t>
      </w:r>
      <w:hyperlink r:id="rId13" w:history="1">
        <w:r w:rsidR="00292E79" w:rsidRPr="00292E79">
          <w:rPr>
            <w:rStyle w:val="Hyperlink"/>
          </w:rPr>
          <w:t>MSAC Position Statement on programmed death-ligand 1 (PD-L1) immunohistochemistry testing to determine eligibility for treatment with PD-(L)1 checkpoint inhibitors</w:t>
        </w:r>
      </w:hyperlink>
      <w:r w:rsidR="00292E79">
        <w:t xml:space="preserve">. </w:t>
      </w:r>
    </w:p>
    <w:p w14:paraId="4E89F0CA" w14:textId="0158E6B4" w:rsidR="00B503AD" w:rsidRDefault="00B503AD" w:rsidP="00B503AD">
      <w:r>
        <w:t xml:space="preserve">Patients with a false negative result may forego potential treatment benefits from pembrolizumab treatment in combination with chemotherapy. Patients with a false positive result  would be exposed to additional adverse events associated with pembrolizumab with no corresponding benefit in effectiveness. </w:t>
      </w:r>
    </w:p>
    <w:p w14:paraId="79FFCAFE" w14:textId="54B28948" w:rsidR="00B503AD" w:rsidRDefault="00B503AD" w:rsidP="00B503AD">
      <w:r>
        <w:t xml:space="preserve">In clinical practice, there may be more false positives rather than false negatives.  In its consideration of </w:t>
      </w:r>
      <w:hyperlink r:id="rId14" w:history="1">
        <w:r w:rsidRPr="00292E79">
          <w:rPr>
            <w:rStyle w:val="Hyperlink"/>
          </w:rPr>
          <w:t>Application 1522.1</w:t>
        </w:r>
      </w:hyperlink>
      <w:r>
        <w:t xml:space="preserve">, MSAC noted the possibility that pathologists may be inclined </w:t>
      </w:r>
      <w:r w:rsidR="006A1C60">
        <w:t xml:space="preserve">to </w:t>
      </w:r>
      <w:r>
        <w:t xml:space="preserve">overestimate CPS scores close to the threshold for treatment eligibility so that patients can access more treatment options (p5, </w:t>
      </w:r>
      <w:hyperlink r:id="rId15" w:history="1">
        <w:r w:rsidRPr="00292E79">
          <w:rPr>
            <w:rStyle w:val="Hyperlink"/>
          </w:rPr>
          <w:t>Application 1522.1 MSAC PSD</w:t>
        </w:r>
      </w:hyperlink>
      <w:r>
        <w:t xml:space="preserve">). </w:t>
      </w:r>
    </w:p>
    <w:p w14:paraId="3717AA01" w14:textId="7CF022A0" w:rsidR="00772829" w:rsidRPr="00CE28E3" w:rsidRDefault="00C36633" w:rsidP="002A18BE">
      <w:pPr>
        <w:pStyle w:val="Heading2"/>
        <w:numPr>
          <w:ilvl w:val="0"/>
          <w:numId w:val="0"/>
        </w:numPr>
      </w:pPr>
      <w:bookmarkStart w:id="16" w:name="_Toc69491424"/>
      <w:r>
        <w:t>1</w:t>
      </w:r>
      <w:r w:rsidR="000C2287">
        <w:t>2</w:t>
      </w:r>
      <w:r>
        <w:t>.</w:t>
      </w:r>
      <w:r>
        <w:tab/>
      </w:r>
      <w:r w:rsidR="00772829" w:rsidRPr="00CE28E3">
        <w:t>Comparative effectiveness</w:t>
      </w:r>
      <w:bookmarkEnd w:id="16"/>
    </w:p>
    <w:p w14:paraId="4775DF9D" w14:textId="06A45CEF" w:rsidR="00B503AD" w:rsidRPr="00151E5F" w:rsidRDefault="00B503AD" w:rsidP="005245A2">
      <w:pPr>
        <w:numPr>
          <w:ilvl w:val="1"/>
          <w:numId w:val="0"/>
        </w:numPr>
        <w:spacing w:before="0" w:after="120" w:line="240" w:lineRule="auto"/>
        <w:ind w:left="720" w:hanging="720"/>
        <w:contextualSpacing/>
        <w:jc w:val="both"/>
        <w:rPr>
          <w:rFonts w:eastAsia="Calibri" w:cs="Calibri"/>
          <w:lang w:val="en-US"/>
        </w:rPr>
      </w:pPr>
      <w:r w:rsidRPr="00151E5F">
        <w:rPr>
          <w:rFonts w:eastAsia="Calibri" w:cs="Calibri"/>
          <w:color w:val="000000"/>
          <w:lang w:val="en-US"/>
        </w:rPr>
        <w:t xml:space="preserve">A summary of primary efficacy endpoints in KN-355 is presented in </w:t>
      </w:r>
      <w:r w:rsidRPr="00151E5F">
        <w:rPr>
          <w:rFonts w:eastAsia="Calibri" w:cs="Calibri"/>
          <w:lang w:val="en-US"/>
        </w:rPr>
        <w:fldChar w:fldCharType="begin"/>
      </w:r>
      <w:r w:rsidRPr="00151E5F">
        <w:rPr>
          <w:rFonts w:eastAsia="Calibri" w:cs="Calibri"/>
          <w:lang w:val="en-US"/>
        </w:rPr>
        <w:instrText xml:space="preserve"> REF _Ref123749907 \h  \* MERGEFORMAT </w:instrText>
      </w:r>
      <w:r w:rsidRPr="00151E5F">
        <w:rPr>
          <w:rFonts w:eastAsia="Calibri" w:cs="Calibri"/>
          <w:lang w:val="en-US"/>
        </w:rPr>
      </w:r>
      <w:r w:rsidRPr="00151E5F">
        <w:rPr>
          <w:rFonts w:eastAsia="Calibri" w:cs="Calibri"/>
          <w:lang w:val="en-US"/>
        </w:rPr>
        <w:fldChar w:fldCharType="separate"/>
      </w:r>
      <w:r w:rsidR="000E4BEF" w:rsidRPr="00443E6B">
        <w:rPr>
          <w:rFonts w:eastAsia="MS Gothic" w:cs="Calibri"/>
          <w:lang w:val="en-US"/>
        </w:rPr>
        <w:t xml:space="preserve">Table </w:t>
      </w:r>
      <w:r w:rsidR="000E4BEF" w:rsidRPr="00443E6B">
        <w:rPr>
          <w:rFonts w:eastAsia="Calibri" w:cs="Calibri"/>
          <w:lang w:val="en-US"/>
        </w:rPr>
        <w:t>3</w:t>
      </w:r>
      <w:r w:rsidRPr="00151E5F">
        <w:rPr>
          <w:rFonts w:eastAsia="Calibri" w:cs="Calibri"/>
          <w:lang w:val="en-US"/>
        </w:rPr>
        <w:fldChar w:fldCharType="end"/>
      </w:r>
      <w:r w:rsidRPr="00151E5F">
        <w:rPr>
          <w:rFonts w:eastAsia="Calibri" w:cs="Calibri"/>
          <w:lang w:val="en-US"/>
        </w:rPr>
        <w:t>.</w:t>
      </w:r>
    </w:p>
    <w:p w14:paraId="6A448FB0" w14:textId="51784CC9" w:rsidR="00B503AD" w:rsidRPr="00B503AD" w:rsidRDefault="00B503AD" w:rsidP="00B503AD">
      <w:pPr>
        <w:pStyle w:val="TableHeading0"/>
        <w:keepNext/>
      </w:pPr>
      <w:bookmarkStart w:id="17" w:name="_Ref123749907"/>
      <w:r w:rsidRPr="00B503AD">
        <w:rPr>
          <w:szCs w:val="16"/>
        </w:rPr>
        <w:t xml:space="preserve">Table </w:t>
      </w:r>
      <w:r w:rsidRPr="00B503AD">
        <w:fldChar w:fldCharType="begin"/>
      </w:r>
      <w:r w:rsidRPr="00B503AD">
        <w:rPr>
          <w:szCs w:val="16"/>
        </w:rPr>
        <w:instrText xml:space="preserve"> SEQ Table \* ARABIC </w:instrText>
      </w:r>
      <w:r w:rsidRPr="00B503AD">
        <w:fldChar w:fldCharType="separate"/>
      </w:r>
      <w:r w:rsidR="000E4BEF">
        <w:rPr>
          <w:noProof/>
          <w:szCs w:val="16"/>
        </w:rPr>
        <w:t>3</w:t>
      </w:r>
      <w:r w:rsidRPr="00B503AD">
        <w:fldChar w:fldCharType="end"/>
      </w:r>
      <w:bookmarkEnd w:id="17"/>
      <w:r w:rsidRPr="00B503AD">
        <w:rPr>
          <w:szCs w:val="16"/>
        </w:rPr>
        <w:t xml:space="preserve">: </w:t>
      </w:r>
      <w:r w:rsidRPr="00B503AD">
        <w:t>Summary of Primary efficacy endpoints in KN-355</w:t>
      </w:r>
    </w:p>
    <w:tbl>
      <w:tblPr>
        <w:tblStyle w:val="TableGridLight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078"/>
        <w:gridCol w:w="1156"/>
        <w:gridCol w:w="1156"/>
        <w:gridCol w:w="1157"/>
        <w:gridCol w:w="1156"/>
        <w:gridCol w:w="1156"/>
        <w:gridCol w:w="1157"/>
      </w:tblGrid>
      <w:tr w:rsidR="00B503AD" w:rsidRPr="00B503AD" w14:paraId="6BEE23FE" w14:textId="77777777" w:rsidTr="00B503AD">
        <w:trPr>
          <w:tblHeader/>
        </w:trPr>
        <w:tc>
          <w:tcPr>
            <w:tcW w:w="2079" w:type="dxa"/>
            <w:vMerge w:val="restart"/>
            <w:tcBorders>
              <w:top w:val="single" w:sz="4" w:space="0" w:color="000000"/>
              <w:left w:val="single" w:sz="4" w:space="0" w:color="000000"/>
              <w:bottom w:val="single" w:sz="4" w:space="0" w:color="000000"/>
              <w:right w:val="single" w:sz="4" w:space="0" w:color="000000"/>
            </w:tcBorders>
            <w:vAlign w:val="center"/>
          </w:tcPr>
          <w:p w14:paraId="63494008" w14:textId="77777777" w:rsidR="00B503AD" w:rsidRPr="00B503AD" w:rsidRDefault="00B503AD" w:rsidP="00B503AD">
            <w:pPr>
              <w:keepNext/>
              <w:keepLines/>
              <w:snapToGrid w:val="0"/>
              <w:spacing w:before="0"/>
              <w:rPr>
                <w:rFonts w:ascii="Arial Narrow" w:eastAsia="Calibri" w:hAnsi="Arial Narrow"/>
                <w:szCs w:val="24"/>
              </w:rPr>
            </w:pPr>
          </w:p>
        </w:tc>
        <w:tc>
          <w:tcPr>
            <w:tcW w:w="2312" w:type="dxa"/>
            <w:gridSpan w:val="2"/>
            <w:tcBorders>
              <w:top w:val="single" w:sz="4" w:space="0" w:color="000000"/>
              <w:left w:val="single" w:sz="4" w:space="0" w:color="000000"/>
              <w:bottom w:val="single" w:sz="4" w:space="0" w:color="000000"/>
              <w:right w:val="single" w:sz="4" w:space="0" w:color="000000"/>
            </w:tcBorders>
            <w:vAlign w:val="center"/>
            <w:hideMark/>
          </w:tcPr>
          <w:p w14:paraId="0C2A5EBB" w14:textId="77777777" w:rsidR="00B503AD" w:rsidRPr="00B503AD" w:rsidRDefault="00B503AD" w:rsidP="00B503AD">
            <w:pPr>
              <w:keepNext/>
              <w:keepLines/>
              <w:snapToGrid w:val="0"/>
              <w:spacing w:before="0"/>
              <w:jc w:val="center"/>
              <w:rPr>
                <w:rFonts w:ascii="Arial Narrow" w:eastAsia="Calibri" w:hAnsi="Arial Narrow"/>
                <w:b/>
                <w:bCs/>
                <w:szCs w:val="24"/>
              </w:rPr>
            </w:pPr>
            <w:r w:rsidRPr="00B503AD">
              <w:rPr>
                <w:rFonts w:ascii="Arial Narrow" w:eastAsia="Calibri" w:hAnsi="Arial Narrow"/>
                <w:b/>
                <w:bCs/>
                <w:szCs w:val="24"/>
              </w:rPr>
              <w:t xml:space="preserve">CPS </w:t>
            </w:r>
            <w:r w:rsidRPr="00B503AD">
              <w:rPr>
                <w:rFonts w:ascii="Times New Roman" w:eastAsia="Calibri" w:hAnsi="Times New Roman"/>
                <w:b/>
                <w:bCs/>
                <w:szCs w:val="24"/>
              </w:rPr>
              <w:t>≥</w:t>
            </w:r>
            <w:r w:rsidRPr="00B503AD">
              <w:rPr>
                <w:rFonts w:ascii="Arial Narrow" w:eastAsia="Calibri" w:hAnsi="Arial Narrow"/>
                <w:b/>
                <w:bCs/>
                <w:szCs w:val="24"/>
              </w:rPr>
              <w:t xml:space="preserve"> 10</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5080EE05" w14:textId="77777777" w:rsidR="00B503AD" w:rsidRPr="00B503AD" w:rsidRDefault="00B503AD" w:rsidP="00B503AD">
            <w:pPr>
              <w:keepNext/>
              <w:keepLines/>
              <w:snapToGrid w:val="0"/>
              <w:spacing w:before="0"/>
              <w:jc w:val="center"/>
              <w:rPr>
                <w:rFonts w:ascii="Arial Narrow" w:eastAsia="Calibri" w:hAnsi="Arial Narrow"/>
                <w:b/>
                <w:bCs/>
                <w:szCs w:val="24"/>
              </w:rPr>
            </w:pPr>
            <w:r w:rsidRPr="00B503AD">
              <w:rPr>
                <w:rFonts w:ascii="Arial Narrow" w:eastAsia="Calibri" w:hAnsi="Arial Narrow"/>
                <w:b/>
                <w:bCs/>
                <w:szCs w:val="24"/>
              </w:rPr>
              <w:t xml:space="preserve">CPS </w:t>
            </w:r>
            <w:r w:rsidRPr="00B503AD">
              <w:rPr>
                <w:rFonts w:ascii="Times New Roman" w:eastAsia="Calibri" w:hAnsi="Times New Roman"/>
                <w:b/>
                <w:bCs/>
                <w:szCs w:val="24"/>
              </w:rPr>
              <w:t>≥</w:t>
            </w:r>
            <w:r w:rsidRPr="00B503AD">
              <w:rPr>
                <w:rFonts w:ascii="Arial Narrow" w:eastAsia="Calibri" w:hAnsi="Arial Narrow"/>
                <w:b/>
                <w:bCs/>
                <w:szCs w:val="24"/>
              </w:rPr>
              <w:t xml:space="preserve"> 1</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7D381798" w14:textId="77777777" w:rsidR="00B503AD" w:rsidRPr="00B503AD" w:rsidRDefault="00B503AD" w:rsidP="00B503AD">
            <w:pPr>
              <w:keepNext/>
              <w:keepLines/>
              <w:snapToGrid w:val="0"/>
              <w:spacing w:before="0"/>
              <w:jc w:val="center"/>
              <w:rPr>
                <w:rFonts w:ascii="Arial Narrow" w:eastAsia="Calibri" w:hAnsi="Arial Narrow"/>
                <w:b/>
                <w:bCs/>
                <w:szCs w:val="24"/>
              </w:rPr>
            </w:pPr>
            <w:r w:rsidRPr="00B503AD">
              <w:rPr>
                <w:rFonts w:ascii="Arial Narrow" w:eastAsia="Calibri" w:hAnsi="Arial Narrow"/>
                <w:b/>
                <w:bCs/>
                <w:szCs w:val="24"/>
              </w:rPr>
              <w:t>ITT</w:t>
            </w:r>
          </w:p>
        </w:tc>
      </w:tr>
      <w:tr w:rsidR="00B503AD" w:rsidRPr="00B503AD" w14:paraId="500771C1" w14:textId="77777777" w:rsidTr="00B503AD">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E7B831" w14:textId="77777777" w:rsidR="00B503AD" w:rsidRPr="00B503AD" w:rsidRDefault="00B503AD" w:rsidP="00B503AD">
            <w:pPr>
              <w:spacing w:before="0"/>
              <w:rPr>
                <w:rFonts w:ascii="Arial Narrow" w:hAnsi="Arial Narrow"/>
                <w:szCs w:val="24"/>
              </w:rPr>
            </w:pP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991FF73"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Pembro + chemo</w:t>
            </w:r>
          </w:p>
          <w:p w14:paraId="3101BBD7"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N = 220</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A8FF183"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Placebo + chemo</w:t>
            </w:r>
          </w:p>
          <w:p w14:paraId="6F30F039"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N = 103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437CBF68"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Pembro + chemo</w:t>
            </w:r>
          </w:p>
          <w:p w14:paraId="23C7C6A2"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N = 425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21C0420"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Placebo + chemo</w:t>
            </w:r>
          </w:p>
          <w:p w14:paraId="47D72035"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N = 211</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2FB7044"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Pembro + chemo</w:t>
            </w:r>
          </w:p>
          <w:p w14:paraId="230EA078"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N = 566</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032EE52D"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Placebo + chemo</w:t>
            </w:r>
          </w:p>
          <w:p w14:paraId="391AB10F"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N = 281</w:t>
            </w:r>
          </w:p>
        </w:tc>
      </w:tr>
      <w:tr w:rsidR="00B503AD" w:rsidRPr="00B503AD" w14:paraId="50E6408B" w14:textId="77777777" w:rsidTr="00B503AD">
        <w:trPr>
          <w:trHeight w:val="77"/>
        </w:trPr>
        <w:tc>
          <w:tcPr>
            <w:tcW w:w="9017" w:type="dxa"/>
            <w:gridSpan w:val="7"/>
            <w:tcBorders>
              <w:top w:val="single" w:sz="4" w:space="0" w:color="000000"/>
              <w:left w:val="single" w:sz="4" w:space="0" w:color="000000"/>
              <w:bottom w:val="single" w:sz="4" w:space="0" w:color="000000"/>
              <w:right w:val="single" w:sz="4" w:space="0" w:color="000000"/>
            </w:tcBorders>
            <w:vAlign w:val="center"/>
            <w:hideMark/>
          </w:tcPr>
          <w:p w14:paraId="48A3D9C5" w14:textId="77777777" w:rsidR="00B503AD" w:rsidRPr="00B503AD" w:rsidRDefault="00B503AD" w:rsidP="00B503AD">
            <w:pPr>
              <w:keepNext/>
              <w:keepLines/>
              <w:snapToGrid w:val="0"/>
              <w:spacing w:before="0"/>
              <w:rPr>
                <w:rFonts w:ascii="Arial Narrow" w:eastAsia="Calibri" w:hAnsi="Arial Narrow"/>
                <w:b/>
                <w:bCs/>
                <w:szCs w:val="24"/>
              </w:rPr>
            </w:pPr>
            <w:r w:rsidRPr="00B503AD">
              <w:rPr>
                <w:rFonts w:ascii="Arial Narrow" w:eastAsia="Calibri" w:hAnsi="Arial Narrow"/>
                <w:b/>
                <w:bCs/>
                <w:szCs w:val="24"/>
              </w:rPr>
              <w:t>PFS (IA2)</w:t>
            </w:r>
          </w:p>
        </w:tc>
      </w:tr>
      <w:tr w:rsidR="00B503AD" w:rsidRPr="00B503AD" w14:paraId="688F0D52"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2C46F681"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Median,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96B7CD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9.7</w:t>
            </w:r>
          </w:p>
          <w:p w14:paraId="6BA0427A"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(7.6, 11.3)</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E23396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5.6</w:t>
            </w:r>
          </w:p>
          <w:p w14:paraId="285D303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(5.3, 7.5)</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1A0F1F5F"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7.6</w:t>
            </w:r>
          </w:p>
          <w:p w14:paraId="5133493E"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(6.6, 8.0)</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78D9F2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5.6</w:t>
            </w:r>
          </w:p>
          <w:p w14:paraId="4F20380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(5.4, 7.4)</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212EEC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7.5</w:t>
            </w:r>
          </w:p>
          <w:p w14:paraId="4B5E96D7"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(6.3, 7.7)</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06CD9472"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5.6</w:t>
            </w:r>
          </w:p>
          <w:p w14:paraId="17C480D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(5.4, 7.2)</w:t>
            </w:r>
          </w:p>
        </w:tc>
      </w:tr>
      <w:tr w:rsidR="00B503AD" w:rsidRPr="00B503AD" w14:paraId="2A128671"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52FEE77E" w14:textId="77777777" w:rsidR="00B503AD" w:rsidRPr="00B503AD" w:rsidRDefault="00B503AD" w:rsidP="00B503AD">
            <w:pPr>
              <w:keepNext/>
              <w:keepLines/>
              <w:snapToGrid w:val="0"/>
              <w:spacing w:before="0"/>
              <w:rPr>
                <w:rFonts w:ascii="Arial Narrow" w:eastAsia="Calibri" w:hAnsi="Arial Narrow"/>
                <w:b/>
                <w:szCs w:val="24"/>
              </w:rPr>
            </w:pPr>
            <w:r w:rsidRPr="00B503AD">
              <w:rPr>
                <w:rFonts w:ascii="Arial Narrow" w:eastAsia="Calibri" w:hAnsi="Arial Narrow"/>
                <w:szCs w:val="24"/>
              </w:rPr>
              <w:t>HR (95% CI)</w:t>
            </w:r>
          </w:p>
          <w:p w14:paraId="1803AB69"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p-value</w:t>
            </w:r>
          </w:p>
        </w:tc>
        <w:tc>
          <w:tcPr>
            <w:tcW w:w="2312" w:type="dxa"/>
            <w:gridSpan w:val="2"/>
            <w:tcBorders>
              <w:top w:val="single" w:sz="4" w:space="0" w:color="000000"/>
              <w:left w:val="single" w:sz="4" w:space="0" w:color="000000"/>
              <w:bottom w:val="single" w:sz="4" w:space="0" w:color="000000"/>
              <w:right w:val="single" w:sz="4" w:space="0" w:color="000000"/>
            </w:tcBorders>
            <w:vAlign w:val="center"/>
            <w:hideMark/>
          </w:tcPr>
          <w:p w14:paraId="5FD39E6E"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0.65 (0.49, 0.86)</w:t>
            </w:r>
          </w:p>
          <w:p w14:paraId="5471C02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b/>
                <w:szCs w:val="24"/>
              </w:rPr>
              <w:t>0.0012</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2AE531A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0.74 (0.61, 0.90)</w:t>
            </w:r>
          </w:p>
          <w:p w14:paraId="35AE577E"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0.0014</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7C5F3A5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0.82 (0.69, 0.97)</w:t>
            </w:r>
          </w:p>
          <w:p w14:paraId="6C4EE77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0.0112 (nominal)</w:t>
            </w:r>
          </w:p>
        </w:tc>
      </w:tr>
      <w:tr w:rsidR="00B503AD" w:rsidRPr="00B503AD" w14:paraId="2FFB57A3"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23BC582C"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Rate (%) at 12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B8F4F87"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39 (32, 46)</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3EAA2B8"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23 (15, 32)</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2B713AE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32 (27, 37)</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1EE2D8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19 (14, 26)</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9564E72"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29.3 (25, 34)</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1F0C2530"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21 (16, 26)</w:t>
            </w:r>
          </w:p>
        </w:tc>
      </w:tr>
      <w:tr w:rsidR="00B503AD" w:rsidRPr="00B503AD" w14:paraId="104BE1F1"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585DE0B4" w14:textId="77777777" w:rsidR="00B503AD" w:rsidRPr="00B503AD" w:rsidRDefault="00B503AD" w:rsidP="00B503AD">
            <w:pPr>
              <w:keepNext/>
              <w:keepLines/>
              <w:snapToGrid w:val="0"/>
              <w:spacing w:before="0"/>
              <w:rPr>
                <w:rFonts w:ascii="Arial Narrow" w:eastAsia="Calibri" w:hAnsi="Arial Narrow"/>
                <w:szCs w:val="24"/>
                <w:vertAlign w:val="superscript"/>
              </w:rPr>
            </w:pPr>
            <w:r w:rsidRPr="00B503AD">
              <w:rPr>
                <w:rFonts w:ascii="Arial Narrow" w:eastAsia="Calibri" w:hAnsi="Arial Narrow"/>
                <w:b/>
                <w:bCs/>
                <w:szCs w:val="24"/>
              </w:rPr>
              <w:t>PFS (FA) (nominal)</w:t>
            </w:r>
            <w:r w:rsidRPr="00B503AD">
              <w:rPr>
                <w:rFonts w:ascii="Arial Narrow" w:eastAsia="Calibri" w:hAnsi="Arial Narrow"/>
                <w:b/>
                <w:bCs/>
                <w:szCs w:val="24"/>
                <w:vertAlign w:val="superscript"/>
              </w:rPr>
              <w:t>a</w:t>
            </w:r>
          </w:p>
        </w:tc>
        <w:tc>
          <w:tcPr>
            <w:tcW w:w="1156" w:type="dxa"/>
            <w:tcBorders>
              <w:top w:val="single" w:sz="4" w:space="0" w:color="000000"/>
              <w:left w:val="single" w:sz="4" w:space="0" w:color="000000"/>
              <w:bottom w:val="single" w:sz="4" w:space="0" w:color="000000"/>
              <w:right w:val="single" w:sz="4" w:space="0" w:color="000000"/>
            </w:tcBorders>
            <w:vAlign w:val="center"/>
          </w:tcPr>
          <w:p w14:paraId="24824716" w14:textId="77777777" w:rsidR="00B503AD" w:rsidRPr="00B503AD" w:rsidRDefault="00B503AD" w:rsidP="00B503AD">
            <w:pPr>
              <w:keepNext/>
              <w:keepLines/>
              <w:snapToGrid w:val="0"/>
              <w:spacing w:before="0"/>
              <w:jc w:val="center"/>
              <w:rPr>
                <w:rFonts w:ascii="Arial Narrow" w:eastAsia="Calibri" w:hAnsi="Arial Narrow"/>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14:paraId="34EDEDD6" w14:textId="77777777" w:rsidR="00B503AD" w:rsidRPr="00B503AD" w:rsidRDefault="00B503AD" w:rsidP="00B503AD">
            <w:pPr>
              <w:keepNext/>
              <w:keepLines/>
              <w:snapToGrid w:val="0"/>
              <w:spacing w:before="0"/>
              <w:jc w:val="center"/>
              <w:rPr>
                <w:rFonts w:ascii="Arial Narrow" w:eastAsia="Calibri" w:hAnsi="Arial Narrow"/>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6C9F23A" w14:textId="77777777" w:rsidR="00B503AD" w:rsidRPr="00B503AD" w:rsidRDefault="00B503AD" w:rsidP="00B503AD">
            <w:pPr>
              <w:keepNext/>
              <w:keepLines/>
              <w:snapToGrid w:val="0"/>
              <w:spacing w:before="0"/>
              <w:jc w:val="center"/>
              <w:rPr>
                <w:rFonts w:ascii="Arial Narrow" w:eastAsia="Calibri" w:hAnsi="Arial Narrow"/>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14:paraId="2C5E597D" w14:textId="77777777" w:rsidR="00B503AD" w:rsidRPr="00B503AD" w:rsidRDefault="00B503AD" w:rsidP="00B503AD">
            <w:pPr>
              <w:keepNext/>
              <w:keepLines/>
              <w:snapToGrid w:val="0"/>
              <w:spacing w:before="0"/>
              <w:jc w:val="center"/>
              <w:rPr>
                <w:rFonts w:ascii="Arial Narrow" w:eastAsia="Calibri" w:hAnsi="Arial Narrow"/>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14:paraId="3A9BCFA6" w14:textId="77777777" w:rsidR="00B503AD" w:rsidRPr="00B503AD" w:rsidRDefault="00B503AD" w:rsidP="00B503AD">
            <w:pPr>
              <w:keepNext/>
              <w:keepLines/>
              <w:snapToGrid w:val="0"/>
              <w:spacing w:before="0"/>
              <w:jc w:val="center"/>
              <w:rPr>
                <w:rFonts w:ascii="Arial Narrow" w:eastAsia="Calibri" w:hAnsi="Arial Narrow"/>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679F8D6" w14:textId="77777777" w:rsidR="00B503AD" w:rsidRPr="00B503AD" w:rsidRDefault="00B503AD" w:rsidP="00B503AD">
            <w:pPr>
              <w:keepNext/>
              <w:keepLines/>
              <w:snapToGrid w:val="0"/>
              <w:spacing w:before="0"/>
              <w:jc w:val="center"/>
              <w:rPr>
                <w:rFonts w:ascii="Arial Narrow" w:eastAsia="Calibri" w:hAnsi="Arial Narrow"/>
                <w:szCs w:val="24"/>
              </w:rPr>
            </w:pPr>
          </w:p>
        </w:tc>
      </w:tr>
      <w:tr w:rsidR="00B503AD" w:rsidRPr="00B503AD" w14:paraId="665D8946"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4A2796DE"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Events (%)</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BD3A4F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144 (65.5)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16C0A78"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81 (78.6)</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18DA71BE"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299 (70.4)</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F4A38D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166 (78.7)</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D72D65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406 (71.7)</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2995795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217 (77.2)</w:t>
            </w:r>
          </w:p>
        </w:tc>
      </w:tr>
      <w:tr w:rsidR="00B503AD" w:rsidRPr="00B503AD" w14:paraId="4B1786FF"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2D682DE1"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Median,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0B4D65A"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9.7 (7.6, 11.3)</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48FE45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5.6 (5.3, 7.5)</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1F38509A"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7.6 (6.6, 8.0)</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E78D9BE"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5.6 (5.4, 7.4)</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D4637E7"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7.5 (6.3, 7.7)</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59DB3F48"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5.6 (5.4, 7.2)</w:t>
            </w:r>
          </w:p>
        </w:tc>
      </w:tr>
      <w:tr w:rsidR="00B503AD" w:rsidRPr="00B503AD" w14:paraId="23F7A731"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60A2B64F" w14:textId="77777777" w:rsidR="00B503AD" w:rsidRPr="00B503AD" w:rsidRDefault="00B503AD" w:rsidP="00B503AD">
            <w:pPr>
              <w:keepNext/>
              <w:keepLines/>
              <w:snapToGrid w:val="0"/>
              <w:spacing w:before="0"/>
              <w:rPr>
                <w:rFonts w:ascii="Arial Narrow" w:eastAsia="Calibri" w:hAnsi="Arial Narrow"/>
                <w:b/>
                <w:szCs w:val="24"/>
              </w:rPr>
            </w:pPr>
            <w:r w:rsidRPr="00B503AD">
              <w:rPr>
                <w:rFonts w:ascii="Arial Narrow" w:eastAsia="Calibri" w:hAnsi="Arial Narrow"/>
                <w:szCs w:val="24"/>
              </w:rPr>
              <w:t>HR (95% CI)</w:t>
            </w:r>
          </w:p>
          <w:p w14:paraId="5D38CE16"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p-value</w:t>
            </w:r>
          </w:p>
        </w:tc>
        <w:tc>
          <w:tcPr>
            <w:tcW w:w="2312" w:type="dxa"/>
            <w:gridSpan w:val="2"/>
            <w:tcBorders>
              <w:top w:val="single" w:sz="4" w:space="0" w:color="000000"/>
              <w:left w:val="single" w:sz="4" w:space="0" w:color="000000"/>
              <w:bottom w:val="single" w:sz="4" w:space="0" w:color="000000"/>
              <w:right w:val="single" w:sz="4" w:space="0" w:color="000000"/>
            </w:tcBorders>
            <w:vAlign w:val="center"/>
            <w:hideMark/>
          </w:tcPr>
          <w:p w14:paraId="6747169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0.66 (0.50, 0.88)</w:t>
            </w:r>
          </w:p>
          <w:p w14:paraId="2D3A1DE2"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0.0018</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2999331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0.75 (0.62, 0.91)</w:t>
            </w:r>
          </w:p>
          <w:p w14:paraId="7549672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0.0016</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1C06F15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0.82 (0.70, 0.98)</w:t>
            </w:r>
          </w:p>
          <w:p w14:paraId="5164D2C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0.0120</w:t>
            </w:r>
          </w:p>
        </w:tc>
      </w:tr>
      <w:tr w:rsidR="00B503AD" w:rsidRPr="00B503AD" w14:paraId="20F9F742"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6ED5B66D"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Rate (%) at 12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7C4533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 xml:space="preserve">39.1 </w:t>
            </w:r>
          </w:p>
          <w:p w14:paraId="61B8E96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(32.0, 46.1)</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DDEE36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 xml:space="preserve">23.0 </w:t>
            </w:r>
          </w:p>
          <w:p w14:paraId="3AC65E67"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(14.7, 32.3)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67205E8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 xml:space="preserve">31.7 </w:t>
            </w:r>
          </w:p>
          <w:p w14:paraId="5FD8057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(26.8, 36.6)</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D576413"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 xml:space="preserve">19.4 </w:t>
            </w:r>
          </w:p>
          <w:p w14:paraId="1CA71AA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(13.8, 25.9)</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51B7165E"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 xml:space="preserve">29.3 </w:t>
            </w:r>
          </w:p>
          <w:p w14:paraId="77E204D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(25.2, 33.5)</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34E08D23"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 xml:space="preserve">20.8 </w:t>
            </w:r>
          </w:p>
          <w:p w14:paraId="25935A3F"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(15.6, 26.4)</w:t>
            </w:r>
          </w:p>
        </w:tc>
      </w:tr>
      <w:tr w:rsidR="00B503AD" w:rsidRPr="00B503AD" w14:paraId="08631AE6" w14:textId="77777777" w:rsidTr="00B503AD">
        <w:tc>
          <w:tcPr>
            <w:tcW w:w="9017" w:type="dxa"/>
            <w:gridSpan w:val="7"/>
            <w:tcBorders>
              <w:top w:val="single" w:sz="4" w:space="0" w:color="000000"/>
              <w:left w:val="single" w:sz="4" w:space="0" w:color="000000"/>
              <w:bottom w:val="single" w:sz="4" w:space="0" w:color="000000"/>
              <w:right w:val="single" w:sz="4" w:space="0" w:color="000000"/>
            </w:tcBorders>
            <w:vAlign w:val="center"/>
            <w:hideMark/>
          </w:tcPr>
          <w:p w14:paraId="308F66AF" w14:textId="77777777" w:rsidR="00B503AD" w:rsidRPr="00B503AD" w:rsidRDefault="00B503AD" w:rsidP="00B503AD">
            <w:pPr>
              <w:keepNext/>
              <w:keepLines/>
              <w:snapToGrid w:val="0"/>
              <w:spacing w:before="0"/>
              <w:rPr>
                <w:rFonts w:ascii="Arial Narrow" w:eastAsia="Calibri" w:hAnsi="Arial Narrow"/>
                <w:b/>
                <w:bCs/>
                <w:szCs w:val="24"/>
              </w:rPr>
            </w:pPr>
            <w:r w:rsidRPr="00B503AD">
              <w:rPr>
                <w:rFonts w:ascii="Arial Narrow" w:eastAsia="Calibri" w:hAnsi="Arial Narrow"/>
                <w:b/>
                <w:bCs/>
                <w:szCs w:val="24"/>
              </w:rPr>
              <w:t>OS (Final Analysis)</w:t>
            </w:r>
          </w:p>
        </w:tc>
      </w:tr>
      <w:tr w:rsidR="00B503AD" w:rsidRPr="00B503AD" w14:paraId="73256970"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5D0B9C6E"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Events (%)</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217D0E9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lang w:val="en-US"/>
              </w:rPr>
              <w:t>155 (70.5)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55A67107"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lang w:val="en-US"/>
              </w:rPr>
              <w:t>84 (81.6)</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6D4B0B22"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336 (79.1)</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2F6FF4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177 (83.9)</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8AC1E3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460 (81.3)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4E10BCB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238 (84.7)</w:t>
            </w:r>
          </w:p>
        </w:tc>
      </w:tr>
      <w:tr w:rsidR="00B503AD" w:rsidRPr="00B503AD" w14:paraId="11D5933F"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7D4AD22A"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Median,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A6D856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23.0</w:t>
            </w:r>
          </w:p>
          <w:p w14:paraId="16A47D4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(19.0, 26.3)</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F675FC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16.1</w:t>
            </w:r>
          </w:p>
          <w:p w14:paraId="7BD2B56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(12.6, 18.8)</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5D86154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17.6</w:t>
            </w:r>
          </w:p>
          <w:p w14:paraId="7BEAE4C9"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(15.5, 19.5)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D57E25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16.0</w:t>
            </w:r>
          </w:p>
          <w:p w14:paraId="2F93E0A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(12.8, 17.4)</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571D480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17.2</w:t>
            </w:r>
          </w:p>
          <w:p w14:paraId="1961B9BF"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(15.3, 19.0)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551F8F8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15.5</w:t>
            </w:r>
          </w:p>
          <w:p w14:paraId="36D12DC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(13.9, 17.2)</w:t>
            </w:r>
          </w:p>
        </w:tc>
      </w:tr>
      <w:tr w:rsidR="00B503AD" w:rsidRPr="00B503AD" w14:paraId="7936421B"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497E7F99"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HR (95% CI) p-value</w:t>
            </w:r>
          </w:p>
        </w:tc>
        <w:tc>
          <w:tcPr>
            <w:tcW w:w="2312" w:type="dxa"/>
            <w:gridSpan w:val="2"/>
            <w:tcBorders>
              <w:top w:val="single" w:sz="4" w:space="0" w:color="000000"/>
              <w:left w:val="single" w:sz="4" w:space="0" w:color="000000"/>
              <w:bottom w:val="single" w:sz="4" w:space="0" w:color="000000"/>
              <w:right w:val="single" w:sz="4" w:space="0" w:color="000000"/>
            </w:tcBorders>
            <w:vAlign w:val="center"/>
            <w:hideMark/>
          </w:tcPr>
          <w:p w14:paraId="14F1F4C4" w14:textId="77777777" w:rsidR="00B503AD" w:rsidRPr="00B503AD" w:rsidRDefault="00B503AD" w:rsidP="00B503AD">
            <w:pPr>
              <w:keepNext/>
              <w:keepLines/>
              <w:snapToGrid w:val="0"/>
              <w:spacing w:before="0"/>
              <w:jc w:val="center"/>
              <w:rPr>
                <w:rFonts w:ascii="Arial Narrow" w:eastAsia="Calibri" w:hAnsi="Arial Narrow"/>
                <w:b/>
                <w:szCs w:val="24"/>
              </w:rPr>
            </w:pPr>
            <w:r w:rsidRPr="00B503AD">
              <w:rPr>
                <w:rFonts w:ascii="Arial Narrow" w:eastAsia="Calibri" w:hAnsi="Arial Narrow"/>
                <w:b/>
                <w:szCs w:val="24"/>
              </w:rPr>
              <w:t>0.73 (0.55, 0.95)</w:t>
            </w:r>
          </w:p>
          <w:p w14:paraId="2147B110"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b/>
                <w:szCs w:val="24"/>
              </w:rPr>
              <w:t>0.0093</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56606C95"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0.86 (0.72, 1.04)</w:t>
            </w:r>
          </w:p>
          <w:p w14:paraId="4C326BB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0.0563</w:t>
            </w:r>
          </w:p>
        </w:tc>
        <w:tc>
          <w:tcPr>
            <w:tcW w:w="2313" w:type="dxa"/>
            <w:gridSpan w:val="2"/>
            <w:tcBorders>
              <w:top w:val="single" w:sz="4" w:space="0" w:color="000000"/>
              <w:left w:val="single" w:sz="4" w:space="0" w:color="000000"/>
              <w:bottom w:val="single" w:sz="4" w:space="0" w:color="000000"/>
              <w:right w:val="single" w:sz="4" w:space="0" w:color="000000"/>
            </w:tcBorders>
            <w:vAlign w:val="center"/>
            <w:hideMark/>
          </w:tcPr>
          <w:p w14:paraId="455A3DC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0.89 (0.76, 1.05)</w:t>
            </w:r>
          </w:p>
          <w:p w14:paraId="32015C1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0.0797 (nominal)</w:t>
            </w:r>
          </w:p>
        </w:tc>
      </w:tr>
      <w:tr w:rsidR="00B503AD" w:rsidRPr="00B503AD" w14:paraId="5054FD31"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3192F3A8"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Rate (%) at 6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D9A3298"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89 (84, 92)</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F93E4C2"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88 (80, 93)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77BBC3E9"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87 (83, 90)</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957AEE3"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89 (84, 93)</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3DD3460"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86 (83, 89)</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482F0EB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88 (93, 91)</w:t>
            </w:r>
          </w:p>
        </w:tc>
      </w:tr>
      <w:tr w:rsidR="00B503AD" w:rsidRPr="00B503AD" w14:paraId="7A9B43EE"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678211CC"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Rate (%) at 12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3F1A684"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71 (64, 76)</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88DBC8A"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64 (54, 73)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2086E8E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64 (60, 69)</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2A0C50B"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63 (56, 70)</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CB437E0"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65 (60, 68)</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48D05009"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62 (56, 68)</w:t>
            </w:r>
          </w:p>
        </w:tc>
      </w:tr>
      <w:tr w:rsidR="00B503AD" w:rsidRPr="00B503AD" w14:paraId="26AB0CBF"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3189F96C"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Rate (%) at 18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153276BC"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58 (51, 65)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C01BD3F"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45 (35, 54)</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79C6078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48 (44, 53)</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D1AD61A"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41 (35, 48)</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49946F33"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48 (44, 52)</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5E7AC381"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42 (36, 48)</w:t>
            </w:r>
          </w:p>
        </w:tc>
      </w:tr>
      <w:tr w:rsidR="00B503AD" w:rsidRPr="00B503AD" w14:paraId="461C7B92" w14:textId="77777777" w:rsidTr="00B503AD">
        <w:tc>
          <w:tcPr>
            <w:tcW w:w="2079" w:type="dxa"/>
            <w:tcBorders>
              <w:top w:val="single" w:sz="4" w:space="0" w:color="000000"/>
              <w:left w:val="single" w:sz="4" w:space="0" w:color="000000"/>
              <w:bottom w:val="single" w:sz="4" w:space="0" w:color="000000"/>
              <w:right w:val="single" w:sz="4" w:space="0" w:color="000000"/>
            </w:tcBorders>
            <w:vAlign w:val="center"/>
            <w:hideMark/>
          </w:tcPr>
          <w:p w14:paraId="0B14CFE9" w14:textId="77777777" w:rsidR="00B503AD" w:rsidRPr="00B503AD" w:rsidRDefault="00B503AD" w:rsidP="00B503AD">
            <w:pPr>
              <w:keepNext/>
              <w:keepLines/>
              <w:snapToGrid w:val="0"/>
              <w:spacing w:before="0"/>
              <w:rPr>
                <w:rFonts w:ascii="Arial Narrow" w:eastAsia="Calibri" w:hAnsi="Arial Narrow"/>
                <w:szCs w:val="24"/>
              </w:rPr>
            </w:pPr>
            <w:r w:rsidRPr="00B503AD">
              <w:rPr>
                <w:rFonts w:ascii="Arial Narrow" w:eastAsia="Calibri" w:hAnsi="Arial Narrow"/>
                <w:szCs w:val="24"/>
              </w:rPr>
              <w:t>Rate (%) at 24 months (95% CI)</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878CCED"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48 (41, 55)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0D5A6B2E"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34 (25, 43)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60CE775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38 (33, 42)</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6BC4FDD9"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30 (24, 36)</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7F4B6557"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36 (32, 40)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0A7BB006" w14:textId="77777777" w:rsidR="00B503AD" w:rsidRPr="00B503AD" w:rsidRDefault="00B503AD" w:rsidP="00B503AD">
            <w:pPr>
              <w:keepNext/>
              <w:keepLines/>
              <w:snapToGrid w:val="0"/>
              <w:spacing w:before="0"/>
              <w:jc w:val="center"/>
              <w:rPr>
                <w:rFonts w:ascii="Arial Narrow" w:eastAsia="Calibri" w:hAnsi="Arial Narrow"/>
                <w:szCs w:val="24"/>
              </w:rPr>
            </w:pPr>
            <w:r w:rsidRPr="00B503AD">
              <w:rPr>
                <w:rFonts w:ascii="Arial Narrow" w:eastAsia="Calibri" w:hAnsi="Arial Narrow"/>
                <w:szCs w:val="24"/>
              </w:rPr>
              <w:t>30 (25, 36)</w:t>
            </w:r>
          </w:p>
        </w:tc>
      </w:tr>
    </w:tbl>
    <w:p w14:paraId="4DBD5C04" w14:textId="2891931D" w:rsidR="00B503AD" w:rsidRPr="00B503AD" w:rsidRDefault="00B503AD" w:rsidP="00B503AD">
      <w:pPr>
        <w:keepNext/>
        <w:keepLine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rPr>
        <w:t xml:space="preserve">Source: Table 2.5-3, pp43-44 and Table 2.5-4, p48 of the submission. </w:t>
      </w:r>
    </w:p>
    <w:p w14:paraId="747FE655" w14:textId="77777777" w:rsidR="00B503AD" w:rsidRPr="00B503AD" w:rsidRDefault="00B503AD" w:rsidP="00B503AD">
      <w:pPr>
        <w:keepNext/>
        <w:keepLine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rPr>
        <w:t>CI = confidence interval; CPS = combined positive score; FA = final analysis HR = hazard ratio; IA2 = interim analysis 2; ITT = intention to treat; OS = overall survival; PFS = progression free survival</w:t>
      </w:r>
    </w:p>
    <w:p w14:paraId="69B445C2" w14:textId="77777777" w:rsidR="00B503AD" w:rsidRPr="00B503AD" w:rsidRDefault="00B503AD" w:rsidP="00B503AD">
      <w:pPr>
        <w:keepNext/>
        <w:keepLines/>
        <w:snapToGrid w:val="0"/>
        <w:spacing w:before="0" w:after="120" w:line="240" w:lineRule="auto"/>
        <w:ind w:left="142" w:hanging="142"/>
        <w:contextualSpacing/>
        <w:rPr>
          <w:rFonts w:ascii="Arial Narrow" w:eastAsia="Calibri" w:hAnsi="Arial Narrow" w:cs="Times New Roman"/>
          <w:sz w:val="18"/>
        </w:rPr>
      </w:pPr>
      <w:r w:rsidRPr="00B503AD">
        <w:rPr>
          <w:rFonts w:ascii="Arial Narrow" w:eastAsia="Calibri" w:hAnsi="Arial Narrow" w:cs="Times New Roman"/>
          <w:sz w:val="18"/>
          <w:vertAlign w:val="superscript"/>
        </w:rPr>
        <w:t>a</w:t>
      </w:r>
      <w:r w:rsidRPr="00B503AD">
        <w:rPr>
          <w:rFonts w:ascii="Arial Narrow" w:eastAsia="Calibri" w:hAnsi="Arial Narrow" w:cs="Times New Roman"/>
          <w:sz w:val="18"/>
        </w:rPr>
        <w:tab/>
        <w:t>At IA2, KEYNOTE-355 met the success criterion for the primary hypothesis of PFS in participants with PD-L1 positive tumours (CPS ≥10). As per the Statistical Analysis Plan, the analyses performed at IA2 were the final pre-specified analyses for PFS and the PFS results at the final analysis were only provided with nominal p-values</w:t>
      </w:r>
    </w:p>
    <w:p w14:paraId="43E51F7C" w14:textId="77777777" w:rsidR="00B503AD" w:rsidRPr="00B503AD" w:rsidRDefault="00B503AD" w:rsidP="0064030F">
      <w:pPr>
        <w:keepNext/>
        <w:keepLines/>
        <w:snapToGrid w:val="0"/>
        <w:spacing w:before="0" w:after="240" w:line="240" w:lineRule="auto"/>
        <w:rPr>
          <w:rFonts w:ascii="Arial Narrow" w:eastAsia="Calibri" w:hAnsi="Arial Narrow" w:cs="Times New Roman"/>
          <w:sz w:val="18"/>
        </w:rPr>
      </w:pPr>
      <w:r w:rsidRPr="00B503AD">
        <w:rPr>
          <w:rFonts w:ascii="Arial Narrow" w:eastAsia="Calibri" w:hAnsi="Arial Narrow" w:cs="Times New Roman"/>
          <w:sz w:val="18"/>
        </w:rPr>
        <w:t>Text in bold indicate statistically significant differences</w:t>
      </w:r>
    </w:p>
    <w:p w14:paraId="14B5211F" w14:textId="2059F1CE" w:rsidR="00B503AD" w:rsidRPr="00B503AD" w:rsidRDefault="00B503AD" w:rsidP="0064030F">
      <w:pPr>
        <w:spacing w:before="240"/>
        <w:rPr>
          <w:lang w:val="en-US"/>
        </w:rPr>
      </w:pPr>
      <w:r w:rsidRPr="00B503AD">
        <w:rPr>
          <w:lang w:val="en-US"/>
        </w:rPr>
        <w:t xml:space="preserve">The </w:t>
      </w:r>
      <w:r>
        <w:rPr>
          <w:lang w:val="en-US"/>
        </w:rPr>
        <w:t xml:space="preserve">PBAC </w:t>
      </w:r>
      <w:r w:rsidRPr="00B503AD">
        <w:rPr>
          <w:lang w:val="en-US"/>
        </w:rPr>
        <w:t>submission stated that KN-355 met its primary endpoint of OS in the CPS ≥10 subgroup</w:t>
      </w:r>
      <w:r>
        <w:rPr>
          <w:lang w:val="en-US"/>
        </w:rPr>
        <w:t xml:space="preserve"> </w:t>
      </w:r>
      <w:r w:rsidRPr="00B503AD">
        <w:rPr>
          <w:lang w:val="en-US"/>
        </w:rPr>
        <w:t xml:space="preserve">since the prespecified p-value boundary of 0.01311 was met. </w:t>
      </w:r>
      <w:r w:rsidR="00B76E84" w:rsidRPr="00B503AD">
        <w:rPr>
          <w:lang w:val="en-US"/>
        </w:rPr>
        <w:t>The OS p-value (0.0093) was close to the pre-specified p-value boundary of 0.01311 and the point estimate of OS HR for CPS ≥10 in KN-355 (OS HR = 0.73) was close to the approximated minimally clinically important difference (MCID) (MCID OS HR ~ 0.72). Based purely on these statistical considerations, the trial met its primary endpoint of OS at CPS ≥10. However, given that this was contingent on an important protocol change after the first interim results were completed,</w:t>
      </w:r>
      <w:r w:rsidR="00B76E84">
        <w:rPr>
          <w:lang w:val="en-US"/>
        </w:rPr>
        <w:t xml:space="preserve"> the PBAC ESC advice considered that</w:t>
      </w:r>
      <w:r w:rsidR="00B76E84" w:rsidRPr="00B503AD">
        <w:rPr>
          <w:lang w:val="en-US"/>
        </w:rPr>
        <w:t xml:space="preserve"> there was still a risk of bias despite the change in the multiplicity strategy. </w:t>
      </w:r>
    </w:p>
    <w:p w14:paraId="053F52A6" w14:textId="350732DE" w:rsidR="00B503AD" w:rsidRDefault="00B503AD" w:rsidP="000064E4">
      <w:pPr>
        <w:rPr>
          <w:lang w:val="en-US"/>
        </w:rPr>
      </w:pPr>
      <w:r w:rsidRPr="00B503AD">
        <w:rPr>
          <w:lang w:val="en-US"/>
        </w:rPr>
        <w:t xml:space="preserve">The </w:t>
      </w:r>
      <w:r w:rsidR="00B76E84">
        <w:rPr>
          <w:lang w:val="en-US"/>
        </w:rPr>
        <w:t xml:space="preserve">PBAC </w:t>
      </w:r>
      <w:r w:rsidRPr="00B503AD">
        <w:rPr>
          <w:lang w:val="en-US"/>
        </w:rPr>
        <w:t xml:space="preserve">submission also considered that the median OS in the patients with CPS ≥10 who were randomised to pembrolizumab + chemotherapy was almost seven months longer than for those patients randomised to placebo + chemotherapy (median OS pembrolizumab + chemotherapy: 23.0 months; placebo + chemotherapy: 16.1 months). </w:t>
      </w:r>
    </w:p>
    <w:p w14:paraId="3C9F8D32" w14:textId="0F77427A" w:rsidR="00B76E84" w:rsidRPr="00B503AD" w:rsidRDefault="00B503AD" w:rsidP="000064E4">
      <w:pPr>
        <w:rPr>
          <w:lang w:val="en-US"/>
        </w:rPr>
      </w:pPr>
      <w:r w:rsidRPr="00B503AD">
        <w:rPr>
          <w:lang w:val="en-US"/>
        </w:rPr>
        <w:t xml:space="preserve">In the CPS ≥1 subgroup and the ITT population, the upper 95% CI of the OS HR exceeded 1, and the (nominal) p-values for both groups exceeded 0.05. Therefore, it was likely that, without the protocol amendment to change the ordering of statistical testing of primary outcome such that the CPS ≥10 subgroup was first tested, the OS results from KN-355 would not have been statistically significant. </w:t>
      </w:r>
    </w:p>
    <w:p w14:paraId="736CD953" w14:textId="536CDA83" w:rsidR="00B503AD" w:rsidRPr="00B503AD" w:rsidRDefault="00B503AD" w:rsidP="000064E4">
      <w:pPr>
        <w:rPr>
          <w:lang w:val="en-US"/>
        </w:rPr>
      </w:pPr>
      <w:r w:rsidRPr="00B503AD">
        <w:rPr>
          <w:lang w:val="en-US"/>
        </w:rPr>
        <w:fldChar w:fldCharType="begin"/>
      </w:r>
      <w:r w:rsidRPr="00B503AD">
        <w:rPr>
          <w:lang w:val="en-US"/>
        </w:rPr>
        <w:instrText xml:space="preserve"> REF _Ref123750132 \h  \* MERGEFORMAT </w:instrText>
      </w:r>
      <w:r w:rsidRPr="00B503AD">
        <w:rPr>
          <w:lang w:val="en-US"/>
        </w:rPr>
      </w:r>
      <w:r w:rsidRPr="00B503AD">
        <w:rPr>
          <w:lang w:val="en-US"/>
        </w:rPr>
        <w:fldChar w:fldCharType="separate"/>
      </w:r>
      <w:r w:rsidR="000E4BEF" w:rsidRPr="00443E6B">
        <w:rPr>
          <w:lang w:val="en-US"/>
        </w:rPr>
        <w:t>Figure</w:t>
      </w:r>
      <w:r w:rsidR="000E4BEF" w:rsidRPr="00443E6B">
        <w:rPr>
          <w:rFonts w:eastAsia="MS Gothic"/>
          <w:lang w:val="en-US"/>
        </w:rPr>
        <w:t xml:space="preserve"> </w:t>
      </w:r>
      <w:r w:rsidR="000E4BEF" w:rsidRPr="00443E6B">
        <w:rPr>
          <w:lang w:val="en-US"/>
        </w:rPr>
        <w:t>1</w:t>
      </w:r>
      <w:r w:rsidRPr="00B503AD">
        <w:rPr>
          <w:lang w:val="en-US"/>
        </w:rPr>
        <w:fldChar w:fldCharType="end"/>
      </w:r>
      <w:r w:rsidRPr="00B503AD">
        <w:rPr>
          <w:lang w:val="en-US"/>
        </w:rPr>
        <w:t xml:space="preserve"> presents the Kaplan Meier curves for OS in patients with CPS ≥10 in KN-355.</w:t>
      </w:r>
    </w:p>
    <w:p w14:paraId="6B50F8FC" w14:textId="3AFA3760" w:rsidR="00B503AD" w:rsidRPr="00B503AD" w:rsidRDefault="00B503AD" w:rsidP="00B76E84">
      <w:pPr>
        <w:pStyle w:val="TableHeading0"/>
      </w:pPr>
      <w:bookmarkStart w:id="18" w:name="_Ref123750132"/>
      <w:r w:rsidRPr="00B503AD">
        <w:rPr>
          <w:szCs w:val="16"/>
        </w:rPr>
        <w:t xml:space="preserve">Figure </w:t>
      </w:r>
      <w:r w:rsidRPr="00B503AD">
        <w:fldChar w:fldCharType="begin"/>
      </w:r>
      <w:r w:rsidRPr="00B503AD">
        <w:rPr>
          <w:szCs w:val="16"/>
        </w:rPr>
        <w:instrText xml:space="preserve"> SEQ Figure \* ARABIC </w:instrText>
      </w:r>
      <w:r w:rsidRPr="00B503AD">
        <w:fldChar w:fldCharType="separate"/>
      </w:r>
      <w:r w:rsidR="000E4BEF">
        <w:rPr>
          <w:noProof/>
          <w:szCs w:val="16"/>
        </w:rPr>
        <w:t>1</w:t>
      </w:r>
      <w:r w:rsidRPr="00B503AD">
        <w:fldChar w:fldCharType="end"/>
      </w:r>
      <w:bookmarkEnd w:id="18"/>
      <w:r w:rsidRPr="00B503AD">
        <w:rPr>
          <w:szCs w:val="16"/>
        </w:rPr>
        <w:t xml:space="preserve">: </w:t>
      </w:r>
      <w:r w:rsidRPr="00B503AD">
        <w:t>Kaplan Meier curves for OS in patients with CPS ≥ 10, final analysisKN-355</w:t>
      </w:r>
    </w:p>
    <w:p w14:paraId="1C6CC02E" w14:textId="77777777" w:rsidR="00B503AD" w:rsidRPr="00B503AD" w:rsidRDefault="00B503AD" w:rsidP="00B503AD">
      <w:pPr>
        <w:spacing w:before="0" w:after="0" w:line="240" w:lineRule="auto"/>
        <w:jc w:val="center"/>
        <w:rPr>
          <w:rFonts w:ascii="Calibri" w:eastAsia="Times New Roman" w:hAnsi="Calibri" w:cs="Times New Roman"/>
          <w:sz w:val="24"/>
          <w:szCs w:val="24"/>
        </w:rPr>
      </w:pPr>
      <w:r w:rsidRPr="00B503AD">
        <w:rPr>
          <w:rFonts w:ascii="Calibri" w:eastAsia="Times New Roman" w:hAnsi="Calibri" w:cs="Times New Roman"/>
          <w:noProof/>
          <w:sz w:val="24"/>
          <w:szCs w:val="24"/>
          <w:lang w:eastAsia="en-AU"/>
        </w:rPr>
        <w:drawing>
          <wp:inline distT="0" distB="0" distL="0" distR="0" wp14:anchorId="0794AE26" wp14:editId="7E6D6F82">
            <wp:extent cx="5727700" cy="2959100"/>
            <wp:effectExtent l="0" t="0" r="6350" b="0"/>
            <wp:docPr id="13" name="Picture 6" descr="Kaplan Meier curves for OS in patients with CPS ≥ 10, final analysisKN-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Kaplan Meier curves for OS in patients with CPS ≥ 10, final analysisKN-3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959100"/>
                    </a:xfrm>
                    <a:prstGeom prst="rect">
                      <a:avLst/>
                    </a:prstGeom>
                    <a:noFill/>
                    <a:ln>
                      <a:noFill/>
                    </a:ln>
                  </pic:spPr>
                </pic:pic>
              </a:graphicData>
            </a:graphic>
          </wp:inline>
        </w:drawing>
      </w:r>
    </w:p>
    <w:p w14:paraId="13155617" w14:textId="00A078E0" w:rsidR="00B503AD" w:rsidRPr="00B503AD" w:rsidRDefault="00B503AD" w:rsidP="0064030F">
      <w:pPr>
        <w:snapToGrid w:val="0"/>
        <w:spacing w:before="0" w:after="240" w:line="240" w:lineRule="auto"/>
        <w:rPr>
          <w:rFonts w:ascii="Arial Narrow" w:eastAsia="Calibri" w:hAnsi="Arial Narrow" w:cs="Times New Roman"/>
          <w:sz w:val="18"/>
        </w:rPr>
      </w:pPr>
      <w:r w:rsidRPr="00B503AD">
        <w:rPr>
          <w:rFonts w:ascii="Arial Narrow" w:eastAsia="Calibri" w:hAnsi="Arial Narrow" w:cs="Times New Roman"/>
          <w:sz w:val="18"/>
        </w:rPr>
        <w:t xml:space="preserve">Source: Figure 2.5.1, 45 of the </w:t>
      </w:r>
      <w:r w:rsidR="00B76E84">
        <w:rPr>
          <w:rFonts w:ascii="Arial Narrow" w:eastAsia="Calibri" w:hAnsi="Arial Narrow" w:cs="Times New Roman"/>
          <w:sz w:val="18"/>
        </w:rPr>
        <w:t xml:space="preserve">PBAC </w:t>
      </w:r>
      <w:r w:rsidRPr="00B503AD">
        <w:rPr>
          <w:rFonts w:ascii="Arial Narrow" w:eastAsia="Calibri" w:hAnsi="Arial Narrow" w:cs="Times New Roman"/>
          <w:sz w:val="18"/>
        </w:rPr>
        <w:t>submission</w:t>
      </w:r>
    </w:p>
    <w:p w14:paraId="75B4AEDB" w14:textId="1207B719" w:rsidR="00B503AD" w:rsidRPr="00151E5F" w:rsidRDefault="00B503AD" w:rsidP="0064030F">
      <w:pPr>
        <w:numPr>
          <w:ilvl w:val="1"/>
          <w:numId w:val="0"/>
        </w:numPr>
        <w:spacing w:after="240" w:line="240" w:lineRule="auto"/>
        <w:jc w:val="both"/>
        <w:rPr>
          <w:rFonts w:eastAsia="Calibri" w:cs="Calibri"/>
          <w:lang w:val="en-US"/>
        </w:rPr>
      </w:pPr>
      <w:r w:rsidRPr="00151E5F">
        <w:rPr>
          <w:rFonts w:eastAsia="Calibri" w:cs="Calibri"/>
          <w:lang w:val="en-US"/>
        </w:rPr>
        <w:fldChar w:fldCharType="begin"/>
      </w:r>
      <w:r w:rsidRPr="00151E5F">
        <w:rPr>
          <w:rFonts w:eastAsia="Calibri" w:cs="Calibri"/>
          <w:lang w:val="en-US"/>
        </w:rPr>
        <w:instrText xml:space="preserve"> REF _Ref124711364 \h  \* MERGEFORMAT </w:instrText>
      </w:r>
      <w:r w:rsidRPr="00151E5F">
        <w:rPr>
          <w:rFonts w:eastAsia="Calibri" w:cs="Calibri"/>
          <w:lang w:val="en-US"/>
        </w:rPr>
      </w:r>
      <w:r w:rsidRPr="00151E5F">
        <w:rPr>
          <w:rFonts w:eastAsia="Calibri" w:cs="Calibri"/>
          <w:lang w:val="en-US"/>
        </w:rPr>
        <w:fldChar w:fldCharType="separate"/>
      </w:r>
      <w:r w:rsidR="000E4BEF" w:rsidRPr="00443E6B">
        <w:rPr>
          <w:rFonts w:eastAsia="Calibri" w:cs="Calibri"/>
          <w:lang w:val="en-US"/>
        </w:rPr>
        <w:t>Figure 2</w:t>
      </w:r>
      <w:r w:rsidRPr="00151E5F">
        <w:rPr>
          <w:rFonts w:eastAsia="Calibri" w:cs="Calibri"/>
          <w:lang w:val="en-US"/>
        </w:rPr>
        <w:fldChar w:fldCharType="end"/>
      </w:r>
      <w:r w:rsidRPr="00151E5F">
        <w:rPr>
          <w:rFonts w:eastAsia="Calibri" w:cs="Calibri"/>
          <w:lang w:val="en-US"/>
        </w:rPr>
        <w:t xml:space="preserve"> presents the Kaplan Meier curves for OS in the ITT population in KN-355.</w:t>
      </w:r>
    </w:p>
    <w:p w14:paraId="2FA50F8E" w14:textId="7BE0FE1B" w:rsidR="00B503AD" w:rsidRPr="00B503AD" w:rsidRDefault="00B503AD" w:rsidP="00B76E84">
      <w:pPr>
        <w:pStyle w:val="TableHeading0"/>
        <w:keepNext/>
      </w:pPr>
      <w:bookmarkStart w:id="19" w:name="_Ref124711364"/>
      <w:r w:rsidRPr="00B503AD">
        <w:rPr>
          <w:szCs w:val="16"/>
        </w:rPr>
        <w:t xml:space="preserve">Figure </w:t>
      </w:r>
      <w:r w:rsidRPr="00B503AD">
        <w:fldChar w:fldCharType="begin"/>
      </w:r>
      <w:r w:rsidRPr="00B503AD">
        <w:rPr>
          <w:szCs w:val="16"/>
        </w:rPr>
        <w:instrText xml:space="preserve"> SEQ Figure \* ARABIC </w:instrText>
      </w:r>
      <w:r w:rsidRPr="00B503AD">
        <w:fldChar w:fldCharType="separate"/>
      </w:r>
      <w:r w:rsidR="000E4BEF">
        <w:rPr>
          <w:noProof/>
          <w:szCs w:val="16"/>
        </w:rPr>
        <w:t>2</w:t>
      </w:r>
      <w:r w:rsidRPr="00B503AD">
        <w:fldChar w:fldCharType="end"/>
      </w:r>
      <w:bookmarkEnd w:id="19"/>
      <w:r w:rsidRPr="00B503AD">
        <w:rPr>
          <w:szCs w:val="16"/>
        </w:rPr>
        <w:t xml:space="preserve">: </w:t>
      </w:r>
      <w:r w:rsidR="00CF085E" w:rsidRPr="00CF085E">
        <w:t xml:space="preserve">KM Curve </w:t>
      </w:r>
      <w:r w:rsidRPr="00B503AD">
        <w:t>of overall survival for pembrolizumab + chemotherapy vs placebo + chemotherapy (all comers) (KN355)</w:t>
      </w:r>
    </w:p>
    <w:p w14:paraId="6A528822" w14:textId="77777777" w:rsidR="00B503AD" w:rsidRPr="00B503AD" w:rsidRDefault="00B503AD" w:rsidP="00B503AD">
      <w:pPr>
        <w:spacing w:before="0" w:after="0" w:line="240" w:lineRule="auto"/>
        <w:ind w:left="720" w:hanging="720"/>
        <w:contextualSpacing/>
        <w:rPr>
          <w:rFonts w:ascii="Calibri" w:eastAsia="Calibri" w:hAnsi="Calibri" w:cs="Calibri"/>
          <w:sz w:val="24"/>
          <w:szCs w:val="24"/>
          <w:lang w:val="en-US"/>
        </w:rPr>
      </w:pPr>
      <w:r w:rsidRPr="00B503AD">
        <w:rPr>
          <w:rFonts w:ascii="Calibri" w:eastAsia="Calibri" w:hAnsi="Calibri" w:cs="Calibri"/>
          <w:noProof/>
          <w:sz w:val="24"/>
          <w:szCs w:val="24"/>
          <w:lang w:eastAsia="en-AU"/>
        </w:rPr>
        <w:drawing>
          <wp:inline distT="0" distB="0" distL="0" distR="0" wp14:anchorId="38B72B25" wp14:editId="6D0D20EB">
            <wp:extent cx="5740400" cy="3079750"/>
            <wp:effectExtent l="0" t="0" r="0" b="6350"/>
            <wp:docPr id="14" name="Picture 1" descr="KM Curve of overall survival for pembrolizumab + chemotherapy vs placebo + chemotherapy (all comers) (KN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KM Curve of overall survival for pembrolizumab + chemotherapy vs placebo + chemotherapy (all comers) (KN3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0" cy="3079750"/>
                    </a:xfrm>
                    <a:prstGeom prst="rect">
                      <a:avLst/>
                    </a:prstGeom>
                    <a:noFill/>
                    <a:ln>
                      <a:noFill/>
                    </a:ln>
                  </pic:spPr>
                </pic:pic>
              </a:graphicData>
            </a:graphic>
          </wp:inline>
        </w:drawing>
      </w:r>
    </w:p>
    <w:p w14:paraId="0176B964" w14:textId="7818C5D3" w:rsidR="00B503AD" w:rsidRPr="00B503AD" w:rsidRDefault="00B503AD" w:rsidP="0064030F">
      <w:pPr>
        <w:spacing w:before="0" w:after="0" w:line="240" w:lineRule="auto"/>
        <w:ind w:left="720" w:hanging="720"/>
        <w:contextualSpacing/>
        <w:rPr>
          <w:rFonts w:ascii="Calibri" w:eastAsia="Calibri" w:hAnsi="Calibri" w:cs="Calibri"/>
          <w:sz w:val="24"/>
          <w:szCs w:val="24"/>
          <w:lang w:val="en-US"/>
        </w:rPr>
      </w:pPr>
      <w:r w:rsidRPr="00B503AD">
        <w:rPr>
          <w:rFonts w:ascii="Arial Narrow" w:eastAsia="Calibri" w:hAnsi="Arial Narrow" w:cs="Calibri"/>
          <w:sz w:val="18"/>
          <w:szCs w:val="24"/>
          <w:lang w:val="en-US"/>
        </w:rPr>
        <w:t xml:space="preserve">Source: Figure 2.5-3, p46 of the </w:t>
      </w:r>
      <w:r w:rsidR="00B76E84">
        <w:rPr>
          <w:rFonts w:ascii="Arial Narrow" w:eastAsia="Calibri" w:hAnsi="Arial Narrow" w:cs="Calibri"/>
          <w:sz w:val="18"/>
          <w:szCs w:val="24"/>
          <w:lang w:val="en-US"/>
        </w:rPr>
        <w:t xml:space="preserve">PBAC </w:t>
      </w:r>
      <w:r w:rsidRPr="00B503AD">
        <w:rPr>
          <w:rFonts w:ascii="Arial Narrow" w:eastAsia="Calibri" w:hAnsi="Arial Narrow" w:cs="Calibri"/>
          <w:sz w:val="18"/>
          <w:szCs w:val="24"/>
          <w:lang w:val="en-US"/>
        </w:rPr>
        <w:t>submission</w:t>
      </w:r>
      <w:r w:rsidRPr="00B503AD">
        <w:rPr>
          <w:rFonts w:ascii="Calibri" w:eastAsia="Calibri" w:hAnsi="Calibri" w:cs="Calibri"/>
          <w:sz w:val="24"/>
          <w:szCs w:val="24"/>
          <w:lang w:val="en-US"/>
        </w:rPr>
        <w:t>.</w:t>
      </w:r>
    </w:p>
    <w:p w14:paraId="64903E0A" w14:textId="4D07F5F3" w:rsidR="00B503AD" w:rsidRPr="00B503AD" w:rsidRDefault="00B503AD" w:rsidP="0064030F">
      <w:pPr>
        <w:spacing w:before="240"/>
        <w:rPr>
          <w:lang w:val="en-US"/>
        </w:rPr>
      </w:pPr>
      <w:r w:rsidRPr="00B503AD">
        <w:rPr>
          <w:lang w:val="en-US"/>
        </w:rPr>
        <w:t>The K</w:t>
      </w:r>
      <w:r w:rsidR="006A1C60">
        <w:rPr>
          <w:lang w:val="en-US"/>
        </w:rPr>
        <w:t xml:space="preserve">aplan </w:t>
      </w:r>
      <w:r w:rsidRPr="00B503AD">
        <w:rPr>
          <w:lang w:val="en-US"/>
        </w:rPr>
        <w:t>M</w:t>
      </w:r>
      <w:r w:rsidR="006A1C60">
        <w:rPr>
          <w:lang w:val="en-US"/>
        </w:rPr>
        <w:t>eier</w:t>
      </w:r>
      <w:r w:rsidRPr="00B503AD">
        <w:rPr>
          <w:lang w:val="en-US"/>
        </w:rPr>
        <w:t xml:space="preserve"> curves for PFS in patients with CPS ≥10 from the final analysis are presented in </w:t>
      </w:r>
      <w:r w:rsidRPr="00B503AD">
        <w:rPr>
          <w:lang w:val="en-US"/>
        </w:rPr>
        <w:fldChar w:fldCharType="begin"/>
      </w:r>
      <w:r w:rsidRPr="00B503AD">
        <w:rPr>
          <w:lang w:val="en-US"/>
        </w:rPr>
        <w:instrText xml:space="preserve"> REF _Ref123903873 \h  \* MERGEFORMAT </w:instrText>
      </w:r>
      <w:r w:rsidRPr="00B503AD">
        <w:rPr>
          <w:lang w:val="en-US"/>
        </w:rPr>
      </w:r>
      <w:r w:rsidRPr="00B503AD">
        <w:rPr>
          <w:lang w:val="en-US"/>
        </w:rPr>
        <w:fldChar w:fldCharType="separate"/>
      </w:r>
      <w:r w:rsidR="000E4BEF" w:rsidRPr="00443E6B">
        <w:rPr>
          <w:lang w:val="en-US"/>
        </w:rPr>
        <w:t>Figure 3</w:t>
      </w:r>
      <w:r w:rsidRPr="00B503AD">
        <w:rPr>
          <w:lang w:val="en-US"/>
        </w:rPr>
        <w:fldChar w:fldCharType="end"/>
      </w:r>
      <w:r w:rsidRPr="00B503AD">
        <w:rPr>
          <w:lang w:val="en-US"/>
        </w:rPr>
        <w:t xml:space="preserve">. </w:t>
      </w:r>
    </w:p>
    <w:p w14:paraId="0CA9029E" w14:textId="45E2E2AA" w:rsidR="00B503AD" w:rsidRPr="00B503AD" w:rsidRDefault="00B503AD" w:rsidP="0064030F">
      <w:pPr>
        <w:pStyle w:val="TableHeading0"/>
        <w:keepNext/>
        <w:keepLines/>
      </w:pPr>
      <w:bookmarkStart w:id="20" w:name="_Ref123903873"/>
      <w:r w:rsidRPr="00B503AD">
        <w:rPr>
          <w:szCs w:val="16"/>
        </w:rPr>
        <w:t xml:space="preserve">Figure </w:t>
      </w:r>
      <w:r w:rsidRPr="00B503AD">
        <w:fldChar w:fldCharType="begin"/>
      </w:r>
      <w:r w:rsidRPr="00B503AD">
        <w:rPr>
          <w:szCs w:val="16"/>
        </w:rPr>
        <w:instrText xml:space="preserve"> SEQ Figure \* ARABIC </w:instrText>
      </w:r>
      <w:r w:rsidRPr="00B503AD">
        <w:fldChar w:fldCharType="separate"/>
      </w:r>
      <w:r w:rsidR="000E4BEF">
        <w:rPr>
          <w:noProof/>
          <w:szCs w:val="16"/>
        </w:rPr>
        <w:t>3</w:t>
      </w:r>
      <w:r w:rsidRPr="00B503AD">
        <w:fldChar w:fldCharType="end"/>
      </w:r>
      <w:bookmarkEnd w:id="20"/>
      <w:r w:rsidRPr="00B503AD">
        <w:rPr>
          <w:szCs w:val="16"/>
        </w:rPr>
        <w:t xml:space="preserve">: </w:t>
      </w:r>
      <w:r w:rsidRPr="00B503AD">
        <w:t>KM Curve for PFS in patients with CPS ≥ 10, final analysis KN-355</w:t>
      </w:r>
    </w:p>
    <w:p w14:paraId="4AD619FA" w14:textId="77777777" w:rsidR="00B503AD" w:rsidRPr="00B503AD" w:rsidRDefault="00B503AD" w:rsidP="0064030F">
      <w:pPr>
        <w:keepNext/>
        <w:keepLines/>
        <w:spacing w:before="0" w:after="0" w:line="240" w:lineRule="auto"/>
        <w:rPr>
          <w:rFonts w:ascii="Calibri" w:eastAsia="Times New Roman" w:hAnsi="Calibri" w:cs="Times New Roman"/>
          <w:sz w:val="24"/>
          <w:szCs w:val="24"/>
        </w:rPr>
      </w:pPr>
      <w:r w:rsidRPr="00B503AD">
        <w:rPr>
          <w:rFonts w:ascii="Calibri" w:eastAsia="Times New Roman" w:hAnsi="Calibri" w:cs="Times New Roman"/>
          <w:noProof/>
          <w:sz w:val="24"/>
          <w:szCs w:val="24"/>
          <w:lang w:eastAsia="en-AU"/>
        </w:rPr>
        <w:drawing>
          <wp:inline distT="0" distB="0" distL="0" distR="0" wp14:anchorId="0171258F" wp14:editId="13302E84">
            <wp:extent cx="3632200" cy="3206750"/>
            <wp:effectExtent l="0" t="0" r="6350" b="0"/>
            <wp:docPr id="15" name="Picture 9" descr="KM Curve for PFS in patients with CPS ≥ 10, final analysis KN-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KM Curve for PFS in patients with CPS ≥ 10, final analysis KN-3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2200" cy="3206750"/>
                    </a:xfrm>
                    <a:prstGeom prst="rect">
                      <a:avLst/>
                    </a:prstGeom>
                    <a:noFill/>
                    <a:ln>
                      <a:noFill/>
                    </a:ln>
                  </pic:spPr>
                </pic:pic>
              </a:graphicData>
            </a:graphic>
          </wp:inline>
        </w:drawing>
      </w:r>
    </w:p>
    <w:p w14:paraId="12AF569A" w14:textId="4D7B4E4D" w:rsidR="00B503AD" w:rsidRDefault="00B503AD" w:rsidP="0064030F">
      <w:pPr>
        <w:snapToGrid w:val="0"/>
        <w:spacing w:before="0" w:after="240" w:line="240" w:lineRule="auto"/>
        <w:rPr>
          <w:rFonts w:ascii="Arial Narrow" w:eastAsia="Calibri" w:hAnsi="Arial Narrow" w:cs="Times New Roman"/>
          <w:sz w:val="18"/>
        </w:rPr>
      </w:pPr>
      <w:r w:rsidRPr="00B503AD">
        <w:rPr>
          <w:rFonts w:ascii="Arial Narrow" w:eastAsia="Calibri" w:hAnsi="Arial Narrow" w:cs="Times New Roman"/>
          <w:sz w:val="18"/>
        </w:rPr>
        <w:t>Source: Figure 2.5-5, p49 of the submission</w:t>
      </w:r>
    </w:p>
    <w:p w14:paraId="6B9A100F" w14:textId="45734A23" w:rsidR="00B503AD" w:rsidRPr="00B503AD" w:rsidRDefault="00B503AD" w:rsidP="0064030F">
      <w:pPr>
        <w:spacing w:before="240"/>
        <w:rPr>
          <w:lang w:val="en-US"/>
        </w:rPr>
      </w:pPr>
      <w:r w:rsidRPr="00B76E84">
        <w:fldChar w:fldCharType="begin"/>
      </w:r>
      <w:r w:rsidRPr="00B76E84">
        <w:instrText xml:space="preserve"> REF _Ref124521183 \h  \* MERGEFORMAT </w:instrText>
      </w:r>
      <w:r w:rsidRPr="00B76E84">
        <w:fldChar w:fldCharType="separate"/>
      </w:r>
      <w:r w:rsidR="000E4BEF" w:rsidRPr="00443E6B">
        <w:t>Figure 4</w:t>
      </w:r>
      <w:r w:rsidRPr="00B76E84">
        <w:fldChar w:fldCharType="end"/>
      </w:r>
      <w:r w:rsidRPr="00B503AD">
        <w:rPr>
          <w:lang w:val="en-US"/>
        </w:rPr>
        <w:t xml:space="preserve"> presents the Kaplan</w:t>
      </w:r>
      <w:r w:rsidR="006A1C60">
        <w:rPr>
          <w:lang w:val="en-US"/>
        </w:rPr>
        <w:t xml:space="preserve"> </w:t>
      </w:r>
      <w:r w:rsidRPr="00B503AD">
        <w:rPr>
          <w:lang w:val="en-US"/>
        </w:rPr>
        <w:t>Meier estimates of PFS in the ITT population at Final Analysis of KN 355.</w:t>
      </w:r>
    </w:p>
    <w:p w14:paraId="1066FF8C" w14:textId="729C0709" w:rsidR="00B503AD" w:rsidRPr="00B503AD" w:rsidRDefault="00B503AD" w:rsidP="00B76E84">
      <w:pPr>
        <w:pStyle w:val="TableHeading0"/>
        <w:keepNext/>
      </w:pPr>
      <w:bookmarkStart w:id="21" w:name="_Ref124521183"/>
      <w:r w:rsidRPr="00B503AD">
        <w:rPr>
          <w:szCs w:val="16"/>
        </w:rPr>
        <w:t xml:space="preserve">Figure </w:t>
      </w:r>
      <w:r w:rsidRPr="00B503AD">
        <w:fldChar w:fldCharType="begin"/>
      </w:r>
      <w:r w:rsidRPr="00B503AD">
        <w:rPr>
          <w:szCs w:val="16"/>
        </w:rPr>
        <w:instrText xml:space="preserve"> SEQ Figure \* ARABIC </w:instrText>
      </w:r>
      <w:r w:rsidRPr="00B503AD">
        <w:fldChar w:fldCharType="separate"/>
      </w:r>
      <w:r w:rsidR="000E4BEF">
        <w:rPr>
          <w:noProof/>
          <w:szCs w:val="16"/>
        </w:rPr>
        <w:t>4</w:t>
      </w:r>
      <w:r w:rsidRPr="00B503AD">
        <w:fldChar w:fldCharType="end"/>
      </w:r>
      <w:bookmarkEnd w:id="21"/>
      <w:r w:rsidRPr="00B503AD">
        <w:rPr>
          <w:szCs w:val="16"/>
        </w:rPr>
        <w:t xml:space="preserve">: </w:t>
      </w:r>
      <w:r w:rsidRPr="00B503AD">
        <w:t>Kaplan-Meier estimates of PFS in the ITT population at Final Analysis of KN 355</w:t>
      </w:r>
    </w:p>
    <w:p w14:paraId="5A664725" w14:textId="77777777" w:rsidR="00B503AD" w:rsidRPr="00B503AD" w:rsidRDefault="00B503AD" w:rsidP="00B503AD">
      <w:pPr>
        <w:spacing w:before="0" w:after="0" w:line="240" w:lineRule="auto"/>
        <w:contextualSpacing/>
        <w:rPr>
          <w:rFonts w:ascii="Calibri" w:eastAsia="Calibri" w:hAnsi="Calibri" w:cs="Calibri"/>
          <w:sz w:val="24"/>
          <w:szCs w:val="24"/>
          <w:lang w:val="en-US"/>
        </w:rPr>
      </w:pPr>
      <w:r w:rsidRPr="00B503AD">
        <w:rPr>
          <w:rFonts w:ascii="Calibri" w:eastAsia="Calibri" w:hAnsi="Calibri" w:cs="Calibri"/>
          <w:noProof/>
          <w:sz w:val="24"/>
          <w:szCs w:val="24"/>
          <w:lang w:eastAsia="en-AU"/>
        </w:rPr>
        <w:drawing>
          <wp:inline distT="0" distB="0" distL="0" distR="0" wp14:anchorId="4CC3EEF1" wp14:editId="531C314F">
            <wp:extent cx="3657600" cy="3505200"/>
            <wp:effectExtent l="0" t="0" r="0" b="0"/>
            <wp:docPr id="16" name="Picture 4" descr="Kaplan-Meier estimates of PFS in the ITT population at Final Analysis of K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Kaplan-Meier estimates of PFS in the ITT population at Final Analysis of KN 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3505200"/>
                    </a:xfrm>
                    <a:prstGeom prst="rect">
                      <a:avLst/>
                    </a:prstGeom>
                    <a:noFill/>
                    <a:ln>
                      <a:noFill/>
                    </a:ln>
                  </pic:spPr>
                </pic:pic>
              </a:graphicData>
            </a:graphic>
          </wp:inline>
        </w:drawing>
      </w:r>
    </w:p>
    <w:p w14:paraId="20C43381" w14:textId="6D092494" w:rsidR="00B503AD" w:rsidRDefault="00B503AD" w:rsidP="00B503AD">
      <w:pPr>
        <w:snapToGrid w:val="0"/>
        <w:spacing w:before="0" w:after="120" w:line="240" w:lineRule="auto"/>
        <w:contextualSpacing/>
        <w:rPr>
          <w:rFonts w:ascii="Arial Narrow" w:eastAsia="Calibri" w:hAnsi="Arial Narrow" w:cs="Times New Roman"/>
          <w:sz w:val="18"/>
          <w:lang w:val="en-US"/>
        </w:rPr>
      </w:pPr>
      <w:r w:rsidRPr="00B503AD">
        <w:rPr>
          <w:rFonts w:ascii="Arial Narrow" w:eastAsia="Calibri" w:hAnsi="Arial Narrow" w:cs="Times New Roman"/>
          <w:sz w:val="18"/>
          <w:lang w:val="en-US"/>
        </w:rPr>
        <w:t xml:space="preserve">Source: Figure 2.5-6, p50 of the submission. </w:t>
      </w:r>
    </w:p>
    <w:p w14:paraId="21F8A645" w14:textId="72EFF8E7" w:rsidR="00B503AD" w:rsidRPr="00151E5F" w:rsidRDefault="00B503AD" w:rsidP="0064030F">
      <w:pPr>
        <w:numPr>
          <w:ilvl w:val="1"/>
          <w:numId w:val="0"/>
        </w:numPr>
        <w:spacing w:before="240" w:after="240" w:line="240" w:lineRule="auto"/>
        <w:jc w:val="both"/>
        <w:rPr>
          <w:rFonts w:eastAsia="Calibri" w:cs="Calibri"/>
          <w:i/>
          <w:lang w:val="en-US"/>
        </w:rPr>
      </w:pPr>
      <w:r w:rsidRPr="00151E5F">
        <w:rPr>
          <w:rFonts w:eastAsia="Calibri" w:cs="Calibri"/>
          <w:lang w:val="en-US"/>
        </w:rPr>
        <w:fldChar w:fldCharType="begin"/>
      </w:r>
      <w:r w:rsidRPr="00151E5F">
        <w:rPr>
          <w:rFonts w:eastAsia="Calibri" w:cs="Calibri"/>
          <w:lang w:val="en-US"/>
        </w:rPr>
        <w:instrText xml:space="preserve"> REF _Ref124520431 \h  \* MERGEFORMAT </w:instrText>
      </w:r>
      <w:r w:rsidRPr="00151E5F">
        <w:rPr>
          <w:rFonts w:eastAsia="Calibri" w:cs="Calibri"/>
          <w:lang w:val="en-US"/>
        </w:rPr>
      </w:r>
      <w:r w:rsidRPr="00151E5F">
        <w:rPr>
          <w:rFonts w:eastAsia="Calibri" w:cs="Calibri"/>
          <w:lang w:val="en-US"/>
        </w:rPr>
        <w:fldChar w:fldCharType="separate"/>
      </w:r>
      <w:r w:rsidR="000E4BEF" w:rsidRPr="00443E6B">
        <w:rPr>
          <w:rFonts w:eastAsia="Calibri" w:cs="Calibri"/>
          <w:lang w:val="en-US"/>
        </w:rPr>
        <w:t>Table 4</w:t>
      </w:r>
      <w:r w:rsidRPr="00151E5F">
        <w:rPr>
          <w:rFonts w:eastAsia="Calibri" w:cs="Calibri"/>
          <w:lang w:val="en-US"/>
        </w:rPr>
        <w:fldChar w:fldCharType="end"/>
      </w:r>
      <w:r w:rsidRPr="00151E5F">
        <w:rPr>
          <w:rFonts w:eastAsia="Calibri" w:cs="Calibri"/>
          <w:lang w:val="en-US"/>
        </w:rPr>
        <w:t xml:space="preserve"> presents the overall survival by subgroups in KN-355.</w:t>
      </w:r>
    </w:p>
    <w:p w14:paraId="78E3E5B9" w14:textId="4BB79FF4" w:rsidR="00B503AD" w:rsidRPr="00B503AD" w:rsidRDefault="00B503AD" w:rsidP="00B76E84">
      <w:pPr>
        <w:pStyle w:val="TableHeading0"/>
        <w:keepNext/>
      </w:pPr>
      <w:bookmarkStart w:id="22" w:name="_Ref124520431"/>
      <w:r w:rsidRPr="00B503AD">
        <w:rPr>
          <w:szCs w:val="16"/>
        </w:rPr>
        <w:t xml:space="preserve">Table </w:t>
      </w:r>
      <w:r w:rsidRPr="00B503AD">
        <w:fldChar w:fldCharType="begin"/>
      </w:r>
      <w:r w:rsidRPr="00B503AD">
        <w:rPr>
          <w:szCs w:val="16"/>
        </w:rPr>
        <w:instrText xml:space="preserve"> SEQ Table \* ARABIC </w:instrText>
      </w:r>
      <w:r w:rsidRPr="00B503AD">
        <w:fldChar w:fldCharType="separate"/>
      </w:r>
      <w:r w:rsidR="000E4BEF">
        <w:rPr>
          <w:noProof/>
          <w:szCs w:val="16"/>
        </w:rPr>
        <w:t>4</w:t>
      </w:r>
      <w:r w:rsidRPr="00B503AD">
        <w:fldChar w:fldCharType="end"/>
      </w:r>
      <w:bookmarkEnd w:id="22"/>
      <w:r w:rsidRPr="00B503AD">
        <w:t>: Analysis of Overall survival subgroups (intention to treat population)</w:t>
      </w:r>
    </w:p>
    <w:tbl>
      <w:tblPr>
        <w:tblStyle w:val="PlainTable2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87"/>
        <w:gridCol w:w="566"/>
        <w:gridCol w:w="997"/>
        <w:gridCol w:w="1448"/>
        <w:gridCol w:w="417"/>
        <w:gridCol w:w="997"/>
        <w:gridCol w:w="1352"/>
        <w:gridCol w:w="1349"/>
        <w:gridCol w:w="903"/>
      </w:tblGrid>
      <w:tr w:rsidR="00B503AD" w:rsidRPr="00B503AD" w14:paraId="31651B6B" w14:textId="77777777" w:rsidTr="00B50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left w:val="single" w:sz="4" w:space="0" w:color="7F7F7F"/>
              <w:right w:val="single" w:sz="4" w:space="0" w:color="7F7F7F"/>
            </w:tcBorders>
            <w:vAlign w:val="center"/>
          </w:tcPr>
          <w:p w14:paraId="59F0DE58" w14:textId="77777777" w:rsidR="00B503AD" w:rsidRPr="00B503AD" w:rsidRDefault="00B503AD" w:rsidP="00B503AD">
            <w:pPr>
              <w:keepNext/>
              <w:keepLines/>
              <w:snapToGrid w:val="0"/>
              <w:spacing w:before="0"/>
              <w:rPr>
                <w:rFonts w:ascii="Arial Narrow" w:hAnsi="Arial Narrow"/>
                <w:sz w:val="20"/>
                <w:szCs w:val="20"/>
              </w:rPr>
            </w:pPr>
          </w:p>
        </w:tc>
        <w:tc>
          <w:tcPr>
            <w:tcW w:w="1670" w:type="pct"/>
            <w:gridSpan w:val="3"/>
            <w:tcBorders>
              <w:left w:val="single" w:sz="4" w:space="0" w:color="7F7F7F"/>
              <w:right w:val="single" w:sz="4" w:space="0" w:color="7F7F7F"/>
            </w:tcBorders>
            <w:vAlign w:val="center"/>
            <w:hideMark/>
          </w:tcPr>
          <w:p w14:paraId="088EC4CB" w14:textId="77777777" w:rsidR="00B503AD" w:rsidRPr="00B503AD" w:rsidRDefault="00B503AD" w:rsidP="00B503AD">
            <w:pPr>
              <w:keepNext/>
              <w:keepLines/>
              <w:snapToGrid w:val="0"/>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Pembrolizumab + Chemotherapy</w:t>
            </w:r>
          </w:p>
        </w:tc>
        <w:tc>
          <w:tcPr>
            <w:tcW w:w="1534" w:type="pct"/>
            <w:gridSpan w:val="3"/>
            <w:tcBorders>
              <w:left w:val="single" w:sz="4" w:space="0" w:color="7F7F7F"/>
              <w:right w:val="single" w:sz="4" w:space="0" w:color="7F7F7F"/>
            </w:tcBorders>
            <w:vAlign w:val="center"/>
            <w:hideMark/>
          </w:tcPr>
          <w:p w14:paraId="682045A8" w14:textId="77777777" w:rsidR="00B503AD" w:rsidRPr="00B503AD" w:rsidRDefault="00B503AD" w:rsidP="00B503AD">
            <w:pPr>
              <w:keepNext/>
              <w:keepLines/>
              <w:snapToGrid w:val="0"/>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Placebo + Chemotherapy</w:t>
            </w:r>
          </w:p>
        </w:tc>
        <w:tc>
          <w:tcPr>
            <w:tcW w:w="1245" w:type="pct"/>
            <w:gridSpan w:val="2"/>
            <w:tcBorders>
              <w:left w:val="single" w:sz="4" w:space="0" w:color="7F7F7F"/>
              <w:right w:val="single" w:sz="4" w:space="0" w:color="7F7F7F"/>
            </w:tcBorders>
            <w:vAlign w:val="center"/>
            <w:hideMark/>
          </w:tcPr>
          <w:p w14:paraId="391D3ACA" w14:textId="77777777" w:rsidR="00B503AD" w:rsidRPr="00B503AD" w:rsidRDefault="00B503AD" w:rsidP="00B503AD">
            <w:pPr>
              <w:keepNext/>
              <w:keepLines/>
              <w:snapToGrid w:val="0"/>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Pembrolizumab + Chemotherapy vs. Placebo + Chemotherapy</w:t>
            </w:r>
          </w:p>
        </w:tc>
      </w:tr>
      <w:tr w:rsidR="00B503AD" w:rsidRPr="00B503AD" w14:paraId="32746C44" w14:textId="77777777" w:rsidTr="00B50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single" w:sz="4" w:space="0" w:color="auto"/>
              <w:left w:val="single" w:sz="4" w:space="0" w:color="7F7F7F"/>
              <w:bottom w:val="single" w:sz="4" w:space="0" w:color="auto"/>
              <w:right w:val="single" w:sz="4" w:space="0" w:color="7F7F7F"/>
            </w:tcBorders>
            <w:vAlign w:val="center"/>
            <w:hideMark/>
          </w:tcPr>
          <w:p w14:paraId="0ED9AF04"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Overall Survival</w:t>
            </w:r>
          </w:p>
        </w:tc>
        <w:tc>
          <w:tcPr>
            <w:tcW w:w="314" w:type="pct"/>
            <w:tcBorders>
              <w:top w:val="single" w:sz="4" w:space="0" w:color="auto"/>
              <w:left w:val="single" w:sz="4" w:space="0" w:color="7F7F7F"/>
              <w:bottom w:val="single" w:sz="4" w:space="0" w:color="auto"/>
              <w:right w:val="single" w:sz="4" w:space="0" w:color="7F7F7F"/>
            </w:tcBorders>
            <w:vAlign w:val="center"/>
            <w:hideMark/>
          </w:tcPr>
          <w:p w14:paraId="501BE972"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N</w:t>
            </w:r>
            <w:r w:rsidRPr="00B503AD">
              <w:rPr>
                <w:rFonts w:ascii="Arial Narrow" w:hAnsi="Arial Narrow"/>
                <w:b/>
                <w:bCs/>
                <w:sz w:val="20"/>
                <w:szCs w:val="20"/>
                <w:vertAlign w:val="superscript"/>
              </w:rPr>
              <w:t>b</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59D78EB5"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 xml:space="preserve">Participants </w:t>
            </w:r>
            <w:r w:rsidRPr="00B503AD">
              <w:rPr>
                <w:rFonts w:ascii="Arial Narrow" w:hAnsi="Arial Narrow"/>
                <w:b/>
                <w:bCs/>
                <w:sz w:val="20"/>
                <w:szCs w:val="20"/>
              </w:rPr>
              <w:br/>
              <w:t>with Event n (%)</w:t>
            </w:r>
          </w:p>
        </w:tc>
        <w:tc>
          <w:tcPr>
            <w:tcW w:w="802" w:type="pct"/>
            <w:tcBorders>
              <w:top w:val="single" w:sz="4" w:space="0" w:color="auto"/>
              <w:left w:val="single" w:sz="4" w:space="0" w:color="7F7F7F"/>
              <w:bottom w:val="single" w:sz="4" w:space="0" w:color="auto"/>
              <w:right w:val="single" w:sz="4" w:space="0" w:color="7F7F7F"/>
            </w:tcBorders>
            <w:vAlign w:val="center"/>
            <w:hideMark/>
          </w:tcPr>
          <w:p w14:paraId="3D8A9CDB"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 xml:space="preserve">Median </w:t>
            </w:r>
            <w:r w:rsidRPr="00B503AD">
              <w:rPr>
                <w:rFonts w:ascii="Arial Narrow" w:hAnsi="Arial Narrow"/>
                <w:b/>
                <w:bCs/>
                <w:sz w:val="20"/>
                <w:szCs w:val="20"/>
              </w:rPr>
              <w:br/>
              <w:t>Time</w:t>
            </w:r>
            <w:r w:rsidRPr="00B503AD">
              <w:rPr>
                <w:rFonts w:ascii="Arial Narrow" w:hAnsi="Arial Narrow"/>
                <w:b/>
                <w:bCs/>
                <w:sz w:val="20"/>
                <w:szCs w:val="20"/>
                <w:vertAlign w:val="superscript"/>
              </w:rPr>
              <w:t>c</w:t>
            </w:r>
            <w:r w:rsidRPr="00B503AD">
              <w:rPr>
                <w:rFonts w:ascii="Arial Narrow" w:hAnsi="Arial Narrow"/>
                <w:b/>
                <w:bCs/>
                <w:sz w:val="20"/>
                <w:szCs w:val="20"/>
              </w:rPr>
              <w:t xml:space="preserve"> in Months </w:t>
            </w:r>
            <w:r w:rsidRPr="00B503AD">
              <w:rPr>
                <w:rFonts w:ascii="Arial Narrow" w:hAnsi="Arial Narrow"/>
                <w:b/>
                <w:bCs/>
                <w:sz w:val="20"/>
                <w:szCs w:val="20"/>
              </w:rPr>
              <w:br/>
              <w:t>[95 %-CI]</w:t>
            </w:r>
          </w:p>
        </w:tc>
        <w:tc>
          <w:tcPr>
            <w:tcW w:w="231" w:type="pct"/>
            <w:tcBorders>
              <w:top w:val="single" w:sz="4" w:space="0" w:color="auto"/>
              <w:left w:val="single" w:sz="4" w:space="0" w:color="7F7F7F"/>
              <w:bottom w:val="single" w:sz="4" w:space="0" w:color="auto"/>
              <w:right w:val="single" w:sz="4" w:space="0" w:color="7F7F7F"/>
            </w:tcBorders>
            <w:vAlign w:val="center"/>
            <w:hideMark/>
          </w:tcPr>
          <w:p w14:paraId="09B05501"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N</w:t>
            </w:r>
            <w:r w:rsidRPr="00B503AD">
              <w:rPr>
                <w:rFonts w:ascii="Arial Narrow" w:hAnsi="Arial Narrow"/>
                <w:b/>
                <w:bCs/>
                <w:sz w:val="20"/>
                <w:szCs w:val="20"/>
                <w:vertAlign w:val="superscript"/>
              </w:rPr>
              <w:t>b</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4CB9B9DD"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 xml:space="preserve">Participants </w:t>
            </w:r>
            <w:r w:rsidRPr="00B503AD">
              <w:rPr>
                <w:rFonts w:ascii="Arial Narrow" w:hAnsi="Arial Narrow"/>
                <w:b/>
                <w:bCs/>
                <w:sz w:val="20"/>
                <w:szCs w:val="20"/>
              </w:rPr>
              <w:br/>
              <w:t>with Event n (%)</w:t>
            </w:r>
          </w:p>
        </w:tc>
        <w:tc>
          <w:tcPr>
            <w:tcW w:w="750" w:type="pct"/>
            <w:tcBorders>
              <w:top w:val="single" w:sz="4" w:space="0" w:color="auto"/>
              <w:left w:val="single" w:sz="4" w:space="0" w:color="7F7F7F"/>
              <w:bottom w:val="single" w:sz="4" w:space="0" w:color="auto"/>
              <w:right w:val="single" w:sz="4" w:space="0" w:color="7F7F7F"/>
            </w:tcBorders>
            <w:vAlign w:val="center"/>
            <w:hideMark/>
          </w:tcPr>
          <w:p w14:paraId="0C1C3D76"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 xml:space="preserve">Median </w:t>
            </w:r>
            <w:r w:rsidRPr="00B503AD">
              <w:rPr>
                <w:rFonts w:ascii="Arial Narrow" w:hAnsi="Arial Narrow"/>
                <w:b/>
                <w:bCs/>
                <w:sz w:val="20"/>
                <w:szCs w:val="20"/>
              </w:rPr>
              <w:br/>
              <w:t>Time</w:t>
            </w:r>
            <w:r w:rsidRPr="00B503AD">
              <w:rPr>
                <w:rFonts w:ascii="Arial Narrow" w:hAnsi="Arial Narrow"/>
                <w:b/>
                <w:bCs/>
                <w:sz w:val="20"/>
                <w:szCs w:val="20"/>
                <w:vertAlign w:val="superscript"/>
              </w:rPr>
              <w:t>c</w:t>
            </w:r>
            <w:r w:rsidRPr="00B503AD">
              <w:rPr>
                <w:rFonts w:ascii="Arial Narrow" w:hAnsi="Arial Narrow"/>
                <w:b/>
                <w:bCs/>
                <w:sz w:val="20"/>
                <w:szCs w:val="20"/>
              </w:rPr>
              <w:t xml:space="preserve"> in Months [95 %-CI]</w:t>
            </w:r>
          </w:p>
        </w:tc>
        <w:tc>
          <w:tcPr>
            <w:tcW w:w="748" w:type="pct"/>
            <w:tcBorders>
              <w:top w:val="single" w:sz="4" w:space="0" w:color="auto"/>
              <w:left w:val="single" w:sz="4" w:space="0" w:color="7F7F7F"/>
              <w:bottom w:val="single" w:sz="4" w:space="0" w:color="auto"/>
              <w:right w:val="single" w:sz="4" w:space="0" w:color="7F7F7F"/>
            </w:tcBorders>
            <w:vAlign w:val="center"/>
            <w:hideMark/>
          </w:tcPr>
          <w:p w14:paraId="326E9A1B"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Hazard Ratio</w:t>
            </w:r>
          </w:p>
          <w:p w14:paraId="581AC72A"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[95 %-CI]</w:t>
            </w:r>
            <w:r w:rsidRPr="00B503AD">
              <w:rPr>
                <w:rFonts w:ascii="Arial Narrow" w:hAnsi="Arial Narrow"/>
                <w:b/>
                <w:bCs/>
                <w:sz w:val="20"/>
                <w:szCs w:val="20"/>
                <w:vertAlign w:val="superscript"/>
              </w:rPr>
              <w:t>d</w:t>
            </w:r>
          </w:p>
        </w:tc>
        <w:tc>
          <w:tcPr>
            <w:tcW w:w="497" w:type="pct"/>
            <w:tcBorders>
              <w:top w:val="single" w:sz="4" w:space="0" w:color="auto"/>
              <w:left w:val="single" w:sz="4" w:space="0" w:color="7F7F7F"/>
              <w:bottom w:val="single" w:sz="4" w:space="0" w:color="auto"/>
              <w:right w:val="single" w:sz="4" w:space="0" w:color="7F7F7F"/>
            </w:tcBorders>
            <w:vAlign w:val="center"/>
            <w:hideMark/>
          </w:tcPr>
          <w:p w14:paraId="1657696E"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503AD">
              <w:rPr>
                <w:rFonts w:ascii="Arial Narrow" w:hAnsi="Arial Narrow"/>
                <w:b/>
                <w:bCs/>
                <w:sz w:val="20"/>
                <w:szCs w:val="20"/>
              </w:rPr>
              <w:t xml:space="preserve">p-Value for </w:t>
            </w:r>
            <w:r w:rsidRPr="00B503AD">
              <w:rPr>
                <w:rFonts w:ascii="Arial Narrow" w:hAnsi="Arial Narrow"/>
                <w:b/>
                <w:bCs/>
                <w:sz w:val="20"/>
                <w:szCs w:val="20"/>
              </w:rPr>
              <w:br/>
              <w:t>Interaction Test</w:t>
            </w:r>
            <w:r w:rsidRPr="00B503AD">
              <w:rPr>
                <w:rFonts w:ascii="Arial Narrow" w:hAnsi="Arial Narrow"/>
                <w:b/>
                <w:bCs/>
                <w:sz w:val="20"/>
                <w:szCs w:val="20"/>
                <w:vertAlign w:val="superscript"/>
              </w:rPr>
              <w:t>e</w:t>
            </w:r>
          </w:p>
        </w:tc>
      </w:tr>
      <w:tr w:rsidR="00B503AD" w:rsidRPr="00B503AD" w14:paraId="0089120C" w14:textId="77777777" w:rsidTr="00B503AD">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vAlign w:val="center"/>
            <w:hideMark/>
          </w:tcPr>
          <w:p w14:paraId="376A353C"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PD-L1 CPS 1 Cut-off</w:t>
            </w:r>
          </w:p>
        </w:tc>
      </w:tr>
      <w:tr w:rsidR="00B503AD" w:rsidRPr="00B503AD" w14:paraId="497BD74D" w14:textId="77777777" w:rsidTr="00B50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single" w:sz="4" w:space="0" w:color="auto"/>
              <w:left w:val="single" w:sz="4" w:space="0" w:color="7F7F7F"/>
              <w:bottom w:val="single" w:sz="4" w:space="0" w:color="auto"/>
              <w:right w:val="single" w:sz="4" w:space="0" w:color="7F7F7F"/>
            </w:tcBorders>
            <w:vAlign w:val="center"/>
            <w:hideMark/>
          </w:tcPr>
          <w:p w14:paraId="25860245"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CPS ≥ 1</w:t>
            </w:r>
          </w:p>
        </w:tc>
        <w:tc>
          <w:tcPr>
            <w:tcW w:w="314" w:type="pct"/>
            <w:tcBorders>
              <w:top w:val="single" w:sz="4" w:space="0" w:color="auto"/>
              <w:left w:val="single" w:sz="4" w:space="0" w:color="7F7F7F"/>
              <w:bottom w:val="single" w:sz="4" w:space="0" w:color="auto"/>
              <w:right w:val="single" w:sz="4" w:space="0" w:color="7F7F7F"/>
            </w:tcBorders>
            <w:vAlign w:val="center"/>
            <w:hideMark/>
          </w:tcPr>
          <w:p w14:paraId="2111D57B"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425</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44378871"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336 (79.1)</w:t>
            </w:r>
          </w:p>
        </w:tc>
        <w:tc>
          <w:tcPr>
            <w:tcW w:w="802" w:type="pct"/>
            <w:tcBorders>
              <w:top w:val="single" w:sz="4" w:space="0" w:color="auto"/>
              <w:left w:val="single" w:sz="4" w:space="0" w:color="7F7F7F"/>
              <w:bottom w:val="single" w:sz="4" w:space="0" w:color="auto"/>
              <w:right w:val="single" w:sz="4" w:space="0" w:color="7F7F7F"/>
            </w:tcBorders>
            <w:vAlign w:val="center"/>
            <w:hideMark/>
          </w:tcPr>
          <w:p w14:paraId="217A3473"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17.6 [15.5; 19.5]</w:t>
            </w:r>
          </w:p>
        </w:tc>
        <w:tc>
          <w:tcPr>
            <w:tcW w:w="231" w:type="pct"/>
            <w:tcBorders>
              <w:top w:val="single" w:sz="4" w:space="0" w:color="auto"/>
              <w:left w:val="single" w:sz="4" w:space="0" w:color="7F7F7F"/>
              <w:bottom w:val="single" w:sz="4" w:space="0" w:color="auto"/>
              <w:right w:val="single" w:sz="4" w:space="0" w:color="7F7F7F"/>
            </w:tcBorders>
            <w:vAlign w:val="center"/>
            <w:hideMark/>
          </w:tcPr>
          <w:p w14:paraId="683AF664"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211</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390B59A2"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177 (83.9)</w:t>
            </w:r>
          </w:p>
        </w:tc>
        <w:tc>
          <w:tcPr>
            <w:tcW w:w="750" w:type="pct"/>
            <w:tcBorders>
              <w:top w:val="single" w:sz="4" w:space="0" w:color="auto"/>
              <w:left w:val="single" w:sz="4" w:space="0" w:color="7F7F7F"/>
              <w:bottom w:val="single" w:sz="4" w:space="0" w:color="auto"/>
              <w:right w:val="single" w:sz="4" w:space="0" w:color="7F7F7F"/>
            </w:tcBorders>
            <w:vAlign w:val="center"/>
            <w:hideMark/>
          </w:tcPr>
          <w:p w14:paraId="037A66A2"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16.0 [12.8; 17.4]</w:t>
            </w:r>
          </w:p>
        </w:tc>
        <w:tc>
          <w:tcPr>
            <w:tcW w:w="748" w:type="pct"/>
            <w:tcBorders>
              <w:top w:val="single" w:sz="4" w:space="0" w:color="auto"/>
              <w:left w:val="single" w:sz="4" w:space="0" w:color="7F7F7F"/>
              <w:bottom w:val="single" w:sz="4" w:space="0" w:color="auto"/>
              <w:right w:val="single" w:sz="4" w:space="0" w:color="7F7F7F"/>
            </w:tcBorders>
            <w:vAlign w:val="center"/>
            <w:hideMark/>
          </w:tcPr>
          <w:p w14:paraId="09C012F9"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0.86 [0.72; 1.04]</w:t>
            </w:r>
          </w:p>
        </w:tc>
        <w:tc>
          <w:tcPr>
            <w:tcW w:w="497" w:type="pct"/>
            <w:tcBorders>
              <w:top w:val="single" w:sz="4" w:space="0" w:color="auto"/>
              <w:left w:val="single" w:sz="4" w:space="0" w:color="7F7F7F"/>
              <w:bottom w:val="single" w:sz="4" w:space="0" w:color="auto"/>
              <w:right w:val="single" w:sz="4" w:space="0" w:color="7F7F7F"/>
            </w:tcBorders>
            <w:vAlign w:val="center"/>
            <w:hideMark/>
          </w:tcPr>
          <w:p w14:paraId="28A47DD3"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0.523</w:t>
            </w:r>
          </w:p>
        </w:tc>
      </w:tr>
      <w:tr w:rsidR="00B503AD" w:rsidRPr="00B503AD" w14:paraId="390618AF" w14:textId="77777777" w:rsidTr="00B503AD">
        <w:tc>
          <w:tcPr>
            <w:cnfStyle w:val="001000000000" w:firstRow="0" w:lastRow="0" w:firstColumn="1" w:lastColumn="0" w:oddVBand="0" w:evenVBand="0" w:oddHBand="0" w:evenHBand="0" w:firstRowFirstColumn="0" w:firstRowLastColumn="0" w:lastRowFirstColumn="0" w:lastRowLastColumn="0"/>
            <w:tcW w:w="547" w:type="pct"/>
            <w:tcBorders>
              <w:left w:val="single" w:sz="4" w:space="0" w:color="7F7F7F"/>
              <w:right w:val="single" w:sz="4" w:space="0" w:color="7F7F7F"/>
            </w:tcBorders>
            <w:vAlign w:val="center"/>
            <w:hideMark/>
          </w:tcPr>
          <w:p w14:paraId="2EFF8209"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CPS &lt;1</w:t>
            </w:r>
          </w:p>
        </w:tc>
        <w:tc>
          <w:tcPr>
            <w:tcW w:w="314" w:type="pct"/>
            <w:tcBorders>
              <w:left w:val="single" w:sz="4" w:space="0" w:color="7F7F7F"/>
              <w:right w:val="single" w:sz="4" w:space="0" w:color="7F7F7F"/>
            </w:tcBorders>
            <w:vAlign w:val="center"/>
            <w:hideMark/>
          </w:tcPr>
          <w:p w14:paraId="1B2C5DAD"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141</w:t>
            </w:r>
          </w:p>
        </w:tc>
        <w:tc>
          <w:tcPr>
            <w:tcW w:w="553" w:type="pct"/>
            <w:tcBorders>
              <w:left w:val="single" w:sz="4" w:space="0" w:color="7F7F7F"/>
              <w:right w:val="single" w:sz="4" w:space="0" w:color="7F7F7F"/>
            </w:tcBorders>
            <w:vAlign w:val="center"/>
            <w:hideMark/>
          </w:tcPr>
          <w:p w14:paraId="1012777D"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124 (87.9)</w:t>
            </w:r>
          </w:p>
        </w:tc>
        <w:tc>
          <w:tcPr>
            <w:tcW w:w="802" w:type="pct"/>
            <w:tcBorders>
              <w:left w:val="single" w:sz="4" w:space="0" w:color="7F7F7F"/>
              <w:right w:val="single" w:sz="4" w:space="0" w:color="7F7F7F"/>
            </w:tcBorders>
            <w:vAlign w:val="center"/>
            <w:hideMark/>
          </w:tcPr>
          <w:p w14:paraId="2F7EAE62"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16.2 [13.8; 20.1]</w:t>
            </w:r>
          </w:p>
        </w:tc>
        <w:tc>
          <w:tcPr>
            <w:tcW w:w="231" w:type="pct"/>
            <w:tcBorders>
              <w:left w:val="single" w:sz="4" w:space="0" w:color="7F7F7F"/>
              <w:right w:val="single" w:sz="4" w:space="0" w:color="7F7F7F"/>
            </w:tcBorders>
            <w:vAlign w:val="center"/>
            <w:hideMark/>
          </w:tcPr>
          <w:p w14:paraId="29F4B361"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70</w:t>
            </w:r>
          </w:p>
        </w:tc>
        <w:tc>
          <w:tcPr>
            <w:tcW w:w="553" w:type="pct"/>
            <w:tcBorders>
              <w:left w:val="single" w:sz="4" w:space="0" w:color="7F7F7F"/>
              <w:right w:val="single" w:sz="4" w:space="0" w:color="7F7F7F"/>
            </w:tcBorders>
            <w:vAlign w:val="center"/>
            <w:hideMark/>
          </w:tcPr>
          <w:p w14:paraId="2B92588C"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61 (87.1)</w:t>
            </w:r>
          </w:p>
        </w:tc>
        <w:tc>
          <w:tcPr>
            <w:tcW w:w="750" w:type="pct"/>
            <w:tcBorders>
              <w:left w:val="single" w:sz="4" w:space="0" w:color="7F7F7F"/>
              <w:right w:val="single" w:sz="4" w:space="0" w:color="7F7F7F"/>
            </w:tcBorders>
            <w:vAlign w:val="center"/>
            <w:hideMark/>
          </w:tcPr>
          <w:p w14:paraId="285BB134"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14.7 [9.8; 19.8]</w:t>
            </w:r>
          </w:p>
        </w:tc>
        <w:tc>
          <w:tcPr>
            <w:tcW w:w="748" w:type="pct"/>
            <w:tcBorders>
              <w:left w:val="single" w:sz="4" w:space="0" w:color="7F7F7F"/>
              <w:right w:val="single" w:sz="4" w:space="0" w:color="7F7F7F"/>
            </w:tcBorders>
            <w:vAlign w:val="center"/>
            <w:hideMark/>
          </w:tcPr>
          <w:p w14:paraId="60A9D029"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0.97 [0.72; 1.32]</w:t>
            </w:r>
          </w:p>
        </w:tc>
        <w:tc>
          <w:tcPr>
            <w:tcW w:w="497" w:type="pct"/>
            <w:tcBorders>
              <w:left w:val="single" w:sz="4" w:space="0" w:color="7F7F7F"/>
              <w:right w:val="single" w:sz="4" w:space="0" w:color="7F7F7F"/>
            </w:tcBorders>
            <w:vAlign w:val="center"/>
          </w:tcPr>
          <w:p w14:paraId="6DA39E8A"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B503AD" w:rsidRPr="00B503AD" w14:paraId="6EBEDFED" w14:textId="77777777" w:rsidTr="00B50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vAlign w:val="center"/>
            <w:hideMark/>
          </w:tcPr>
          <w:p w14:paraId="39EDB17D"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PD-L1 CPS 10 Cut-off</w:t>
            </w:r>
          </w:p>
        </w:tc>
      </w:tr>
      <w:tr w:rsidR="00B503AD" w:rsidRPr="00B503AD" w14:paraId="68D5F5B1" w14:textId="77777777" w:rsidTr="00B503AD">
        <w:tc>
          <w:tcPr>
            <w:cnfStyle w:val="001000000000" w:firstRow="0" w:lastRow="0" w:firstColumn="1" w:lastColumn="0" w:oddVBand="0" w:evenVBand="0" w:oddHBand="0" w:evenHBand="0" w:firstRowFirstColumn="0" w:firstRowLastColumn="0" w:lastRowFirstColumn="0" w:lastRowLastColumn="0"/>
            <w:tcW w:w="547" w:type="pct"/>
            <w:tcBorders>
              <w:left w:val="single" w:sz="4" w:space="0" w:color="7F7F7F"/>
              <w:right w:val="single" w:sz="4" w:space="0" w:color="7F7F7F"/>
            </w:tcBorders>
            <w:vAlign w:val="center"/>
            <w:hideMark/>
          </w:tcPr>
          <w:p w14:paraId="2BA166EF"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CPS ≥ 10</w:t>
            </w:r>
          </w:p>
        </w:tc>
        <w:tc>
          <w:tcPr>
            <w:tcW w:w="314" w:type="pct"/>
            <w:tcBorders>
              <w:left w:val="single" w:sz="4" w:space="0" w:color="7F7F7F"/>
              <w:right w:val="single" w:sz="4" w:space="0" w:color="7F7F7F"/>
            </w:tcBorders>
            <w:vAlign w:val="center"/>
            <w:hideMark/>
          </w:tcPr>
          <w:p w14:paraId="69F69E96"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220</w:t>
            </w:r>
          </w:p>
        </w:tc>
        <w:tc>
          <w:tcPr>
            <w:tcW w:w="553" w:type="pct"/>
            <w:tcBorders>
              <w:left w:val="single" w:sz="4" w:space="0" w:color="7F7F7F"/>
              <w:right w:val="single" w:sz="4" w:space="0" w:color="7F7F7F"/>
            </w:tcBorders>
            <w:vAlign w:val="center"/>
            <w:hideMark/>
          </w:tcPr>
          <w:p w14:paraId="352ED070"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155 (70.5)</w:t>
            </w:r>
          </w:p>
        </w:tc>
        <w:tc>
          <w:tcPr>
            <w:tcW w:w="802" w:type="pct"/>
            <w:tcBorders>
              <w:left w:val="single" w:sz="4" w:space="0" w:color="7F7F7F"/>
              <w:right w:val="single" w:sz="4" w:space="0" w:color="7F7F7F"/>
            </w:tcBorders>
            <w:vAlign w:val="center"/>
            <w:hideMark/>
          </w:tcPr>
          <w:p w14:paraId="5FFF1A66"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23.0 [19.0; 26.3]</w:t>
            </w:r>
          </w:p>
        </w:tc>
        <w:tc>
          <w:tcPr>
            <w:tcW w:w="231" w:type="pct"/>
            <w:tcBorders>
              <w:left w:val="single" w:sz="4" w:space="0" w:color="7F7F7F"/>
              <w:right w:val="single" w:sz="4" w:space="0" w:color="7F7F7F"/>
            </w:tcBorders>
            <w:vAlign w:val="center"/>
            <w:hideMark/>
          </w:tcPr>
          <w:p w14:paraId="58A4A05B"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103</w:t>
            </w:r>
          </w:p>
        </w:tc>
        <w:tc>
          <w:tcPr>
            <w:tcW w:w="553" w:type="pct"/>
            <w:tcBorders>
              <w:left w:val="single" w:sz="4" w:space="0" w:color="7F7F7F"/>
              <w:right w:val="single" w:sz="4" w:space="0" w:color="7F7F7F"/>
            </w:tcBorders>
            <w:vAlign w:val="center"/>
            <w:hideMark/>
          </w:tcPr>
          <w:p w14:paraId="3EA8B314"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84 (81.6)</w:t>
            </w:r>
          </w:p>
        </w:tc>
        <w:tc>
          <w:tcPr>
            <w:tcW w:w="750" w:type="pct"/>
            <w:tcBorders>
              <w:left w:val="single" w:sz="4" w:space="0" w:color="7F7F7F"/>
              <w:right w:val="single" w:sz="4" w:space="0" w:color="7F7F7F"/>
            </w:tcBorders>
            <w:vAlign w:val="center"/>
            <w:hideMark/>
          </w:tcPr>
          <w:p w14:paraId="68EACEF2"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16.1 [12.6; 18.8]</w:t>
            </w:r>
          </w:p>
        </w:tc>
        <w:tc>
          <w:tcPr>
            <w:tcW w:w="748" w:type="pct"/>
            <w:tcBorders>
              <w:left w:val="single" w:sz="4" w:space="0" w:color="7F7F7F"/>
              <w:right w:val="single" w:sz="4" w:space="0" w:color="7F7F7F"/>
            </w:tcBorders>
            <w:vAlign w:val="center"/>
            <w:hideMark/>
          </w:tcPr>
          <w:p w14:paraId="1311FB19"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0.71 [0.54; 0.93]</w:t>
            </w:r>
          </w:p>
        </w:tc>
        <w:tc>
          <w:tcPr>
            <w:tcW w:w="497" w:type="pct"/>
            <w:tcBorders>
              <w:left w:val="single" w:sz="4" w:space="0" w:color="7F7F7F"/>
              <w:right w:val="single" w:sz="4" w:space="0" w:color="7F7F7F"/>
            </w:tcBorders>
            <w:vAlign w:val="center"/>
            <w:hideMark/>
          </w:tcPr>
          <w:p w14:paraId="33DAB81D"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0.022</w:t>
            </w:r>
          </w:p>
        </w:tc>
      </w:tr>
      <w:tr w:rsidR="00B503AD" w:rsidRPr="00B503AD" w14:paraId="58FA6370" w14:textId="77777777" w:rsidTr="00B50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single" w:sz="4" w:space="0" w:color="auto"/>
              <w:left w:val="single" w:sz="4" w:space="0" w:color="7F7F7F"/>
              <w:bottom w:val="single" w:sz="4" w:space="0" w:color="auto"/>
              <w:right w:val="single" w:sz="4" w:space="0" w:color="7F7F7F"/>
            </w:tcBorders>
            <w:vAlign w:val="center"/>
            <w:hideMark/>
          </w:tcPr>
          <w:p w14:paraId="733F7A3D"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CPS &lt; 10</w:t>
            </w:r>
          </w:p>
        </w:tc>
        <w:tc>
          <w:tcPr>
            <w:tcW w:w="314" w:type="pct"/>
            <w:tcBorders>
              <w:top w:val="single" w:sz="4" w:space="0" w:color="auto"/>
              <w:left w:val="single" w:sz="4" w:space="0" w:color="7F7F7F"/>
              <w:bottom w:val="single" w:sz="4" w:space="0" w:color="auto"/>
              <w:right w:val="single" w:sz="4" w:space="0" w:color="7F7F7F"/>
            </w:tcBorders>
            <w:vAlign w:val="center"/>
            <w:hideMark/>
          </w:tcPr>
          <w:p w14:paraId="6541686D"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346</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194FF797"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305 (88.2)</w:t>
            </w:r>
          </w:p>
        </w:tc>
        <w:tc>
          <w:tcPr>
            <w:tcW w:w="802" w:type="pct"/>
            <w:tcBorders>
              <w:top w:val="single" w:sz="4" w:space="0" w:color="auto"/>
              <w:left w:val="single" w:sz="4" w:space="0" w:color="7F7F7F"/>
              <w:bottom w:val="single" w:sz="4" w:space="0" w:color="auto"/>
              <w:right w:val="single" w:sz="4" w:space="0" w:color="7F7F7F"/>
            </w:tcBorders>
            <w:vAlign w:val="center"/>
            <w:hideMark/>
          </w:tcPr>
          <w:p w14:paraId="2BDA151A"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14.7 [13.3; 17.0]</w:t>
            </w:r>
          </w:p>
        </w:tc>
        <w:tc>
          <w:tcPr>
            <w:tcW w:w="231" w:type="pct"/>
            <w:tcBorders>
              <w:top w:val="single" w:sz="4" w:space="0" w:color="auto"/>
              <w:left w:val="single" w:sz="4" w:space="0" w:color="7F7F7F"/>
              <w:bottom w:val="single" w:sz="4" w:space="0" w:color="auto"/>
              <w:right w:val="single" w:sz="4" w:space="0" w:color="7F7F7F"/>
            </w:tcBorders>
            <w:vAlign w:val="center"/>
            <w:hideMark/>
          </w:tcPr>
          <w:p w14:paraId="68685797"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178</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05F53132"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154 (86.5)</w:t>
            </w:r>
          </w:p>
        </w:tc>
        <w:tc>
          <w:tcPr>
            <w:tcW w:w="750" w:type="pct"/>
            <w:tcBorders>
              <w:top w:val="single" w:sz="4" w:space="0" w:color="auto"/>
              <w:left w:val="single" w:sz="4" w:space="0" w:color="7F7F7F"/>
              <w:bottom w:val="single" w:sz="4" w:space="0" w:color="auto"/>
              <w:right w:val="single" w:sz="4" w:space="0" w:color="7F7F7F"/>
            </w:tcBorders>
            <w:vAlign w:val="center"/>
            <w:hideMark/>
          </w:tcPr>
          <w:p w14:paraId="2A6D0FE0"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15.2 [12.6; 17.4]</w:t>
            </w:r>
          </w:p>
        </w:tc>
        <w:tc>
          <w:tcPr>
            <w:tcW w:w="748" w:type="pct"/>
            <w:tcBorders>
              <w:top w:val="single" w:sz="4" w:space="0" w:color="auto"/>
              <w:left w:val="single" w:sz="4" w:space="0" w:color="7F7F7F"/>
              <w:bottom w:val="single" w:sz="4" w:space="0" w:color="auto"/>
              <w:right w:val="single" w:sz="4" w:space="0" w:color="7F7F7F"/>
            </w:tcBorders>
            <w:vAlign w:val="center"/>
            <w:hideMark/>
          </w:tcPr>
          <w:p w14:paraId="3506CD82"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1.04 [0.85; 1.26]</w:t>
            </w:r>
          </w:p>
        </w:tc>
        <w:tc>
          <w:tcPr>
            <w:tcW w:w="497" w:type="pct"/>
            <w:tcBorders>
              <w:top w:val="single" w:sz="4" w:space="0" w:color="auto"/>
              <w:left w:val="single" w:sz="4" w:space="0" w:color="7F7F7F"/>
              <w:bottom w:val="single" w:sz="4" w:space="0" w:color="auto"/>
              <w:right w:val="single" w:sz="4" w:space="0" w:color="7F7F7F"/>
            </w:tcBorders>
            <w:vAlign w:val="center"/>
          </w:tcPr>
          <w:p w14:paraId="6106B27E"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503AD" w:rsidRPr="00B503AD" w14:paraId="729C3F50" w14:textId="77777777" w:rsidTr="00B503AD">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vAlign w:val="center"/>
            <w:hideMark/>
          </w:tcPr>
          <w:p w14:paraId="18C5AD76"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PD-L1 CPS 20 cut-off</w:t>
            </w:r>
          </w:p>
        </w:tc>
      </w:tr>
      <w:tr w:rsidR="00B503AD" w:rsidRPr="00B503AD" w14:paraId="4B6EEA48" w14:textId="77777777" w:rsidTr="00B50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single" w:sz="4" w:space="0" w:color="auto"/>
              <w:left w:val="single" w:sz="4" w:space="0" w:color="7F7F7F"/>
              <w:bottom w:val="single" w:sz="4" w:space="0" w:color="auto"/>
              <w:right w:val="single" w:sz="4" w:space="0" w:color="7F7F7F"/>
            </w:tcBorders>
            <w:vAlign w:val="center"/>
            <w:hideMark/>
          </w:tcPr>
          <w:p w14:paraId="6F35C9C9"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CPS ≥ 20</w:t>
            </w:r>
          </w:p>
        </w:tc>
        <w:tc>
          <w:tcPr>
            <w:tcW w:w="314" w:type="pct"/>
            <w:tcBorders>
              <w:top w:val="single" w:sz="4" w:space="0" w:color="auto"/>
              <w:left w:val="single" w:sz="4" w:space="0" w:color="7F7F7F"/>
              <w:bottom w:val="single" w:sz="4" w:space="0" w:color="auto"/>
              <w:right w:val="single" w:sz="4" w:space="0" w:color="7F7F7F"/>
            </w:tcBorders>
            <w:vAlign w:val="center"/>
            <w:hideMark/>
          </w:tcPr>
          <w:p w14:paraId="7D8B093F"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140</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59EE9F03"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99 (70.7)</w:t>
            </w:r>
          </w:p>
        </w:tc>
        <w:tc>
          <w:tcPr>
            <w:tcW w:w="802" w:type="pct"/>
            <w:tcBorders>
              <w:top w:val="single" w:sz="4" w:space="0" w:color="auto"/>
              <w:left w:val="single" w:sz="4" w:space="0" w:color="7F7F7F"/>
              <w:bottom w:val="single" w:sz="4" w:space="0" w:color="auto"/>
              <w:right w:val="single" w:sz="4" w:space="0" w:color="7F7F7F"/>
            </w:tcBorders>
            <w:vAlign w:val="center"/>
            <w:hideMark/>
          </w:tcPr>
          <w:p w14:paraId="325709F0"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24.0 [19.0; 28.3]</w:t>
            </w:r>
          </w:p>
        </w:tc>
        <w:tc>
          <w:tcPr>
            <w:tcW w:w="231" w:type="pct"/>
            <w:tcBorders>
              <w:top w:val="single" w:sz="4" w:space="0" w:color="auto"/>
              <w:left w:val="single" w:sz="4" w:space="0" w:color="7F7F7F"/>
              <w:bottom w:val="single" w:sz="4" w:space="0" w:color="auto"/>
              <w:right w:val="single" w:sz="4" w:space="0" w:color="7F7F7F"/>
            </w:tcBorders>
            <w:vAlign w:val="center"/>
            <w:hideMark/>
          </w:tcPr>
          <w:p w14:paraId="5024F97A"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64</w:t>
            </w:r>
          </w:p>
        </w:tc>
        <w:tc>
          <w:tcPr>
            <w:tcW w:w="553" w:type="pct"/>
            <w:tcBorders>
              <w:top w:val="single" w:sz="4" w:space="0" w:color="auto"/>
              <w:left w:val="single" w:sz="4" w:space="0" w:color="7F7F7F"/>
              <w:bottom w:val="single" w:sz="4" w:space="0" w:color="auto"/>
              <w:right w:val="single" w:sz="4" w:space="0" w:color="7F7F7F"/>
            </w:tcBorders>
            <w:vAlign w:val="center"/>
            <w:hideMark/>
          </w:tcPr>
          <w:p w14:paraId="3583AD7D"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51 (79.7)</w:t>
            </w:r>
          </w:p>
        </w:tc>
        <w:tc>
          <w:tcPr>
            <w:tcW w:w="750" w:type="pct"/>
            <w:tcBorders>
              <w:top w:val="single" w:sz="4" w:space="0" w:color="auto"/>
              <w:left w:val="single" w:sz="4" w:space="0" w:color="7F7F7F"/>
              <w:bottom w:val="single" w:sz="4" w:space="0" w:color="auto"/>
              <w:right w:val="single" w:sz="4" w:space="0" w:color="7F7F7F"/>
            </w:tcBorders>
            <w:vAlign w:val="center"/>
            <w:hideMark/>
          </w:tcPr>
          <w:p w14:paraId="17A36B08"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15.6 [12.3; 20.8]</w:t>
            </w:r>
          </w:p>
        </w:tc>
        <w:tc>
          <w:tcPr>
            <w:tcW w:w="748" w:type="pct"/>
            <w:tcBorders>
              <w:top w:val="single" w:sz="4" w:space="0" w:color="auto"/>
              <w:left w:val="single" w:sz="4" w:space="0" w:color="7F7F7F"/>
              <w:bottom w:val="single" w:sz="4" w:space="0" w:color="auto"/>
              <w:right w:val="single" w:sz="4" w:space="0" w:color="7F7F7F"/>
            </w:tcBorders>
            <w:vAlign w:val="center"/>
            <w:hideMark/>
          </w:tcPr>
          <w:p w14:paraId="734DC47B"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0.72 [0.51; 1.01]</w:t>
            </w:r>
          </w:p>
        </w:tc>
        <w:tc>
          <w:tcPr>
            <w:tcW w:w="497" w:type="pct"/>
            <w:tcBorders>
              <w:top w:val="single" w:sz="4" w:space="0" w:color="auto"/>
              <w:left w:val="single" w:sz="4" w:space="0" w:color="7F7F7F"/>
              <w:bottom w:val="single" w:sz="4" w:space="0" w:color="auto"/>
              <w:right w:val="single" w:sz="4" w:space="0" w:color="7F7F7F"/>
            </w:tcBorders>
            <w:vAlign w:val="center"/>
            <w:hideMark/>
          </w:tcPr>
          <w:p w14:paraId="097793D4" w14:textId="77777777" w:rsidR="00B503AD" w:rsidRPr="00B503AD" w:rsidRDefault="00B503AD" w:rsidP="00B503AD">
            <w:pPr>
              <w:keepNext/>
              <w:keepLines/>
              <w:snapToGrid w:val="0"/>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0.133</w:t>
            </w:r>
          </w:p>
        </w:tc>
      </w:tr>
      <w:tr w:rsidR="00B503AD" w:rsidRPr="00B503AD" w14:paraId="28034D53" w14:textId="77777777" w:rsidTr="00B503AD">
        <w:tc>
          <w:tcPr>
            <w:cnfStyle w:val="001000000000" w:firstRow="0" w:lastRow="0" w:firstColumn="1" w:lastColumn="0" w:oddVBand="0" w:evenVBand="0" w:oddHBand="0" w:evenHBand="0" w:firstRowFirstColumn="0" w:firstRowLastColumn="0" w:lastRowFirstColumn="0" w:lastRowLastColumn="0"/>
            <w:tcW w:w="547" w:type="pct"/>
            <w:tcBorders>
              <w:left w:val="single" w:sz="4" w:space="0" w:color="7F7F7F"/>
              <w:right w:val="single" w:sz="4" w:space="0" w:color="7F7F7F"/>
            </w:tcBorders>
            <w:vAlign w:val="center"/>
            <w:hideMark/>
          </w:tcPr>
          <w:p w14:paraId="791EA3D2" w14:textId="77777777" w:rsidR="00B503AD" w:rsidRPr="00B503AD" w:rsidRDefault="00B503AD" w:rsidP="00B503AD">
            <w:pPr>
              <w:keepNext/>
              <w:keepLines/>
              <w:snapToGrid w:val="0"/>
              <w:spacing w:before="0"/>
              <w:rPr>
                <w:rFonts w:ascii="Arial Narrow" w:hAnsi="Arial Narrow"/>
                <w:sz w:val="20"/>
                <w:szCs w:val="20"/>
              </w:rPr>
            </w:pPr>
            <w:r w:rsidRPr="00B503AD">
              <w:rPr>
                <w:rFonts w:ascii="Arial Narrow" w:hAnsi="Arial Narrow"/>
                <w:sz w:val="20"/>
                <w:szCs w:val="20"/>
              </w:rPr>
              <w:t>CPS &lt; 20</w:t>
            </w:r>
          </w:p>
        </w:tc>
        <w:tc>
          <w:tcPr>
            <w:tcW w:w="314" w:type="pct"/>
            <w:tcBorders>
              <w:left w:val="single" w:sz="4" w:space="0" w:color="7F7F7F"/>
              <w:right w:val="single" w:sz="4" w:space="0" w:color="7F7F7F"/>
            </w:tcBorders>
            <w:vAlign w:val="center"/>
            <w:hideMark/>
          </w:tcPr>
          <w:p w14:paraId="277F9D10"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426</w:t>
            </w:r>
          </w:p>
        </w:tc>
        <w:tc>
          <w:tcPr>
            <w:tcW w:w="553" w:type="pct"/>
            <w:tcBorders>
              <w:left w:val="single" w:sz="4" w:space="0" w:color="7F7F7F"/>
              <w:right w:val="single" w:sz="4" w:space="0" w:color="7F7F7F"/>
            </w:tcBorders>
            <w:vAlign w:val="center"/>
            <w:hideMark/>
          </w:tcPr>
          <w:p w14:paraId="65B92655"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361 (84.7)</w:t>
            </w:r>
          </w:p>
        </w:tc>
        <w:tc>
          <w:tcPr>
            <w:tcW w:w="802" w:type="pct"/>
            <w:tcBorders>
              <w:left w:val="single" w:sz="4" w:space="0" w:color="7F7F7F"/>
              <w:right w:val="single" w:sz="4" w:space="0" w:color="7F7F7F"/>
            </w:tcBorders>
            <w:vAlign w:val="center"/>
            <w:hideMark/>
          </w:tcPr>
          <w:p w14:paraId="0B007B93"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15.9 [13.9; 17.7]</w:t>
            </w:r>
          </w:p>
        </w:tc>
        <w:tc>
          <w:tcPr>
            <w:tcW w:w="231" w:type="pct"/>
            <w:tcBorders>
              <w:left w:val="single" w:sz="4" w:space="0" w:color="7F7F7F"/>
              <w:right w:val="single" w:sz="4" w:space="0" w:color="7F7F7F"/>
            </w:tcBorders>
            <w:vAlign w:val="center"/>
            <w:hideMark/>
          </w:tcPr>
          <w:p w14:paraId="2C917113"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217</w:t>
            </w:r>
          </w:p>
        </w:tc>
        <w:tc>
          <w:tcPr>
            <w:tcW w:w="553" w:type="pct"/>
            <w:tcBorders>
              <w:left w:val="single" w:sz="4" w:space="0" w:color="7F7F7F"/>
              <w:right w:val="single" w:sz="4" w:space="0" w:color="7F7F7F"/>
            </w:tcBorders>
            <w:vAlign w:val="center"/>
            <w:hideMark/>
          </w:tcPr>
          <w:p w14:paraId="62ABA1FE"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187 (86.2)</w:t>
            </w:r>
          </w:p>
        </w:tc>
        <w:tc>
          <w:tcPr>
            <w:tcW w:w="750" w:type="pct"/>
            <w:tcBorders>
              <w:left w:val="single" w:sz="4" w:space="0" w:color="7F7F7F"/>
              <w:right w:val="single" w:sz="4" w:space="0" w:color="7F7F7F"/>
            </w:tcBorders>
            <w:vAlign w:val="center"/>
            <w:hideMark/>
          </w:tcPr>
          <w:p w14:paraId="6D728109"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15.5 [12.6; 17.6]</w:t>
            </w:r>
          </w:p>
        </w:tc>
        <w:tc>
          <w:tcPr>
            <w:tcW w:w="748" w:type="pct"/>
            <w:tcBorders>
              <w:left w:val="single" w:sz="4" w:space="0" w:color="7F7F7F"/>
              <w:right w:val="single" w:sz="4" w:space="0" w:color="7F7F7F"/>
            </w:tcBorders>
            <w:vAlign w:val="center"/>
            <w:hideMark/>
          </w:tcPr>
          <w:p w14:paraId="5CCD2875"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503AD">
              <w:rPr>
                <w:rFonts w:ascii="Arial Narrow" w:hAnsi="Arial Narrow"/>
                <w:sz w:val="20"/>
                <w:szCs w:val="20"/>
              </w:rPr>
              <w:t>0.96 [0.80; 1.14]</w:t>
            </w:r>
          </w:p>
        </w:tc>
        <w:tc>
          <w:tcPr>
            <w:tcW w:w="497" w:type="pct"/>
            <w:tcBorders>
              <w:left w:val="single" w:sz="4" w:space="0" w:color="7F7F7F"/>
              <w:right w:val="single" w:sz="4" w:space="0" w:color="7F7F7F"/>
            </w:tcBorders>
            <w:vAlign w:val="center"/>
          </w:tcPr>
          <w:p w14:paraId="459609D0" w14:textId="77777777" w:rsidR="00B503AD" w:rsidRPr="00B503AD" w:rsidRDefault="00B503AD" w:rsidP="00B503AD">
            <w:pPr>
              <w:keepNext/>
              <w:keepLines/>
              <w:snapToGrid w:val="0"/>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21BA3E0C" w14:textId="77777777" w:rsidR="00B503AD" w:rsidRPr="00B503AD" w:rsidRDefault="00B503AD" w:rsidP="00B503AD">
      <w:pPr>
        <w:keepNext/>
        <w:keepLines/>
        <w:snapToGrid w:val="0"/>
        <w:spacing w:before="0" w:after="120" w:line="240" w:lineRule="auto"/>
        <w:contextualSpacing/>
        <w:rPr>
          <w:rFonts w:ascii="Arial Narrow" w:eastAsia="Times New Roman" w:hAnsi="Arial Narrow" w:cs="Times New Roman"/>
          <w:sz w:val="18"/>
        </w:rPr>
      </w:pPr>
      <w:r w:rsidRPr="00B503AD">
        <w:rPr>
          <w:rFonts w:ascii="Arial Narrow" w:eastAsia="Calibri" w:hAnsi="Arial Narrow" w:cs="Times New Roman"/>
          <w:sz w:val="18"/>
        </w:rPr>
        <w:t>Source: Table 2.6.1, p75 of the submission.</w:t>
      </w:r>
    </w:p>
    <w:p w14:paraId="00EB247C" w14:textId="77777777" w:rsidR="00B503AD" w:rsidRPr="00B503AD" w:rsidRDefault="00B503AD" w:rsidP="00B503AD">
      <w:pPr>
        <w:keepNext/>
        <w:keepLine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rPr>
        <w:t>CI = confidence interval; CPS = combined positive score</w:t>
      </w:r>
    </w:p>
    <w:p w14:paraId="57E35F85" w14:textId="77777777" w:rsidR="00B503AD" w:rsidRPr="00B503AD" w:rsidRDefault="00B503AD" w:rsidP="00B503AD">
      <w:pPr>
        <w:keepNext/>
        <w:keepLines/>
        <w:tabs>
          <w:tab w:val="left" w:pos="142"/>
        </w:tab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vertAlign w:val="superscript"/>
        </w:rPr>
        <w:t>a</w:t>
      </w:r>
      <w:r w:rsidRPr="00B503AD">
        <w:rPr>
          <w:rFonts w:ascii="Arial Narrow" w:eastAsia="Calibri" w:hAnsi="Arial Narrow" w:cs="Times New Roman"/>
          <w:sz w:val="18"/>
        </w:rPr>
        <w:tab/>
        <w:t xml:space="preserve">Database Cut-off Date: 15JUN2021 </w:t>
      </w:r>
    </w:p>
    <w:p w14:paraId="48D44D2E" w14:textId="77777777" w:rsidR="00B503AD" w:rsidRPr="00B503AD" w:rsidRDefault="00B503AD" w:rsidP="00B503AD">
      <w:pPr>
        <w:keepNext/>
        <w:keepLines/>
        <w:tabs>
          <w:tab w:val="left" w:pos="142"/>
        </w:tab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vertAlign w:val="superscript"/>
        </w:rPr>
        <w:t>b</w:t>
      </w:r>
      <w:r w:rsidRPr="00B503AD">
        <w:rPr>
          <w:rFonts w:ascii="Arial Narrow" w:eastAsia="Calibri" w:hAnsi="Arial Narrow" w:cs="Times New Roman"/>
          <w:sz w:val="18"/>
        </w:rPr>
        <w:tab/>
        <w:t xml:space="preserve">Number of participants: intention-to-treat population </w:t>
      </w:r>
    </w:p>
    <w:p w14:paraId="13A1B72E" w14:textId="77777777" w:rsidR="00B503AD" w:rsidRPr="00B503AD" w:rsidRDefault="00B503AD" w:rsidP="00B503AD">
      <w:pPr>
        <w:keepNext/>
        <w:keepLines/>
        <w:tabs>
          <w:tab w:val="left" w:pos="142"/>
        </w:tab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vertAlign w:val="superscript"/>
        </w:rPr>
        <w:t>c</w:t>
      </w:r>
      <w:r w:rsidRPr="00B503AD">
        <w:rPr>
          <w:rFonts w:ascii="Arial Narrow" w:eastAsia="Calibri" w:hAnsi="Arial Narrow" w:cs="Times New Roman"/>
          <w:sz w:val="18"/>
        </w:rPr>
        <w:tab/>
        <w:t>From product-limit (Kaplan-Meier) method for censored data</w:t>
      </w:r>
    </w:p>
    <w:p w14:paraId="3DFD0E8B" w14:textId="77777777" w:rsidR="00B503AD" w:rsidRPr="00B503AD" w:rsidRDefault="00B503AD" w:rsidP="00B503AD">
      <w:pPr>
        <w:keepNext/>
        <w:keepLines/>
        <w:tabs>
          <w:tab w:val="left" w:pos="142"/>
        </w:tabs>
        <w:snapToGrid w:val="0"/>
        <w:spacing w:before="0" w:after="120" w:line="240" w:lineRule="auto"/>
        <w:contextualSpacing/>
        <w:rPr>
          <w:rFonts w:ascii="Arial Narrow" w:eastAsia="Calibri" w:hAnsi="Arial Narrow" w:cs="Times New Roman"/>
          <w:sz w:val="18"/>
        </w:rPr>
      </w:pPr>
      <w:r w:rsidRPr="00B503AD">
        <w:rPr>
          <w:rFonts w:ascii="Arial Narrow" w:eastAsia="Calibri" w:hAnsi="Arial Narrow" w:cs="Times New Roman"/>
          <w:sz w:val="18"/>
          <w:vertAlign w:val="superscript"/>
        </w:rPr>
        <w:t>d</w:t>
      </w:r>
      <w:r w:rsidRPr="00B503AD">
        <w:rPr>
          <w:rFonts w:ascii="Arial Narrow" w:eastAsia="Calibri" w:hAnsi="Arial Narrow" w:cs="Times New Roman"/>
          <w:sz w:val="18"/>
        </w:rPr>
        <w:tab/>
        <w:t xml:space="preserve"> Based on Cox regression model with treatment as a covariate using Wald confidence interval </w:t>
      </w:r>
    </w:p>
    <w:p w14:paraId="3023B221" w14:textId="1093DA4B" w:rsidR="00B503AD" w:rsidRDefault="00B503AD" w:rsidP="0064030F">
      <w:pPr>
        <w:keepNext/>
        <w:keepLines/>
        <w:tabs>
          <w:tab w:val="left" w:pos="142"/>
        </w:tabs>
        <w:snapToGrid w:val="0"/>
        <w:spacing w:before="0" w:after="240" w:line="240" w:lineRule="auto"/>
        <w:rPr>
          <w:rFonts w:ascii="Arial Narrow" w:eastAsia="Calibri" w:hAnsi="Arial Narrow" w:cs="Times New Roman"/>
          <w:sz w:val="18"/>
        </w:rPr>
      </w:pPr>
      <w:r w:rsidRPr="00B503AD">
        <w:rPr>
          <w:rFonts w:ascii="Arial Narrow" w:eastAsia="Calibri" w:hAnsi="Arial Narrow" w:cs="Times New Roman"/>
          <w:sz w:val="18"/>
          <w:vertAlign w:val="superscript"/>
        </w:rPr>
        <w:t>e</w:t>
      </w:r>
      <w:r w:rsidRPr="00B503AD">
        <w:rPr>
          <w:rFonts w:ascii="Arial Narrow" w:eastAsia="Calibri" w:hAnsi="Arial Narrow" w:cs="Times New Roman"/>
          <w:sz w:val="18"/>
        </w:rPr>
        <w:tab/>
        <w:t>Based on Cox model with treatment and subgroup as covariates, and treatment-by-subgroup interaction (p-value of likelihood ratio test for interaction term)</w:t>
      </w:r>
    </w:p>
    <w:p w14:paraId="61D11645" w14:textId="05CF98F9" w:rsidR="00AA075C" w:rsidRDefault="00B503AD" w:rsidP="0064030F">
      <w:pPr>
        <w:spacing w:before="240"/>
        <w:rPr>
          <w:lang w:val="en-US"/>
        </w:rPr>
      </w:pPr>
      <w:r w:rsidRPr="00B503AD">
        <w:rPr>
          <w:lang w:val="en-US"/>
        </w:rPr>
        <w:t xml:space="preserve">The subgroup analysis reported CPS ≥20 as not statistically significant (OS HR 0.72, 95%CI 0.51, 1.01). The submission considered that there is a treatment effect modification for CPS ≥10 compared to CPS &lt;10, but there was no significant interaction for CPS ≥1 compared to CPS &lt;1, or for CPS ≥20 compared to CPS &lt;20. </w:t>
      </w:r>
    </w:p>
    <w:p w14:paraId="705DA282" w14:textId="69503338" w:rsidR="00AA075C" w:rsidRDefault="00B503AD" w:rsidP="000064E4">
      <w:pPr>
        <w:rPr>
          <w:lang w:val="en-US"/>
        </w:rPr>
      </w:pPr>
      <w:r w:rsidRPr="00B503AD">
        <w:rPr>
          <w:lang w:val="en-US"/>
        </w:rPr>
        <w:t xml:space="preserve">The submission concluded that this was strong evidence that the PD-L1 test is required to obtain a statistically significant overall survival benefit with pembrolizumab in TNBC, and that the most appropriate </w:t>
      </w:r>
      <w:r w:rsidR="00CF085E">
        <w:rPr>
          <w:lang w:val="en-US"/>
        </w:rPr>
        <w:t>threshold</w:t>
      </w:r>
      <w:r w:rsidRPr="00B503AD">
        <w:rPr>
          <w:lang w:val="en-US"/>
        </w:rPr>
        <w:t xml:space="preserve"> is CPS ≥10. </w:t>
      </w:r>
      <w:r w:rsidR="00AA075C" w:rsidRPr="00AA075C">
        <w:t xml:space="preserve">The </w:t>
      </w:r>
      <w:r w:rsidR="00AA075C">
        <w:t>submission considered the</w:t>
      </w:r>
      <w:r w:rsidR="006A1C60">
        <w:t xml:space="preserve"> </w:t>
      </w:r>
      <w:r w:rsidR="00AA075C" w:rsidRPr="00AA075C">
        <w:t>appropriateness of the CPS</w:t>
      </w:r>
      <w:r w:rsidR="00C5618C">
        <w:t xml:space="preserve"> </w:t>
      </w:r>
      <w:r w:rsidR="00AA075C" w:rsidRPr="00AA075C">
        <w:t xml:space="preserve">≥10 cut point was further supported by subgroup </w:t>
      </w:r>
      <w:r w:rsidR="00CF085E" w:rsidRPr="00AA075C">
        <w:t xml:space="preserve">analysis </w:t>
      </w:r>
      <w:r w:rsidR="00CF085E">
        <w:t>that</w:t>
      </w:r>
      <w:r w:rsidR="00C5618C">
        <w:t xml:space="preserve"> </w:t>
      </w:r>
      <w:r w:rsidR="00AA075C" w:rsidRPr="00AA075C">
        <w:t>showed a similar magnitude of survival benefit was apparent in the CPS 10-19 population and the CPS</w:t>
      </w:r>
      <w:r w:rsidR="00C5618C">
        <w:t xml:space="preserve"> </w:t>
      </w:r>
      <w:r w:rsidR="00AA075C" w:rsidRPr="00AA075C">
        <w:t>≥20 group, but there was no evidence of a survival benefit in the CPS &lt;1 and CPS 1-9 groups, despite the latter two subgroups being of sufficient size (CPS</w:t>
      </w:r>
      <w:r w:rsidR="00C5618C">
        <w:t xml:space="preserve"> </w:t>
      </w:r>
      <w:r w:rsidR="00AA075C" w:rsidRPr="00AA075C">
        <w:t>&lt;1 n=141; CPS 1-9 n=205)</w:t>
      </w:r>
      <w:r w:rsidR="00AA075C">
        <w:t xml:space="preserve">. </w:t>
      </w:r>
      <w:r w:rsidR="00AA075C" w:rsidRPr="00AA075C">
        <w:t xml:space="preserve"> </w:t>
      </w:r>
      <w:r w:rsidR="00AA075C">
        <w:t>The submission considered that t</w:t>
      </w:r>
      <w:r w:rsidR="00AA075C" w:rsidRPr="00AA075C">
        <w:t>his indicated that the CPS</w:t>
      </w:r>
      <w:r w:rsidR="00C5618C">
        <w:t xml:space="preserve"> </w:t>
      </w:r>
      <w:r w:rsidR="00AA075C" w:rsidRPr="00AA075C">
        <w:t>≥10 survival benefit is driven by both the CPS 10-19 group, as well as the CPS &gt;20 group, not by CPS</w:t>
      </w:r>
      <w:r w:rsidR="00C5618C">
        <w:t xml:space="preserve"> </w:t>
      </w:r>
      <w:r w:rsidR="00AA075C" w:rsidRPr="00AA075C">
        <w:t>&gt;20 alone</w:t>
      </w:r>
      <w:r w:rsidR="00AA075C">
        <w:t>.</w:t>
      </w:r>
    </w:p>
    <w:p w14:paraId="71B52001" w14:textId="1DE60E02" w:rsidR="00B503AD" w:rsidRPr="0064030F" w:rsidRDefault="00B503AD" w:rsidP="0064030F">
      <w:pPr>
        <w:rPr>
          <w:lang w:val="en-US"/>
        </w:rPr>
      </w:pPr>
      <w:r w:rsidRPr="00B503AD">
        <w:rPr>
          <w:lang w:val="en-US"/>
        </w:rPr>
        <w:t>The Kaplan</w:t>
      </w:r>
      <w:r w:rsidR="00C5618C">
        <w:rPr>
          <w:lang w:val="en-US"/>
        </w:rPr>
        <w:t xml:space="preserve"> </w:t>
      </w:r>
      <w:r w:rsidRPr="00B503AD">
        <w:rPr>
          <w:lang w:val="en-US"/>
        </w:rPr>
        <w:t xml:space="preserve">Meier curves for the CPS &lt;10 subgroup were provided in the </w:t>
      </w:r>
      <w:r w:rsidR="00B76E84" w:rsidRPr="00B76E84">
        <w:rPr>
          <w:lang w:val="en-US"/>
        </w:rPr>
        <w:t xml:space="preserve">PBAC </w:t>
      </w:r>
      <w:r w:rsidRPr="00B503AD">
        <w:rPr>
          <w:lang w:val="en-US"/>
        </w:rPr>
        <w:t xml:space="preserve">PSCR and are show in </w:t>
      </w:r>
      <w:r w:rsidRPr="002127E9">
        <w:rPr>
          <w:lang w:val="en-US"/>
        </w:rPr>
        <w:fldChar w:fldCharType="begin"/>
      </w:r>
      <w:r w:rsidRPr="002127E9">
        <w:rPr>
          <w:lang w:val="en-US"/>
        </w:rPr>
        <w:instrText xml:space="preserve"> REF _Ref127534357 \h  \* MERGEFORMAT </w:instrText>
      </w:r>
      <w:r w:rsidRPr="002127E9">
        <w:rPr>
          <w:lang w:val="en-US"/>
        </w:rPr>
      </w:r>
      <w:r w:rsidRPr="002127E9">
        <w:rPr>
          <w:lang w:val="en-US"/>
        </w:rPr>
        <w:fldChar w:fldCharType="separate"/>
      </w:r>
      <w:r w:rsidR="000E4BEF" w:rsidRPr="002127E9">
        <w:rPr>
          <w:lang w:val="en-US"/>
        </w:rPr>
        <w:t>Figure</w:t>
      </w:r>
      <w:r w:rsidR="000E4BEF" w:rsidRPr="002127E9">
        <w:rPr>
          <w:noProof/>
          <w:lang w:val="en-US"/>
        </w:rPr>
        <w:t xml:space="preserve"> </w:t>
      </w:r>
      <w:r w:rsidR="000E4BEF" w:rsidRPr="002127E9">
        <w:rPr>
          <w:rFonts w:eastAsia="Calibri" w:cs="Times New Roman"/>
          <w:noProof/>
          <w:lang w:val="en-US"/>
        </w:rPr>
        <w:t>5</w:t>
      </w:r>
      <w:r w:rsidRPr="002127E9">
        <w:rPr>
          <w:lang w:val="en-US"/>
        </w:rPr>
        <w:fldChar w:fldCharType="end"/>
      </w:r>
      <w:r w:rsidRPr="002127E9">
        <w:rPr>
          <w:lang w:val="en-US"/>
        </w:rPr>
        <w:t>.</w:t>
      </w:r>
    </w:p>
    <w:p w14:paraId="579CBB1F" w14:textId="77777777" w:rsidR="002C2450" w:rsidRDefault="00B503AD" w:rsidP="002C2450">
      <w:pPr>
        <w:keepNext/>
        <w:keepLines/>
        <w:spacing w:after="0" w:line="240" w:lineRule="auto"/>
        <w:rPr>
          <w:rFonts w:ascii="Arial Narrow" w:eastAsia="Calibri" w:hAnsi="Arial Narrow" w:cs="Times New Roman"/>
          <w:b/>
          <w:bCs/>
          <w:szCs w:val="18"/>
          <w:lang w:val="en-US"/>
        </w:rPr>
      </w:pPr>
      <w:r w:rsidRPr="00B503AD">
        <w:rPr>
          <w:rFonts w:ascii="Arial Narrow" w:eastAsia="Calibri" w:hAnsi="Arial Narrow" w:cs="Times New Roman"/>
          <w:b/>
          <w:bCs/>
          <w:noProof/>
          <w:szCs w:val="18"/>
          <w:lang w:eastAsia="en-AU"/>
        </w:rPr>
        <w:drawing>
          <wp:inline distT="0" distB="0" distL="0" distR="0" wp14:anchorId="41268F77" wp14:editId="4100B8DA">
            <wp:extent cx="2809875" cy="2553970"/>
            <wp:effectExtent l="0" t="0" r="9525" b="0"/>
            <wp:docPr id="18" name="Picture 2" descr="Kaplan-Meier Estimates of OS in the CPS&lt;1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Kaplan-Meier Estimates of OS in the CPS&lt;10 popul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2553970"/>
                    </a:xfrm>
                    <a:prstGeom prst="rect">
                      <a:avLst/>
                    </a:prstGeom>
                    <a:noFill/>
                  </pic:spPr>
                </pic:pic>
              </a:graphicData>
            </a:graphic>
          </wp:inline>
        </w:drawing>
      </w:r>
      <w:r w:rsidRPr="00B503AD">
        <w:rPr>
          <w:rFonts w:ascii="Arial Narrow" w:eastAsia="Calibri" w:hAnsi="Arial Narrow" w:cs="Times New Roman"/>
          <w:b/>
          <w:bCs/>
          <w:noProof/>
          <w:szCs w:val="18"/>
          <w:lang w:eastAsia="en-AU"/>
        </w:rPr>
        <w:drawing>
          <wp:inline distT="0" distB="0" distL="0" distR="0" wp14:anchorId="4FCC8375" wp14:editId="04E37C20">
            <wp:extent cx="2771775" cy="2596515"/>
            <wp:effectExtent l="0" t="0" r="9525" b="0"/>
            <wp:docPr id="17" name="Picture 3" descr="Kaplan-Meier Estimates PFS in the CPS&lt;1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Kaplan-Meier Estimates PFS in the CPS&lt;10 popul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1775" cy="2596515"/>
                    </a:xfrm>
                    <a:prstGeom prst="rect">
                      <a:avLst/>
                    </a:prstGeom>
                    <a:noFill/>
                  </pic:spPr>
                </pic:pic>
              </a:graphicData>
            </a:graphic>
          </wp:inline>
        </w:drawing>
      </w:r>
      <w:bookmarkStart w:id="23" w:name="_Ref127534357"/>
    </w:p>
    <w:p w14:paraId="4C99C43E" w14:textId="10938B34" w:rsidR="00B503AD" w:rsidRPr="00DE6388" w:rsidRDefault="00B503AD" w:rsidP="002C2450">
      <w:pPr>
        <w:keepNext/>
        <w:keepLines/>
        <w:spacing w:after="0" w:line="240" w:lineRule="auto"/>
        <w:rPr>
          <w:rFonts w:ascii="Arial Narrow" w:eastAsia="Calibri" w:hAnsi="Arial Narrow" w:cs="Times New Roman"/>
          <w:b/>
          <w:sz w:val="20"/>
          <w:szCs w:val="20"/>
          <w:lang w:val="en-US"/>
        </w:rPr>
      </w:pPr>
      <w:r w:rsidRPr="00DE6388">
        <w:rPr>
          <w:rFonts w:ascii="Arial Narrow" w:eastAsia="Calibri" w:hAnsi="Arial Narrow" w:cs="Times New Roman"/>
          <w:b/>
          <w:sz w:val="20"/>
          <w:szCs w:val="20"/>
          <w:lang w:val="en-US"/>
        </w:rPr>
        <w:t xml:space="preserve">Figure </w:t>
      </w:r>
      <w:r w:rsidRPr="00DE6388">
        <w:rPr>
          <w:rFonts w:ascii="Arial Narrow" w:eastAsia="Calibri" w:hAnsi="Arial Narrow" w:cs="Times New Roman"/>
          <w:b/>
          <w:sz w:val="20"/>
          <w:szCs w:val="20"/>
          <w:lang w:val="en-US"/>
        </w:rPr>
        <w:fldChar w:fldCharType="begin"/>
      </w:r>
      <w:r w:rsidRPr="00DE6388">
        <w:rPr>
          <w:rFonts w:ascii="Arial Narrow" w:eastAsia="Calibri" w:hAnsi="Arial Narrow" w:cs="Times New Roman"/>
          <w:b/>
          <w:sz w:val="20"/>
          <w:szCs w:val="20"/>
          <w:lang w:val="en-US"/>
        </w:rPr>
        <w:instrText xml:space="preserve"> SEQ Figure \* ARABIC </w:instrText>
      </w:r>
      <w:r w:rsidRPr="00DE6388">
        <w:rPr>
          <w:rFonts w:ascii="Arial Narrow" w:eastAsia="Calibri" w:hAnsi="Arial Narrow" w:cs="Times New Roman"/>
          <w:b/>
          <w:sz w:val="20"/>
          <w:szCs w:val="20"/>
          <w:lang w:val="en-US"/>
        </w:rPr>
        <w:fldChar w:fldCharType="separate"/>
      </w:r>
      <w:r w:rsidR="000E4BEF">
        <w:rPr>
          <w:rFonts w:ascii="Arial Narrow" w:eastAsia="Calibri" w:hAnsi="Arial Narrow" w:cs="Times New Roman"/>
          <w:b/>
          <w:noProof/>
          <w:sz w:val="20"/>
          <w:szCs w:val="20"/>
          <w:lang w:val="en-US"/>
        </w:rPr>
        <w:t>5</w:t>
      </w:r>
      <w:r w:rsidRPr="00DE6388">
        <w:rPr>
          <w:rFonts w:ascii="Arial Narrow" w:eastAsia="Calibri" w:hAnsi="Arial Narrow" w:cs="Times New Roman"/>
          <w:b/>
          <w:sz w:val="20"/>
          <w:szCs w:val="20"/>
          <w:lang w:val="en-US"/>
        </w:rPr>
        <w:fldChar w:fldCharType="end"/>
      </w:r>
      <w:bookmarkEnd w:id="23"/>
      <w:r w:rsidRPr="00DE6388">
        <w:rPr>
          <w:rFonts w:ascii="Arial Narrow" w:eastAsia="Calibri" w:hAnsi="Arial Narrow" w:cs="Times New Roman"/>
          <w:b/>
          <w:sz w:val="20"/>
          <w:szCs w:val="20"/>
          <w:lang w:val="en-US"/>
        </w:rPr>
        <w:t>: Kaplan-Meier Estimates of OS (left) and PFS (right) in the CPS&lt;10 population</w:t>
      </w:r>
    </w:p>
    <w:p w14:paraId="420A5E5B" w14:textId="6F7679A9" w:rsidR="00B503AD" w:rsidRPr="00AA075C" w:rsidRDefault="00B503AD" w:rsidP="002C2450">
      <w:pPr>
        <w:snapToGrid w:val="0"/>
        <w:spacing w:before="0" w:after="240" w:line="240" w:lineRule="auto"/>
        <w:rPr>
          <w:rFonts w:ascii="Arial Narrow" w:eastAsia="Calibri" w:hAnsi="Arial Narrow" w:cs="Times New Roman"/>
          <w:sz w:val="18"/>
          <w:lang w:val="en-US"/>
        </w:rPr>
      </w:pPr>
      <w:r w:rsidRPr="00B503AD">
        <w:rPr>
          <w:rFonts w:ascii="Arial Narrow" w:eastAsia="Calibri" w:hAnsi="Arial Narrow" w:cs="Times New Roman"/>
          <w:sz w:val="18"/>
          <w:lang w:val="en-US"/>
        </w:rPr>
        <w:t xml:space="preserve">Source: </w:t>
      </w:r>
      <w:r w:rsidR="00B76E84" w:rsidRPr="00AA075C">
        <w:rPr>
          <w:rFonts w:ascii="Arial Narrow" w:eastAsia="Calibri" w:hAnsi="Arial Narrow" w:cs="Times New Roman"/>
          <w:sz w:val="18"/>
          <w:lang w:val="en-US"/>
        </w:rPr>
        <w:t xml:space="preserve">PBAC </w:t>
      </w:r>
      <w:r w:rsidRPr="00B503AD">
        <w:rPr>
          <w:rFonts w:ascii="Arial Narrow" w:eastAsia="Calibri" w:hAnsi="Arial Narrow" w:cs="Times New Roman"/>
          <w:sz w:val="18"/>
          <w:lang w:val="en-US"/>
        </w:rPr>
        <w:t>PSCR Attachment 2</w:t>
      </w:r>
    </w:p>
    <w:p w14:paraId="6460D7CE" w14:textId="0850EC61" w:rsidR="0025698C" w:rsidRPr="0025698C" w:rsidRDefault="00B503AD" w:rsidP="002C2450">
      <w:pPr>
        <w:spacing w:before="240"/>
        <w:rPr>
          <w:lang w:val="en-US"/>
        </w:rPr>
      </w:pPr>
      <w:r w:rsidRPr="00B503AD">
        <w:rPr>
          <w:lang w:val="en-US"/>
        </w:rPr>
        <w:t>Given the statistically significant test for treatment effect modification between the CPS ≥10 and CPS &lt;10 subgroups and the lack of a statistically significant difference in treatment effect for pembrolizumab in the CPS &lt;10 subgroup, the</w:t>
      </w:r>
      <w:r w:rsidR="00B76E84" w:rsidRPr="00B76E84">
        <w:rPr>
          <w:lang w:val="en-US"/>
        </w:rPr>
        <w:t xml:space="preserve"> PBAC</w:t>
      </w:r>
      <w:r w:rsidRPr="00B503AD">
        <w:rPr>
          <w:lang w:val="en-US"/>
        </w:rPr>
        <w:t xml:space="preserve"> ESC agreed with the commentary that the submission’s request for treatment in the CPS ≥10 subgroup may be reasonable, noting there remained a potential for bias in terms of the statistical analysis</w:t>
      </w:r>
      <w:r w:rsidR="0025698C">
        <w:rPr>
          <w:lang w:val="en-US"/>
        </w:rPr>
        <w:t xml:space="preserve">. </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1ECB32D6" w14:textId="6F0F50D1" w:rsidR="00851A93" w:rsidRDefault="002163F0" w:rsidP="00851A93">
      <w:r>
        <w:t xml:space="preserve">The </w:t>
      </w:r>
      <w:r w:rsidR="00851A93">
        <w:t xml:space="preserve">PBAC submission claimed that pembrolizumab + chemotherapy has superior efficacy and an inferior, but manageable safety profile compared with chemotherapy alone in metastatic TNBC patients whose tumours express PD-L1 at a </w:t>
      </w:r>
      <w:r w:rsidR="00CF085E">
        <w:t>threshold</w:t>
      </w:r>
      <w:r w:rsidR="00851A93">
        <w:t xml:space="preserve"> of CPS ≥10. </w:t>
      </w:r>
    </w:p>
    <w:p w14:paraId="6825B4C8" w14:textId="399C4D73" w:rsidR="0025698C" w:rsidRDefault="00851A93" w:rsidP="00851A93">
      <w:r>
        <w:t>The submission considered the codependency between PD-L1 expression at the CPS</w:t>
      </w:r>
      <w:r w:rsidR="00C5618C">
        <w:t xml:space="preserve"> </w:t>
      </w:r>
      <w:r>
        <w:t xml:space="preserve">≥10 threshold and treatment benefit from pembrolizumab was demonstrated as the KN355 trial did not demonstrate a benefit of adding pembrolizumab to chemotherapy in the PD-L1 CPS &lt;10 population or the ITT population. </w:t>
      </w:r>
    </w:p>
    <w:p w14:paraId="2BAF185B" w14:textId="0E59BC73" w:rsidR="002028A2" w:rsidRDefault="00851A93" w:rsidP="00851A93">
      <w:r>
        <w:t xml:space="preserve">The submission considered </w:t>
      </w:r>
      <w:r w:rsidR="002028A2">
        <w:t xml:space="preserve">the codependency between PD-L1 expression and treatment benefit from pembrolizumab in TNBC was consistent with MSAC’s previous acceptance of the codependency between PD-L1 expression and </w:t>
      </w:r>
      <w:r w:rsidR="002028A2" w:rsidRPr="002028A2">
        <w:t>atezolizumab</w:t>
      </w:r>
      <w:r w:rsidR="002028A2">
        <w:t xml:space="preserve"> in TNBC (</w:t>
      </w:r>
      <w:hyperlink r:id="rId22" w:history="1">
        <w:r w:rsidR="002028A2" w:rsidRPr="002028A2">
          <w:rPr>
            <w:rStyle w:val="Hyperlink"/>
          </w:rPr>
          <w:t>Application 1570</w:t>
        </w:r>
      </w:hyperlink>
      <w:r w:rsidR="002028A2">
        <w:t xml:space="preserve">). </w:t>
      </w:r>
    </w:p>
    <w:p w14:paraId="29A5E4F0" w14:textId="63D8CE5E" w:rsidR="000064E4" w:rsidRPr="00B073CA" w:rsidRDefault="00F51D4C" w:rsidP="000064E4">
      <w:pPr>
        <w:rPr>
          <w:i/>
          <w:iCs/>
        </w:rPr>
      </w:pPr>
      <w:r>
        <w:rPr>
          <w:i/>
          <w:iCs/>
        </w:rPr>
        <w:t xml:space="preserve">The clinical claim that pembrolizumab has superior effectiveness in the </w:t>
      </w:r>
      <w:r w:rsidRPr="00F51D4C">
        <w:rPr>
          <w:i/>
          <w:iCs/>
        </w:rPr>
        <w:t>CPS ≥10</w:t>
      </w:r>
      <w:r>
        <w:rPr>
          <w:i/>
          <w:iCs/>
        </w:rPr>
        <w:t xml:space="preserve"> subgroup appeared to be supported. Given the lack of benefit in the ITT and CPS</w:t>
      </w:r>
      <w:r w:rsidR="00C5618C">
        <w:rPr>
          <w:i/>
          <w:iCs/>
        </w:rPr>
        <w:t xml:space="preserve"> </w:t>
      </w:r>
      <w:r>
        <w:rPr>
          <w:i/>
          <w:iCs/>
        </w:rPr>
        <w:t xml:space="preserve">&lt;10 population, MSAC is asked to consider whether PD-L1 IHC is essential for determining eligibility </w:t>
      </w:r>
      <w:r w:rsidR="00893AD4">
        <w:rPr>
          <w:i/>
          <w:iCs/>
        </w:rPr>
        <w:t xml:space="preserve">to pembrolizumab therapy for advanced TNBC. </w:t>
      </w:r>
    </w:p>
    <w:p w14:paraId="0D09C9E4" w14:textId="34266DD1" w:rsidR="00772829" w:rsidRPr="00CE28E3" w:rsidRDefault="00C36633" w:rsidP="002A18BE">
      <w:pPr>
        <w:pStyle w:val="Heading2"/>
        <w:numPr>
          <w:ilvl w:val="0"/>
          <w:numId w:val="0"/>
        </w:numPr>
      </w:pPr>
      <w:bookmarkStart w:id="24" w:name="_Toc69491425"/>
      <w:r>
        <w:t>1</w:t>
      </w:r>
      <w:r w:rsidR="000C2287">
        <w:t>3</w:t>
      </w:r>
      <w:r>
        <w:t>.</w:t>
      </w:r>
      <w:r>
        <w:tab/>
      </w:r>
      <w:r w:rsidR="00772829" w:rsidRPr="00CE28E3">
        <w:t>Economic evaluation</w:t>
      </w:r>
      <w:bookmarkEnd w:id="24"/>
    </w:p>
    <w:p w14:paraId="50B47303" w14:textId="73172BFC" w:rsidR="003127A3" w:rsidRPr="0064030F" w:rsidRDefault="003127A3" w:rsidP="0064030F">
      <w:r w:rsidRPr="0064030F">
        <w:t xml:space="preserve">The submission presented a cost utility analysis. </w:t>
      </w:r>
      <w:r w:rsidRPr="0064030F">
        <w:fldChar w:fldCharType="begin"/>
      </w:r>
      <w:r w:rsidRPr="0064030F">
        <w:instrText xml:space="preserve"> REF _Ref123752245 \h </w:instrText>
      </w:r>
      <w:r w:rsidR="0064030F">
        <w:instrText xml:space="preserve"> \* MERGEFORMAT </w:instrText>
      </w:r>
      <w:r w:rsidRPr="0064030F">
        <w:fldChar w:fldCharType="separate"/>
      </w:r>
      <w:r w:rsidR="000E4BEF" w:rsidRPr="00443E6B">
        <w:t>Table 5</w:t>
      </w:r>
      <w:r w:rsidRPr="0064030F">
        <w:fldChar w:fldCharType="end"/>
      </w:r>
      <w:r w:rsidRPr="0064030F">
        <w:t xml:space="preserve"> presents key components of the economic evaluation. </w:t>
      </w:r>
    </w:p>
    <w:p w14:paraId="35AD2936" w14:textId="732F8342" w:rsidR="003127A3" w:rsidRPr="003127A3" w:rsidRDefault="003127A3" w:rsidP="003127A3">
      <w:pPr>
        <w:pStyle w:val="TableHeading0"/>
        <w:keepNext/>
      </w:pPr>
      <w:bookmarkStart w:id="25" w:name="_Ref123752245"/>
      <w:r w:rsidRPr="003127A3">
        <w:rPr>
          <w:szCs w:val="24"/>
        </w:rPr>
        <w:t xml:space="preserve">Table </w:t>
      </w:r>
      <w:r w:rsidRPr="003127A3">
        <w:rPr>
          <w:szCs w:val="24"/>
        </w:rPr>
        <w:fldChar w:fldCharType="begin"/>
      </w:r>
      <w:r w:rsidRPr="003127A3">
        <w:rPr>
          <w:szCs w:val="24"/>
        </w:rPr>
        <w:instrText xml:space="preserve"> SEQ Table \* ARABIC </w:instrText>
      </w:r>
      <w:r w:rsidRPr="003127A3">
        <w:rPr>
          <w:szCs w:val="24"/>
        </w:rPr>
        <w:fldChar w:fldCharType="separate"/>
      </w:r>
      <w:r w:rsidR="000E4BEF">
        <w:rPr>
          <w:noProof/>
          <w:szCs w:val="24"/>
        </w:rPr>
        <w:t>5</w:t>
      </w:r>
      <w:r w:rsidRPr="003127A3">
        <w:rPr>
          <w:szCs w:val="24"/>
        </w:rPr>
        <w:fldChar w:fldCharType="end"/>
      </w:r>
      <w:bookmarkEnd w:id="25"/>
      <w:r w:rsidRPr="003127A3">
        <w:rPr>
          <w:szCs w:val="24"/>
        </w:rPr>
        <w:t>:</w:t>
      </w:r>
      <w:r w:rsidRPr="003127A3">
        <w:t xml:space="preserve"> Key components of the economic evaluation</w:t>
      </w:r>
    </w:p>
    <w:tbl>
      <w:tblPr>
        <w:tblStyle w:val="TableGrid1"/>
        <w:tblW w:w="5000" w:type="pct"/>
        <w:tblCellMar>
          <w:left w:w="28" w:type="dxa"/>
          <w:right w:w="28" w:type="dxa"/>
        </w:tblCellMar>
        <w:tblLook w:val="01E0" w:firstRow="1" w:lastRow="1" w:firstColumn="1" w:lastColumn="1" w:noHBand="0" w:noVBand="0"/>
      </w:tblPr>
      <w:tblGrid>
        <w:gridCol w:w="2517"/>
        <w:gridCol w:w="6499"/>
      </w:tblGrid>
      <w:tr w:rsidR="003127A3" w:rsidRPr="003127A3" w14:paraId="57F388D5" w14:textId="77777777" w:rsidTr="003127A3">
        <w:trPr>
          <w:cnfStyle w:val="100000000000" w:firstRow="1" w:lastRow="0" w:firstColumn="0" w:lastColumn="0" w:oddVBand="0" w:evenVBand="0" w:oddHBand="0" w:evenHBand="0" w:firstRowFirstColumn="0" w:firstRowLastColumn="0" w:lastRowFirstColumn="0" w:lastRowLastColumn="0"/>
          <w:tblHeader/>
        </w:trPr>
        <w:tc>
          <w:tcPr>
            <w:tcW w:w="1396" w:type="pct"/>
            <w:tcBorders>
              <w:top w:val="single" w:sz="4" w:space="0" w:color="auto"/>
              <w:left w:val="single" w:sz="4" w:space="0" w:color="auto"/>
              <w:bottom w:val="single" w:sz="4" w:space="0" w:color="auto"/>
              <w:right w:val="single" w:sz="4" w:space="0" w:color="auto"/>
            </w:tcBorders>
            <w:vAlign w:val="center"/>
            <w:hideMark/>
          </w:tcPr>
          <w:p w14:paraId="4F12BE67" w14:textId="77777777" w:rsidR="003127A3" w:rsidRPr="003127A3" w:rsidRDefault="003127A3" w:rsidP="003127A3">
            <w:pPr>
              <w:keepNext/>
              <w:spacing w:before="0" w:after="0"/>
              <w:rPr>
                <w:rFonts w:ascii="Arial Narrow" w:eastAsia="MS Gothic" w:hAnsi="Arial Narrow"/>
                <w:b/>
                <w:szCs w:val="24"/>
              </w:rPr>
            </w:pPr>
            <w:r w:rsidRPr="003127A3">
              <w:rPr>
                <w:rFonts w:ascii="Arial Narrow" w:eastAsia="MS Gothic" w:hAnsi="Arial Narrow"/>
                <w:b/>
                <w:szCs w:val="24"/>
              </w:rPr>
              <w:t>Component</w:t>
            </w:r>
          </w:p>
        </w:tc>
        <w:tc>
          <w:tcPr>
            <w:tcW w:w="3604" w:type="pct"/>
            <w:tcBorders>
              <w:top w:val="single" w:sz="4" w:space="0" w:color="auto"/>
              <w:left w:val="single" w:sz="4" w:space="0" w:color="auto"/>
              <w:bottom w:val="single" w:sz="4" w:space="0" w:color="auto"/>
              <w:right w:val="single" w:sz="4" w:space="0" w:color="auto"/>
            </w:tcBorders>
            <w:vAlign w:val="center"/>
            <w:hideMark/>
          </w:tcPr>
          <w:p w14:paraId="1D1F61B1" w14:textId="77777777" w:rsidR="003127A3" w:rsidRPr="003127A3" w:rsidRDefault="003127A3" w:rsidP="003127A3">
            <w:pPr>
              <w:keepNext/>
              <w:spacing w:before="0" w:after="0"/>
              <w:rPr>
                <w:rFonts w:ascii="Arial Narrow" w:eastAsia="MS Gothic" w:hAnsi="Arial Narrow"/>
                <w:b/>
                <w:szCs w:val="24"/>
              </w:rPr>
            </w:pPr>
            <w:r w:rsidRPr="003127A3">
              <w:rPr>
                <w:rFonts w:ascii="Arial Narrow" w:eastAsia="MS Gothic" w:hAnsi="Arial Narrow"/>
                <w:b/>
                <w:szCs w:val="24"/>
              </w:rPr>
              <w:t>Summary</w:t>
            </w:r>
          </w:p>
        </w:tc>
      </w:tr>
      <w:tr w:rsidR="003127A3" w:rsidRPr="003127A3" w14:paraId="1796865B"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34D542CC"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Treatments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47069C4"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Pembrolizumab + chemotherapy vs. chemotherapy</w:t>
            </w:r>
          </w:p>
        </w:tc>
      </w:tr>
      <w:tr w:rsidR="003127A3" w:rsidRPr="003127A3" w14:paraId="221E6F7A"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04AD182B"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Time horizon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F84EB8E"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15 years in the model base-case</w:t>
            </w:r>
          </w:p>
          <w:p w14:paraId="294DA0CC"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Sensitivity analysis considers a time horizon of 12 and 17 years</w:t>
            </w:r>
          </w:p>
        </w:tc>
      </w:tr>
      <w:tr w:rsidR="003127A3" w:rsidRPr="003127A3" w14:paraId="361DC24C"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04A76C19"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Outcomes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5EAA737"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QALY and LY</w:t>
            </w:r>
          </w:p>
        </w:tc>
      </w:tr>
      <w:tr w:rsidR="003127A3" w:rsidRPr="003127A3" w14:paraId="78F5E847"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2EB3A4DE"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Methods used to generate results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3CC8A886"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Partitioned survival analysis</w:t>
            </w:r>
          </w:p>
        </w:tc>
      </w:tr>
      <w:tr w:rsidR="003127A3" w:rsidRPr="003127A3" w14:paraId="548E6DAC"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0CDCF690"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Health states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13EBB514"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Progression free (PF), Progressive disease (PD) and death</w:t>
            </w:r>
          </w:p>
        </w:tc>
      </w:tr>
      <w:tr w:rsidR="003127A3" w:rsidRPr="003127A3" w14:paraId="09D68DE4"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77123C2B"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Cycle length</w:t>
            </w:r>
          </w:p>
        </w:tc>
        <w:tc>
          <w:tcPr>
            <w:tcW w:w="3604" w:type="pct"/>
            <w:tcBorders>
              <w:top w:val="single" w:sz="4" w:space="0" w:color="auto"/>
              <w:left w:val="single" w:sz="4" w:space="0" w:color="auto"/>
              <w:bottom w:val="single" w:sz="4" w:space="0" w:color="auto"/>
              <w:right w:val="single" w:sz="4" w:space="0" w:color="auto"/>
            </w:tcBorders>
            <w:vAlign w:val="center"/>
            <w:hideMark/>
          </w:tcPr>
          <w:p w14:paraId="119B31EA"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 xml:space="preserve">1 week, with half-cycle correction </w:t>
            </w:r>
          </w:p>
        </w:tc>
      </w:tr>
      <w:tr w:rsidR="003127A3" w:rsidRPr="003127A3" w14:paraId="43EBE94A"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070E19EE"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 xml:space="preserve">Allocation to health states </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305787B"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Determined by PF and Overall Survival (OS) curves from KN355</w:t>
            </w:r>
          </w:p>
        </w:tc>
      </w:tr>
      <w:tr w:rsidR="003127A3" w:rsidRPr="003127A3" w14:paraId="4983F5F1"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4C619738"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Extrapolation method</w:t>
            </w:r>
          </w:p>
        </w:tc>
        <w:tc>
          <w:tcPr>
            <w:tcW w:w="3604" w:type="pct"/>
            <w:tcBorders>
              <w:top w:val="single" w:sz="4" w:space="0" w:color="auto"/>
              <w:left w:val="single" w:sz="4" w:space="0" w:color="auto"/>
              <w:bottom w:val="single" w:sz="4" w:space="0" w:color="auto"/>
              <w:right w:val="single" w:sz="4" w:space="0" w:color="auto"/>
            </w:tcBorders>
            <w:vAlign w:val="center"/>
            <w:hideMark/>
          </w:tcPr>
          <w:p w14:paraId="56F3294B"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PFS and OS beyond the trial period was extrapolated using Log normal extrapolation for the pembrolizumab OS arm and log-logistic extrapolations for chemotherapy PFS and OS curves. The submission claimed that proportional hazard assumption was not supported due to the overlapping log-cumulative Hazard and Schoenfeld residual plots and therefore extrapolation of OS was conducted independently for pembrolizumab and chemotherapy. The selection of OS and PFS extrapolation method was based on goodness of fit and clinical plausibility</w:t>
            </w:r>
          </w:p>
        </w:tc>
      </w:tr>
      <w:tr w:rsidR="003127A3" w:rsidRPr="003127A3" w14:paraId="2950F9BB"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667EF444"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Health related quality of life</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F6DCD1D" w14:textId="77777777" w:rsidR="003127A3" w:rsidRPr="003127A3" w:rsidRDefault="003127A3" w:rsidP="003127A3">
            <w:pPr>
              <w:snapToGrid w:val="0"/>
              <w:spacing w:before="0" w:after="0"/>
              <w:rPr>
                <w:rFonts w:ascii="Arial Narrow" w:eastAsia="Calibri" w:hAnsi="Arial Narrow"/>
                <w:szCs w:val="24"/>
              </w:rPr>
            </w:pPr>
            <w:r w:rsidRPr="003127A3">
              <w:rPr>
                <w:rFonts w:ascii="Arial Narrow" w:eastAsia="Calibri" w:hAnsi="Arial Narrow"/>
                <w:szCs w:val="24"/>
              </w:rPr>
              <w:t>EQ-5D scores from KN355 were used to derive utility estimates based on an Australian scoring algorithm</w:t>
            </w:r>
          </w:p>
          <w:p w14:paraId="2262A768" w14:textId="77777777" w:rsidR="003127A3" w:rsidRPr="003127A3" w:rsidRDefault="003127A3" w:rsidP="003127A3">
            <w:pPr>
              <w:snapToGrid w:val="0"/>
              <w:spacing w:before="0" w:after="0"/>
              <w:rPr>
                <w:rFonts w:ascii="Arial Narrow" w:eastAsia="Calibri" w:hAnsi="Arial Narrow"/>
                <w:szCs w:val="24"/>
              </w:rPr>
            </w:pPr>
            <w:r w:rsidRPr="003127A3">
              <w:rPr>
                <w:rFonts w:ascii="Arial Narrow" w:eastAsia="Calibri" w:hAnsi="Arial Narrow"/>
                <w:szCs w:val="24"/>
              </w:rPr>
              <w:t>PF health state utility: 0.790 for both arms</w:t>
            </w:r>
          </w:p>
          <w:p w14:paraId="3DBCFA67" w14:textId="77777777" w:rsidR="003127A3" w:rsidRPr="003127A3" w:rsidRDefault="003127A3" w:rsidP="003127A3">
            <w:pPr>
              <w:snapToGrid w:val="0"/>
              <w:spacing w:before="0" w:after="0"/>
              <w:rPr>
                <w:rFonts w:ascii="Arial Narrow" w:eastAsia="Calibri" w:hAnsi="Arial Narrow"/>
                <w:szCs w:val="24"/>
              </w:rPr>
            </w:pPr>
            <w:r w:rsidRPr="003127A3">
              <w:rPr>
                <w:rFonts w:ascii="Arial Narrow" w:eastAsia="Calibri" w:hAnsi="Arial Narrow"/>
                <w:szCs w:val="24"/>
              </w:rPr>
              <w:t>PD health state utility: 0.703 for both arms</w:t>
            </w:r>
          </w:p>
          <w:p w14:paraId="15DF0F0C"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AE disutility: -0.023</w:t>
            </w:r>
          </w:p>
        </w:tc>
      </w:tr>
      <w:tr w:rsidR="003127A3" w:rsidRPr="003127A3" w14:paraId="4047FC6F"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22894185"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Discount rate</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6A342D8" w14:textId="77777777" w:rsidR="003127A3" w:rsidRPr="003127A3" w:rsidRDefault="003127A3" w:rsidP="003127A3">
            <w:pPr>
              <w:snapToGrid w:val="0"/>
              <w:spacing w:before="0" w:after="0"/>
              <w:rPr>
                <w:rFonts w:ascii="Arial Narrow" w:eastAsia="Calibri" w:hAnsi="Arial Narrow"/>
                <w:i/>
                <w:iCs/>
                <w:szCs w:val="24"/>
              </w:rPr>
            </w:pPr>
            <w:r w:rsidRPr="003127A3">
              <w:rPr>
                <w:rFonts w:ascii="Arial Narrow" w:eastAsia="Calibri" w:hAnsi="Arial Narrow"/>
                <w:szCs w:val="24"/>
              </w:rPr>
              <w:t>5% per annum for cost and effectiveness. Inappropriately applied from cycle 1 onwards.</w:t>
            </w:r>
            <w:r w:rsidRPr="003127A3">
              <w:rPr>
                <w:rFonts w:ascii="Arial Narrow" w:eastAsia="Calibri" w:hAnsi="Arial Narrow"/>
                <w:i/>
                <w:iCs/>
                <w:szCs w:val="24"/>
              </w:rPr>
              <w:t xml:space="preserve"> </w:t>
            </w:r>
          </w:p>
        </w:tc>
      </w:tr>
      <w:tr w:rsidR="003127A3" w:rsidRPr="003127A3" w14:paraId="66ABAD5A" w14:textId="77777777" w:rsidTr="003127A3">
        <w:tc>
          <w:tcPr>
            <w:tcW w:w="1396" w:type="pct"/>
            <w:tcBorders>
              <w:top w:val="single" w:sz="4" w:space="0" w:color="auto"/>
              <w:left w:val="single" w:sz="4" w:space="0" w:color="auto"/>
              <w:bottom w:val="single" w:sz="4" w:space="0" w:color="auto"/>
              <w:right w:val="single" w:sz="4" w:space="0" w:color="auto"/>
            </w:tcBorders>
            <w:vAlign w:val="center"/>
            <w:hideMark/>
          </w:tcPr>
          <w:p w14:paraId="24AC0F5C"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Software</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7D5F883" w14:textId="77777777" w:rsidR="003127A3" w:rsidRPr="003127A3" w:rsidRDefault="003127A3" w:rsidP="003127A3">
            <w:pPr>
              <w:keepNext/>
              <w:spacing w:before="0" w:after="0"/>
              <w:rPr>
                <w:rFonts w:ascii="Arial Narrow" w:eastAsia="MS Gothic" w:hAnsi="Arial Narrow"/>
                <w:bCs/>
                <w:szCs w:val="24"/>
              </w:rPr>
            </w:pPr>
            <w:r w:rsidRPr="003127A3">
              <w:rPr>
                <w:rFonts w:ascii="Arial Narrow" w:eastAsia="MS Gothic" w:hAnsi="Arial Narrow"/>
                <w:bCs/>
                <w:szCs w:val="24"/>
              </w:rPr>
              <w:t>Microsoft Excel</w:t>
            </w:r>
          </w:p>
        </w:tc>
      </w:tr>
    </w:tbl>
    <w:p w14:paraId="632647F6" w14:textId="1D50A26C" w:rsidR="003127A3" w:rsidRPr="003127A3" w:rsidRDefault="003127A3" w:rsidP="003127A3">
      <w:pPr>
        <w:snapToGrid w:val="0"/>
        <w:spacing w:before="0" w:after="120" w:line="240" w:lineRule="auto"/>
        <w:contextualSpacing/>
        <w:rPr>
          <w:rFonts w:ascii="Arial Narrow" w:eastAsia="Calibri" w:hAnsi="Arial Narrow" w:cs="Times New Roman"/>
          <w:sz w:val="18"/>
        </w:rPr>
      </w:pPr>
      <w:r w:rsidRPr="003127A3">
        <w:rPr>
          <w:rFonts w:ascii="Arial Narrow" w:eastAsia="Calibri" w:hAnsi="Arial Narrow" w:cs="Times New Roman"/>
          <w:sz w:val="18"/>
        </w:rPr>
        <w:t xml:space="preserve">Source: Table 3.1-1, p82 of the </w:t>
      </w:r>
      <w:r w:rsidR="007A5085">
        <w:rPr>
          <w:rFonts w:ascii="Arial Narrow" w:eastAsia="Calibri" w:hAnsi="Arial Narrow" w:cs="Times New Roman"/>
          <w:sz w:val="18"/>
        </w:rPr>
        <w:t xml:space="preserve">PBAC </w:t>
      </w:r>
      <w:r w:rsidRPr="003127A3">
        <w:rPr>
          <w:rFonts w:ascii="Arial Narrow" w:eastAsia="Calibri" w:hAnsi="Arial Narrow" w:cs="Times New Roman"/>
          <w:sz w:val="18"/>
        </w:rPr>
        <w:t xml:space="preserve">submission.  </w:t>
      </w:r>
    </w:p>
    <w:p w14:paraId="71C9DCCB" w14:textId="03B7A272" w:rsidR="003127A3" w:rsidRPr="0064030F" w:rsidRDefault="003127A3" w:rsidP="0064030F">
      <w:pPr>
        <w:snapToGrid w:val="0"/>
        <w:spacing w:before="0" w:after="240" w:line="240" w:lineRule="auto"/>
        <w:rPr>
          <w:rFonts w:ascii="Arial Narrow" w:eastAsia="Calibri" w:hAnsi="Arial Narrow" w:cs="Times New Roman"/>
          <w:sz w:val="20"/>
        </w:rPr>
      </w:pPr>
      <w:r w:rsidRPr="003127A3">
        <w:rPr>
          <w:rFonts w:ascii="Arial Narrow" w:eastAsia="Calibri" w:hAnsi="Arial Narrow" w:cs="Times New Roman"/>
          <w:sz w:val="18"/>
        </w:rPr>
        <w:t>AE = adverse event; LYG = life-year gained; PF = progression free; PD = progressive disease; QALY = Quality-adjusted life year</w:t>
      </w:r>
    </w:p>
    <w:p w14:paraId="621A0CF7" w14:textId="3C54016E" w:rsidR="003127A3" w:rsidRPr="00845B04" w:rsidRDefault="003127A3" w:rsidP="00845B04">
      <w:pPr>
        <w:numPr>
          <w:ilvl w:val="1"/>
          <w:numId w:val="0"/>
        </w:numPr>
        <w:snapToGrid w:val="0"/>
        <w:spacing w:before="0" w:after="120" w:line="240" w:lineRule="auto"/>
        <w:rPr>
          <w:rFonts w:eastAsia="Calibri" w:cs="Arial"/>
          <w:color w:val="000000"/>
        </w:rPr>
      </w:pPr>
      <w:r w:rsidRPr="00845B04">
        <w:rPr>
          <w:rFonts w:eastAsia="Calibri" w:cs="Arial"/>
          <w:color w:val="000000"/>
        </w:rPr>
        <w:t xml:space="preserve">Although eligible patients require their condition to express PD-L1 with a CPS ≥10 as determined by a validated test, a test-treat model structure (where false positives and false negatives are explicitly modelled) was not adopted for this economic evaluation. The submission’s modelling approach was consistent with the streamlined co-dependent pathway and consistent with advice provided by the Department. </w:t>
      </w:r>
    </w:p>
    <w:p w14:paraId="68285360" w14:textId="1C7046FC" w:rsidR="003127A3" w:rsidRPr="00845B04" w:rsidRDefault="003127A3" w:rsidP="00845B04">
      <w:pPr>
        <w:numPr>
          <w:ilvl w:val="1"/>
          <w:numId w:val="0"/>
        </w:numPr>
        <w:snapToGrid w:val="0"/>
        <w:spacing w:before="0" w:after="120" w:line="240" w:lineRule="auto"/>
        <w:rPr>
          <w:rFonts w:eastAsia="Calibri" w:cs="Arial"/>
          <w:color w:val="000000"/>
        </w:rPr>
      </w:pPr>
      <w:r w:rsidRPr="00845B04">
        <w:rPr>
          <w:rFonts w:eastAsia="Calibri" w:cs="Arial"/>
          <w:color w:val="000000"/>
        </w:rPr>
        <w:t>Acknowledging the complexities of a test-treat model, the commentary considered such a model would be more informative in assessing the uncertainties regarding PD-L1 testing in the Australian context, and how they might affect modelled long-term treatment effect of pembrolizumab. The lack of consideration for false (positive and negative) results likely favoured treatment with pembrolizumab + chemotherapy.</w:t>
      </w:r>
    </w:p>
    <w:p w14:paraId="72A92166" w14:textId="50F2D69E" w:rsidR="003127A3" w:rsidRPr="0064030F" w:rsidRDefault="003127A3" w:rsidP="0064030F">
      <w:pPr>
        <w:numPr>
          <w:ilvl w:val="1"/>
          <w:numId w:val="0"/>
        </w:numPr>
        <w:snapToGrid w:val="0"/>
        <w:spacing w:before="0" w:after="240" w:line="240" w:lineRule="auto"/>
        <w:rPr>
          <w:rFonts w:eastAsia="Calibri" w:cs="Arial"/>
        </w:rPr>
      </w:pPr>
      <w:r w:rsidRPr="00845B04">
        <w:rPr>
          <w:rFonts w:eastAsia="Calibri" w:cs="Arial"/>
        </w:rPr>
        <w:fldChar w:fldCharType="begin"/>
      </w:r>
      <w:r w:rsidRPr="00845B04">
        <w:rPr>
          <w:rFonts w:eastAsia="Calibri" w:cs="Arial"/>
        </w:rPr>
        <w:instrText xml:space="preserve"> REF _Ref123826972 \h </w:instrText>
      </w:r>
      <w:r w:rsidR="00845B04" w:rsidRPr="00845B04">
        <w:rPr>
          <w:rFonts w:eastAsia="Calibri" w:cs="Arial"/>
        </w:rPr>
        <w:instrText xml:space="preserve"> \* MERGEFORMAT </w:instrText>
      </w:r>
      <w:r w:rsidRPr="00845B04">
        <w:rPr>
          <w:rFonts w:eastAsia="Calibri" w:cs="Arial"/>
        </w:rPr>
      </w:r>
      <w:r w:rsidRPr="00845B04">
        <w:rPr>
          <w:rFonts w:eastAsia="Calibri" w:cs="Arial"/>
        </w:rPr>
        <w:fldChar w:fldCharType="separate"/>
      </w:r>
      <w:r w:rsidR="000E4BEF" w:rsidRPr="00443E6B">
        <w:t xml:space="preserve">Table </w:t>
      </w:r>
      <w:r w:rsidR="000E4BEF" w:rsidRPr="00443E6B">
        <w:rPr>
          <w:noProof/>
        </w:rPr>
        <w:t>6</w:t>
      </w:r>
      <w:r w:rsidRPr="00845B04">
        <w:rPr>
          <w:rFonts w:eastAsia="Calibri" w:cs="Arial"/>
        </w:rPr>
        <w:fldChar w:fldCharType="end"/>
      </w:r>
      <w:r w:rsidRPr="00845B04">
        <w:rPr>
          <w:rFonts w:eastAsia="Calibri" w:cs="Arial"/>
        </w:rPr>
        <w:t xml:space="preserve"> presents the results of the economic evaluation. The PBAC ESC advice considered that the incremental cost-effectiveness ratio (ICER) presented in the submission was likely underestimated. The PBAC ESC noted that multivariate analysis addressing these issues increased the ICER from </w:t>
      </w:r>
      <w:r w:rsidR="00616E8F" w:rsidRPr="00616E8F">
        <w:rPr>
          <w:rFonts w:eastAsia="Calibri" w:cs="Arial"/>
        </w:rPr>
        <w:t xml:space="preserve">$55,000 to &lt; $75,000 </w:t>
      </w:r>
      <w:r w:rsidRPr="00845B04">
        <w:rPr>
          <w:rFonts w:eastAsia="Calibri" w:cs="Arial"/>
        </w:rPr>
        <w:t xml:space="preserve">to </w:t>
      </w:r>
      <w:r w:rsidR="00616E8F" w:rsidRPr="00616E8F">
        <w:rPr>
          <w:rFonts w:eastAsia="Calibri" w:cs="Arial"/>
        </w:rPr>
        <w:t xml:space="preserve">$55,000 to &lt; $75,000 </w:t>
      </w:r>
      <w:r w:rsidRPr="00845B04">
        <w:rPr>
          <w:rFonts w:eastAsia="Calibri" w:cs="Arial"/>
        </w:rPr>
        <w:t>per QALY gained (22.7%).</w:t>
      </w:r>
    </w:p>
    <w:p w14:paraId="178479DB" w14:textId="204CA55E" w:rsidR="003127A3" w:rsidRPr="003127A3" w:rsidRDefault="003127A3" w:rsidP="003127A3">
      <w:pPr>
        <w:pStyle w:val="TableHeading0"/>
        <w:keepNext/>
      </w:pPr>
      <w:bookmarkStart w:id="26" w:name="_Ref123826972"/>
      <w:r w:rsidRPr="003127A3">
        <w:rPr>
          <w:szCs w:val="24"/>
        </w:rPr>
        <w:t xml:space="preserve">Table </w:t>
      </w:r>
      <w:r w:rsidRPr="003127A3">
        <w:rPr>
          <w:szCs w:val="24"/>
        </w:rPr>
        <w:fldChar w:fldCharType="begin"/>
      </w:r>
      <w:r w:rsidRPr="003127A3">
        <w:rPr>
          <w:szCs w:val="24"/>
        </w:rPr>
        <w:instrText xml:space="preserve"> SEQ Table \* ARABIC </w:instrText>
      </w:r>
      <w:r w:rsidRPr="003127A3">
        <w:rPr>
          <w:szCs w:val="24"/>
        </w:rPr>
        <w:fldChar w:fldCharType="separate"/>
      </w:r>
      <w:r w:rsidR="000E4BEF">
        <w:rPr>
          <w:noProof/>
          <w:szCs w:val="24"/>
        </w:rPr>
        <w:t>6</w:t>
      </w:r>
      <w:r w:rsidRPr="003127A3">
        <w:rPr>
          <w:szCs w:val="24"/>
        </w:rPr>
        <w:fldChar w:fldCharType="end"/>
      </w:r>
      <w:bookmarkEnd w:id="26"/>
      <w:r w:rsidRPr="003127A3">
        <w:t>: Results of the economic evaluation (discounted)</w:t>
      </w:r>
    </w:p>
    <w:tbl>
      <w:tblPr>
        <w:tblStyle w:val="TableGrid1"/>
        <w:tblW w:w="5000" w:type="pct"/>
        <w:tblCellMar>
          <w:left w:w="28" w:type="dxa"/>
          <w:right w:w="28" w:type="dxa"/>
        </w:tblCellMar>
        <w:tblLook w:val="01E0" w:firstRow="1" w:lastRow="1" w:firstColumn="1" w:lastColumn="1" w:noHBand="0" w:noVBand="0"/>
      </w:tblPr>
      <w:tblGrid>
        <w:gridCol w:w="2757"/>
        <w:gridCol w:w="2451"/>
        <w:gridCol w:w="2297"/>
        <w:gridCol w:w="1511"/>
      </w:tblGrid>
      <w:tr w:rsidR="003127A3" w:rsidRPr="003127A3" w14:paraId="52B135A2" w14:textId="77777777" w:rsidTr="003127A3">
        <w:trPr>
          <w:cnfStyle w:val="100000000000" w:firstRow="1" w:lastRow="0" w:firstColumn="0" w:lastColumn="0" w:oddVBand="0" w:evenVBand="0" w:oddHBand="0" w:evenHBand="0" w:firstRowFirstColumn="0" w:firstRowLastColumn="0" w:lastRowFirstColumn="0" w:lastRowLastColumn="0"/>
          <w:tblHeader/>
        </w:trPr>
        <w:tc>
          <w:tcPr>
            <w:tcW w:w="1529" w:type="pct"/>
            <w:tcBorders>
              <w:top w:val="single" w:sz="4" w:space="0" w:color="auto"/>
              <w:left w:val="single" w:sz="4" w:space="0" w:color="auto"/>
              <w:bottom w:val="single" w:sz="4" w:space="0" w:color="auto"/>
              <w:right w:val="single" w:sz="4" w:space="0" w:color="auto"/>
            </w:tcBorders>
            <w:vAlign w:val="center"/>
            <w:hideMark/>
          </w:tcPr>
          <w:p w14:paraId="5043784F" w14:textId="77777777" w:rsidR="003127A3" w:rsidRPr="003127A3" w:rsidRDefault="003127A3" w:rsidP="003127A3">
            <w:pPr>
              <w:keepNext/>
              <w:spacing w:before="0" w:after="0"/>
              <w:rPr>
                <w:rFonts w:ascii="Arial Narrow" w:eastAsia="MS Gothic" w:hAnsi="Arial Narrow"/>
                <w:b/>
              </w:rPr>
            </w:pPr>
            <w:r w:rsidRPr="003127A3">
              <w:rPr>
                <w:rFonts w:ascii="Arial Narrow" w:eastAsia="MS Gothic" w:hAnsi="Arial Narrow"/>
                <w:b/>
              </w:rPr>
              <w:t>Component</w:t>
            </w:r>
          </w:p>
        </w:tc>
        <w:tc>
          <w:tcPr>
            <w:tcW w:w="1359" w:type="pct"/>
            <w:tcBorders>
              <w:top w:val="single" w:sz="4" w:space="0" w:color="auto"/>
              <w:left w:val="single" w:sz="4" w:space="0" w:color="auto"/>
              <w:bottom w:val="single" w:sz="4" w:space="0" w:color="auto"/>
              <w:right w:val="single" w:sz="4" w:space="0" w:color="auto"/>
            </w:tcBorders>
            <w:vAlign w:val="center"/>
            <w:hideMark/>
          </w:tcPr>
          <w:p w14:paraId="476B5FEA" w14:textId="77777777" w:rsidR="003127A3" w:rsidRPr="003127A3" w:rsidRDefault="003127A3" w:rsidP="003127A3">
            <w:pPr>
              <w:keepNext/>
              <w:spacing w:before="0" w:after="0"/>
              <w:jc w:val="center"/>
              <w:rPr>
                <w:rFonts w:ascii="Arial Narrow" w:eastAsia="MS Gothic" w:hAnsi="Arial Narrow"/>
                <w:b/>
              </w:rPr>
            </w:pPr>
            <w:r w:rsidRPr="003127A3">
              <w:rPr>
                <w:rFonts w:ascii="Arial Narrow" w:eastAsia="MS Gothic" w:hAnsi="Arial Narrow"/>
                <w:b/>
              </w:rPr>
              <w:t>Pembrolizumab + chemo</w:t>
            </w:r>
          </w:p>
        </w:tc>
        <w:tc>
          <w:tcPr>
            <w:tcW w:w="1274" w:type="pct"/>
            <w:tcBorders>
              <w:top w:val="single" w:sz="4" w:space="0" w:color="auto"/>
              <w:left w:val="single" w:sz="4" w:space="0" w:color="auto"/>
              <w:bottom w:val="single" w:sz="4" w:space="0" w:color="auto"/>
              <w:right w:val="single" w:sz="4" w:space="0" w:color="auto"/>
            </w:tcBorders>
            <w:vAlign w:val="center"/>
            <w:hideMark/>
          </w:tcPr>
          <w:p w14:paraId="7D4B7F74" w14:textId="77777777" w:rsidR="003127A3" w:rsidRPr="003127A3" w:rsidRDefault="003127A3" w:rsidP="003127A3">
            <w:pPr>
              <w:keepNext/>
              <w:spacing w:before="0" w:after="0"/>
              <w:jc w:val="center"/>
              <w:rPr>
                <w:rFonts w:ascii="Arial Narrow" w:eastAsia="MS Gothic" w:hAnsi="Arial Narrow"/>
                <w:b/>
              </w:rPr>
            </w:pPr>
            <w:r w:rsidRPr="003127A3">
              <w:rPr>
                <w:rFonts w:ascii="Arial Narrow" w:eastAsia="MS Gothic" w:hAnsi="Arial Narrow"/>
                <w:b/>
              </w:rPr>
              <w:t>Chemo</w:t>
            </w:r>
          </w:p>
        </w:tc>
        <w:tc>
          <w:tcPr>
            <w:tcW w:w="838" w:type="pct"/>
            <w:tcBorders>
              <w:top w:val="single" w:sz="4" w:space="0" w:color="auto"/>
              <w:left w:val="single" w:sz="4" w:space="0" w:color="auto"/>
              <w:bottom w:val="single" w:sz="4" w:space="0" w:color="auto"/>
              <w:right w:val="single" w:sz="4" w:space="0" w:color="auto"/>
            </w:tcBorders>
            <w:vAlign w:val="center"/>
            <w:hideMark/>
          </w:tcPr>
          <w:p w14:paraId="5465711D" w14:textId="77777777" w:rsidR="003127A3" w:rsidRPr="003127A3" w:rsidRDefault="003127A3" w:rsidP="003127A3">
            <w:pPr>
              <w:keepNext/>
              <w:spacing w:before="0" w:after="0"/>
              <w:jc w:val="center"/>
              <w:rPr>
                <w:rFonts w:ascii="Arial Narrow" w:eastAsia="MS Gothic" w:hAnsi="Arial Narrow"/>
                <w:b/>
              </w:rPr>
            </w:pPr>
            <w:r w:rsidRPr="003127A3">
              <w:rPr>
                <w:rFonts w:ascii="Arial Narrow" w:eastAsia="MS Gothic" w:hAnsi="Arial Narrow"/>
                <w:b/>
              </w:rPr>
              <w:t>Increment</w:t>
            </w:r>
          </w:p>
        </w:tc>
      </w:tr>
      <w:tr w:rsidR="003127A3" w:rsidRPr="003127A3" w14:paraId="33969115" w14:textId="77777777" w:rsidTr="003127A3">
        <w:tc>
          <w:tcPr>
            <w:tcW w:w="1529" w:type="pct"/>
            <w:tcBorders>
              <w:top w:val="single" w:sz="4" w:space="0" w:color="auto"/>
              <w:left w:val="single" w:sz="4" w:space="0" w:color="auto"/>
              <w:bottom w:val="single" w:sz="4" w:space="0" w:color="auto"/>
              <w:right w:val="single" w:sz="4" w:space="0" w:color="auto"/>
            </w:tcBorders>
            <w:vAlign w:val="center"/>
            <w:hideMark/>
          </w:tcPr>
          <w:p w14:paraId="7363685B" w14:textId="77777777" w:rsidR="003127A3" w:rsidRPr="003127A3" w:rsidRDefault="003127A3" w:rsidP="003127A3">
            <w:pPr>
              <w:keepNext/>
              <w:spacing w:before="0" w:after="0"/>
              <w:rPr>
                <w:rFonts w:ascii="Times" w:eastAsia="MS Gothic" w:hAnsi="Times"/>
                <w:bCs/>
              </w:rPr>
            </w:pPr>
            <w:r w:rsidRPr="003127A3">
              <w:rPr>
                <w:rFonts w:ascii="Arial Narrow" w:eastAsia="MS Gothic" w:hAnsi="Arial Narrow"/>
                <w:bCs/>
              </w:rPr>
              <w:t>Costs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47A76976" w14:textId="31C00631" w:rsidR="003127A3" w:rsidRPr="000C0AE1" w:rsidRDefault="003127A3" w:rsidP="003127A3">
            <w:pPr>
              <w:keepNext/>
              <w:spacing w:before="0" w:after="0"/>
              <w:jc w:val="center"/>
              <w:rPr>
                <w:rFonts w:ascii="Times" w:eastAsia="MS Gothic" w:hAnsi="Times"/>
                <w:bCs/>
              </w:rPr>
            </w:pPr>
            <w:r w:rsidRPr="000C0AE1">
              <w:rPr>
                <w:rFonts w:ascii="Arial Narrow" w:eastAsia="Arial" w:hAnsi="Arial Narrow"/>
                <w:bCs/>
              </w:rPr>
              <w:t>$</w:t>
            </w:r>
            <w:r w:rsidR="00443E6B" w:rsidRPr="000C0AE1">
              <w:rPr>
                <w:rFonts w:ascii="Arial Narrow" w:eastAsia="Arial" w:hAnsi="Arial Narrow"/>
                <w:bCs/>
                <w:color w:val="000000"/>
                <w:shd w:val="solid" w:color="000000" w:fill="000000"/>
                <w14:textFill>
                  <w14:solidFill>
                    <w14:srgbClr w14:val="000000">
                      <w14:alpha w14:val="100000"/>
                    </w14:srgbClr>
                  </w14:solidFill>
                </w14:textFill>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7C85BE30" w14:textId="77777777" w:rsidR="003127A3" w:rsidRPr="000C0AE1" w:rsidRDefault="003127A3" w:rsidP="003127A3">
            <w:pPr>
              <w:keepNext/>
              <w:spacing w:before="0" w:after="0"/>
              <w:jc w:val="center"/>
              <w:rPr>
                <w:rFonts w:ascii="Times" w:eastAsia="MS Gothic" w:hAnsi="Times"/>
                <w:bCs/>
              </w:rPr>
            </w:pPr>
            <w:r w:rsidRPr="000C0AE1">
              <w:rPr>
                <w:rFonts w:ascii="Arial Narrow" w:eastAsia="Arial" w:hAnsi="Arial Narrow"/>
                <w:bCs/>
              </w:rPr>
              <w:t>$55,139</w:t>
            </w:r>
          </w:p>
        </w:tc>
        <w:tc>
          <w:tcPr>
            <w:tcW w:w="838" w:type="pct"/>
            <w:tcBorders>
              <w:top w:val="single" w:sz="4" w:space="0" w:color="auto"/>
              <w:left w:val="single" w:sz="4" w:space="0" w:color="auto"/>
              <w:bottom w:val="single" w:sz="4" w:space="0" w:color="auto"/>
              <w:right w:val="single" w:sz="4" w:space="0" w:color="auto"/>
            </w:tcBorders>
            <w:vAlign w:val="center"/>
            <w:hideMark/>
          </w:tcPr>
          <w:p w14:paraId="31DE2DFA" w14:textId="588CE4FB" w:rsidR="003127A3" w:rsidRPr="008B529A" w:rsidRDefault="003127A3" w:rsidP="003127A3">
            <w:pPr>
              <w:keepNext/>
              <w:spacing w:before="0" w:after="0"/>
              <w:jc w:val="center"/>
              <w:rPr>
                <w:rFonts w:ascii="Times" w:eastAsia="MS Gothic" w:hAnsi="Times"/>
                <w:bCs/>
                <w:highlight w:val="yellow"/>
              </w:rPr>
            </w:pPr>
            <w:r w:rsidRPr="00443E6B">
              <w:rPr>
                <w:rFonts w:ascii="Arial Narrow" w:eastAsia="MS Gothic" w:hAnsi="Arial Narrow"/>
                <w:bCs/>
              </w:rPr>
              <w:t>$</w:t>
            </w:r>
            <w:r w:rsidR="00443E6B" w:rsidRPr="00443E6B">
              <w:rPr>
                <w:rFonts w:ascii="Arial Narrow" w:eastAsia="MS Gothic" w:hAnsi="Arial Narrow"/>
                <w:bCs/>
                <w:color w:val="000000"/>
                <w:shd w:val="solid" w:color="000000" w:fill="000000"/>
                <w14:textFill>
                  <w14:solidFill>
                    <w14:srgbClr w14:val="000000">
                      <w14:alpha w14:val="100000"/>
                    </w14:srgbClr>
                  </w14:solidFill>
                </w14:textFill>
              </w:rPr>
              <w:t>|</w:t>
            </w:r>
          </w:p>
        </w:tc>
      </w:tr>
      <w:tr w:rsidR="003127A3" w:rsidRPr="003127A3" w14:paraId="3B476926" w14:textId="77777777" w:rsidTr="003127A3">
        <w:tc>
          <w:tcPr>
            <w:tcW w:w="1529" w:type="pct"/>
            <w:tcBorders>
              <w:top w:val="single" w:sz="4" w:space="0" w:color="auto"/>
              <w:left w:val="single" w:sz="4" w:space="0" w:color="auto"/>
              <w:bottom w:val="single" w:sz="4" w:space="0" w:color="auto"/>
              <w:right w:val="single" w:sz="4" w:space="0" w:color="auto"/>
            </w:tcBorders>
            <w:vAlign w:val="center"/>
            <w:hideMark/>
          </w:tcPr>
          <w:p w14:paraId="3248B47D" w14:textId="77777777" w:rsidR="003127A3" w:rsidRPr="003127A3" w:rsidRDefault="003127A3" w:rsidP="003127A3">
            <w:pPr>
              <w:keepNext/>
              <w:spacing w:before="0" w:after="0"/>
              <w:rPr>
                <w:rFonts w:ascii="Times" w:eastAsia="MS Gothic" w:hAnsi="Times"/>
                <w:bCs/>
              </w:rPr>
            </w:pPr>
            <w:r w:rsidRPr="003127A3">
              <w:rPr>
                <w:rFonts w:ascii="Arial Narrow" w:eastAsia="MS Gothic" w:hAnsi="Arial Narrow"/>
                <w:bCs/>
              </w:rPr>
              <w:t>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A40DB6E" w14:textId="77777777" w:rsidR="003127A3" w:rsidRPr="000C0AE1" w:rsidRDefault="003127A3" w:rsidP="003127A3">
            <w:pPr>
              <w:keepNext/>
              <w:spacing w:before="0" w:after="0"/>
              <w:jc w:val="center"/>
              <w:rPr>
                <w:rFonts w:ascii="Times" w:eastAsia="MS Gothic" w:hAnsi="Times"/>
                <w:bCs/>
              </w:rPr>
            </w:pPr>
            <w:r w:rsidRPr="000C0AE1">
              <w:rPr>
                <w:rFonts w:ascii="Arial Narrow" w:eastAsia="MS Gothic" w:hAnsi="Arial Narrow"/>
                <w:bCs/>
              </w:rPr>
              <w:t>2.75</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52ED165" w14:textId="77777777" w:rsidR="003127A3" w:rsidRPr="000C0AE1" w:rsidRDefault="003127A3" w:rsidP="003127A3">
            <w:pPr>
              <w:keepNext/>
              <w:spacing w:before="0" w:after="0"/>
              <w:jc w:val="center"/>
              <w:rPr>
                <w:rFonts w:ascii="Times" w:eastAsia="MS Gothic" w:hAnsi="Times"/>
                <w:bCs/>
              </w:rPr>
            </w:pPr>
            <w:r w:rsidRPr="000C0AE1">
              <w:rPr>
                <w:rFonts w:ascii="Arial Narrow" w:eastAsia="MS Gothic" w:hAnsi="Arial Narrow"/>
                <w:bCs/>
              </w:rPr>
              <w:t>2.04</w:t>
            </w:r>
          </w:p>
        </w:tc>
        <w:tc>
          <w:tcPr>
            <w:tcW w:w="838" w:type="pct"/>
            <w:tcBorders>
              <w:top w:val="single" w:sz="4" w:space="0" w:color="auto"/>
              <w:left w:val="single" w:sz="4" w:space="0" w:color="auto"/>
              <w:bottom w:val="single" w:sz="4" w:space="0" w:color="auto"/>
              <w:right w:val="single" w:sz="4" w:space="0" w:color="auto"/>
            </w:tcBorders>
            <w:vAlign w:val="center"/>
            <w:hideMark/>
          </w:tcPr>
          <w:p w14:paraId="4023DFA4" w14:textId="77777777" w:rsidR="003127A3" w:rsidRPr="003127A3" w:rsidRDefault="003127A3" w:rsidP="003127A3">
            <w:pPr>
              <w:keepNext/>
              <w:spacing w:before="0" w:after="0"/>
              <w:jc w:val="center"/>
              <w:rPr>
                <w:rFonts w:ascii="Arial Narrow" w:eastAsia="MS Gothic" w:hAnsi="Arial Narrow"/>
                <w:bCs/>
              </w:rPr>
            </w:pPr>
            <w:r w:rsidRPr="003127A3">
              <w:rPr>
                <w:rFonts w:ascii="Arial Narrow" w:eastAsia="MS Gothic" w:hAnsi="Arial Narrow"/>
                <w:bCs/>
              </w:rPr>
              <w:t>0.71</w:t>
            </w:r>
          </w:p>
        </w:tc>
      </w:tr>
      <w:tr w:rsidR="003127A3" w:rsidRPr="003127A3" w14:paraId="5A084223" w14:textId="77777777" w:rsidTr="003127A3">
        <w:tc>
          <w:tcPr>
            <w:tcW w:w="1529" w:type="pct"/>
            <w:tcBorders>
              <w:top w:val="single" w:sz="4" w:space="0" w:color="auto"/>
              <w:left w:val="single" w:sz="4" w:space="0" w:color="auto"/>
              <w:bottom w:val="single" w:sz="4" w:space="0" w:color="auto"/>
              <w:right w:val="single" w:sz="4" w:space="0" w:color="auto"/>
            </w:tcBorders>
            <w:vAlign w:val="center"/>
            <w:hideMark/>
          </w:tcPr>
          <w:p w14:paraId="3D99B717" w14:textId="77777777" w:rsidR="003127A3" w:rsidRPr="003127A3" w:rsidRDefault="003127A3" w:rsidP="003127A3">
            <w:pPr>
              <w:keepNext/>
              <w:spacing w:before="0" w:after="0"/>
              <w:rPr>
                <w:rFonts w:ascii="Arial Narrow" w:eastAsia="MS Gothic" w:hAnsi="Arial Narrow"/>
                <w:bCs/>
              </w:rPr>
            </w:pPr>
            <w:r w:rsidRPr="003127A3">
              <w:rPr>
                <w:rFonts w:ascii="Arial Narrow" w:eastAsia="MS Gothic" w:hAnsi="Arial Narrow"/>
                <w:bCs/>
              </w:rPr>
              <w:t>Cost/LYG</w:t>
            </w:r>
          </w:p>
        </w:tc>
        <w:tc>
          <w:tcPr>
            <w:tcW w:w="1359" w:type="pct"/>
            <w:tcBorders>
              <w:top w:val="single" w:sz="4" w:space="0" w:color="auto"/>
              <w:left w:val="single" w:sz="4" w:space="0" w:color="auto"/>
              <w:bottom w:val="single" w:sz="4" w:space="0" w:color="auto"/>
              <w:right w:val="single" w:sz="4" w:space="0" w:color="auto"/>
            </w:tcBorders>
            <w:vAlign w:val="center"/>
          </w:tcPr>
          <w:p w14:paraId="4D11B07E" w14:textId="77777777" w:rsidR="003127A3" w:rsidRPr="000C0AE1" w:rsidRDefault="003127A3" w:rsidP="003127A3">
            <w:pPr>
              <w:keepNext/>
              <w:spacing w:before="0" w:after="0"/>
              <w:jc w:val="center"/>
              <w:rPr>
                <w:rFonts w:ascii="Arial Narrow" w:eastAsia="MS Gothic" w:hAnsi="Arial Narrow"/>
                <w:bCs/>
              </w:rPr>
            </w:pPr>
          </w:p>
        </w:tc>
        <w:tc>
          <w:tcPr>
            <w:tcW w:w="1274" w:type="pct"/>
            <w:tcBorders>
              <w:top w:val="single" w:sz="4" w:space="0" w:color="auto"/>
              <w:left w:val="single" w:sz="4" w:space="0" w:color="auto"/>
              <w:bottom w:val="single" w:sz="4" w:space="0" w:color="auto"/>
              <w:right w:val="single" w:sz="4" w:space="0" w:color="auto"/>
            </w:tcBorders>
            <w:vAlign w:val="center"/>
          </w:tcPr>
          <w:p w14:paraId="3AACA206" w14:textId="77777777" w:rsidR="003127A3" w:rsidRPr="000C0AE1" w:rsidRDefault="003127A3" w:rsidP="003127A3">
            <w:pPr>
              <w:keepNext/>
              <w:spacing w:before="0" w:after="0"/>
              <w:jc w:val="center"/>
              <w:rPr>
                <w:rFonts w:ascii="Arial Narrow" w:eastAsia="MS Gothic" w:hAnsi="Arial Narrow"/>
                <w:bCs/>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0BD08844" w14:textId="320DEC1F" w:rsidR="003127A3" w:rsidRPr="00443E6B" w:rsidRDefault="003127A3" w:rsidP="003127A3">
            <w:pPr>
              <w:keepNext/>
              <w:spacing w:before="0" w:after="0"/>
              <w:jc w:val="center"/>
              <w:rPr>
                <w:rFonts w:ascii="Arial Narrow" w:eastAsia="MS Gothic" w:hAnsi="Arial Narrow"/>
                <w:bCs/>
                <w:vertAlign w:val="superscript"/>
              </w:rPr>
            </w:pPr>
            <w:r w:rsidRPr="00443E6B">
              <w:rPr>
                <w:rFonts w:ascii="Arial Narrow" w:eastAsia="MS Gothic" w:hAnsi="Arial Narrow"/>
                <w:bCs/>
              </w:rPr>
              <w:t>$</w:t>
            </w:r>
            <w:r w:rsidR="00443E6B" w:rsidRPr="00443E6B">
              <w:rPr>
                <w:rFonts w:ascii="Arial Narrow" w:eastAsia="MS Gothic" w:hAnsi="Arial Narrow" w:hint="eastAsia"/>
                <w:bCs/>
                <w:color w:val="000000"/>
                <w:w w:val="33"/>
                <w:shd w:val="solid" w:color="000000" w:fill="000000"/>
                <w:fitText w:val="150" w:id="-1240791546"/>
                <w14:textFill>
                  <w14:solidFill>
                    <w14:srgbClr w14:val="000000">
                      <w14:alpha w14:val="100000"/>
                    </w14:srgbClr>
                  </w14:solidFill>
                </w14:textFill>
              </w:rPr>
              <w:t xml:space="preserve">　</w:t>
            </w:r>
            <w:r w:rsidR="00443E6B" w:rsidRPr="00443E6B">
              <w:rPr>
                <w:rFonts w:ascii="Arial Narrow" w:eastAsia="MS Gothic" w:hAnsi="Arial Narrow"/>
                <w:bCs/>
                <w:color w:val="000000"/>
                <w:w w:val="33"/>
                <w:shd w:val="solid" w:color="000000" w:fill="000000"/>
                <w:fitText w:val="150" w:id="-1240791546"/>
                <w14:textFill>
                  <w14:solidFill>
                    <w14:srgbClr w14:val="000000">
                      <w14:alpha w14:val="100000"/>
                    </w14:srgbClr>
                  </w14:solidFill>
                </w14:textFill>
              </w:rPr>
              <w:t>|</w:t>
            </w:r>
            <w:r w:rsidR="00443E6B" w:rsidRPr="00443E6B">
              <w:rPr>
                <w:rFonts w:ascii="Arial Narrow" w:eastAsia="MS Gothic" w:hAnsi="Arial Narrow" w:hint="eastAsia"/>
                <w:bCs/>
                <w:color w:val="000000"/>
                <w:spacing w:val="4"/>
                <w:w w:val="33"/>
                <w:shd w:val="solid" w:color="000000" w:fill="000000"/>
                <w:fitText w:val="150" w:id="-1240791546"/>
                <w14:textFill>
                  <w14:solidFill>
                    <w14:srgbClr w14:val="000000">
                      <w14:alpha w14:val="100000"/>
                    </w14:srgbClr>
                  </w14:solidFill>
                </w14:textFill>
              </w:rPr>
              <w:t xml:space="preserve">　</w:t>
            </w:r>
            <w:r w:rsidRPr="003127A3">
              <w:rPr>
                <w:rFonts w:ascii="Arial Narrow" w:eastAsia="MS Gothic" w:hAnsi="Arial Narrow"/>
                <w:bCs/>
              </w:rPr>
              <w:t>/LYG</w:t>
            </w:r>
            <w:r w:rsidR="00CD20FD">
              <w:rPr>
                <w:rFonts w:ascii="Arial Narrow" w:eastAsia="MS Gothic" w:hAnsi="Arial Narrow"/>
                <w:bCs/>
              </w:rPr>
              <w:t xml:space="preserve"> </w:t>
            </w:r>
            <w:r w:rsidR="00CD20FD">
              <w:rPr>
                <w:rFonts w:ascii="Arial Narrow" w:eastAsia="MS Gothic" w:hAnsi="Arial Narrow"/>
                <w:bCs/>
                <w:vertAlign w:val="superscript"/>
              </w:rPr>
              <w:t>1</w:t>
            </w:r>
          </w:p>
        </w:tc>
      </w:tr>
      <w:tr w:rsidR="003127A3" w:rsidRPr="003127A3" w14:paraId="5EB93E20" w14:textId="77777777" w:rsidTr="003127A3">
        <w:tc>
          <w:tcPr>
            <w:tcW w:w="1529" w:type="pct"/>
            <w:tcBorders>
              <w:top w:val="single" w:sz="4" w:space="0" w:color="auto"/>
              <w:left w:val="single" w:sz="4" w:space="0" w:color="auto"/>
              <w:bottom w:val="single" w:sz="4" w:space="0" w:color="auto"/>
              <w:right w:val="single" w:sz="4" w:space="0" w:color="auto"/>
            </w:tcBorders>
            <w:vAlign w:val="center"/>
            <w:hideMark/>
          </w:tcPr>
          <w:p w14:paraId="09DE23B7" w14:textId="77777777" w:rsidR="003127A3" w:rsidRPr="003127A3" w:rsidRDefault="003127A3" w:rsidP="003127A3">
            <w:pPr>
              <w:keepNext/>
              <w:spacing w:before="0" w:after="0"/>
              <w:rPr>
                <w:rFonts w:ascii="Arial Narrow" w:eastAsia="MS Gothic" w:hAnsi="Arial Narrow"/>
                <w:bCs/>
              </w:rPr>
            </w:pPr>
            <w:r w:rsidRPr="003127A3">
              <w:rPr>
                <w:rFonts w:ascii="Arial Narrow" w:eastAsia="MS Gothic" w:hAnsi="Arial Narrow"/>
                <w:bCs/>
              </w:rPr>
              <w:t>QALYs</w:t>
            </w:r>
          </w:p>
        </w:tc>
        <w:tc>
          <w:tcPr>
            <w:tcW w:w="1359" w:type="pct"/>
            <w:tcBorders>
              <w:top w:val="single" w:sz="4" w:space="0" w:color="auto"/>
              <w:left w:val="single" w:sz="4" w:space="0" w:color="auto"/>
              <w:bottom w:val="single" w:sz="4" w:space="0" w:color="auto"/>
              <w:right w:val="single" w:sz="4" w:space="0" w:color="auto"/>
            </w:tcBorders>
            <w:vAlign w:val="center"/>
            <w:hideMark/>
          </w:tcPr>
          <w:p w14:paraId="2A0CE5A5" w14:textId="77777777" w:rsidR="003127A3" w:rsidRPr="000C0AE1" w:rsidRDefault="003127A3" w:rsidP="003127A3">
            <w:pPr>
              <w:keepNext/>
              <w:spacing w:before="0" w:after="0"/>
              <w:jc w:val="center"/>
              <w:rPr>
                <w:rFonts w:ascii="Arial Narrow" w:eastAsia="MS Gothic" w:hAnsi="Arial Narrow"/>
                <w:bCs/>
              </w:rPr>
            </w:pPr>
            <w:r w:rsidRPr="000C0AE1">
              <w:rPr>
                <w:rFonts w:ascii="Arial Narrow" w:eastAsia="MS Gothic" w:hAnsi="Arial Narrow"/>
                <w:bCs/>
              </w:rPr>
              <w:t>2.10</w:t>
            </w:r>
          </w:p>
        </w:tc>
        <w:tc>
          <w:tcPr>
            <w:tcW w:w="1274" w:type="pct"/>
            <w:tcBorders>
              <w:top w:val="single" w:sz="4" w:space="0" w:color="auto"/>
              <w:left w:val="single" w:sz="4" w:space="0" w:color="auto"/>
              <w:bottom w:val="single" w:sz="4" w:space="0" w:color="auto"/>
              <w:right w:val="single" w:sz="4" w:space="0" w:color="auto"/>
            </w:tcBorders>
            <w:vAlign w:val="center"/>
            <w:hideMark/>
          </w:tcPr>
          <w:p w14:paraId="4BD2AD54" w14:textId="77777777" w:rsidR="003127A3" w:rsidRPr="000C0AE1" w:rsidRDefault="003127A3" w:rsidP="003127A3">
            <w:pPr>
              <w:keepNext/>
              <w:spacing w:before="0" w:after="0"/>
              <w:jc w:val="center"/>
              <w:rPr>
                <w:rFonts w:ascii="Arial Narrow" w:eastAsia="MS Gothic" w:hAnsi="Arial Narrow"/>
                <w:bCs/>
              </w:rPr>
            </w:pPr>
            <w:r w:rsidRPr="000C0AE1">
              <w:rPr>
                <w:rFonts w:ascii="Arial Narrow" w:eastAsia="MS Gothic" w:hAnsi="Arial Narrow"/>
                <w:bCs/>
              </w:rPr>
              <w:t>1.52</w:t>
            </w:r>
          </w:p>
        </w:tc>
        <w:tc>
          <w:tcPr>
            <w:tcW w:w="838" w:type="pct"/>
            <w:tcBorders>
              <w:top w:val="single" w:sz="4" w:space="0" w:color="auto"/>
              <w:left w:val="single" w:sz="4" w:space="0" w:color="auto"/>
              <w:bottom w:val="single" w:sz="4" w:space="0" w:color="auto"/>
              <w:right w:val="single" w:sz="4" w:space="0" w:color="auto"/>
            </w:tcBorders>
            <w:vAlign w:val="center"/>
            <w:hideMark/>
          </w:tcPr>
          <w:p w14:paraId="6C5046CE" w14:textId="77777777" w:rsidR="003127A3" w:rsidRPr="003127A3" w:rsidRDefault="003127A3" w:rsidP="003127A3">
            <w:pPr>
              <w:keepNext/>
              <w:spacing w:before="0" w:after="0"/>
              <w:jc w:val="center"/>
              <w:rPr>
                <w:rFonts w:ascii="Arial Narrow" w:eastAsia="MS Gothic" w:hAnsi="Arial Narrow"/>
                <w:bCs/>
              </w:rPr>
            </w:pPr>
            <w:r w:rsidRPr="003127A3">
              <w:rPr>
                <w:rFonts w:ascii="Arial Narrow" w:eastAsia="MS Gothic" w:hAnsi="Arial Narrow"/>
                <w:bCs/>
              </w:rPr>
              <w:t>0.57</w:t>
            </w:r>
          </w:p>
        </w:tc>
      </w:tr>
      <w:tr w:rsidR="003127A3" w:rsidRPr="003127A3" w14:paraId="5AE73472" w14:textId="77777777" w:rsidTr="003127A3">
        <w:tc>
          <w:tcPr>
            <w:tcW w:w="4162" w:type="pct"/>
            <w:gridSpan w:val="3"/>
            <w:tcBorders>
              <w:top w:val="single" w:sz="4" w:space="0" w:color="auto"/>
              <w:left w:val="single" w:sz="4" w:space="0" w:color="auto"/>
              <w:bottom w:val="single" w:sz="4" w:space="0" w:color="auto"/>
              <w:right w:val="single" w:sz="4" w:space="0" w:color="auto"/>
            </w:tcBorders>
            <w:vAlign w:val="center"/>
            <w:hideMark/>
          </w:tcPr>
          <w:p w14:paraId="0391440B" w14:textId="77777777" w:rsidR="003127A3" w:rsidRPr="003127A3" w:rsidRDefault="003127A3" w:rsidP="003127A3">
            <w:pPr>
              <w:keepNext/>
              <w:spacing w:before="0" w:after="0"/>
              <w:rPr>
                <w:rFonts w:ascii="Times" w:eastAsia="MS Gothic" w:hAnsi="Times"/>
                <w:b/>
                <w:bCs/>
              </w:rPr>
            </w:pPr>
            <w:r w:rsidRPr="003127A3">
              <w:rPr>
                <w:rFonts w:ascii="Arial Narrow" w:eastAsia="MS Gothic" w:hAnsi="Arial Narrow"/>
                <w:b/>
                <w:bCs/>
              </w:rPr>
              <w:t>Incremental cost/extra QALY gained</w:t>
            </w:r>
          </w:p>
        </w:tc>
        <w:tc>
          <w:tcPr>
            <w:tcW w:w="838" w:type="pct"/>
            <w:tcBorders>
              <w:top w:val="single" w:sz="4" w:space="0" w:color="auto"/>
              <w:left w:val="single" w:sz="4" w:space="0" w:color="auto"/>
              <w:bottom w:val="single" w:sz="4" w:space="0" w:color="auto"/>
              <w:right w:val="single" w:sz="4" w:space="0" w:color="auto"/>
            </w:tcBorders>
            <w:vAlign w:val="center"/>
            <w:hideMark/>
          </w:tcPr>
          <w:p w14:paraId="76EC1B7B" w14:textId="5A9FE6B8" w:rsidR="003127A3" w:rsidRPr="003127A3" w:rsidRDefault="00443E6B" w:rsidP="003127A3">
            <w:pPr>
              <w:keepNext/>
              <w:spacing w:before="0" w:after="0"/>
              <w:jc w:val="center"/>
              <w:rPr>
                <w:rFonts w:ascii="Times" w:eastAsia="MS Gothic" w:hAnsi="Times"/>
                <w:b/>
                <w:bCs/>
              </w:rPr>
            </w:pPr>
            <w:r w:rsidRPr="00443E6B">
              <w:rPr>
                <w:rFonts w:ascii="Arial Narrow" w:eastAsia="MS Gothic" w:hAnsi="Arial Narrow"/>
                <w:b/>
                <w:bCs/>
                <w:color w:val="000000"/>
                <w:shd w:val="solid" w:color="000000" w:fill="000000"/>
                <w14:textFill>
                  <w14:solidFill>
                    <w14:srgbClr w14:val="000000">
                      <w14:alpha w14:val="100000"/>
                    </w14:srgbClr>
                  </w14:solidFill>
                </w14:textFill>
              </w:rPr>
              <w:t>|</w:t>
            </w:r>
            <w:r w:rsidR="00CD20FD">
              <w:rPr>
                <w:rFonts w:ascii="Arial Narrow" w:eastAsia="MS Gothic" w:hAnsi="Arial Narrow"/>
                <w:bCs/>
              </w:rPr>
              <w:t xml:space="preserve"> </w:t>
            </w:r>
            <w:r w:rsidR="00CD20FD">
              <w:rPr>
                <w:rFonts w:ascii="Arial Narrow" w:eastAsia="MS Gothic" w:hAnsi="Arial Narrow"/>
                <w:bCs/>
                <w:vertAlign w:val="superscript"/>
              </w:rPr>
              <w:t>1</w:t>
            </w:r>
          </w:p>
        </w:tc>
      </w:tr>
    </w:tbl>
    <w:p w14:paraId="72D3CF81" w14:textId="098BA7AF" w:rsidR="003127A3" w:rsidRPr="003127A3" w:rsidRDefault="003127A3" w:rsidP="003127A3">
      <w:pPr>
        <w:snapToGrid w:val="0"/>
        <w:spacing w:before="0" w:after="120" w:line="240" w:lineRule="auto"/>
        <w:contextualSpacing/>
        <w:rPr>
          <w:rFonts w:ascii="Arial Narrow" w:eastAsia="Calibri" w:hAnsi="Arial Narrow" w:cs="Times New Roman"/>
          <w:sz w:val="18"/>
        </w:rPr>
      </w:pPr>
      <w:r w:rsidRPr="003127A3">
        <w:rPr>
          <w:rFonts w:ascii="Arial Narrow" w:eastAsia="Calibri" w:hAnsi="Arial Narrow" w:cs="Times New Roman"/>
          <w:sz w:val="18"/>
        </w:rPr>
        <w:t xml:space="preserve">Source: Table 3.8-4, p123 and Table 3.8-5, p124 of the </w:t>
      </w:r>
      <w:r>
        <w:rPr>
          <w:rFonts w:ascii="Arial Narrow" w:eastAsia="Calibri" w:hAnsi="Arial Narrow" w:cs="Times New Roman"/>
          <w:sz w:val="18"/>
        </w:rPr>
        <w:t xml:space="preserve">PBAC </w:t>
      </w:r>
      <w:r w:rsidRPr="003127A3">
        <w:rPr>
          <w:rFonts w:ascii="Arial Narrow" w:eastAsia="Calibri" w:hAnsi="Arial Narrow" w:cs="Times New Roman"/>
          <w:sz w:val="18"/>
        </w:rPr>
        <w:t>submission.</w:t>
      </w:r>
    </w:p>
    <w:p w14:paraId="28F3ADE1" w14:textId="77777777" w:rsidR="00CD20FD" w:rsidRDefault="003127A3" w:rsidP="00DE6388">
      <w:pPr>
        <w:snapToGrid w:val="0"/>
        <w:spacing w:before="0" w:after="120" w:line="240" w:lineRule="auto"/>
        <w:contextualSpacing/>
        <w:rPr>
          <w:rFonts w:ascii="Arial Narrow" w:eastAsia="Calibri" w:hAnsi="Arial Narrow" w:cs="Times New Roman"/>
          <w:sz w:val="18"/>
        </w:rPr>
      </w:pPr>
      <w:r w:rsidRPr="003127A3">
        <w:rPr>
          <w:rFonts w:ascii="Arial Narrow" w:eastAsia="Calibri" w:hAnsi="Arial Narrow" w:cs="Times New Roman"/>
          <w:sz w:val="18"/>
        </w:rPr>
        <w:t>LY= Life year; LYG = Life years gained; QALYs = Quality-adjusted life year.</w:t>
      </w:r>
    </w:p>
    <w:p w14:paraId="27626795" w14:textId="77777777" w:rsidR="00CD20FD" w:rsidRPr="00CD20FD" w:rsidRDefault="00CD20FD" w:rsidP="00CD20FD">
      <w:pPr>
        <w:spacing w:before="0" w:after="0" w:line="240" w:lineRule="auto"/>
        <w:rPr>
          <w:rFonts w:ascii="Arial Narrow" w:eastAsia="Times New Roman" w:hAnsi="Arial Narrow" w:cs="Arial"/>
          <w:i/>
          <w:sz w:val="18"/>
          <w:szCs w:val="18"/>
          <w:lang w:val="en-US" w:eastAsia="en-AU"/>
        </w:rPr>
      </w:pPr>
      <w:r w:rsidRPr="00CD20FD">
        <w:rPr>
          <w:rFonts w:ascii="Arial Narrow" w:eastAsia="Times New Roman" w:hAnsi="Arial Narrow" w:cs="Arial"/>
          <w:i/>
          <w:sz w:val="18"/>
          <w:szCs w:val="18"/>
          <w:lang w:val="en-US" w:eastAsia="en-AU"/>
        </w:rPr>
        <w:t xml:space="preserve">The redacted values correspond to the following ranges: </w:t>
      </w:r>
    </w:p>
    <w:p w14:paraId="17A36364" w14:textId="378328C4" w:rsidR="00DE6388" w:rsidRPr="002127E9" w:rsidRDefault="00CD20FD" w:rsidP="002127E9">
      <w:pPr>
        <w:spacing w:before="0" w:after="120" w:line="240" w:lineRule="auto"/>
        <w:rPr>
          <w:rFonts w:ascii="Arial Narrow" w:eastAsia="Times New Roman" w:hAnsi="Arial Narrow" w:cs="Arial"/>
          <w:i/>
          <w:sz w:val="18"/>
          <w:szCs w:val="18"/>
          <w:lang w:val="en-US" w:eastAsia="en-AU"/>
        </w:rPr>
      </w:pPr>
      <w:r w:rsidRPr="00CD20FD">
        <w:rPr>
          <w:rFonts w:ascii="Arial Narrow" w:eastAsia="Times New Roman" w:hAnsi="Arial Narrow" w:cs="Arial"/>
          <w:i/>
          <w:sz w:val="18"/>
          <w:szCs w:val="18"/>
          <w:vertAlign w:val="superscript"/>
          <w:lang w:val="en-US" w:eastAsia="en-AU"/>
        </w:rPr>
        <w:t>1</w:t>
      </w:r>
      <w:r w:rsidRPr="00CD20FD">
        <w:rPr>
          <w:rFonts w:ascii="Arial Narrow" w:eastAsia="Times New Roman" w:hAnsi="Arial Narrow" w:cs="Arial"/>
          <w:i/>
          <w:sz w:val="18"/>
          <w:szCs w:val="18"/>
          <w:lang w:val="en-US" w:eastAsia="en-AU"/>
        </w:rPr>
        <w:t xml:space="preserve"> </w:t>
      </w:r>
      <w:r w:rsidRPr="00CD20FD">
        <w:rPr>
          <w:rFonts w:ascii="Arial Narrow" w:eastAsia="Times New Roman" w:hAnsi="Arial Narrow" w:cs="Arial"/>
          <w:i/>
          <w:sz w:val="18"/>
          <w:szCs w:val="18"/>
          <w:lang w:eastAsia="en-AU"/>
        </w:rPr>
        <w:t>$55,000 to &lt; $75,000</w:t>
      </w:r>
      <w:r w:rsidR="00DE6388">
        <w:br w:type="page"/>
      </w:r>
    </w:p>
    <w:p w14:paraId="25AE2BAC" w14:textId="24276D93" w:rsidR="00772829" w:rsidRPr="00CE28E3" w:rsidRDefault="00C36633" w:rsidP="002A18BE">
      <w:pPr>
        <w:pStyle w:val="Heading2"/>
        <w:numPr>
          <w:ilvl w:val="0"/>
          <w:numId w:val="0"/>
        </w:numPr>
      </w:pPr>
      <w:bookmarkStart w:id="27" w:name="_Toc69491426"/>
      <w:r>
        <w:t>1</w:t>
      </w:r>
      <w:r w:rsidR="000C2287">
        <w:t>4</w:t>
      </w:r>
      <w:r>
        <w:t>.</w:t>
      </w:r>
      <w:r>
        <w:tab/>
      </w:r>
      <w:r w:rsidR="00772829" w:rsidRPr="00CE28E3">
        <w:t>Financial/budgetary impacts</w:t>
      </w:r>
      <w:bookmarkEnd w:id="27"/>
    </w:p>
    <w:p w14:paraId="4ADDA480" w14:textId="4321A38C" w:rsidR="00D428B9" w:rsidRPr="00CE28E3" w:rsidRDefault="00D428B9" w:rsidP="00330A0A">
      <w:r w:rsidRPr="00CE28E3">
        <w:t xml:space="preserve">The financial implications </w:t>
      </w:r>
      <w:r w:rsidRPr="00431512">
        <w:t>to the MBS</w:t>
      </w:r>
      <w:r w:rsidR="00431512" w:rsidRPr="00431512">
        <w:t xml:space="preserve"> </w:t>
      </w:r>
      <w:r w:rsidRPr="00431512">
        <w:t>resulting</w:t>
      </w:r>
      <w:r w:rsidRPr="00CE28E3">
        <w:t xml:space="preserve"> from the proposed listing </w:t>
      </w:r>
      <w:r w:rsidR="00431512">
        <w:t>PD-L1 IHC for TNBC</w:t>
      </w:r>
      <w:r w:rsidRPr="00CE28E3">
        <w:t xml:space="preserve"> are summarised in </w:t>
      </w:r>
      <w:r w:rsidR="003571C2">
        <w:fldChar w:fldCharType="begin"/>
      </w:r>
      <w:r w:rsidR="003571C2">
        <w:instrText xml:space="preserve"> REF _Ref69726382 \h </w:instrText>
      </w:r>
      <w:r w:rsidR="003571C2">
        <w:fldChar w:fldCharType="separate"/>
      </w:r>
      <w:r w:rsidR="000E4BEF" w:rsidRPr="00CE28E3">
        <w:t>Table</w:t>
      </w:r>
      <w:r w:rsidR="000E4BEF">
        <w:t> </w:t>
      </w:r>
      <w:r w:rsidR="000E4BEF">
        <w:rPr>
          <w:noProof/>
        </w:rPr>
        <w:t>7</w:t>
      </w:r>
      <w:r w:rsidR="003571C2">
        <w:fldChar w:fldCharType="end"/>
      </w:r>
      <w:r w:rsidRPr="00CE28E3">
        <w:t xml:space="preserve">. </w:t>
      </w:r>
      <w:r w:rsidR="00431512">
        <w:t>The MSAC submission estimated a small financial impact to the MBS. However</w:t>
      </w:r>
      <w:r w:rsidR="00C05AA7">
        <w:t>,</w:t>
      </w:r>
      <w:r w:rsidR="00431512">
        <w:t xml:space="preserve"> these figures could not be verified in the financial estimates spreadsheet. </w:t>
      </w:r>
      <w:r w:rsidR="00C05AA7">
        <w:t xml:space="preserve">Correcting the calculations did not meaningfully change the financial implications to the MBS. </w:t>
      </w:r>
    </w:p>
    <w:p w14:paraId="33FCA9D4" w14:textId="3D355483" w:rsidR="00D428B9" w:rsidRPr="00CE28E3" w:rsidRDefault="00D428B9" w:rsidP="00215AFB">
      <w:pPr>
        <w:pStyle w:val="Caption"/>
      </w:pPr>
      <w:bookmarkStart w:id="28" w:name="_Ref69726382"/>
      <w:r w:rsidRPr="00CE28E3">
        <w:t>Table</w:t>
      </w:r>
      <w:r w:rsidR="003571C2">
        <w:t> </w:t>
      </w:r>
      <w:r w:rsidR="00641D47">
        <w:rPr>
          <w:noProof/>
        </w:rPr>
        <w:fldChar w:fldCharType="begin"/>
      </w:r>
      <w:r w:rsidR="00641D47">
        <w:rPr>
          <w:noProof/>
        </w:rPr>
        <w:instrText xml:space="preserve"> SEQ Table \* ARABIC </w:instrText>
      </w:r>
      <w:r w:rsidR="00641D47">
        <w:rPr>
          <w:noProof/>
        </w:rPr>
        <w:fldChar w:fldCharType="separate"/>
      </w:r>
      <w:r w:rsidR="000E4BEF">
        <w:rPr>
          <w:noProof/>
        </w:rPr>
        <w:t>7</w:t>
      </w:r>
      <w:r w:rsidR="00641D47">
        <w:rPr>
          <w:noProof/>
        </w:rPr>
        <w:fldChar w:fldCharType="end"/>
      </w:r>
      <w:bookmarkEnd w:id="28"/>
      <w:r w:rsidRPr="00CE28E3">
        <w:tab/>
        <w:t xml:space="preserve">Net financial implications of </w:t>
      </w:r>
      <w:r w:rsidR="0016762B">
        <w:t>PD-L1 testing</w:t>
      </w:r>
      <w:r w:rsidRPr="00CE28E3">
        <w:t xml:space="preserve"> to the </w:t>
      </w:r>
      <w:r w:rsidR="0016762B">
        <w:t>MBS</w:t>
      </w:r>
    </w:p>
    <w:tbl>
      <w:tblPr>
        <w:tblStyle w:val="TableGrid1"/>
        <w:tblW w:w="0" w:type="auto"/>
        <w:tblLayout w:type="fixed"/>
        <w:tblCellMar>
          <w:left w:w="0" w:type="dxa"/>
          <w:right w:w="0" w:type="dxa"/>
        </w:tblCellMar>
        <w:tblLook w:val="04A0" w:firstRow="1" w:lastRow="0" w:firstColumn="1" w:lastColumn="0" w:noHBand="0" w:noVBand="1"/>
      </w:tblPr>
      <w:tblGrid>
        <w:gridCol w:w="2263"/>
        <w:gridCol w:w="1134"/>
        <w:gridCol w:w="1134"/>
        <w:gridCol w:w="1134"/>
        <w:gridCol w:w="1134"/>
        <w:gridCol w:w="1134"/>
        <w:gridCol w:w="1083"/>
      </w:tblGrid>
      <w:tr w:rsidR="00431512" w:rsidRPr="00CE28E3" w14:paraId="10C955A8" w14:textId="77777777" w:rsidTr="00443E6B">
        <w:trPr>
          <w:cnfStyle w:val="100000000000" w:firstRow="1" w:lastRow="0" w:firstColumn="0" w:lastColumn="0" w:oddVBand="0" w:evenVBand="0" w:oddHBand="0" w:evenHBand="0" w:firstRowFirstColumn="0" w:firstRowLastColumn="0" w:lastRowFirstColumn="0" w:lastRowLastColumn="0"/>
          <w:tblHeader/>
        </w:trPr>
        <w:tc>
          <w:tcPr>
            <w:tcW w:w="2263" w:type="dxa"/>
            <w:tcMar>
              <w:top w:w="0" w:type="dxa"/>
              <w:left w:w="108" w:type="dxa"/>
              <w:bottom w:w="0" w:type="dxa"/>
              <w:right w:w="108" w:type="dxa"/>
            </w:tcMar>
          </w:tcPr>
          <w:p w14:paraId="7F0BEFFF" w14:textId="130CD43F" w:rsidR="00431512" w:rsidRPr="00CE28E3" w:rsidRDefault="00431512" w:rsidP="00431512">
            <w:pPr>
              <w:pStyle w:val="TableText"/>
              <w:keepNext/>
              <w:rPr>
                <w:b/>
                <w:bCs/>
              </w:rPr>
            </w:pPr>
            <w:bookmarkStart w:id="29" w:name="Title_Table12" w:colFirst="0" w:colLast="0"/>
            <w:r>
              <w:rPr>
                <w:b/>
                <w:bCs/>
              </w:rPr>
              <w:t xml:space="preserve">Parameter </w:t>
            </w:r>
          </w:p>
        </w:tc>
        <w:tc>
          <w:tcPr>
            <w:tcW w:w="1134" w:type="dxa"/>
            <w:tcMar>
              <w:top w:w="0" w:type="dxa"/>
              <w:left w:w="108" w:type="dxa"/>
              <w:bottom w:w="0" w:type="dxa"/>
              <w:right w:w="108" w:type="dxa"/>
            </w:tcMar>
            <w:hideMark/>
          </w:tcPr>
          <w:p w14:paraId="0802FC81" w14:textId="73C14C97" w:rsidR="00431512" w:rsidRPr="00431512" w:rsidRDefault="00431512" w:rsidP="00431512">
            <w:pPr>
              <w:pStyle w:val="TableText"/>
              <w:keepNext/>
              <w:jc w:val="center"/>
              <w:rPr>
                <w:b/>
                <w:bCs/>
              </w:rPr>
            </w:pPr>
            <w:r w:rsidRPr="00431512">
              <w:rPr>
                <w:b/>
                <w:bCs/>
              </w:rPr>
              <w:t>2023</w:t>
            </w:r>
          </w:p>
        </w:tc>
        <w:tc>
          <w:tcPr>
            <w:tcW w:w="1134" w:type="dxa"/>
            <w:tcMar>
              <w:top w:w="0" w:type="dxa"/>
              <w:left w:w="108" w:type="dxa"/>
              <w:bottom w:w="0" w:type="dxa"/>
              <w:right w:w="108" w:type="dxa"/>
            </w:tcMar>
            <w:hideMark/>
          </w:tcPr>
          <w:p w14:paraId="759DA5DF" w14:textId="0AC79138" w:rsidR="00431512" w:rsidRPr="00431512" w:rsidRDefault="00431512" w:rsidP="00431512">
            <w:pPr>
              <w:pStyle w:val="TableText"/>
              <w:keepNext/>
              <w:jc w:val="center"/>
              <w:rPr>
                <w:b/>
                <w:bCs/>
              </w:rPr>
            </w:pPr>
            <w:r w:rsidRPr="00431512">
              <w:rPr>
                <w:b/>
                <w:bCs/>
              </w:rPr>
              <w:t>2024</w:t>
            </w:r>
          </w:p>
        </w:tc>
        <w:tc>
          <w:tcPr>
            <w:tcW w:w="1134" w:type="dxa"/>
            <w:tcMar>
              <w:top w:w="0" w:type="dxa"/>
              <w:left w:w="108" w:type="dxa"/>
              <w:bottom w:w="0" w:type="dxa"/>
              <w:right w:w="108" w:type="dxa"/>
            </w:tcMar>
            <w:hideMark/>
          </w:tcPr>
          <w:p w14:paraId="3BF14104" w14:textId="10A9CAB2" w:rsidR="00431512" w:rsidRPr="00431512" w:rsidRDefault="00431512" w:rsidP="00431512">
            <w:pPr>
              <w:pStyle w:val="TableText"/>
              <w:keepNext/>
              <w:jc w:val="center"/>
              <w:rPr>
                <w:b/>
                <w:bCs/>
              </w:rPr>
            </w:pPr>
            <w:r w:rsidRPr="00431512">
              <w:rPr>
                <w:b/>
                <w:bCs/>
              </w:rPr>
              <w:t>2025</w:t>
            </w:r>
          </w:p>
        </w:tc>
        <w:tc>
          <w:tcPr>
            <w:tcW w:w="1134" w:type="dxa"/>
            <w:tcMar>
              <w:top w:w="0" w:type="dxa"/>
              <w:left w:w="108" w:type="dxa"/>
              <w:bottom w:w="0" w:type="dxa"/>
              <w:right w:w="108" w:type="dxa"/>
            </w:tcMar>
            <w:hideMark/>
          </w:tcPr>
          <w:p w14:paraId="31580A99" w14:textId="75F7D1E9" w:rsidR="00431512" w:rsidRPr="00431512" w:rsidRDefault="00431512" w:rsidP="00431512">
            <w:pPr>
              <w:pStyle w:val="TableText"/>
              <w:keepNext/>
              <w:jc w:val="center"/>
              <w:rPr>
                <w:b/>
                <w:bCs/>
              </w:rPr>
            </w:pPr>
            <w:r w:rsidRPr="00431512">
              <w:rPr>
                <w:b/>
                <w:bCs/>
              </w:rPr>
              <w:t>2026</w:t>
            </w:r>
          </w:p>
        </w:tc>
        <w:tc>
          <w:tcPr>
            <w:tcW w:w="1134" w:type="dxa"/>
            <w:tcMar>
              <w:top w:w="0" w:type="dxa"/>
              <w:left w:w="108" w:type="dxa"/>
              <w:bottom w:w="0" w:type="dxa"/>
              <w:right w:w="108" w:type="dxa"/>
            </w:tcMar>
            <w:hideMark/>
          </w:tcPr>
          <w:p w14:paraId="199B68C0" w14:textId="1BEF547B" w:rsidR="00431512" w:rsidRPr="00431512" w:rsidRDefault="00431512" w:rsidP="00431512">
            <w:pPr>
              <w:pStyle w:val="TableText"/>
              <w:keepNext/>
              <w:jc w:val="center"/>
              <w:rPr>
                <w:b/>
                <w:bCs/>
              </w:rPr>
            </w:pPr>
            <w:r w:rsidRPr="00431512">
              <w:rPr>
                <w:b/>
                <w:bCs/>
              </w:rPr>
              <w:t>2027</w:t>
            </w:r>
          </w:p>
        </w:tc>
        <w:tc>
          <w:tcPr>
            <w:tcW w:w="1083" w:type="dxa"/>
            <w:tcMar>
              <w:top w:w="0" w:type="dxa"/>
              <w:left w:w="108" w:type="dxa"/>
              <w:bottom w:w="0" w:type="dxa"/>
              <w:right w:w="108" w:type="dxa"/>
            </w:tcMar>
            <w:hideMark/>
          </w:tcPr>
          <w:p w14:paraId="7A0E4711" w14:textId="62FEC62C" w:rsidR="00431512" w:rsidRPr="00431512" w:rsidRDefault="00431512" w:rsidP="00431512">
            <w:pPr>
              <w:pStyle w:val="TableText"/>
              <w:keepNext/>
              <w:jc w:val="center"/>
              <w:rPr>
                <w:b/>
                <w:bCs/>
              </w:rPr>
            </w:pPr>
            <w:r w:rsidRPr="00431512">
              <w:rPr>
                <w:b/>
                <w:bCs/>
              </w:rPr>
              <w:t>2028</w:t>
            </w:r>
          </w:p>
        </w:tc>
      </w:tr>
      <w:bookmarkEnd w:id="29"/>
      <w:tr w:rsidR="00D428B9" w:rsidRPr="00CE28E3" w14:paraId="5778418C" w14:textId="77777777" w:rsidTr="00443E6B">
        <w:tc>
          <w:tcPr>
            <w:tcW w:w="9016" w:type="dxa"/>
            <w:gridSpan w:val="7"/>
            <w:tcMar>
              <w:top w:w="0" w:type="dxa"/>
              <w:left w:w="108" w:type="dxa"/>
              <w:bottom w:w="0" w:type="dxa"/>
              <w:right w:w="108" w:type="dxa"/>
            </w:tcMar>
            <w:hideMark/>
          </w:tcPr>
          <w:p w14:paraId="16E7D8E3" w14:textId="4D719B20" w:rsidR="00D428B9" w:rsidRPr="00CE28E3" w:rsidRDefault="00431512" w:rsidP="00215AFB">
            <w:pPr>
              <w:pStyle w:val="TableText"/>
              <w:keepNext/>
              <w:rPr>
                <w:b/>
                <w:bCs/>
              </w:rPr>
            </w:pPr>
            <w:r>
              <w:rPr>
                <w:b/>
                <w:bCs/>
              </w:rPr>
              <w:t>MSAC submission</w:t>
            </w:r>
          </w:p>
        </w:tc>
      </w:tr>
      <w:tr w:rsidR="00431512" w:rsidRPr="00CE28E3" w14:paraId="16C50CDA" w14:textId="77777777" w:rsidTr="00443E6B">
        <w:tc>
          <w:tcPr>
            <w:tcW w:w="2263" w:type="dxa"/>
            <w:tcMar>
              <w:top w:w="0" w:type="dxa"/>
              <w:left w:w="108" w:type="dxa"/>
              <w:bottom w:w="0" w:type="dxa"/>
              <w:right w:w="108" w:type="dxa"/>
            </w:tcMar>
          </w:tcPr>
          <w:p w14:paraId="3B7783D5" w14:textId="79D7EBAD" w:rsidR="00431512" w:rsidRPr="00CE28E3" w:rsidRDefault="00431512" w:rsidP="00431512">
            <w:pPr>
              <w:pStyle w:val="TableText"/>
              <w:keepNext/>
            </w:pPr>
            <w:r w:rsidRPr="00196575">
              <w:t>Total MBS services – PD-L1 testing</w:t>
            </w:r>
          </w:p>
        </w:tc>
        <w:tc>
          <w:tcPr>
            <w:tcW w:w="1134" w:type="dxa"/>
            <w:tcMar>
              <w:top w:w="0" w:type="dxa"/>
              <w:left w:w="108" w:type="dxa"/>
              <w:bottom w:w="0" w:type="dxa"/>
              <w:right w:w="108" w:type="dxa"/>
            </w:tcMar>
          </w:tcPr>
          <w:p w14:paraId="73095266" w14:textId="5F9D6FD5" w:rsidR="00431512" w:rsidRPr="00443E6B" w:rsidRDefault="00443E6B" w:rsidP="00431512">
            <w:pPr>
              <w:pStyle w:val="TableText"/>
              <w:keepNext/>
              <w:jc w:val="center"/>
              <w:rPr>
                <w:highlight w:val="yellow"/>
                <w:vertAlign w:val="superscript"/>
              </w:rPr>
            </w:pPr>
            <w:r w:rsidRPr="00443E6B">
              <w:rPr>
                <w:color w:val="000000"/>
                <w:spacing w:val="94"/>
                <w:shd w:val="solid" w:color="000000" w:fill="000000"/>
                <w:fitText w:val="180" w:id="-1240791545"/>
                <w14:textFill>
                  <w14:solidFill>
                    <w14:srgbClr w14:val="000000">
                      <w14:alpha w14:val="100000"/>
                    </w14:srgbClr>
                  </w14:solidFill>
                </w14:textFill>
              </w:rPr>
              <w:t>|</w:t>
            </w:r>
            <w:r w:rsidRPr="00443E6B">
              <w:rPr>
                <w:color w:val="000000"/>
                <w:spacing w:val="1"/>
                <w:shd w:val="solid" w:color="000000" w:fill="000000"/>
                <w:fitText w:val="180" w:id="-1240791545"/>
                <w14:textFill>
                  <w14:solidFill>
                    <w14:srgbClr w14:val="000000">
                      <w14:alpha w14:val="100000"/>
                    </w14:srgbClr>
                  </w14:solidFill>
                </w14:textFill>
              </w:rPr>
              <w:t>|</w:t>
            </w:r>
            <w:r w:rsidR="00CD20FD" w:rsidRPr="00443E6B">
              <w:t xml:space="preserve"> </w:t>
            </w:r>
            <w:r w:rsidR="00CD20FD" w:rsidRPr="00443E6B">
              <w:rPr>
                <w:vertAlign w:val="superscript"/>
              </w:rPr>
              <w:t>1</w:t>
            </w:r>
          </w:p>
        </w:tc>
        <w:tc>
          <w:tcPr>
            <w:tcW w:w="1134" w:type="dxa"/>
            <w:tcMar>
              <w:top w:w="0" w:type="dxa"/>
              <w:left w:w="108" w:type="dxa"/>
              <w:bottom w:w="0" w:type="dxa"/>
              <w:right w:w="108" w:type="dxa"/>
            </w:tcMar>
          </w:tcPr>
          <w:p w14:paraId="47AB12F5" w14:textId="42D4686E" w:rsidR="00431512" w:rsidRPr="00E45065" w:rsidRDefault="00443E6B" w:rsidP="00431512">
            <w:pPr>
              <w:pStyle w:val="TableText"/>
              <w:keepNext/>
              <w:jc w:val="center"/>
              <w:rPr>
                <w:highlight w:val="yellow"/>
              </w:rPr>
            </w:pPr>
            <w:r w:rsidRPr="00443E6B">
              <w:rPr>
                <w:color w:val="000000"/>
                <w:spacing w:val="94"/>
                <w:shd w:val="solid" w:color="000000" w:fill="000000"/>
                <w:fitText w:val="180" w:id="-1240791544"/>
                <w14:textFill>
                  <w14:solidFill>
                    <w14:srgbClr w14:val="000000">
                      <w14:alpha w14:val="100000"/>
                    </w14:srgbClr>
                  </w14:solidFill>
                </w14:textFill>
              </w:rPr>
              <w:t>|</w:t>
            </w:r>
            <w:r w:rsidRPr="00443E6B">
              <w:rPr>
                <w:color w:val="000000"/>
                <w:spacing w:val="1"/>
                <w:shd w:val="solid" w:color="000000" w:fill="000000"/>
                <w:fitText w:val="180" w:id="-1240791544"/>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tcPr>
          <w:p w14:paraId="09031D3F" w14:textId="2CD9F452" w:rsidR="00431512" w:rsidRPr="00E45065" w:rsidRDefault="00443E6B" w:rsidP="00431512">
            <w:pPr>
              <w:pStyle w:val="TableText"/>
              <w:keepNext/>
              <w:jc w:val="center"/>
              <w:rPr>
                <w:highlight w:val="yellow"/>
              </w:rPr>
            </w:pPr>
            <w:r w:rsidRPr="00443E6B">
              <w:rPr>
                <w:color w:val="000000"/>
                <w:spacing w:val="94"/>
                <w:shd w:val="solid" w:color="000000" w:fill="000000"/>
                <w:fitText w:val="180" w:id="-1240791543"/>
                <w14:textFill>
                  <w14:solidFill>
                    <w14:srgbClr w14:val="000000">
                      <w14:alpha w14:val="100000"/>
                    </w14:srgbClr>
                  </w14:solidFill>
                </w14:textFill>
              </w:rPr>
              <w:t>|</w:t>
            </w:r>
            <w:r w:rsidRPr="00443E6B">
              <w:rPr>
                <w:color w:val="000000"/>
                <w:spacing w:val="1"/>
                <w:shd w:val="solid" w:color="000000" w:fill="000000"/>
                <w:fitText w:val="180" w:id="-1240791543"/>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tcPr>
          <w:p w14:paraId="57859E00" w14:textId="66F03E08" w:rsidR="00431512" w:rsidRPr="00E45065" w:rsidRDefault="00443E6B" w:rsidP="00431512">
            <w:pPr>
              <w:pStyle w:val="TableText"/>
              <w:keepNext/>
              <w:jc w:val="center"/>
              <w:rPr>
                <w:highlight w:val="yellow"/>
              </w:rPr>
            </w:pPr>
            <w:r w:rsidRPr="00443E6B">
              <w:rPr>
                <w:color w:val="000000"/>
                <w:spacing w:val="94"/>
                <w:shd w:val="solid" w:color="000000" w:fill="000000"/>
                <w:fitText w:val="180" w:id="-1240791542"/>
                <w14:textFill>
                  <w14:solidFill>
                    <w14:srgbClr w14:val="000000">
                      <w14:alpha w14:val="100000"/>
                    </w14:srgbClr>
                  </w14:solidFill>
                </w14:textFill>
              </w:rPr>
              <w:t>|</w:t>
            </w:r>
            <w:r w:rsidRPr="00443E6B">
              <w:rPr>
                <w:color w:val="000000"/>
                <w:spacing w:val="1"/>
                <w:shd w:val="solid" w:color="000000" w:fill="000000"/>
                <w:fitText w:val="180" w:id="-1240791542"/>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tcPr>
          <w:p w14:paraId="3C0B54F8" w14:textId="37DDACEA" w:rsidR="00431512" w:rsidRPr="00E45065" w:rsidRDefault="00443E6B" w:rsidP="00431512">
            <w:pPr>
              <w:pStyle w:val="TableText"/>
              <w:keepNext/>
              <w:jc w:val="center"/>
              <w:rPr>
                <w:highlight w:val="yellow"/>
              </w:rPr>
            </w:pPr>
            <w:r w:rsidRPr="00443E6B">
              <w:rPr>
                <w:color w:val="000000"/>
                <w:spacing w:val="94"/>
                <w:shd w:val="solid" w:color="000000" w:fill="000000"/>
                <w:fitText w:val="180" w:id="-1240791541"/>
                <w14:textFill>
                  <w14:solidFill>
                    <w14:srgbClr w14:val="000000">
                      <w14:alpha w14:val="100000"/>
                    </w14:srgbClr>
                  </w14:solidFill>
                </w14:textFill>
              </w:rPr>
              <w:t>|</w:t>
            </w:r>
            <w:r w:rsidRPr="00443E6B">
              <w:rPr>
                <w:color w:val="000000"/>
                <w:spacing w:val="1"/>
                <w:shd w:val="solid" w:color="000000" w:fill="000000"/>
                <w:fitText w:val="180" w:id="-1240791541"/>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083" w:type="dxa"/>
            <w:tcMar>
              <w:top w:w="0" w:type="dxa"/>
              <w:left w:w="108" w:type="dxa"/>
              <w:bottom w:w="0" w:type="dxa"/>
              <w:right w:w="108" w:type="dxa"/>
            </w:tcMar>
          </w:tcPr>
          <w:p w14:paraId="19C7884F" w14:textId="404D7785" w:rsidR="00431512" w:rsidRPr="00E45065" w:rsidRDefault="00443E6B" w:rsidP="00431512">
            <w:pPr>
              <w:pStyle w:val="TableText"/>
              <w:keepNext/>
              <w:jc w:val="center"/>
              <w:rPr>
                <w:highlight w:val="yellow"/>
              </w:rPr>
            </w:pPr>
            <w:r w:rsidRPr="00443E6B">
              <w:rPr>
                <w:color w:val="000000"/>
                <w:spacing w:val="46"/>
                <w:shd w:val="solid" w:color="000000" w:fill="000000"/>
                <w:fitText w:val="220" w:id="-1240791540"/>
                <w14:textFill>
                  <w14:solidFill>
                    <w14:srgbClr w14:val="000000">
                      <w14:alpha w14:val="100000"/>
                    </w14:srgbClr>
                  </w14:solidFill>
                </w14:textFill>
              </w:rPr>
              <w:t>||</w:t>
            </w:r>
            <w:r w:rsidRPr="00443E6B">
              <w:rPr>
                <w:color w:val="000000"/>
                <w:spacing w:val="1"/>
                <w:shd w:val="solid" w:color="000000" w:fill="000000"/>
                <w:fitText w:val="220" w:id="-1240791540"/>
                <w14:textFill>
                  <w14:solidFill>
                    <w14:srgbClr w14:val="000000">
                      <w14:alpha w14:val="100000"/>
                    </w14:srgbClr>
                  </w14:solidFill>
                </w14:textFill>
              </w:rPr>
              <w:t>|</w:t>
            </w:r>
            <w:r w:rsidR="00CD20FD" w:rsidRPr="00803BCD">
              <w:t xml:space="preserve"> </w:t>
            </w:r>
            <w:r w:rsidR="00CD20FD" w:rsidRPr="00803BCD">
              <w:rPr>
                <w:vertAlign w:val="superscript"/>
              </w:rPr>
              <w:t>1</w:t>
            </w:r>
          </w:p>
        </w:tc>
      </w:tr>
      <w:tr w:rsidR="00431512" w:rsidRPr="00CE28E3" w14:paraId="755DEAF4" w14:textId="77777777" w:rsidTr="00443E6B">
        <w:tc>
          <w:tcPr>
            <w:tcW w:w="2263" w:type="dxa"/>
            <w:tcMar>
              <w:top w:w="0" w:type="dxa"/>
              <w:left w:w="108" w:type="dxa"/>
              <w:bottom w:w="0" w:type="dxa"/>
              <w:right w:w="108" w:type="dxa"/>
            </w:tcMar>
          </w:tcPr>
          <w:p w14:paraId="208ACBFB" w14:textId="143DE799" w:rsidR="00431512" w:rsidRPr="00CE28E3" w:rsidRDefault="00431512" w:rsidP="00431512">
            <w:pPr>
              <w:pStyle w:val="TableText"/>
              <w:keepNext/>
            </w:pPr>
            <w:r w:rsidRPr="00196575">
              <w:t>Cost to MBS</w:t>
            </w:r>
            <w:r>
              <w:t xml:space="preserve"> (80% benefit)</w:t>
            </w:r>
          </w:p>
        </w:tc>
        <w:tc>
          <w:tcPr>
            <w:tcW w:w="1134" w:type="dxa"/>
            <w:tcMar>
              <w:top w:w="0" w:type="dxa"/>
              <w:left w:w="108" w:type="dxa"/>
              <w:bottom w:w="0" w:type="dxa"/>
              <w:right w:w="108" w:type="dxa"/>
            </w:tcMar>
          </w:tcPr>
          <w:p w14:paraId="07C02C49" w14:textId="092B5B6F" w:rsidR="00431512" w:rsidRPr="00443E6B" w:rsidRDefault="00443E6B" w:rsidP="00443E6B">
            <w:pPr>
              <w:pStyle w:val="TableText"/>
              <w:keepNext/>
              <w:jc w:val="center"/>
              <w:rPr>
                <w:highlight w:val="yellow"/>
                <w:vertAlign w:val="superscript"/>
              </w:rPr>
            </w:pPr>
            <w:r w:rsidRPr="00443E6B">
              <w:rPr>
                <w:color w:val="000000"/>
                <w:spacing w:val="94"/>
                <w:shd w:val="solid" w:color="000000" w:fill="000000"/>
                <w:fitText w:val="180" w:id="-1240791539"/>
                <w14:textFill>
                  <w14:solidFill>
                    <w14:srgbClr w14:val="000000">
                      <w14:alpha w14:val="100000"/>
                    </w14:srgbClr>
                  </w14:solidFill>
                </w14:textFill>
              </w:rPr>
              <w:t>|</w:t>
            </w:r>
            <w:r w:rsidRPr="00443E6B">
              <w:rPr>
                <w:color w:val="000000"/>
                <w:spacing w:val="1"/>
                <w:shd w:val="solid" w:color="000000" w:fill="000000"/>
                <w:fitText w:val="180" w:id="-1240791539"/>
                <w14:textFill>
                  <w14:solidFill>
                    <w14:srgbClr w14:val="000000">
                      <w14:alpha w14:val="100000"/>
                    </w14:srgbClr>
                  </w14:solidFill>
                </w14:textFill>
              </w:rPr>
              <w:t>|</w:t>
            </w:r>
            <w:r w:rsidR="00CD20FD" w:rsidRPr="00443E6B">
              <w:t xml:space="preserve"> </w:t>
            </w:r>
            <w:r w:rsidR="00CD20FD" w:rsidRPr="00443E6B">
              <w:rPr>
                <w:vertAlign w:val="superscript"/>
              </w:rPr>
              <w:t>2</w:t>
            </w:r>
          </w:p>
        </w:tc>
        <w:tc>
          <w:tcPr>
            <w:tcW w:w="1134" w:type="dxa"/>
            <w:tcMar>
              <w:top w:w="0" w:type="dxa"/>
              <w:left w:w="108" w:type="dxa"/>
              <w:bottom w:w="0" w:type="dxa"/>
              <w:right w:w="108" w:type="dxa"/>
            </w:tcMar>
          </w:tcPr>
          <w:p w14:paraId="726FA6A9" w14:textId="47F11350" w:rsidR="00431512" w:rsidRPr="00E45065" w:rsidRDefault="00443E6B" w:rsidP="00443E6B">
            <w:pPr>
              <w:pStyle w:val="TableText"/>
              <w:keepNext/>
              <w:jc w:val="center"/>
              <w:rPr>
                <w:highlight w:val="yellow"/>
              </w:rPr>
            </w:pPr>
            <w:r w:rsidRPr="00443E6B">
              <w:rPr>
                <w:color w:val="000000"/>
                <w:spacing w:val="94"/>
                <w:shd w:val="solid" w:color="000000" w:fill="000000"/>
                <w:fitText w:val="180" w:id="-1240791538"/>
                <w14:textFill>
                  <w14:solidFill>
                    <w14:srgbClr w14:val="000000">
                      <w14:alpha w14:val="100000"/>
                    </w14:srgbClr>
                  </w14:solidFill>
                </w14:textFill>
              </w:rPr>
              <w:t>|</w:t>
            </w:r>
            <w:r w:rsidRPr="00443E6B">
              <w:rPr>
                <w:color w:val="000000"/>
                <w:spacing w:val="1"/>
                <w:shd w:val="solid" w:color="000000" w:fill="000000"/>
                <w:fitText w:val="180" w:id="-1240791538"/>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40599FCD" w14:textId="579E6729" w:rsidR="00431512" w:rsidRPr="00E45065" w:rsidRDefault="00443E6B" w:rsidP="00443E6B">
            <w:pPr>
              <w:pStyle w:val="TableText"/>
              <w:keepNext/>
              <w:jc w:val="center"/>
              <w:rPr>
                <w:highlight w:val="yellow"/>
              </w:rPr>
            </w:pPr>
            <w:r w:rsidRPr="00443E6B">
              <w:rPr>
                <w:color w:val="000000"/>
                <w:spacing w:val="94"/>
                <w:shd w:val="solid" w:color="000000" w:fill="000000"/>
                <w:fitText w:val="180" w:id="-1240791537"/>
                <w14:textFill>
                  <w14:solidFill>
                    <w14:srgbClr w14:val="000000">
                      <w14:alpha w14:val="100000"/>
                    </w14:srgbClr>
                  </w14:solidFill>
                </w14:textFill>
              </w:rPr>
              <w:t>|</w:t>
            </w:r>
            <w:r w:rsidRPr="00443E6B">
              <w:rPr>
                <w:color w:val="000000"/>
                <w:spacing w:val="1"/>
                <w:shd w:val="solid" w:color="000000" w:fill="000000"/>
                <w:fitText w:val="180" w:id="-1240791537"/>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49543F6F" w14:textId="4521D67F" w:rsidR="00431512" w:rsidRPr="00E45065" w:rsidRDefault="00443E6B" w:rsidP="00443E6B">
            <w:pPr>
              <w:pStyle w:val="TableText"/>
              <w:keepNext/>
              <w:jc w:val="center"/>
              <w:rPr>
                <w:highlight w:val="yellow"/>
              </w:rPr>
            </w:pPr>
            <w:r w:rsidRPr="00443E6B">
              <w:rPr>
                <w:color w:val="000000"/>
                <w:spacing w:val="94"/>
                <w:shd w:val="solid" w:color="000000" w:fill="000000"/>
                <w:fitText w:val="180" w:id="-1240791536"/>
                <w14:textFill>
                  <w14:solidFill>
                    <w14:srgbClr w14:val="000000">
                      <w14:alpha w14:val="100000"/>
                    </w14:srgbClr>
                  </w14:solidFill>
                </w14:textFill>
              </w:rPr>
              <w:t>|</w:t>
            </w:r>
            <w:r w:rsidRPr="00443E6B">
              <w:rPr>
                <w:color w:val="000000"/>
                <w:spacing w:val="1"/>
                <w:shd w:val="solid" w:color="000000" w:fill="000000"/>
                <w:fitText w:val="180" w:id="-1240791536"/>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4012557F" w14:textId="09EAE195" w:rsidR="00431512" w:rsidRPr="00E45065" w:rsidRDefault="00443E6B" w:rsidP="00443E6B">
            <w:pPr>
              <w:pStyle w:val="TableText"/>
              <w:keepNext/>
              <w:jc w:val="center"/>
              <w:rPr>
                <w:highlight w:val="yellow"/>
              </w:rPr>
            </w:pPr>
            <w:r w:rsidRPr="00443E6B">
              <w:rPr>
                <w:color w:val="000000"/>
                <w:spacing w:val="94"/>
                <w:shd w:val="solid" w:color="000000" w:fill="000000"/>
                <w:fitText w:val="180" w:id="-1240791552"/>
                <w14:textFill>
                  <w14:solidFill>
                    <w14:srgbClr w14:val="000000">
                      <w14:alpha w14:val="100000"/>
                    </w14:srgbClr>
                  </w14:solidFill>
                </w14:textFill>
              </w:rPr>
              <w:t>|</w:t>
            </w:r>
            <w:r w:rsidRPr="00443E6B">
              <w:rPr>
                <w:color w:val="000000"/>
                <w:spacing w:val="1"/>
                <w:shd w:val="solid" w:color="000000" w:fill="000000"/>
                <w:fitText w:val="180" w:id="-1240791552"/>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083" w:type="dxa"/>
            <w:tcMar>
              <w:top w:w="0" w:type="dxa"/>
              <w:left w:w="108" w:type="dxa"/>
              <w:bottom w:w="0" w:type="dxa"/>
              <w:right w:w="108" w:type="dxa"/>
            </w:tcMar>
          </w:tcPr>
          <w:p w14:paraId="1A66D09E" w14:textId="213B3AD5" w:rsidR="00431512" w:rsidRPr="00E45065" w:rsidRDefault="00443E6B" w:rsidP="00443E6B">
            <w:pPr>
              <w:pStyle w:val="TableText"/>
              <w:keepNext/>
              <w:jc w:val="center"/>
              <w:rPr>
                <w:highlight w:val="yellow"/>
              </w:rPr>
            </w:pPr>
            <w:r w:rsidRPr="00443E6B">
              <w:rPr>
                <w:color w:val="000000"/>
                <w:spacing w:val="46"/>
                <w:shd w:val="solid" w:color="000000" w:fill="000000"/>
                <w:fitText w:val="220" w:id="-1240791551"/>
                <w14:textFill>
                  <w14:solidFill>
                    <w14:srgbClr w14:val="000000">
                      <w14:alpha w14:val="100000"/>
                    </w14:srgbClr>
                  </w14:solidFill>
                </w14:textFill>
              </w:rPr>
              <w:t>||</w:t>
            </w:r>
            <w:r w:rsidRPr="00443E6B">
              <w:rPr>
                <w:color w:val="000000"/>
                <w:spacing w:val="1"/>
                <w:shd w:val="solid" w:color="000000" w:fill="000000"/>
                <w:fitText w:val="220" w:id="-1240791551"/>
                <w14:textFill>
                  <w14:solidFill>
                    <w14:srgbClr w14:val="000000">
                      <w14:alpha w14:val="100000"/>
                    </w14:srgbClr>
                  </w14:solidFill>
                </w14:textFill>
              </w:rPr>
              <w:t>|</w:t>
            </w:r>
            <w:r w:rsidR="00CD20FD" w:rsidRPr="00803BCD">
              <w:t xml:space="preserve"> </w:t>
            </w:r>
            <w:r w:rsidR="00CD20FD" w:rsidRPr="00803BCD">
              <w:rPr>
                <w:vertAlign w:val="superscript"/>
              </w:rPr>
              <w:t>2</w:t>
            </w:r>
          </w:p>
        </w:tc>
      </w:tr>
      <w:tr w:rsidR="00431512" w:rsidRPr="00CE28E3" w14:paraId="55A6176D" w14:textId="77777777" w:rsidTr="00443E6B">
        <w:tc>
          <w:tcPr>
            <w:tcW w:w="9016" w:type="dxa"/>
            <w:gridSpan w:val="7"/>
            <w:tcMar>
              <w:top w:w="0" w:type="dxa"/>
              <w:left w:w="108" w:type="dxa"/>
              <w:bottom w:w="0" w:type="dxa"/>
              <w:right w:w="108" w:type="dxa"/>
            </w:tcMar>
          </w:tcPr>
          <w:p w14:paraId="6689F5C3" w14:textId="323289F1" w:rsidR="00431512" w:rsidRPr="00431512" w:rsidRDefault="00431512" w:rsidP="00215AFB">
            <w:pPr>
              <w:pStyle w:val="TableText"/>
              <w:keepNext/>
              <w:rPr>
                <w:b/>
                <w:bCs/>
              </w:rPr>
            </w:pPr>
            <w:r w:rsidRPr="00431512">
              <w:rPr>
                <w:b/>
                <w:bCs/>
              </w:rPr>
              <w:t>Financial estimates spreadsheet</w:t>
            </w:r>
            <w:r>
              <w:rPr>
                <w:b/>
                <w:bCs/>
              </w:rPr>
              <w:t xml:space="preserve"> (advanced TNBC)</w:t>
            </w:r>
          </w:p>
        </w:tc>
      </w:tr>
      <w:tr w:rsidR="00431512" w:rsidRPr="00CE28E3" w14:paraId="1EEAB80E" w14:textId="77777777" w:rsidTr="00443E6B">
        <w:tc>
          <w:tcPr>
            <w:tcW w:w="2263" w:type="dxa"/>
            <w:tcMar>
              <w:top w:w="0" w:type="dxa"/>
              <w:left w:w="108" w:type="dxa"/>
              <w:bottom w:w="0" w:type="dxa"/>
              <w:right w:w="108" w:type="dxa"/>
            </w:tcMar>
          </w:tcPr>
          <w:p w14:paraId="619CE9C9" w14:textId="75DBD21A" w:rsidR="00431512" w:rsidRPr="00CE28E3" w:rsidRDefault="00C05AA7" w:rsidP="00431512">
            <w:pPr>
              <w:pStyle w:val="TableText"/>
              <w:keepNext/>
            </w:pPr>
            <w:r>
              <w:t>Incident d</w:t>
            </w:r>
            <w:r w:rsidR="00431512">
              <w:t>e-novo mTNBC</w:t>
            </w:r>
          </w:p>
        </w:tc>
        <w:tc>
          <w:tcPr>
            <w:tcW w:w="1134" w:type="dxa"/>
            <w:tcMar>
              <w:top w:w="0" w:type="dxa"/>
              <w:left w:w="108" w:type="dxa"/>
              <w:bottom w:w="0" w:type="dxa"/>
              <w:right w:w="108" w:type="dxa"/>
            </w:tcMar>
            <w:vAlign w:val="center"/>
          </w:tcPr>
          <w:p w14:paraId="5BC1AFFD" w14:textId="0B0DFAEB"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50"/>
                <w14:textFill>
                  <w14:solidFill>
                    <w14:srgbClr w14:val="000000">
                      <w14:alpha w14:val="100000"/>
                    </w14:srgbClr>
                  </w14:solidFill>
                </w14:textFill>
              </w:rPr>
              <w:t>|</w:t>
            </w:r>
            <w:r w:rsidRPr="00443E6B">
              <w:rPr>
                <w:color w:val="000000"/>
                <w:spacing w:val="1"/>
                <w:shd w:val="solid" w:color="000000" w:fill="000000"/>
                <w:fitText w:val="180" w:id="-1240791550"/>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3089734C" w14:textId="33DC2500"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49"/>
                <w14:textFill>
                  <w14:solidFill>
                    <w14:srgbClr w14:val="000000">
                      <w14:alpha w14:val="100000"/>
                    </w14:srgbClr>
                  </w14:solidFill>
                </w14:textFill>
              </w:rPr>
              <w:t>|</w:t>
            </w:r>
            <w:r w:rsidRPr="00443E6B">
              <w:rPr>
                <w:color w:val="000000"/>
                <w:spacing w:val="1"/>
                <w:shd w:val="solid" w:color="000000" w:fill="000000"/>
                <w:fitText w:val="180" w:id="-1240791549"/>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24190427" w14:textId="0AFC6258"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48"/>
                <w14:textFill>
                  <w14:solidFill>
                    <w14:srgbClr w14:val="000000">
                      <w14:alpha w14:val="100000"/>
                    </w14:srgbClr>
                  </w14:solidFill>
                </w14:textFill>
              </w:rPr>
              <w:t>|</w:t>
            </w:r>
            <w:r w:rsidRPr="00443E6B">
              <w:rPr>
                <w:color w:val="000000"/>
                <w:spacing w:val="1"/>
                <w:shd w:val="solid" w:color="000000" w:fill="000000"/>
                <w:fitText w:val="180" w:id="-1240791548"/>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6EC101F7" w14:textId="66C3B899"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47"/>
                <w14:textFill>
                  <w14:solidFill>
                    <w14:srgbClr w14:val="000000">
                      <w14:alpha w14:val="100000"/>
                    </w14:srgbClr>
                  </w14:solidFill>
                </w14:textFill>
              </w:rPr>
              <w:t>|</w:t>
            </w:r>
            <w:r w:rsidRPr="00443E6B">
              <w:rPr>
                <w:color w:val="000000"/>
                <w:spacing w:val="1"/>
                <w:shd w:val="solid" w:color="000000" w:fill="000000"/>
                <w:fitText w:val="180" w:id="-1240791547"/>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7D754A9A" w14:textId="07DCDCBB"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46"/>
                <w14:textFill>
                  <w14:solidFill>
                    <w14:srgbClr w14:val="000000">
                      <w14:alpha w14:val="100000"/>
                    </w14:srgbClr>
                  </w14:solidFill>
                </w14:textFill>
              </w:rPr>
              <w:t>|</w:t>
            </w:r>
            <w:r w:rsidRPr="00443E6B">
              <w:rPr>
                <w:color w:val="000000"/>
                <w:spacing w:val="1"/>
                <w:shd w:val="solid" w:color="000000" w:fill="000000"/>
                <w:fitText w:val="180" w:id="-1240791546"/>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083" w:type="dxa"/>
            <w:tcMar>
              <w:top w:w="0" w:type="dxa"/>
              <w:left w:w="108" w:type="dxa"/>
              <w:bottom w:w="0" w:type="dxa"/>
              <w:right w:w="108" w:type="dxa"/>
            </w:tcMar>
            <w:vAlign w:val="center"/>
          </w:tcPr>
          <w:p w14:paraId="17BBE91D" w14:textId="3318E79B" w:rsidR="00431512" w:rsidRPr="00E45065" w:rsidRDefault="00443E6B" w:rsidP="00C05AA7">
            <w:pPr>
              <w:pStyle w:val="TableText"/>
              <w:keepNext/>
              <w:jc w:val="center"/>
              <w:rPr>
                <w:highlight w:val="yellow"/>
              </w:rPr>
            </w:pPr>
            <w:r w:rsidRPr="00443E6B">
              <w:rPr>
                <w:color w:val="000000"/>
                <w:spacing w:val="46"/>
                <w:shd w:val="solid" w:color="000000" w:fill="000000"/>
                <w:fitText w:val="220" w:id="-1240791545"/>
                <w14:textFill>
                  <w14:solidFill>
                    <w14:srgbClr w14:val="000000">
                      <w14:alpha w14:val="100000"/>
                    </w14:srgbClr>
                  </w14:solidFill>
                </w14:textFill>
              </w:rPr>
              <w:t>||</w:t>
            </w:r>
            <w:r w:rsidRPr="00443E6B">
              <w:rPr>
                <w:color w:val="000000"/>
                <w:spacing w:val="1"/>
                <w:shd w:val="solid" w:color="000000" w:fill="000000"/>
                <w:fitText w:val="220" w:id="-1240791545"/>
                <w14:textFill>
                  <w14:solidFill>
                    <w14:srgbClr w14:val="000000">
                      <w14:alpha w14:val="100000"/>
                    </w14:srgbClr>
                  </w14:solidFill>
                </w14:textFill>
              </w:rPr>
              <w:t>|</w:t>
            </w:r>
            <w:r w:rsidR="00CD20FD" w:rsidRPr="00803BCD">
              <w:t xml:space="preserve"> </w:t>
            </w:r>
            <w:r w:rsidR="00CD20FD" w:rsidRPr="00803BCD">
              <w:rPr>
                <w:vertAlign w:val="superscript"/>
              </w:rPr>
              <w:t>1</w:t>
            </w:r>
          </w:p>
        </w:tc>
      </w:tr>
      <w:tr w:rsidR="00C05AA7" w:rsidRPr="00CE28E3" w14:paraId="01CD5BEB" w14:textId="77777777" w:rsidTr="00443E6B">
        <w:tc>
          <w:tcPr>
            <w:tcW w:w="2263" w:type="dxa"/>
            <w:tcMar>
              <w:top w:w="0" w:type="dxa"/>
              <w:left w:w="108" w:type="dxa"/>
              <w:bottom w:w="0" w:type="dxa"/>
              <w:right w:w="108" w:type="dxa"/>
            </w:tcMar>
          </w:tcPr>
          <w:p w14:paraId="4B6A8EEA" w14:textId="1DAD69AA" w:rsidR="00C05AA7" w:rsidRPr="00CE28E3" w:rsidRDefault="00C05AA7" w:rsidP="00C05AA7">
            <w:pPr>
              <w:pStyle w:val="TableText"/>
              <w:keepNext/>
            </w:pPr>
            <w:r>
              <w:t>Incident recurrent unresectable TNBC</w:t>
            </w:r>
          </w:p>
        </w:tc>
        <w:tc>
          <w:tcPr>
            <w:tcW w:w="1134" w:type="dxa"/>
            <w:tcMar>
              <w:top w:w="0" w:type="dxa"/>
              <w:left w:w="108" w:type="dxa"/>
              <w:bottom w:w="0" w:type="dxa"/>
              <w:right w:w="108" w:type="dxa"/>
            </w:tcMar>
            <w:vAlign w:val="center"/>
          </w:tcPr>
          <w:p w14:paraId="51F98F88" w14:textId="1DE9EE65"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4"/>
                <w14:textFill>
                  <w14:solidFill>
                    <w14:srgbClr w14:val="000000">
                      <w14:alpha w14:val="100000"/>
                    </w14:srgbClr>
                  </w14:solidFill>
                </w14:textFill>
              </w:rPr>
              <w:t>|</w:t>
            </w:r>
            <w:r w:rsidRPr="00443E6B">
              <w:rPr>
                <w:color w:val="000000"/>
                <w:spacing w:val="1"/>
                <w:shd w:val="solid" w:color="000000" w:fill="000000"/>
                <w:fitText w:val="180" w:id="-1240791544"/>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6E043D27" w14:textId="19937810"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3"/>
                <w14:textFill>
                  <w14:solidFill>
                    <w14:srgbClr w14:val="000000">
                      <w14:alpha w14:val="100000"/>
                    </w14:srgbClr>
                  </w14:solidFill>
                </w14:textFill>
              </w:rPr>
              <w:t>|</w:t>
            </w:r>
            <w:r w:rsidRPr="00443E6B">
              <w:rPr>
                <w:color w:val="000000"/>
                <w:spacing w:val="1"/>
                <w:shd w:val="solid" w:color="000000" w:fill="000000"/>
                <w:fitText w:val="180" w:id="-1240791543"/>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33AAFED3" w14:textId="7601C833"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2"/>
                <w14:textFill>
                  <w14:solidFill>
                    <w14:srgbClr w14:val="000000">
                      <w14:alpha w14:val="100000"/>
                    </w14:srgbClr>
                  </w14:solidFill>
                </w14:textFill>
              </w:rPr>
              <w:t>|</w:t>
            </w:r>
            <w:r w:rsidRPr="00443E6B">
              <w:rPr>
                <w:color w:val="000000"/>
                <w:spacing w:val="1"/>
                <w:shd w:val="solid" w:color="000000" w:fill="000000"/>
                <w:fitText w:val="180" w:id="-1240791542"/>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41FEAFA8" w14:textId="5CD1037A"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1"/>
                <w14:textFill>
                  <w14:solidFill>
                    <w14:srgbClr w14:val="000000">
                      <w14:alpha w14:val="100000"/>
                    </w14:srgbClr>
                  </w14:solidFill>
                </w14:textFill>
              </w:rPr>
              <w:t>|</w:t>
            </w:r>
            <w:r w:rsidRPr="00443E6B">
              <w:rPr>
                <w:color w:val="000000"/>
                <w:spacing w:val="1"/>
                <w:shd w:val="solid" w:color="000000" w:fill="000000"/>
                <w:fitText w:val="180" w:id="-1240791541"/>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62A5930D" w14:textId="55A31283"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0"/>
                <w14:textFill>
                  <w14:solidFill>
                    <w14:srgbClr w14:val="000000">
                      <w14:alpha w14:val="100000"/>
                    </w14:srgbClr>
                  </w14:solidFill>
                </w14:textFill>
              </w:rPr>
              <w:t>|</w:t>
            </w:r>
            <w:r w:rsidRPr="00443E6B">
              <w:rPr>
                <w:color w:val="000000"/>
                <w:spacing w:val="1"/>
                <w:shd w:val="solid" w:color="000000" w:fill="000000"/>
                <w:fitText w:val="180" w:id="-1240791540"/>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083" w:type="dxa"/>
            <w:tcMar>
              <w:top w:w="0" w:type="dxa"/>
              <w:left w:w="108" w:type="dxa"/>
              <w:bottom w:w="0" w:type="dxa"/>
              <w:right w:w="108" w:type="dxa"/>
            </w:tcMar>
            <w:vAlign w:val="center"/>
          </w:tcPr>
          <w:p w14:paraId="05073D75" w14:textId="43DB1DDE" w:rsidR="00C05AA7" w:rsidRPr="00E45065" w:rsidRDefault="00443E6B" w:rsidP="00C05AA7">
            <w:pPr>
              <w:pStyle w:val="TableText"/>
              <w:keepNext/>
              <w:jc w:val="center"/>
              <w:rPr>
                <w:highlight w:val="yellow"/>
              </w:rPr>
            </w:pPr>
            <w:r w:rsidRPr="00443E6B">
              <w:rPr>
                <w:color w:val="000000"/>
                <w:spacing w:val="46"/>
                <w:shd w:val="solid" w:color="000000" w:fill="000000"/>
                <w:fitText w:val="220" w:id="-1240791539"/>
                <w14:textFill>
                  <w14:solidFill>
                    <w14:srgbClr w14:val="000000">
                      <w14:alpha w14:val="100000"/>
                    </w14:srgbClr>
                  </w14:solidFill>
                </w14:textFill>
              </w:rPr>
              <w:t>||</w:t>
            </w:r>
            <w:r w:rsidRPr="00443E6B">
              <w:rPr>
                <w:color w:val="000000"/>
                <w:spacing w:val="1"/>
                <w:shd w:val="solid" w:color="000000" w:fill="000000"/>
                <w:fitText w:val="220" w:id="-1240791539"/>
                <w14:textFill>
                  <w14:solidFill>
                    <w14:srgbClr w14:val="000000">
                      <w14:alpha w14:val="100000"/>
                    </w14:srgbClr>
                  </w14:solidFill>
                </w14:textFill>
              </w:rPr>
              <w:t>|</w:t>
            </w:r>
            <w:r w:rsidR="00CD20FD" w:rsidRPr="00803BCD">
              <w:t xml:space="preserve"> </w:t>
            </w:r>
            <w:r w:rsidR="00CD20FD" w:rsidRPr="00803BCD">
              <w:rPr>
                <w:vertAlign w:val="superscript"/>
              </w:rPr>
              <w:t>1</w:t>
            </w:r>
          </w:p>
        </w:tc>
      </w:tr>
      <w:tr w:rsidR="00431512" w:rsidRPr="00CE28E3" w14:paraId="23D31445" w14:textId="77777777" w:rsidTr="00443E6B">
        <w:tc>
          <w:tcPr>
            <w:tcW w:w="2263" w:type="dxa"/>
            <w:tcMar>
              <w:top w:w="0" w:type="dxa"/>
              <w:left w:w="108" w:type="dxa"/>
              <w:bottom w:w="0" w:type="dxa"/>
              <w:right w:w="108" w:type="dxa"/>
            </w:tcMar>
          </w:tcPr>
          <w:p w14:paraId="20EBDB46" w14:textId="4EE07DA7" w:rsidR="00431512" w:rsidRPr="00CE28E3" w:rsidRDefault="00C05AA7" w:rsidP="00215AFB">
            <w:pPr>
              <w:pStyle w:val="TableText"/>
              <w:keepNext/>
            </w:pPr>
            <w:r>
              <w:t>Prevalent mTNBC</w:t>
            </w:r>
          </w:p>
        </w:tc>
        <w:tc>
          <w:tcPr>
            <w:tcW w:w="1134" w:type="dxa"/>
            <w:tcMar>
              <w:top w:w="0" w:type="dxa"/>
              <w:left w:w="108" w:type="dxa"/>
              <w:bottom w:w="0" w:type="dxa"/>
              <w:right w:w="108" w:type="dxa"/>
            </w:tcMar>
            <w:vAlign w:val="center"/>
          </w:tcPr>
          <w:p w14:paraId="1347C6E0" w14:textId="29B647B7"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38"/>
                <w14:textFill>
                  <w14:solidFill>
                    <w14:srgbClr w14:val="000000">
                      <w14:alpha w14:val="100000"/>
                    </w14:srgbClr>
                  </w14:solidFill>
                </w14:textFill>
              </w:rPr>
              <w:t>|</w:t>
            </w:r>
            <w:r w:rsidRPr="00443E6B">
              <w:rPr>
                <w:color w:val="000000"/>
                <w:spacing w:val="1"/>
                <w:shd w:val="solid" w:color="000000" w:fill="000000"/>
                <w:fitText w:val="180" w:id="-1240791538"/>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43A54CED" w14:textId="4AB6FC78" w:rsidR="00431512" w:rsidRPr="00E45065" w:rsidRDefault="00443E6B" w:rsidP="00C05AA7">
            <w:pPr>
              <w:pStyle w:val="TableText"/>
              <w:keepNext/>
              <w:jc w:val="center"/>
              <w:rPr>
                <w:highlight w:val="yellow"/>
              </w:rPr>
            </w:pPr>
            <w:r w:rsidRPr="00443E6B">
              <w:rPr>
                <w:color w:val="000000"/>
                <w:spacing w:val="94"/>
                <w:shd w:val="solid" w:color="000000" w:fill="000000"/>
                <w:fitText w:val="180" w:id="-1240791537"/>
                <w14:textFill>
                  <w14:solidFill>
                    <w14:srgbClr w14:val="000000">
                      <w14:alpha w14:val="100000"/>
                    </w14:srgbClr>
                  </w14:solidFill>
                </w14:textFill>
              </w:rPr>
              <w:t>|</w:t>
            </w:r>
            <w:r w:rsidRPr="00443E6B">
              <w:rPr>
                <w:color w:val="000000"/>
                <w:spacing w:val="1"/>
                <w:shd w:val="solid" w:color="000000" w:fill="000000"/>
                <w:fitText w:val="180" w:id="-1240791537"/>
                <w14:textFill>
                  <w14:solidFill>
                    <w14:srgbClr w14:val="000000">
                      <w14:alpha w14:val="100000"/>
                    </w14:srgbClr>
                  </w14:solidFill>
                </w14:textFill>
              </w:rPr>
              <w:t>|</w:t>
            </w:r>
            <w:r w:rsidR="00CD20FD" w:rsidRPr="00803BCD">
              <w:t xml:space="preserve"> </w:t>
            </w:r>
            <w:r w:rsidR="00CD20FD">
              <w:rPr>
                <w:vertAlign w:val="superscript"/>
              </w:rPr>
              <w:t>3</w:t>
            </w:r>
          </w:p>
        </w:tc>
        <w:tc>
          <w:tcPr>
            <w:tcW w:w="1134" w:type="dxa"/>
            <w:tcMar>
              <w:top w:w="0" w:type="dxa"/>
              <w:left w:w="108" w:type="dxa"/>
              <w:bottom w:w="0" w:type="dxa"/>
              <w:right w:w="108" w:type="dxa"/>
            </w:tcMar>
            <w:vAlign w:val="center"/>
          </w:tcPr>
          <w:p w14:paraId="3784F9DD" w14:textId="6CB23515" w:rsidR="00431512" w:rsidRPr="002C72DD" w:rsidRDefault="00443E6B" w:rsidP="00C05AA7">
            <w:pPr>
              <w:pStyle w:val="TableText"/>
              <w:keepNext/>
              <w:jc w:val="center"/>
            </w:pPr>
            <w:r w:rsidRPr="002C72DD">
              <w:rPr>
                <w:color w:val="000000"/>
                <w:spacing w:val="94"/>
                <w:shd w:val="solid" w:color="000000" w:fill="000000"/>
                <w:fitText w:val="180" w:id="-1240791536"/>
                <w14:textFill>
                  <w14:solidFill>
                    <w14:srgbClr w14:val="000000">
                      <w14:alpha w14:val="100000"/>
                    </w14:srgbClr>
                  </w14:solidFill>
                </w14:textFill>
              </w:rPr>
              <w:t>|</w:t>
            </w:r>
            <w:r w:rsidRPr="002C72DD">
              <w:rPr>
                <w:color w:val="000000"/>
                <w:spacing w:val="1"/>
                <w:shd w:val="solid" w:color="000000" w:fill="000000"/>
                <w:fitText w:val="180" w:id="-1240791536"/>
                <w14:textFill>
                  <w14:solidFill>
                    <w14:srgbClr w14:val="000000">
                      <w14:alpha w14:val="100000"/>
                    </w14:srgbClr>
                  </w14:solidFill>
                </w14:textFill>
              </w:rPr>
              <w:t>|</w:t>
            </w:r>
            <w:r w:rsidRPr="002C72DD">
              <w:t xml:space="preserve"> </w:t>
            </w:r>
            <w:r w:rsidRPr="002C72DD">
              <w:rPr>
                <w:vertAlign w:val="superscript"/>
              </w:rPr>
              <w:t>3</w:t>
            </w:r>
          </w:p>
        </w:tc>
        <w:tc>
          <w:tcPr>
            <w:tcW w:w="1134" w:type="dxa"/>
            <w:tcMar>
              <w:top w:w="0" w:type="dxa"/>
              <w:left w:w="108" w:type="dxa"/>
              <w:bottom w:w="0" w:type="dxa"/>
              <w:right w:w="108" w:type="dxa"/>
            </w:tcMar>
            <w:vAlign w:val="center"/>
          </w:tcPr>
          <w:p w14:paraId="03725DFE" w14:textId="261F2F3B" w:rsidR="00431512" w:rsidRPr="002C72DD" w:rsidRDefault="00443E6B" w:rsidP="00C05AA7">
            <w:pPr>
              <w:pStyle w:val="TableText"/>
              <w:keepNext/>
              <w:jc w:val="center"/>
            </w:pPr>
            <w:r w:rsidRPr="002C72DD">
              <w:rPr>
                <w:color w:val="000000"/>
                <w:spacing w:val="94"/>
                <w:shd w:val="solid" w:color="000000" w:fill="000000"/>
                <w:fitText w:val="180" w:id="-1240791552"/>
                <w14:textFill>
                  <w14:solidFill>
                    <w14:srgbClr w14:val="000000">
                      <w14:alpha w14:val="100000"/>
                    </w14:srgbClr>
                  </w14:solidFill>
                </w14:textFill>
              </w:rPr>
              <w:t>|</w:t>
            </w:r>
            <w:r w:rsidRPr="002C72DD">
              <w:rPr>
                <w:color w:val="000000"/>
                <w:spacing w:val="1"/>
                <w:shd w:val="solid" w:color="000000" w:fill="000000"/>
                <w:fitText w:val="180" w:id="-1240791552"/>
                <w14:textFill>
                  <w14:solidFill>
                    <w14:srgbClr w14:val="000000">
                      <w14:alpha w14:val="100000"/>
                    </w14:srgbClr>
                  </w14:solidFill>
                </w14:textFill>
              </w:rPr>
              <w:t>|</w:t>
            </w:r>
            <w:r w:rsidRPr="002C72DD">
              <w:t xml:space="preserve"> </w:t>
            </w:r>
            <w:r w:rsidRPr="002C72DD">
              <w:rPr>
                <w:vertAlign w:val="superscript"/>
              </w:rPr>
              <w:t>3</w:t>
            </w:r>
          </w:p>
        </w:tc>
        <w:tc>
          <w:tcPr>
            <w:tcW w:w="1134" w:type="dxa"/>
            <w:tcMar>
              <w:top w:w="0" w:type="dxa"/>
              <w:left w:w="108" w:type="dxa"/>
              <w:bottom w:w="0" w:type="dxa"/>
              <w:right w:w="108" w:type="dxa"/>
            </w:tcMar>
            <w:vAlign w:val="center"/>
          </w:tcPr>
          <w:p w14:paraId="558C906B" w14:textId="52D9CC21" w:rsidR="00431512" w:rsidRPr="002C72DD" w:rsidRDefault="00443E6B" w:rsidP="00C05AA7">
            <w:pPr>
              <w:pStyle w:val="TableText"/>
              <w:keepNext/>
              <w:jc w:val="center"/>
            </w:pPr>
            <w:r w:rsidRPr="002C72DD">
              <w:rPr>
                <w:color w:val="000000"/>
                <w:spacing w:val="94"/>
                <w:shd w:val="solid" w:color="000000" w:fill="000000"/>
                <w:fitText w:val="180" w:id="-1240791551"/>
                <w14:textFill>
                  <w14:solidFill>
                    <w14:srgbClr w14:val="000000">
                      <w14:alpha w14:val="100000"/>
                    </w14:srgbClr>
                  </w14:solidFill>
                </w14:textFill>
              </w:rPr>
              <w:t>|</w:t>
            </w:r>
            <w:r w:rsidRPr="002C72DD">
              <w:rPr>
                <w:color w:val="000000"/>
                <w:spacing w:val="1"/>
                <w:shd w:val="solid" w:color="000000" w:fill="000000"/>
                <w:fitText w:val="180" w:id="-1240791551"/>
                <w14:textFill>
                  <w14:solidFill>
                    <w14:srgbClr w14:val="000000">
                      <w14:alpha w14:val="100000"/>
                    </w14:srgbClr>
                  </w14:solidFill>
                </w14:textFill>
              </w:rPr>
              <w:t>|</w:t>
            </w:r>
            <w:r w:rsidRPr="002C72DD">
              <w:t xml:space="preserve"> </w:t>
            </w:r>
            <w:r w:rsidRPr="002C72DD">
              <w:rPr>
                <w:vertAlign w:val="superscript"/>
              </w:rPr>
              <w:t>3</w:t>
            </w:r>
          </w:p>
        </w:tc>
        <w:tc>
          <w:tcPr>
            <w:tcW w:w="1083" w:type="dxa"/>
            <w:tcMar>
              <w:top w:w="0" w:type="dxa"/>
              <w:left w:w="108" w:type="dxa"/>
              <w:bottom w:w="0" w:type="dxa"/>
              <w:right w:w="108" w:type="dxa"/>
            </w:tcMar>
            <w:vAlign w:val="center"/>
          </w:tcPr>
          <w:p w14:paraId="0C8D4D17" w14:textId="652E3264" w:rsidR="00431512" w:rsidRPr="002C72DD" w:rsidRDefault="00443E6B" w:rsidP="00C05AA7">
            <w:pPr>
              <w:pStyle w:val="TableText"/>
              <w:keepNext/>
              <w:jc w:val="center"/>
            </w:pPr>
            <w:r w:rsidRPr="002C72DD">
              <w:rPr>
                <w:color w:val="000000"/>
                <w:spacing w:val="46"/>
                <w:shd w:val="solid" w:color="000000" w:fill="000000"/>
                <w:fitText w:val="220" w:id="-1240791550"/>
                <w14:textFill>
                  <w14:solidFill>
                    <w14:srgbClr w14:val="000000">
                      <w14:alpha w14:val="100000"/>
                    </w14:srgbClr>
                  </w14:solidFill>
                </w14:textFill>
              </w:rPr>
              <w:t>||</w:t>
            </w:r>
            <w:r w:rsidRPr="002C72DD">
              <w:rPr>
                <w:color w:val="000000"/>
                <w:spacing w:val="1"/>
                <w:shd w:val="solid" w:color="000000" w:fill="000000"/>
                <w:fitText w:val="220" w:id="-1240791550"/>
                <w14:textFill>
                  <w14:solidFill>
                    <w14:srgbClr w14:val="000000">
                      <w14:alpha w14:val="100000"/>
                    </w14:srgbClr>
                  </w14:solidFill>
                </w14:textFill>
              </w:rPr>
              <w:t>|</w:t>
            </w:r>
            <w:r w:rsidRPr="002C72DD">
              <w:t xml:space="preserve"> </w:t>
            </w:r>
            <w:r w:rsidRPr="002C72DD">
              <w:rPr>
                <w:vertAlign w:val="superscript"/>
              </w:rPr>
              <w:t>3</w:t>
            </w:r>
          </w:p>
        </w:tc>
      </w:tr>
      <w:tr w:rsidR="00C05AA7" w:rsidRPr="00CE28E3" w14:paraId="3C8F8463" w14:textId="77777777" w:rsidTr="00443E6B">
        <w:tc>
          <w:tcPr>
            <w:tcW w:w="2263" w:type="dxa"/>
            <w:tcMar>
              <w:top w:w="0" w:type="dxa"/>
              <w:left w:w="108" w:type="dxa"/>
              <w:bottom w:w="0" w:type="dxa"/>
              <w:right w:w="108" w:type="dxa"/>
            </w:tcMar>
          </w:tcPr>
          <w:p w14:paraId="00B01802" w14:textId="4A39BAB8" w:rsidR="00C05AA7" w:rsidRDefault="00C05AA7" w:rsidP="00C05AA7">
            <w:pPr>
              <w:pStyle w:val="TableText"/>
              <w:keepNext/>
            </w:pPr>
            <w:r>
              <w:t>Total eligible for testing</w:t>
            </w:r>
          </w:p>
        </w:tc>
        <w:tc>
          <w:tcPr>
            <w:tcW w:w="1134" w:type="dxa"/>
            <w:tcMar>
              <w:top w:w="0" w:type="dxa"/>
              <w:left w:w="108" w:type="dxa"/>
              <w:bottom w:w="0" w:type="dxa"/>
              <w:right w:w="108" w:type="dxa"/>
            </w:tcMar>
            <w:vAlign w:val="center"/>
          </w:tcPr>
          <w:p w14:paraId="7E95C443" w14:textId="62E2D4C8"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9"/>
                <w14:textFill>
                  <w14:solidFill>
                    <w14:srgbClr w14:val="000000">
                      <w14:alpha w14:val="100000"/>
                    </w14:srgbClr>
                  </w14:solidFill>
                </w14:textFill>
              </w:rPr>
              <w:t>|</w:t>
            </w:r>
            <w:r w:rsidRPr="00443E6B">
              <w:rPr>
                <w:color w:val="000000"/>
                <w:spacing w:val="1"/>
                <w:shd w:val="solid" w:color="000000" w:fill="000000"/>
                <w:fitText w:val="180" w:id="-1240791549"/>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52973FBE" w14:textId="1157FD3C"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8"/>
                <w14:textFill>
                  <w14:solidFill>
                    <w14:srgbClr w14:val="000000">
                      <w14:alpha w14:val="100000"/>
                    </w14:srgbClr>
                  </w14:solidFill>
                </w14:textFill>
              </w:rPr>
              <w:t>|</w:t>
            </w:r>
            <w:r w:rsidRPr="00443E6B">
              <w:rPr>
                <w:color w:val="000000"/>
                <w:spacing w:val="1"/>
                <w:shd w:val="solid" w:color="000000" w:fill="000000"/>
                <w:fitText w:val="180" w:id="-1240791548"/>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0F7535B7" w14:textId="2AFCDC3B"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7"/>
                <w14:textFill>
                  <w14:solidFill>
                    <w14:srgbClr w14:val="000000">
                      <w14:alpha w14:val="100000"/>
                    </w14:srgbClr>
                  </w14:solidFill>
                </w14:textFill>
              </w:rPr>
              <w:t>|</w:t>
            </w:r>
            <w:r w:rsidRPr="00443E6B">
              <w:rPr>
                <w:color w:val="000000"/>
                <w:spacing w:val="1"/>
                <w:shd w:val="solid" w:color="000000" w:fill="000000"/>
                <w:fitText w:val="180" w:id="-1240791547"/>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1E9A7138" w14:textId="67150F4D"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6"/>
                <w14:textFill>
                  <w14:solidFill>
                    <w14:srgbClr w14:val="000000">
                      <w14:alpha w14:val="100000"/>
                    </w14:srgbClr>
                  </w14:solidFill>
                </w14:textFill>
              </w:rPr>
              <w:t>|</w:t>
            </w:r>
            <w:r w:rsidRPr="00443E6B">
              <w:rPr>
                <w:color w:val="000000"/>
                <w:spacing w:val="1"/>
                <w:shd w:val="solid" w:color="000000" w:fill="000000"/>
                <w:fitText w:val="180" w:id="-1240791546"/>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25F62C9D" w14:textId="4B61E790"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5"/>
                <w14:textFill>
                  <w14:solidFill>
                    <w14:srgbClr w14:val="000000">
                      <w14:alpha w14:val="100000"/>
                    </w14:srgbClr>
                  </w14:solidFill>
                </w14:textFill>
              </w:rPr>
              <w:t>|</w:t>
            </w:r>
            <w:r w:rsidRPr="00443E6B">
              <w:rPr>
                <w:color w:val="000000"/>
                <w:spacing w:val="1"/>
                <w:shd w:val="solid" w:color="000000" w:fill="000000"/>
                <w:fitText w:val="180" w:id="-1240791545"/>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083" w:type="dxa"/>
            <w:tcMar>
              <w:top w:w="0" w:type="dxa"/>
              <w:left w:w="108" w:type="dxa"/>
              <w:bottom w:w="0" w:type="dxa"/>
              <w:right w:w="108" w:type="dxa"/>
            </w:tcMar>
            <w:vAlign w:val="center"/>
          </w:tcPr>
          <w:p w14:paraId="701A5082" w14:textId="37E43684" w:rsidR="00C05AA7" w:rsidRPr="00E45065" w:rsidRDefault="00443E6B" w:rsidP="00C05AA7">
            <w:pPr>
              <w:pStyle w:val="TableText"/>
              <w:keepNext/>
              <w:jc w:val="center"/>
              <w:rPr>
                <w:highlight w:val="yellow"/>
              </w:rPr>
            </w:pPr>
            <w:r w:rsidRPr="00443E6B">
              <w:rPr>
                <w:color w:val="000000"/>
                <w:spacing w:val="46"/>
                <w:shd w:val="solid" w:color="000000" w:fill="000000"/>
                <w:fitText w:val="220" w:id="-1240791544"/>
                <w14:textFill>
                  <w14:solidFill>
                    <w14:srgbClr w14:val="000000">
                      <w14:alpha w14:val="100000"/>
                    </w14:srgbClr>
                  </w14:solidFill>
                </w14:textFill>
              </w:rPr>
              <w:t>||</w:t>
            </w:r>
            <w:r w:rsidRPr="00443E6B">
              <w:rPr>
                <w:color w:val="000000"/>
                <w:spacing w:val="1"/>
                <w:shd w:val="solid" w:color="000000" w:fill="000000"/>
                <w:fitText w:val="220" w:id="-1240791544"/>
                <w14:textFill>
                  <w14:solidFill>
                    <w14:srgbClr w14:val="000000">
                      <w14:alpha w14:val="100000"/>
                    </w14:srgbClr>
                  </w14:solidFill>
                </w14:textFill>
              </w:rPr>
              <w:t>|</w:t>
            </w:r>
            <w:r w:rsidR="00CD20FD" w:rsidRPr="00803BCD">
              <w:t xml:space="preserve"> </w:t>
            </w:r>
            <w:r w:rsidR="00CD20FD" w:rsidRPr="00803BCD">
              <w:rPr>
                <w:vertAlign w:val="superscript"/>
              </w:rPr>
              <w:t>1</w:t>
            </w:r>
          </w:p>
        </w:tc>
      </w:tr>
      <w:tr w:rsidR="00C05AA7" w:rsidRPr="00CE28E3" w14:paraId="17BAD6C0" w14:textId="77777777" w:rsidTr="00443E6B">
        <w:tc>
          <w:tcPr>
            <w:tcW w:w="2263" w:type="dxa"/>
            <w:tcMar>
              <w:top w:w="0" w:type="dxa"/>
              <w:left w:w="108" w:type="dxa"/>
              <w:bottom w:w="0" w:type="dxa"/>
              <w:right w:w="108" w:type="dxa"/>
            </w:tcMar>
          </w:tcPr>
          <w:p w14:paraId="5FDD856A" w14:textId="7606FF2A" w:rsidR="00C05AA7" w:rsidRPr="00CE28E3" w:rsidRDefault="00C05AA7" w:rsidP="00C05AA7">
            <w:pPr>
              <w:pStyle w:val="TableText"/>
              <w:keepNext/>
            </w:pPr>
            <w:r>
              <w:t xml:space="preserve">PD-L1 testing uptake (95%) </w:t>
            </w:r>
          </w:p>
        </w:tc>
        <w:tc>
          <w:tcPr>
            <w:tcW w:w="1134" w:type="dxa"/>
            <w:tcMar>
              <w:top w:w="0" w:type="dxa"/>
              <w:left w:w="108" w:type="dxa"/>
              <w:bottom w:w="0" w:type="dxa"/>
              <w:right w:w="108" w:type="dxa"/>
            </w:tcMar>
            <w:vAlign w:val="center"/>
          </w:tcPr>
          <w:p w14:paraId="50542506" w14:textId="21F35407"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3"/>
                <w14:textFill>
                  <w14:solidFill>
                    <w14:srgbClr w14:val="000000">
                      <w14:alpha w14:val="100000"/>
                    </w14:srgbClr>
                  </w14:solidFill>
                </w14:textFill>
              </w:rPr>
              <w:t>|</w:t>
            </w:r>
            <w:r w:rsidRPr="00443E6B">
              <w:rPr>
                <w:color w:val="000000"/>
                <w:spacing w:val="1"/>
                <w:shd w:val="solid" w:color="000000" w:fill="000000"/>
                <w:fitText w:val="180" w:id="-1240791543"/>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471D3823" w14:textId="762B61A6"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2"/>
                <w14:textFill>
                  <w14:solidFill>
                    <w14:srgbClr w14:val="000000">
                      <w14:alpha w14:val="100000"/>
                    </w14:srgbClr>
                  </w14:solidFill>
                </w14:textFill>
              </w:rPr>
              <w:t>|</w:t>
            </w:r>
            <w:r w:rsidRPr="00443E6B">
              <w:rPr>
                <w:color w:val="000000"/>
                <w:spacing w:val="1"/>
                <w:shd w:val="solid" w:color="000000" w:fill="000000"/>
                <w:fitText w:val="180" w:id="-1240791542"/>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46FF7234" w14:textId="112A56BB"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1"/>
                <w14:textFill>
                  <w14:solidFill>
                    <w14:srgbClr w14:val="000000">
                      <w14:alpha w14:val="100000"/>
                    </w14:srgbClr>
                  </w14:solidFill>
                </w14:textFill>
              </w:rPr>
              <w:t>|</w:t>
            </w:r>
            <w:r w:rsidRPr="00443E6B">
              <w:rPr>
                <w:color w:val="000000"/>
                <w:spacing w:val="1"/>
                <w:shd w:val="solid" w:color="000000" w:fill="000000"/>
                <w:fitText w:val="180" w:id="-1240791541"/>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50CD0669" w14:textId="68905234"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40"/>
                <w14:textFill>
                  <w14:solidFill>
                    <w14:srgbClr w14:val="000000">
                      <w14:alpha w14:val="100000"/>
                    </w14:srgbClr>
                  </w14:solidFill>
                </w14:textFill>
              </w:rPr>
              <w:t>|</w:t>
            </w:r>
            <w:r w:rsidRPr="00443E6B">
              <w:rPr>
                <w:color w:val="000000"/>
                <w:spacing w:val="1"/>
                <w:shd w:val="solid" w:color="000000" w:fill="000000"/>
                <w:fitText w:val="180" w:id="-1240791540"/>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vAlign w:val="center"/>
          </w:tcPr>
          <w:p w14:paraId="647BDBF5" w14:textId="50D96069"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39"/>
                <w14:textFill>
                  <w14:solidFill>
                    <w14:srgbClr w14:val="000000">
                      <w14:alpha w14:val="100000"/>
                    </w14:srgbClr>
                  </w14:solidFill>
                </w14:textFill>
              </w:rPr>
              <w:t>|</w:t>
            </w:r>
            <w:r w:rsidRPr="00443E6B">
              <w:rPr>
                <w:color w:val="000000"/>
                <w:spacing w:val="1"/>
                <w:shd w:val="solid" w:color="000000" w:fill="000000"/>
                <w:fitText w:val="180" w:id="-1240791539"/>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083" w:type="dxa"/>
            <w:tcMar>
              <w:top w:w="0" w:type="dxa"/>
              <w:left w:w="108" w:type="dxa"/>
              <w:bottom w:w="0" w:type="dxa"/>
              <w:right w:w="108" w:type="dxa"/>
            </w:tcMar>
            <w:vAlign w:val="center"/>
          </w:tcPr>
          <w:p w14:paraId="7EB242D5" w14:textId="181C7B95" w:rsidR="00C05AA7" w:rsidRPr="00E45065" w:rsidRDefault="00443E6B" w:rsidP="00C05AA7">
            <w:pPr>
              <w:pStyle w:val="TableText"/>
              <w:keepNext/>
              <w:jc w:val="center"/>
              <w:rPr>
                <w:highlight w:val="yellow"/>
              </w:rPr>
            </w:pPr>
            <w:r w:rsidRPr="00443E6B">
              <w:rPr>
                <w:color w:val="000000"/>
                <w:spacing w:val="46"/>
                <w:shd w:val="solid" w:color="000000" w:fill="000000"/>
                <w:fitText w:val="220" w:id="-1240791538"/>
                <w14:textFill>
                  <w14:solidFill>
                    <w14:srgbClr w14:val="000000">
                      <w14:alpha w14:val="100000"/>
                    </w14:srgbClr>
                  </w14:solidFill>
                </w14:textFill>
              </w:rPr>
              <w:t>||</w:t>
            </w:r>
            <w:r w:rsidRPr="00443E6B">
              <w:rPr>
                <w:color w:val="000000"/>
                <w:spacing w:val="1"/>
                <w:shd w:val="solid" w:color="000000" w:fill="000000"/>
                <w:fitText w:val="220" w:id="-1240791538"/>
                <w14:textFill>
                  <w14:solidFill>
                    <w14:srgbClr w14:val="000000">
                      <w14:alpha w14:val="100000"/>
                    </w14:srgbClr>
                  </w14:solidFill>
                </w14:textFill>
              </w:rPr>
              <w:t>|</w:t>
            </w:r>
            <w:r w:rsidR="00CD20FD" w:rsidRPr="00803BCD">
              <w:t xml:space="preserve"> </w:t>
            </w:r>
            <w:r w:rsidR="00CD20FD" w:rsidRPr="00803BCD">
              <w:rPr>
                <w:vertAlign w:val="superscript"/>
              </w:rPr>
              <w:t>1</w:t>
            </w:r>
          </w:p>
        </w:tc>
      </w:tr>
      <w:tr w:rsidR="00C05AA7" w:rsidRPr="00CE28E3" w14:paraId="541BB0FE" w14:textId="77777777" w:rsidTr="00443E6B">
        <w:tc>
          <w:tcPr>
            <w:tcW w:w="2263" w:type="dxa"/>
            <w:tcMar>
              <w:top w:w="0" w:type="dxa"/>
              <w:left w:w="108" w:type="dxa"/>
              <w:bottom w:w="0" w:type="dxa"/>
              <w:right w:w="108" w:type="dxa"/>
            </w:tcMar>
          </w:tcPr>
          <w:p w14:paraId="7624FA99" w14:textId="2E3ABD0E" w:rsidR="00C05AA7" w:rsidRDefault="00C05AA7" w:rsidP="00C05AA7">
            <w:pPr>
              <w:pStyle w:val="TableText"/>
              <w:keepNext/>
            </w:pPr>
            <w:r>
              <w:t>MBS services (PD-L1 testing only)</w:t>
            </w:r>
          </w:p>
        </w:tc>
        <w:tc>
          <w:tcPr>
            <w:tcW w:w="1134" w:type="dxa"/>
            <w:tcMar>
              <w:top w:w="0" w:type="dxa"/>
              <w:left w:w="108" w:type="dxa"/>
              <w:bottom w:w="0" w:type="dxa"/>
              <w:right w:w="108" w:type="dxa"/>
            </w:tcMar>
          </w:tcPr>
          <w:p w14:paraId="03AEAC88" w14:textId="4DFF192C" w:rsidR="00C05AA7" w:rsidRPr="00E45065" w:rsidRDefault="00443E6B" w:rsidP="00C05AA7">
            <w:pPr>
              <w:pStyle w:val="TableText"/>
              <w:keepNext/>
              <w:jc w:val="center"/>
              <w:rPr>
                <w:highlight w:val="yellow"/>
              </w:rPr>
            </w:pPr>
            <w:r w:rsidRPr="00443E6B">
              <w:rPr>
                <w:color w:val="000000"/>
                <w:spacing w:val="84"/>
                <w:shd w:val="solid" w:color="000000" w:fill="000000"/>
                <w:fitText w:val="170" w:id="-1240791537"/>
                <w14:textFill>
                  <w14:solidFill>
                    <w14:srgbClr w14:val="000000">
                      <w14:alpha w14:val="100000"/>
                    </w14:srgbClr>
                  </w14:solidFill>
                </w14:textFill>
              </w:rPr>
              <w:t>|</w:t>
            </w:r>
            <w:r w:rsidRPr="00443E6B">
              <w:rPr>
                <w:color w:val="000000"/>
                <w:spacing w:val="1"/>
                <w:shd w:val="solid" w:color="000000" w:fill="000000"/>
                <w:fitText w:val="170" w:id="-1240791537"/>
                <w14:textFill>
                  <w14:solidFill>
                    <w14:srgbClr w14:val="000000">
                      <w14:alpha w14:val="100000"/>
                    </w14:srgbClr>
                  </w14:solidFill>
                </w14:textFill>
              </w:rPr>
              <w:t>|</w:t>
            </w:r>
            <w:r w:rsidR="00CD20FD" w:rsidRPr="00803BCD">
              <w:rPr>
                <w:vertAlign w:val="superscript"/>
              </w:rPr>
              <w:t>1</w:t>
            </w:r>
          </w:p>
        </w:tc>
        <w:tc>
          <w:tcPr>
            <w:tcW w:w="1134" w:type="dxa"/>
            <w:tcMar>
              <w:top w:w="0" w:type="dxa"/>
              <w:left w:w="108" w:type="dxa"/>
              <w:bottom w:w="0" w:type="dxa"/>
              <w:right w:w="108" w:type="dxa"/>
            </w:tcMar>
          </w:tcPr>
          <w:p w14:paraId="5F1D9514" w14:textId="29D78DFE"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36"/>
                <w14:textFill>
                  <w14:solidFill>
                    <w14:srgbClr w14:val="000000">
                      <w14:alpha w14:val="100000"/>
                    </w14:srgbClr>
                  </w14:solidFill>
                </w14:textFill>
              </w:rPr>
              <w:t>|</w:t>
            </w:r>
            <w:r w:rsidRPr="00443E6B">
              <w:rPr>
                <w:color w:val="000000"/>
                <w:spacing w:val="1"/>
                <w:shd w:val="solid" w:color="000000" w:fill="000000"/>
                <w:fitText w:val="180" w:id="-1240791536"/>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tcPr>
          <w:p w14:paraId="0CECF889" w14:textId="564E9DD3" w:rsidR="00C05AA7" w:rsidRPr="00E45065" w:rsidRDefault="00443E6B" w:rsidP="00C05AA7">
            <w:pPr>
              <w:pStyle w:val="TableText"/>
              <w:keepNext/>
              <w:jc w:val="center"/>
              <w:rPr>
                <w:highlight w:val="yellow"/>
              </w:rPr>
            </w:pPr>
            <w:r w:rsidRPr="00443E6B">
              <w:rPr>
                <w:color w:val="000000"/>
                <w:spacing w:val="84"/>
                <w:shd w:val="solid" w:color="000000" w:fill="000000"/>
                <w:fitText w:val="170" w:id="-1240791552"/>
                <w14:textFill>
                  <w14:solidFill>
                    <w14:srgbClr w14:val="000000">
                      <w14:alpha w14:val="100000"/>
                    </w14:srgbClr>
                  </w14:solidFill>
                </w14:textFill>
              </w:rPr>
              <w:t>|</w:t>
            </w:r>
            <w:r w:rsidRPr="00443E6B">
              <w:rPr>
                <w:color w:val="000000"/>
                <w:spacing w:val="1"/>
                <w:shd w:val="solid" w:color="000000" w:fill="000000"/>
                <w:fitText w:val="170" w:id="-1240791552"/>
                <w14:textFill>
                  <w14:solidFill>
                    <w14:srgbClr w14:val="000000">
                      <w14:alpha w14:val="100000"/>
                    </w14:srgbClr>
                  </w14:solidFill>
                </w14:textFill>
              </w:rPr>
              <w:t>|</w:t>
            </w:r>
            <w:r w:rsidR="00CD20FD" w:rsidRPr="00803BCD">
              <w:rPr>
                <w:vertAlign w:val="superscript"/>
              </w:rPr>
              <w:t>1</w:t>
            </w:r>
          </w:p>
        </w:tc>
        <w:tc>
          <w:tcPr>
            <w:tcW w:w="1134" w:type="dxa"/>
            <w:tcMar>
              <w:top w:w="0" w:type="dxa"/>
              <w:left w:w="108" w:type="dxa"/>
              <w:bottom w:w="0" w:type="dxa"/>
              <w:right w:w="108" w:type="dxa"/>
            </w:tcMar>
          </w:tcPr>
          <w:p w14:paraId="7A075231" w14:textId="47BBC696"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51"/>
                <w14:textFill>
                  <w14:solidFill>
                    <w14:srgbClr w14:val="000000">
                      <w14:alpha w14:val="100000"/>
                    </w14:srgbClr>
                  </w14:solidFill>
                </w14:textFill>
              </w:rPr>
              <w:t>|</w:t>
            </w:r>
            <w:r w:rsidRPr="00443E6B">
              <w:rPr>
                <w:color w:val="000000"/>
                <w:spacing w:val="1"/>
                <w:shd w:val="solid" w:color="000000" w:fill="000000"/>
                <w:fitText w:val="180" w:id="-1240791551"/>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134" w:type="dxa"/>
            <w:tcMar>
              <w:top w:w="0" w:type="dxa"/>
              <w:left w:w="108" w:type="dxa"/>
              <w:bottom w:w="0" w:type="dxa"/>
              <w:right w:w="108" w:type="dxa"/>
            </w:tcMar>
          </w:tcPr>
          <w:p w14:paraId="05E92B5F" w14:textId="046DD58F"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550"/>
                <w14:textFill>
                  <w14:solidFill>
                    <w14:srgbClr w14:val="000000">
                      <w14:alpha w14:val="100000"/>
                    </w14:srgbClr>
                  </w14:solidFill>
                </w14:textFill>
              </w:rPr>
              <w:t>|</w:t>
            </w:r>
            <w:r w:rsidRPr="00443E6B">
              <w:rPr>
                <w:color w:val="000000"/>
                <w:spacing w:val="1"/>
                <w:shd w:val="solid" w:color="000000" w:fill="000000"/>
                <w:fitText w:val="180" w:id="-1240791550"/>
                <w14:textFill>
                  <w14:solidFill>
                    <w14:srgbClr w14:val="000000">
                      <w14:alpha w14:val="100000"/>
                    </w14:srgbClr>
                  </w14:solidFill>
                </w14:textFill>
              </w:rPr>
              <w:t>|</w:t>
            </w:r>
            <w:r w:rsidR="00CD20FD" w:rsidRPr="00803BCD">
              <w:t xml:space="preserve"> </w:t>
            </w:r>
            <w:r w:rsidR="00CD20FD" w:rsidRPr="00803BCD">
              <w:rPr>
                <w:vertAlign w:val="superscript"/>
              </w:rPr>
              <w:t>1</w:t>
            </w:r>
          </w:p>
        </w:tc>
        <w:tc>
          <w:tcPr>
            <w:tcW w:w="1083" w:type="dxa"/>
            <w:tcMar>
              <w:top w:w="0" w:type="dxa"/>
              <w:left w:w="108" w:type="dxa"/>
              <w:bottom w:w="0" w:type="dxa"/>
              <w:right w:w="108" w:type="dxa"/>
            </w:tcMar>
          </w:tcPr>
          <w:p w14:paraId="5D31A1DE" w14:textId="272D79BA" w:rsidR="00C05AA7" w:rsidRPr="00E45065" w:rsidRDefault="00443E6B" w:rsidP="00C05AA7">
            <w:pPr>
              <w:pStyle w:val="TableText"/>
              <w:keepNext/>
              <w:jc w:val="center"/>
              <w:rPr>
                <w:highlight w:val="yellow"/>
              </w:rPr>
            </w:pPr>
            <w:r w:rsidRPr="00443E6B">
              <w:rPr>
                <w:color w:val="000000"/>
                <w:spacing w:val="46"/>
                <w:shd w:val="solid" w:color="000000" w:fill="000000"/>
                <w:fitText w:val="220" w:id="-1240791296"/>
                <w14:textFill>
                  <w14:solidFill>
                    <w14:srgbClr w14:val="000000">
                      <w14:alpha w14:val="100000"/>
                    </w14:srgbClr>
                  </w14:solidFill>
                </w14:textFill>
              </w:rPr>
              <w:t>||</w:t>
            </w:r>
            <w:r w:rsidRPr="00443E6B">
              <w:rPr>
                <w:color w:val="000000"/>
                <w:spacing w:val="1"/>
                <w:shd w:val="solid" w:color="000000" w:fill="000000"/>
                <w:fitText w:val="220" w:id="-1240791296"/>
                <w14:textFill>
                  <w14:solidFill>
                    <w14:srgbClr w14:val="000000">
                      <w14:alpha w14:val="100000"/>
                    </w14:srgbClr>
                  </w14:solidFill>
                </w14:textFill>
              </w:rPr>
              <w:t>|</w:t>
            </w:r>
            <w:r w:rsidR="00CD20FD" w:rsidRPr="00803BCD">
              <w:t xml:space="preserve"> </w:t>
            </w:r>
            <w:r w:rsidR="00CD20FD" w:rsidRPr="00803BCD">
              <w:rPr>
                <w:vertAlign w:val="superscript"/>
              </w:rPr>
              <w:t>1</w:t>
            </w:r>
          </w:p>
        </w:tc>
      </w:tr>
      <w:tr w:rsidR="00C05AA7" w:rsidRPr="00CE28E3" w14:paraId="1AD57BB3" w14:textId="77777777" w:rsidTr="00443E6B">
        <w:tc>
          <w:tcPr>
            <w:tcW w:w="2263" w:type="dxa"/>
            <w:tcMar>
              <w:top w:w="0" w:type="dxa"/>
              <w:left w:w="108" w:type="dxa"/>
              <w:bottom w:w="0" w:type="dxa"/>
              <w:right w:w="108" w:type="dxa"/>
            </w:tcMar>
          </w:tcPr>
          <w:p w14:paraId="2033A604" w14:textId="7E8435CA" w:rsidR="00C05AA7" w:rsidRDefault="00C05AA7" w:rsidP="00C05AA7">
            <w:pPr>
              <w:pStyle w:val="TableText"/>
              <w:keepNext/>
            </w:pPr>
            <w:r>
              <w:t xml:space="preserve">Cost to MBS </w:t>
            </w:r>
          </w:p>
        </w:tc>
        <w:tc>
          <w:tcPr>
            <w:tcW w:w="1134" w:type="dxa"/>
            <w:tcMar>
              <w:top w:w="0" w:type="dxa"/>
              <w:left w:w="108" w:type="dxa"/>
              <w:bottom w:w="0" w:type="dxa"/>
              <w:right w:w="108" w:type="dxa"/>
            </w:tcMar>
          </w:tcPr>
          <w:p w14:paraId="7874B527" w14:textId="0F5BE518"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295"/>
                <w14:textFill>
                  <w14:solidFill>
                    <w14:srgbClr w14:val="000000">
                      <w14:alpha w14:val="100000"/>
                    </w14:srgbClr>
                  </w14:solidFill>
                </w14:textFill>
              </w:rPr>
              <w:t>|</w:t>
            </w:r>
            <w:r w:rsidRPr="00443E6B">
              <w:rPr>
                <w:color w:val="000000"/>
                <w:spacing w:val="1"/>
                <w:shd w:val="solid" w:color="000000" w:fill="000000"/>
                <w:fitText w:val="180" w:id="-1240791295"/>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305680DF" w14:textId="7D0C0AB2"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294"/>
                <w14:textFill>
                  <w14:solidFill>
                    <w14:srgbClr w14:val="000000">
                      <w14:alpha w14:val="100000"/>
                    </w14:srgbClr>
                  </w14:solidFill>
                </w14:textFill>
              </w:rPr>
              <w:t>|</w:t>
            </w:r>
            <w:r w:rsidRPr="00443E6B">
              <w:rPr>
                <w:color w:val="000000"/>
                <w:spacing w:val="1"/>
                <w:shd w:val="solid" w:color="000000" w:fill="000000"/>
                <w:fitText w:val="180" w:id="-1240791294"/>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019AAD7A" w14:textId="77FD2052"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293"/>
                <w14:textFill>
                  <w14:solidFill>
                    <w14:srgbClr w14:val="000000">
                      <w14:alpha w14:val="100000"/>
                    </w14:srgbClr>
                  </w14:solidFill>
                </w14:textFill>
              </w:rPr>
              <w:t>|</w:t>
            </w:r>
            <w:r w:rsidRPr="00443E6B">
              <w:rPr>
                <w:color w:val="000000"/>
                <w:spacing w:val="1"/>
                <w:shd w:val="solid" w:color="000000" w:fill="000000"/>
                <w:fitText w:val="180" w:id="-1240791293"/>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25FDD938" w14:textId="16688664"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292"/>
                <w14:textFill>
                  <w14:solidFill>
                    <w14:srgbClr w14:val="000000">
                      <w14:alpha w14:val="100000"/>
                    </w14:srgbClr>
                  </w14:solidFill>
                </w14:textFill>
              </w:rPr>
              <w:t>|</w:t>
            </w:r>
            <w:r w:rsidRPr="00443E6B">
              <w:rPr>
                <w:color w:val="000000"/>
                <w:spacing w:val="1"/>
                <w:shd w:val="solid" w:color="000000" w:fill="000000"/>
                <w:fitText w:val="180" w:id="-1240791292"/>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16830028" w14:textId="4221717D" w:rsidR="00C05AA7" w:rsidRPr="00E45065" w:rsidRDefault="00443E6B" w:rsidP="00C05AA7">
            <w:pPr>
              <w:pStyle w:val="TableText"/>
              <w:keepNext/>
              <w:jc w:val="center"/>
              <w:rPr>
                <w:highlight w:val="yellow"/>
              </w:rPr>
            </w:pPr>
            <w:r w:rsidRPr="00443E6B">
              <w:rPr>
                <w:color w:val="000000"/>
                <w:spacing w:val="94"/>
                <w:shd w:val="solid" w:color="000000" w:fill="000000"/>
                <w:fitText w:val="180" w:id="-1240791291"/>
                <w14:textFill>
                  <w14:solidFill>
                    <w14:srgbClr w14:val="000000">
                      <w14:alpha w14:val="100000"/>
                    </w14:srgbClr>
                  </w14:solidFill>
                </w14:textFill>
              </w:rPr>
              <w:t>|</w:t>
            </w:r>
            <w:r w:rsidRPr="00443E6B">
              <w:rPr>
                <w:color w:val="000000"/>
                <w:spacing w:val="1"/>
                <w:shd w:val="solid" w:color="000000" w:fill="000000"/>
                <w:fitText w:val="180" w:id="-1240791291"/>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083" w:type="dxa"/>
            <w:tcMar>
              <w:top w:w="0" w:type="dxa"/>
              <w:left w:w="108" w:type="dxa"/>
              <w:bottom w:w="0" w:type="dxa"/>
              <w:right w:w="108" w:type="dxa"/>
            </w:tcMar>
          </w:tcPr>
          <w:p w14:paraId="3AA9B019" w14:textId="6B91EA32" w:rsidR="00C05AA7" w:rsidRPr="00E45065" w:rsidRDefault="00443E6B" w:rsidP="00C05AA7">
            <w:pPr>
              <w:pStyle w:val="TableText"/>
              <w:keepNext/>
              <w:jc w:val="center"/>
              <w:rPr>
                <w:highlight w:val="yellow"/>
              </w:rPr>
            </w:pPr>
            <w:r w:rsidRPr="00443E6B">
              <w:rPr>
                <w:color w:val="000000"/>
                <w:spacing w:val="46"/>
                <w:shd w:val="solid" w:color="000000" w:fill="000000"/>
                <w:fitText w:val="220" w:id="-1240791290"/>
                <w14:textFill>
                  <w14:solidFill>
                    <w14:srgbClr w14:val="000000">
                      <w14:alpha w14:val="100000"/>
                    </w14:srgbClr>
                  </w14:solidFill>
                </w14:textFill>
              </w:rPr>
              <w:t>||</w:t>
            </w:r>
            <w:r w:rsidRPr="00443E6B">
              <w:rPr>
                <w:color w:val="000000"/>
                <w:spacing w:val="1"/>
                <w:shd w:val="solid" w:color="000000" w:fill="000000"/>
                <w:fitText w:val="220" w:id="-1240791290"/>
                <w14:textFill>
                  <w14:solidFill>
                    <w14:srgbClr w14:val="000000">
                      <w14:alpha w14:val="100000"/>
                    </w14:srgbClr>
                  </w14:solidFill>
                </w14:textFill>
              </w:rPr>
              <w:t>|</w:t>
            </w:r>
            <w:r w:rsidR="00CD20FD" w:rsidRPr="00803BCD">
              <w:t xml:space="preserve"> </w:t>
            </w:r>
            <w:r w:rsidR="00CD20FD" w:rsidRPr="00803BCD">
              <w:rPr>
                <w:vertAlign w:val="superscript"/>
              </w:rPr>
              <w:t>2</w:t>
            </w:r>
          </w:p>
        </w:tc>
      </w:tr>
      <w:tr w:rsidR="00C05AA7" w:rsidRPr="00CE28E3" w14:paraId="64F84F0E" w14:textId="77777777" w:rsidTr="00443E6B">
        <w:tc>
          <w:tcPr>
            <w:tcW w:w="2263" w:type="dxa"/>
            <w:tcMar>
              <w:top w:w="0" w:type="dxa"/>
              <w:left w:w="108" w:type="dxa"/>
              <w:bottom w:w="0" w:type="dxa"/>
              <w:right w:w="108" w:type="dxa"/>
            </w:tcMar>
          </w:tcPr>
          <w:p w14:paraId="416467FE" w14:textId="44567641" w:rsidR="00C05AA7" w:rsidRPr="00C05AA7" w:rsidRDefault="00C05AA7" w:rsidP="00C05AA7">
            <w:pPr>
              <w:pStyle w:val="TableText"/>
              <w:keepNext/>
              <w:rPr>
                <w:i/>
                <w:iCs/>
              </w:rPr>
            </w:pPr>
            <w:r w:rsidRPr="00C05AA7">
              <w:rPr>
                <w:i/>
                <w:iCs/>
              </w:rPr>
              <w:t xml:space="preserve">Cost to MBS (corrected) </w:t>
            </w:r>
          </w:p>
        </w:tc>
        <w:tc>
          <w:tcPr>
            <w:tcW w:w="1134" w:type="dxa"/>
            <w:tcMar>
              <w:top w:w="0" w:type="dxa"/>
              <w:left w:w="108" w:type="dxa"/>
              <w:bottom w:w="0" w:type="dxa"/>
              <w:right w:w="108" w:type="dxa"/>
            </w:tcMar>
          </w:tcPr>
          <w:p w14:paraId="43F648F9" w14:textId="6E3B5AF2" w:rsidR="00C05AA7" w:rsidRPr="00E45065" w:rsidRDefault="00443E6B" w:rsidP="00C05AA7">
            <w:pPr>
              <w:pStyle w:val="TableText"/>
              <w:keepNext/>
              <w:jc w:val="center"/>
              <w:rPr>
                <w:i/>
                <w:iCs/>
                <w:highlight w:val="yellow"/>
              </w:rPr>
            </w:pPr>
            <w:r w:rsidRPr="00443E6B">
              <w:rPr>
                <w:i/>
                <w:iCs/>
                <w:color w:val="000000"/>
                <w:spacing w:val="94"/>
                <w:shd w:val="solid" w:color="000000" w:fill="000000"/>
                <w:fitText w:val="180" w:id="-1240791289"/>
                <w14:textFill>
                  <w14:solidFill>
                    <w14:srgbClr w14:val="000000">
                      <w14:alpha w14:val="100000"/>
                    </w14:srgbClr>
                  </w14:solidFill>
                </w14:textFill>
              </w:rPr>
              <w:t>|</w:t>
            </w:r>
            <w:r w:rsidRPr="00443E6B">
              <w:rPr>
                <w:i/>
                <w:iCs/>
                <w:color w:val="000000"/>
                <w:spacing w:val="1"/>
                <w:shd w:val="solid" w:color="000000" w:fill="000000"/>
                <w:fitText w:val="180" w:id="-1240791289"/>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5A5A6028" w14:textId="3CA21E66" w:rsidR="00C05AA7" w:rsidRPr="00E45065" w:rsidRDefault="00443E6B" w:rsidP="00C05AA7">
            <w:pPr>
              <w:pStyle w:val="TableText"/>
              <w:keepNext/>
              <w:jc w:val="center"/>
              <w:rPr>
                <w:i/>
                <w:iCs/>
                <w:highlight w:val="yellow"/>
              </w:rPr>
            </w:pPr>
            <w:r w:rsidRPr="00443E6B">
              <w:rPr>
                <w:i/>
                <w:iCs/>
                <w:color w:val="000000"/>
                <w:spacing w:val="94"/>
                <w:shd w:val="solid" w:color="000000" w:fill="000000"/>
                <w:fitText w:val="180" w:id="-1240791288"/>
                <w14:textFill>
                  <w14:solidFill>
                    <w14:srgbClr w14:val="000000">
                      <w14:alpha w14:val="100000"/>
                    </w14:srgbClr>
                  </w14:solidFill>
                </w14:textFill>
              </w:rPr>
              <w:t>|</w:t>
            </w:r>
            <w:r w:rsidRPr="00443E6B">
              <w:rPr>
                <w:i/>
                <w:iCs/>
                <w:color w:val="000000"/>
                <w:spacing w:val="1"/>
                <w:shd w:val="solid" w:color="000000" w:fill="000000"/>
                <w:fitText w:val="180" w:id="-1240791288"/>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5827C75B" w14:textId="776DAC3D" w:rsidR="00C05AA7" w:rsidRPr="00E45065" w:rsidRDefault="00443E6B" w:rsidP="00C05AA7">
            <w:pPr>
              <w:pStyle w:val="TableText"/>
              <w:keepNext/>
              <w:jc w:val="center"/>
              <w:rPr>
                <w:i/>
                <w:iCs/>
                <w:highlight w:val="yellow"/>
              </w:rPr>
            </w:pPr>
            <w:r w:rsidRPr="00443E6B">
              <w:rPr>
                <w:i/>
                <w:iCs/>
                <w:color w:val="000000"/>
                <w:spacing w:val="94"/>
                <w:shd w:val="solid" w:color="000000" w:fill="000000"/>
                <w:fitText w:val="180" w:id="-1240791287"/>
                <w14:textFill>
                  <w14:solidFill>
                    <w14:srgbClr w14:val="000000">
                      <w14:alpha w14:val="100000"/>
                    </w14:srgbClr>
                  </w14:solidFill>
                </w14:textFill>
              </w:rPr>
              <w:t>|</w:t>
            </w:r>
            <w:r w:rsidRPr="00443E6B">
              <w:rPr>
                <w:i/>
                <w:iCs/>
                <w:color w:val="000000"/>
                <w:spacing w:val="1"/>
                <w:shd w:val="solid" w:color="000000" w:fill="000000"/>
                <w:fitText w:val="180" w:id="-1240791287"/>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0917CC52" w14:textId="2FD17504" w:rsidR="00C05AA7" w:rsidRPr="00E45065" w:rsidRDefault="00443E6B" w:rsidP="00C05AA7">
            <w:pPr>
              <w:pStyle w:val="TableText"/>
              <w:keepNext/>
              <w:jc w:val="center"/>
              <w:rPr>
                <w:i/>
                <w:iCs/>
                <w:highlight w:val="yellow"/>
              </w:rPr>
            </w:pPr>
            <w:r w:rsidRPr="00443E6B">
              <w:rPr>
                <w:i/>
                <w:iCs/>
                <w:color w:val="000000"/>
                <w:spacing w:val="94"/>
                <w:shd w:val="solid" w:color="000000" w:fill="000000"/>
                <w:fitText w:val="180" w:id="-1240791286"/>
                <w14:textFill>
                  <w14:solidFill>
                    <w14:srgbClr w14:val="000000">
                      <w14:alpha w14:val="100000"/>
                    </w14:srgbClr>
                  </w14:solidFill>
                </w14:textFill>
              </w:rPr>
              <w:t>|</w:t>
            </w:r>
            <w:r w:rsidRPr="00443E6B">
              <w:rPr>
                <w:i/>
                <w:iCs/>
                <w:color w:val="000000"/>
                <w:spacing w:val="1"/>
                <w:shd w:val="solid" w:color="000000" w:fill="000000"/>
                <w:fitText w:val="180" w:id="-1240791286"/>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134" w:type="dxa"/>
            <w:tcMar>
              <w:top w:w="0" w:type="dxa"/>
              <w:left w:w="108" w:type="dxa"/>
              <w:bottom w:w="0" w:type="dxa"/>
              <w:right w:w="108" w:type="dxa"/>
            </w:tcMar>
          </w:tcPr>
          <w:p w14:paraId="71062C98" w14:textId="16B38485" w:rsidR="00C05AA7" w:rsidRPr="00E45065" w:rsidRDefault="00443E6B" w:rsidP="00C05AA7">
            <w:pPr>
              <w:pStyle w:val="TableText"/>
              <w:keepNext/>
              <w:jc w:val="center"/>
              <w:rPr>
                <w:i/>
                <w:iCs/>
                <w:highlight w:val="yellow"/>
              </w:rPr>
            </w:pPr>
            <w:r w:rsidRPr="00443E6B">
              <w:rPr>
                <w:i/>
                <w:iCs/>
                <w:color w:val="000000"/>
                <w:spacing w:val="94"/>
                <w:shd w:val="solid" w:color="000000" w:fill="000000"/>
                <w:fitText w:val="180" w:id="-1240791285"/>
                <w14:textFill>
                  <w14:solidFill>
                    <w14:srgbClr w14:val="000000">
                      <w14:alpha w14:val="100000"/>
                    </w14:srgbClr>
                  </w14:solidFill>
                </w14:textFill>
              </w:rPr>
              <w:t>|</w:t>
            </w:r>
            <w:r w:rsidRPr="00443E6B">
              <w:rPr>
                <w:i/>
                <w:iCs/>
                <w:color w:val="000000"/>
                <w:spacing w:val="1"/>
                <w:shd w:val="solid" w:color="000000" w:fill="000000"/>
                <w:fitText w:val="180" w:id="-1240791285"/>
                <w14:textFill>
                  <w14:solidFill>
                    <w14:srgbClr w14:val="000000">
                      <w14:alpha w14:val="100000"/>
                    </w14:srgbClr>
                  </w14:solidFill>
                </w14:textFill>
              </w:rPr>
              <w:t>|</w:t>
            </w:r>
            <w:r w:rsidR="00CD20FD" w:rsidRPr="00803BCD">
              <w:t xml:space="preserve"> </w:t>
            </w:r>
            <w:r w:rsidR="00CD20FD" w:rsidRPr="00803BCD">
              <w:rPr>
                <w:vertAlign w:val="superscript"/>
              </w:rPr>
              <w:t>2</w:t>
            </w:r>
          </w:p>
        </w:tc>
        <w:tc>
          <w:tcPr>
            <w:tcW w:w="1083" w:type="dxa"/>
            <w:tcMar>
              <w:top w:w="0" w:type="dxa"/>
              <w:left w:w="108" w:type="dxa"/>
              <w:bottom w:w="0" w:type="dxa"/>
              <w:right w:w="108" w:type="dxa"/>
            </w:tcMar>
          </w:tcPr>
          <w:p w14:paraId="14E9B603" w14:textId="322ECC0F" w:rsidR="00C05AA7" w:rsidRPr="00E45065" w:rsidRDefault="00443E6B" w:rsidP="00C05AA7">
            <w:pPr>
              <w:pStyle w:val="TableText"/>
              <w:keepNext/>
              <w:jc w:val="center"/>
              <w:rPr>
                <w:i/>
                <w:iCs/>
                <w:highlight w:val="yellow"/>
              </w:rPr>
            </w:pPr>
            <w:bookmarkStart w:id="30" w:name="_Hlk68276802"/>
            <w:r w:rsidRPr="00443E6B">
              <w:rPr>
                <w:i/>
                <w:iCs/>
                <w:color w:val="000000"/>
                <w:spacing w:val="46"/>
                <w:shd w:val="solid" w:color="000000" w:fill="000000"/>
                <w:fitText w:val="220" w:id="-1240791284"/>
                <w14:textFill>
                  <w14:solidFill>
                    <w14:srgbClr w14:val="000000">
                      <w14:alpha w14:val="100000"/>
                    </w14:srgbClr>
                  </w14:solidFill>
                </w14:textFill>
              </w:rPr>
              <w:t>||</w:t>
            </w:r>
            <w:r w:rsidRPr="00443E6B">
              <w:rPr>
                <w:i/>
                <w:iCs/>
                <w:color w:val="000000"/>
                <w:spacing w:val="1"/>
                <w:shd w:val="solid" w:color="000000" w:fill="000000"/>
                <w:fitText w:val="220" w:id="-1240791284"/>
                <w14:textFill>
                  <w14:solidFill>
                    <w14:srgbClr w14:val="000000">
                      <w14:alpha w14:val="100000"/>
                    </w14:srgbClr>
                  </w14:solidFill>
                </w14:textFill>
              </w:rPr>
              <w:t>|</w:t>
            </w:r>
            <w:r w:rsidR="00CD20FD" w:rsidRPr="00803BCD">
              <w:t xml:space="preserve"> </w:t>
            </w:r>
            <w:r w:rsidR="00CD20FD" w:rsidRPr="00803BCD">
              <w:rPr>
                <w:vertAlign w:val="superscript"/>
              </w:rPr>
              <w:t>2</w:t>
            </w:r>
          </w:p>
        </w:tc>
      </w:tr>
    </w:tbl>
    <w:bookmarkEnd w:id="30"/>
    <w:p w14:paraId="0646B8DB" w14:textId="110986D5" w:rsidR="00C05AA7" w:rsidRPr="003127A3" w:rsidRDefault="00C05AA7" w:rsidP="00C05AA7">
      <w:pPr>
        <w:snapToGrid w:val="0"/>
        <w:spacing w:before="0" w:after="120" w:line="240" w:lineRule="auto"/>
        <w:contextualSpacing/>
        <w:rPr>
          <w:rFonts w:ascii="Arial Narrow" w:eastAsia="Calibri" w:hAnsi="Arial Narrow" w:cs="Times New Roman"/>
          <w:sz w:val="18"/>
        </w:rPr>
      </w:pPr>
      <w:r w:rsidRPr="003127A3">
        <w:rPr>
          <w:rFonts w:ascii="Arial Narrow" w:eastAsia="Calibri" w:hAnsi="Arial Narrow" w:cs="Times New Roman"/>
          <w:sz w:val="18"/>
        </w:rPr>
        <w:t xml:space="preserve">Source: Table </w:t>
      </w:r>
      <w:r>
        <w:rPr>
          <w:rFonts w:ascii="Arial Narrow" w:eastAsia="Calibri" w:hAnsi="Arial Narrow" w:cs="Times New Roman"/>
          <w:sz w:val="18"/>
        </w:rPr>
        <w:t xml:space="preserve">2, p5 of the submission, and the financial </w:t>
      </w:r>
      <w:r w:rsidR="00A2586E">
        <w:rPr>
          <w:rFonts w:ascii="Arial Narrow" w:eastAsia="Calibri" w:hAnsi="Arial Narrow" w:cs="Times New Roman"/>
          <w:sz w:val="18"/>
        </w:rPr>
        <w:t>estimates spreadsheet (KN355 mTNBC UCM)</w:t>
      </w:r>
    </w:p>
    <w:p w14:paraId="352645F2" w14:textId="4E5ADBC3" w:rsidR="00C05AA7" w:rsidRDefault="00C05AA7" w:rsidP="00C05AA7">
      <w:pPr>
        <w:snapToGrid w:val="0"/>
        <w:spacing w:before="0" w:after="120" w:line="240" w:lineRule="auto"/>
        <w:contextualSpacing/>
        <w:rPr>
          <w:rFonts w:ascii="Arial Narrow" w:eastAsia="Calibri" w:hAnsi="Arial Narrow" w:cs="Times New Roman"/>
          <w:sz w:val="18"/>
        </w:rPr>
      </w:pPr>
      <w:r>
        <w:rPr>
          <w:rFonts w:ascii="Arial Narrow" w:eastAsia="Calibri" w:hAnsi="Arial Narrow" w:cs="Times New Roman"/>
          <w:sz w:val="18"/>
        </w:rPr>
        <w:t xml:space="preserve">MBS = </w:t>
      </w:r>
      <w:r w:rsidRPr="00C05AA7">
        <w:rPr>
          <w:rFonts w:ascii="Arial Narrow" w:eastAsia="Calibri" w:hAnsi="Arial Narrow" w:cs="Times New Roman"/>
          <w:sz w:val="18"/>
        </w:rPr>
        <w:t>Medicare Benefits Schedule;</w:t>
      </w:r>
      <w:r w:rsidR="00A2586E">
        <w:rPr>
          <w:rFonts w:ascii="Arial Narrow" w:eastAsia="Calibri" w:hAnsi="Arial Narrow" w:cs="Times New Roman"/>
          <w:sz w:val="18"/>
        </w:rPr>
        <w:t xml:space="preserve"> </w:t>
      </w:r>
      <w:r w:rsidR="00A2586E" w:rsidRPr="00A2586E">
        <w:rPr>
          <w:rFonts w:ascii="Arial Narrow" w:eastAsia="Calibri" w:hAnsi="Arial Narrow" w:cs="Times New Roman"/>
          <w:sz w:val="18"/>
        </w:rPr>
        <w:t>TNBC = triple negative breast cancer</w:t>
      </w:r>
    </w:p>
    <w:p w14:paraId="111BC478" w14:textId="6B2FD6CF" w:rsidR="00CD20FD" w:rsidRDefault="00CD20FD" w:rsidP="000E4BEF">
      <w:pPr>
        <w:contextualSpacing/>
        <w:rPr>
          <w:rFonts w:ascii="Arial Narrow" w:hAnsi="Arial Narrow" w:cs="Arial"/>
          <w:i/>
          <w:sz w:val="18"/>
          <w:szCs w:val="18"/>
          <w:lang w:eastAsia="en-AU"/>
        </w:rPr>
      </w:pPr>
      <w:r w:rsidRPr="009A6D58">
        <w:rPr>
          <w:rFonts w:ascii="Arial Narrow" w:hAnsi="Arial Narrow" w:cs="Arial"/>
          <w:i/>
          <w:sz w:val="18"/>
          <w:szCs w:val="18"/>
          <w:lang w:eastAsia="en-AU"/>
        </w:rPr>
        <w:t>The redacted values correspond to the following ranges:</w:t>
      </w:r>
    </w:p>
    <w:p w14:paraId="2550ABCD" w14:textId="0C30A005" w:rsidR="00CD20FD" w:rsidRDefault="00CD20FD" w:rsidP="000E4BEF">
      <w:pPr>
        <w:contextualSpacing/>
        <w:rPr>
          <w:rFonts w:ascii="Arial Narrow" w:hAnsi="Arial Narrow" w:cs="Arial"/>
          <w:i/>
          <w:sz w:val="18"/>
          <w:szCs w:val="18"/>
          <w:vertAlign w:val="superscript"/>
          <w:lang w:eastAsia="en-AU"/>
        </w:rPr>
      </w:pPr>
      <w:r>
        <w:rPr>
          <w:rFonts w:ascii="Arial Narrow" w:hAnsi="Arial Narrow" w:cs="Arial"/>
          <w:i/>
          <w:sz w:val="18"/>
          <w:szCs w:val="18"/>
          <w:vertAlign w:val="superscript"/>
          <w:lang w:eastAsia="en-AU"/>
        </w:rPr>
        <w:t xml:space="preserve">1 </w:t>
      </w:r>
      <w:r w:rsidRPr="00443E6B">
        <w:rPr>
          <w:rFonts w:ascii="Arial Narrow" w:hAnsi="Arial Narrow" w:cs="Arial"/>
          <w:i/>
          <w:sz w:val="18"/>
          <w:szCs w:val="18"/>
          <w:lang w:eastAsia="en-AU"/>
        </w:rPr>
        <w:t>500 to &lt; 5,000</w:t>
      </w:r>
    </w:p>
    <w:p w14:paraId="15745CA7" w14:textId="369807CF" w:rsidR="00CD20FD" w:rsidRDefault="00CD20FD" w:rsidP="000E4BEF">
      <w:pPr>
        <w:contextualSpacing/>
        <w:rPr>
          <w:rFonts w:ascii="Arial Narrow" w:hAnsi="Arial Narrow" w:cs="Arial"/>
          <w:i/>
          <w:sz w:val="18"/>
          <w:szCs w:val="18"/>
          <w:vertAlign w:val="superscript"/>
          <w:lang w:eastAsia="en-AU"/>
        </w:rPr>
      </w:pPr>
      <w:r>
        <w:rPr>
          <w:rFonts w:ascii="Arial Narrow" w:hAnsi="Arial Narrow" w:cs="Arial"/>
          <w:i/>
          <w:sz w:val="18"/>
          <w:szCs w:val="18"/>
          <w:vertAlign w:val="superscript"/>
          <w:lang w:eastAsia="en-AU"/>
        </w:rPr>
        <w:t xml:space="preserve">2 </w:t>
      </w:r>
      <w:r w:rsidRPr="00443E6B">
        <w:rPr>
          <w:rFonts w:ascii="Arial Narrow" w:hAnsi="Arial Narrow" w:cs="Arial"/>
          <w:i/>
          <w:sz w:val="18"/>
          <w:szCs w:val="18"/>
          <w:lang w:eastAsia="en-AU"/>
        </w:rPr>
        <w:t>$0 to &lt; $10 million</w:t>
      </w:r>
    </w:p>
    <w:p w14:paraId="1CCB4C38" w14:textId="108AC6CD" w:rsidR="00CD20FD" w:rsidRDefault="00CD20FD" w:rsidP="000E4BEF">
      <w:pPr>
        <w:contextualSpacing/>
        <w:rPr>
          <w:rFonts w:ascii="Arial Narrow" w:hAnsi="Arial Narrow" w:cs="Arial"/>
          <w:i/>
          <w:sz w:val="18"/>
          <w:szCs w:val="18"/>
          <w:vertAlign w:val="superscript"/>
          <w:lang w:eastAsia="en-AU"/>
        </w:rPr>
      </w:pPr>
      <w:r>
        <w:rPr>
          <w:rFonts w:ascii="Arial Narrow" w:hAnsi="Arial Narrow" w:cs="Arial"/>
          <w:i/>
          <w:sz w:val="18"/>
          <w:szCs w:val="18"/>
          <w:vertAlign w:val="superscript"/>
          <w:lang w:eastAsia="en-AU"/>
        </w:rPr>
        <w:t xml:space="preserve">3 </w:t>
      </w:r>
      <w:r w:rsidRPr="00443E6B">
        <w:rPr>
          <w:rFonts w:ascii="Arial Narrow" w:hAnsi="Arial Narrow" w:cs="Arial"/>
          <w:i/>
          <w:sz w:val="18"/>
          <w:szCs w:val="18"/>
          <w:lang w:eastAsia="en-AU"/>
        </w:rPr>
        <w:t>&lt; 500</w:t>
      </w:r>
    </w:p>
    <w:p w14:paraId="7838A9FF" w14:textId="3A6E6B43" w:rsidR="00772829" w:rsidRPr="00CE28E3" w:rsidRDefault="00C36633" w:rsidP="002A18BE">
      <w:pPr>
        <w:pStyle w:val="Heading2"/>
        <w:numPr>
          <w:ilvl w:val="0"/>
          <w:numId w:val="0"/>
        </w:numPr>
      </w:pPr>
      <w:bookmarkStart w:id="31" w:name="_Toc69491427"/>
      <w:r>
        <w:t>1</w:t>
      </w:r>
      <w:r w:rsidR="000C2287">
        <w:t>5</w:t>
      </w:r>
      <w:r>
        <w:t>.</w:t>
      </w:r>
      <w:r>
        <w:tab/>
      </w:r>
      <w:r w:rsidR="00772829" w:rsidRPr="00CE28E3">
        <w:t xml:space="preserve">Other relevant </w:t>
      </w:r>
      <w:bookmarkEnd w:id="31"/>
      <w:r w:rsidR="00FA5766">
        <w:t>information</w:t>
      </w:r>
    </w:p>
    <w:p w14:paraId="30DE9625" w14:textId="0272E5C6" w:rsidR="00772829" w:rsidRPr="003251C2" w:rsidRDefault="007A5085" w:rsidP="007A5085">
      <w:r>
        <w:t>Nil.</w:t>
      </w:r>
    </w:p>
    <w:p w14:paraId="40187932" w14:textId="2EAAFF4E" w:rsidR="000C2287" w:rsidRDefault="000C2287" w:rsidP="000C2287">
      <w:pPr>
        <w:pStyle w:val="Heading2"/>
        <w:numPr>
          <w:ilvl w:val="0"/>
          <w:numId w:val="0"/>
        </w:numPr>
      </w:pPr>
      <w:r>
        <w:t>1</w:t>
      </w:r>
      <w:r w:rsidR="00667F3A">
        <w:t>6</w:t>
      </w:r>
      <w:r>
        <w:t>.</w:t>
      </w:r>
      <w:r>
        <w:tab/>
        <w:t>Applicant comments on MSAC’s Public Summary Document</w:t>
      </w:r>
    </w:p>
    <w:p w14:paraId="362433D2" w14:textId="107259D7" w:rsidR="00012FA9" w:rsidRPr="000F0C82" w:rsidRDefault="00F83EA3" w:rsidP="00012FA9">
      <w:pPr>
        <w:spacing w:after="240"/>
        <w:rPr>
          <w:szCs w:val="24"/>
        </w:rPr>
      </w:pPr>
      <w:r w:rsidRPr="000F0C82">
        <w:rPr>
          <w:szCs w:val="24"/>
        </w:rPr>
        <w:t xml:space="preserve">MSD is pleased that the </w:t>
      </w:r>
      <w:r w:rsidR="000F0C82" w:rsidRPr="000F0C82">
        <w:rPr>
          <w:szCs w:val="24"/>
        </w:rPr>
        <w:t>MSAC reviewed this application via the streamlined pathway and</w:t>
      </w:r>
      <w:r w:rsidRPr="000F0C82">
        <w:rPr>
          <w:szCs w:val="24"/>
        </w:rPr>
        <w:t xml:space="preserve"> have agreed that PD-L1 testing has a role in mTNBC in identifying which patients are appropriate for pembrolizumab</w:t>
      </w:r>
      <w:r w:rsidR="00443E6B">
        <w:rPr>
          <w:szCs w:val="24"/>
        </w:rPr>
        <w:t>.</w:t>
      </w:r>
    </w:p>
    <w:p w14:paraId="7202A1C0" w14:textId="394CDC8C" w:rsidR="000C2287" w:rsidRDefault="000C2287" w:rsidP="000C2287">
      <w:pPr>
        <w:pStyle w:val="Heading2"/>
        <w:numPr>
          <w:ilvl w:val="0"/>
          <w:numId w:val="0"/>
        </w:numPr>
      </w:pPr>
      <w:r>
        <w:t>1</w:t>
      </w:r>
      <w:r w:rsidR="00667F3A">
        <w:t>7</w:t>
      </w:r>
      <w:r>
        <w:t>.</w:t>
      </w:r>
      <w:r>
        <w:tab/>
        <w:t>Further information on MSAC</w:t>
      </w:r>
    </w:p>
    <w:p w14:paraId="01B2A9FA" w14:textId="68A7FC35" w:rsidR="00772829" w:rsidRPr="00311744" w:rsidRDefault="000C2287" w:rsidP="00311744">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23" w:tooltip="Link to the MSAC website" w:history="1">
        <w:r w:rsidRPr="00F309FA">
          <w:rPr>
            <w:rStyle w:val="Hyperlink"/>
            <w:rFonts w:ascii="Franklin Gothic Book" w:hAnsi="Franklin Gothic Book"/>
            <w:b w:val="0"/>
            <w:bCs/>
            <w:i w:val="0"/>
            <w:iCs/>
            <w:sz w:val="22"/>
          </w:rPr>
          <w:t>visit the MSAC website</w:t>
        </w:r>
      </w:hyperlink>
    </w:p>
    <w:sectPr w:rsidR="00772829" w:rsidRPr="00311744" w:rsidSect="00784341">
      <w:headerReference w:type="even" r:id="rId24"/>
      <w:headerReference w:type="default" r:id="rId25"/>
      <w:footerReference w:type="even" r:id="rId26"/>
      <w:footerReference w:type="default" r:id="rId27"/>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BC52" w14:textId="77777777" w:rsidR="008A41BF" w:rsidRDefault="008A41BF" w:rsidP="00B62DF2">
      <w:pPr>
        <w:spacing w:after="0" w:line="240" w:lineRule="auto"/>
      </w:pPr>
      <w:r>
        <w:separator/>
      </w:r>
    </w:p>
  </w:endnote>
  <w:endnote w:type="continuationSeparator" w:id="0">
    <w:p w14:paraId="045B7D39" w14:textId="77777777" w:rsidR="008A41BF" w:rsidRDefault="008A41BF" w:rsidP="00B62DF2">
      <w:pPr>
        <w:spacing w:after="0" w:line="240" w:lineRule="auto"/>
      </w:pPr>
      <w:r>
        <w:continuationSeparator/>
      </w:r>
    </w:p>
  </w:endnote>
  <w:endnote w:type="continuationNotice" w:id="1">
    <w:p w14:paraId="504C0835" w14:textId="77777777" w:rsidR="008A41BF" w:rsidRDefault="008A41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0E23C321" w:rsidR="00D86894" w:rsidRDefault="00D86894" w:rsidP="009D44CC">
    <w:pPr>
      <w:pStyle w:val="Footer"/>
      <w:ind w:firstLine="4320"/>
      <w:jc w:val="right"/>
    </w:pPr>
    <w:r>
      <w:fldChar w:fldCharType="begin"/>
    </w:r>
    <w:r>
      <w:instrText xml:space="preserve"> PAGE   \* MERGEFORMAT </w:instrText>
    </w:r>
    <w: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4878EF8B" w:rsidR="00D86894" w:rsidRDefault="00D86894" w:rsidP="00052DD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D973" w14:textId="77777777" w:rsidR="008A41BF" w:rsidRDefault="008A41BF" w:rsidP="00B62DF2">
      <w:pPr>
        <w:spacing w:after="0" w:line="240" w:lineRule="auto"/>
      </w:pPr>
      <w:r>
        <w:separator/>
      </w:r>
    </w:p>
  </w:footnote>
  <w:footnote w:type="continuationSeparator" w:id="0">
    <w:p w14:paraId="3103641A" w14:textId="77777777" w:rsidR="008A41BF" w:rsidRDefault="008A41BF" w:rsidP="00B62DF2">
      <w:pPr>
        <w:spacing w:after="0" w:line="240" w:lineRule="auto"/>
      </w:pPr>
      <w:r>
        <w:continuationSeparator/>
      </w:r>
    </w:p>
  </w:footnote>
  <w:footnote w:type="continuationNotice" w:id="1">
    <w:p w14:paraId="04976E1C" w14:textId="77777777" w:rsidR="008A41BF" w:rsidRDefault="008A41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DE86" w14:textId="2BB3A766" w:rsidR="00DC39CE" w:rsidRDefault="00DC3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F10D" w14:textId="71F73681" w:rsidR="00DC39CE" w:rsidRDefault="00DC3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A37"/>
    <w:multiLevelType w:val="hybridMultilevel"/>
    <w:tmpl w:val="84124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E5EF4"/>
    <w:multiLevelType w:val="hybridMultilevel"/>
    <w:tmpl w:val="DE48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6692893"/>
    <w:multiLevelType w:val="hybridMultilevel"/>
    <w:tmpl w:val="7E46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8"/>
  </w:num>
  <w:num w:numId="2">
    <w:abstractNumId w:val="13"/>
  </w:num>
  <w:num w:numId="3">
    <w:abstractNumId w:val="2"/>
  </w:num>
  <w:num w:numId="4">
    <w:abstractNumId w:val="4"/>
  </w:num>
  <w:num w:numId="5">
    <w:abstractNumId w:val="11"/>
  </w:num>
  <w:num w:numId="6">
    <w:abstractNumId w:val="5"/>
  </w:num>
  <w:num w:numId="7">
    <w:abstractNumId w:val="3"/>
  </w:num>
  <w:num w:numId="8">
    <w:abstractNumId w:val="6"/>
  </w:num>
  <w:num w:numId="9">
    <w:abstractNumId w:val="7"/>
  </w:num>
  <w:num w:numId="10">
    <w:abstractNumId w:val="9"/>
  </w:num>
  <w:num w:numId="11">
    <w:abstractNumId w:val="1"/>
  </w:num>
  <w:num w:numId="12">
    <w:abstractNumId w:val="12"/>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7F3533-9CBD-42AA-80A1-7CEC8829085A}"/>
    <w:docVar w:name="dgnword-eventsink" w:val="418555352"/>
  </w:docVars>
  <w:rsids>
    <w:rsidRoot w:val="008157F1"/>
    <w:rsid w:val="0000109A"/>
    <w:rsid w:val="000012BD"/>
    <w:rsid w:val="00001AE6"/>
    <w:rsid w:val="00001D55"/>
    <w:rsid w:val="00002BFC"/>
    <w:rsid w:val="00004D69"/>
    <w:rsid w:val="00004F7F"/>
    <w:rsid w:val="000054C9"/>
    <w:rsid w:val="000064E4"/>
    <w:rsid w:val="00011568"/>
    <w:rsid w:val="00012FA9"/>
    <w:rsid w:val="00014974"/>
    <w:rsid w:val="00016F9A"/>
    <w:rsid w:val="000174AA"/>
    <w:rsid w:val="00017EFC"/>
    <w:rsid w:val="00021583"/>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4D54"/>
    <w:rsid w:val="00045B8D"/>
    <w:rsid w:val="00045CC5"/>
    <w:rsid w:val="00046B6A"/>
    <w:rsid w:val="000472D4"/>
    <w:rsid w:val="00052DD3"/>
    <w:rsid w:val="0005326D"/>
    <w:rsid w:val="00053F6C"/>
    <w:rsid w:val="00055DDB"/>
    <w:rsid w:val="00057208"/>
    <w:rsid w:val="000609DE"/>
    <w:rsid w:val="0006339C"/>
    <w:rsid w:val="00064783"/>
    <w:rsid w:val="000647C2"/>
    <w:rsid w:val="0007021F"/>
    <w:rsid w:val="000709A0"/>
    <w:rsid w:val="0007356A"/>
    <w:rsid w:val="00074199"/>
    <w:rsid w:val="00080241"/>
    <w:rsid w:val="00080795"/>
    <w:rsid w:val="00081778"/>
    <w:rsid w:val="00082D80"/>
    <w:rsid w:val="0008612D"/>
    <w:rsid w:val="000870B6"/>
    <w:rsid w:val="00090613"/>
    <w:rsid w:val="00090BD1"/>
    <w:rsid w:val="00091857"/>
    <w:rsid w:val="00091C59"/>
    <w:rsid w:val="00092A21"/>
    <w:rsid w:val="00093D9A"/>
    <w:rsid w:val="00094656"/>
    <w:rsid w:val="00096B52"/>
    <w:rsid w:val="000A0B55"/>
    <w:rsid w:val="000A10BF"/>
    <w:rsid w:val="000A2ACD"/>
    <w:rsid w:val="000A2B65"/>
    <w:rsid w:val="000A2DA8"/>
    <w:rsid w:val="000A5C47"/>
    <w:rsid w:val="000A629E"/>
    <w:rsid w:val="000A6B30"/>
    <w:rsid w:val="000B3330"/>
    <w:rsid w:val="000B6CF0"/>
    <w:rsid w:val="000B720C"/>
    <w:rsid w:val="000B7665"/>
    <w:rsid w:val="000C0AE1"/>
    <w:rsid w:val="000C2287"/>
    <w:rsid w:val="000C2F29"/>
    <w:rsid w:val="000C57B0"/>
    <w:rsid w:val="000C7BC1"/>
    <w:rsid w:val="000C7C46"/>
    <w:rsid w:val="000D01E1"/>
    <w:rsid w:val="000D129A"/>
    <w:rsid w:val="000D1B52"/>
    <w:rsid w:val="000D1C90"/>
    <w:rsid w:val="000D4C1B"/>
    <w:rsid w:val="000D5523"/>
    <w:rsid w:val="000D783D"/>
    <w:rsid w:val="000E03DC"/>
    <w:rsid w:val="000E1124"/>
    <w:rsid w:val="000E4BEF"/>
    <w:rsid w:val="000E5531"/>
    <w:rsid w:val="000E6410"/>
    <w:rsid w:val="000E678B"/>
    <w:rsid w:val="000F0C82"/>
    <w:rsid w:val="000F2E01"/>
    <w:rsid w:val="000F5A54"/>
    <w:rsid w:val="000F7987"/>
    <w:rsid w:val="00100442"/>
    <w:rsid w:val="0010051C"/>
    <w:rsid w:val="00100F04"/>
    <w:rsid w:val="00101907"/>
    <w:rsid w:val="00103C01"/>
    <w:rsid w:val="0010448B"/>
    <w:rsid w:val="0010521F"/>
    <w:rsid w:val="0010625A"/>
    <w:rsid w:val="00107524"/>
    <w:rsid w:val="00107DCD"/>
    <w:rsid w:val="00107EF0"/>
    <w:rsid w:val="00111417"/>
    <w:rsid w:val="0011283E"/>
    <w:rsid w:val="00113C60"/>
    <w:rsid w:val="00114C3B"/>
    <w:rsid w:val="00115691"/>
    <w:rsid w:val="00117039"/>
    <w:rsid w:val="00117F04"/>
    <w:rsid w:val="00120BD3"/>
    <w:rsid w:val="00122AE3"/>
    <w:rsid w:val="00122EE1"/>
    <w:rsid w:val="00123658"/>
    <w:rsid w:val="001237AF"/>
    <w:rsid w:val="001246C2"/>
    <w:rsid w:val="001247EB"/>
    <w:rsid w:val="00124F3C"/>
    <w:rsid w:val="00125B61"/>
    <w:rsid w:val="00126122"/>
    <w:rsid w:val="00131D45"/>
    <w:rsid w:val="001320F0"/>
    <w:rsid w:val="00132910"/>
    <w:rsid w:val="001336E0"/>
    <w:rsid w:val="00133F34"/>
    <w:rsid w:val="00135273"/>
    <w:rsid w:val="00135FC9"/>
    <w:rsid w:val="00143478"/>
    <w:rsid w:val="00143F2F"/>
    <w:rsid w:val="00146624"/>
    <w:rsid w:val="00150376"/>
    <w:rsid w:val="00151DBD"/>
    <w:rsid w:val="00151E5F"/>
    <w:rsid w:val="001531D6"/>
    <w:rsid w:val="00153AC3"/>
    <w:rsid w:val="00155434"/>
    <w:rsid w:val="00155BDA"/>
    <w:rsid w:val="00156FA7"/>
    <w:rsid w:val="0016023A"/>
    <w:rsid w:val="00162DBF"/>
    <w:rsid w:val="00164CF8"/>
    <w:rsid w:val="001653AE"/>
    <w:rsid w:val="001664F1"/>
    <w:rsid w:val="0016762B"/>
    <w:rsid w:val="00170D5B"/>
    <w:rsid w:val="00172B8F"/>
    <w:rsid w:val="001736F8"/>
    <w:rsid w:val="00173B9F"/>
    <w:rsid w:val="00173D85"/>
    <w:rsid w:val="00174FD4"/>
    <w:rsid w:val="00176A06"/>
    <w:rsid w:val="00184BAE"/>
    <w:rsid w:val="001905A3"/>
    <w:rsid w:val="00192B1F"/>
    <w:rsid w:val="0019362A"/>
    <w:rsid w:val="0019474E"/>
    <w:rsid w:val="00195728"/>
    <w:rsid w:val="00196EFF"/>
    <w:rsid w:val="001970C0"/>
    <w:rsid w:val="001A1CB7"/>
    <w:rsid w:val="001A2930"/>
    <w:rsid w:val="001A420B"/>
    <w:rsid w:val="001A4B97"/>
    <w:rsid w:val="001A4F7D"/>
    <w:rsid w:val="001A6B2A"/>
    <w:rsid w:val="001A7B42"/>
    <w:rsid w:val="001A7D8F"/>
    <w:rsid w:val="001B2A97"/>
    <w:rsid w:val="001B2CD4"/>
    <w:rsid w:val="001B39C6"/>
    <w:rsid w:val="001B5F39"/>
    <w:rsid w:val="001B7329"/>
    <w:rsid w:val="001B77B5"/>
    <w:rsid w:val="001C174A"/>
    <w:rsid w:val="001C1D05"/>
    <w:rsid w:val="001C2A48"/>
    <w:rsid w:val="001C69E3"/>
    <w:rsid w:val="001C6DFD"/>
    <w:rsid w:val="001D32C0"/>
    <w:rsid w:val="001D3A64"/>
    <w:rsid w:val="001D5793"/>
    <w:rsid w:val="001D74A7"/>
    <w:rsid w:val="001E15F2"/>
    <w:rsid w:val="001E22F7"/>
    <w:rsid w:val="001E465F"/>
    <w:rsid w:val="001E706B"/>
    <w:rsid w:val="001F2902"/>
    <w:rsid w:val="001F3F36"/>
    <w:rsid w:val="001F4BDF"/>
    <w:rsid w:val="001F658C"/>
    <w:rsid w:val="001F675C"/>
    <w:rsid w:val="001F6F44"/>
    <w:rsid w:val="001F7563"/>
    <w:rsid w:val="002028A2"/>
    <w:rsid w:val="002056CF"/>
    <w:rsid w:val="00207F59"/>
    <w:rsid w:val="00211DC3"/>
    <w:rsid w:val="002127E9"/>
    <w:rsid w:val="002155B6"/>
    <w:rsid w:val="002157E4"/>
    <w:rsid w:val="00215AFB"/>
    <w:rsid w:val="00215DEA"/>
    <w:rsid w:val="002163F0"/>
    <w:rsid w:val="002200D8"/>
    <w:rsid w:val="00220D98"/>
    <w:rsid w:val="00223664"/>
    <w:rsid w:val="00223A56"/>
    <w:rsid w:val="00225833"/>
    <w:rsid w:val="00226095"/>
    <w:rsid w:val="00227B89"/>
    <w:rsid w:val="00227F43"/>
    <w:rsid w:val="002343A1"/>
    <w:rsid w:val="00234640"/>
    <w:rsid w:val="00240106"/>
    <w:rsid w:val="002411C7"/>
    <w:rsid w:val="00241BC3"/>
    <w:rsid w:val="00242F4E"/>
    <w:rsid w:val="002452A0"/>
    <w:rsid w:val="002452AA"/>
    <w:rsid w:val="002463A6"/>
    <w:rsid w:val="002468C1"/>
    <w:rsid w:val="00246ADB"/>
    <w:rsid w:val="00250523"/>
    <w:rsid w:val="002517A5"/>
    <w:rsid w:val="00251F6C"/>
    <w:rsid w:val="0025249C"/>
    <w:rsid w:val="002539ED"/>
    <w:rsid w:val="0025440D"/>
    <w:rsid w:val="0025450E"/>
    <w:rsid w:val="00254E2B"/>
    <w:rsid w:val="00255152"/>
    <w:rsid w:val="0025554E"/>
    <w:rsid w:val="0025698C"/>
    <w:rsid w:val="00261655"/>
    <w:rsid w:val="002638F4"/>
    <w:rsid w:val="0026638D"/>
    <w:rsid w:val="0027160C"/>
    <w:rsid w:val="002751D1"/>
    <w:rsid w:val="00275209"/>
    <w:rsid w:val="00281152"/>
    <w:rsid w:val="00284340"/>
    <w:rsid w:val="00287E78"/>
    <w:rsid w:val="00290676"/>
    <w:rsid w:val="00291462"/>
    <w:rsid w:val="00291572"/>
    <w:rsid w:val="00292E79"/>
    <w:rsid w:val="00295022"/>
    <w:rsid w:val="002950BD"/>
    <w:rsid w:val="002A04B4"/>
    <w:rsid w:val="002A145B"/>
    <w:rsid w:val="002A18BE"/>
    <w:rsid w:val="002A36F6"/>
    <w:rsid w:val="002A4084"/>
    <w:rsid w:val="002A430D"/>
    <w:rsid w:val="002A4AD6"/>
    <w:rsid w:val="002A7196"/>
    <w:rsid w:val="002A76AE"/>
    <w:rsid w:val="002B1384"/>
    <w:rsid w:val="002B3681"/>
    <w:rsid w:val="002B667C"/>
    <w:rsid w:val="002C103E"/>
    <w:rsid w:val="002C11CA"/>
    <w:rsid w:val="002C2450"/>
    <w:rsid w:val="002C45E8"/>
    <w:rsid w:val="002C70CE"/>
    <w:rsid w:val="002C72DD"/>
    <w:rsid w:val="002D0721"/>
    <w:rsid w:val="002D3831"/>
    <w:rsid w:val="002D3BF2"/>
    <w:rsid w:val="002D5097"/>
    <w:rsid w:val="002D55E4"/>
    <w:rsid w:val="002D690D"/>
    <w:rsid w:val="002E07BE"/>
    <w:rsid w:val="002E627B"/>
    <w:rsid w:val="002E63BE"/>
    <w:rsid w:val="002E7775"/>
    <w:rsid w:val="002E7AD2"/>
    <w:rsid w:val="002E7C64"/>
    <w:rsid w:val="002F1399"/>
    <w:rsid w:val="002F32FB"/>
    <w:rsid w:val="002F5371"/>
    <w:rsid w:val="002F5611"/>
    <w:rsid w:val="002F5F5E"/>
    <w:rsid w:val="002F5F85"/>
    <w:rsid w:val="002F693F"/>
    <w:rsid w:val="003008CC"/>
    <w:rsid w:val="003011F0"/>
    <w:rsid w:val="00301763"/>
    <w:rsid w:val="00302252"/>
    <w:rsid w:val="00303C10"/>
    <w:rsid w:val="00303C60"/>
    <w:rsid w:val="00303CE9"/>
    <w:rsid w:val="0030427C"/>
    <w:rsid w:val="00304FB8"/>
    <w:rsid w:val="00307299"/>
    <w:rsid w:val="00310B9B"/>
    <w:rsid w:val="00310C3F"/>
    <w:rsid w:val="00311744"/>
    <w:rsid w:val="003127A3"/>
    <w:rsid w:val="003140D2"/>
    <w:rsid w:val="00317714"/>
    <w:rsid w:val="00320A17"/>
    <w:rsid w:val="00322DA9"/>
    <w:rsid w:val="00323AF6"/>
    <w:rsid w:val="00323D09"/>
    <w:rsid w:val="003251C2"/>
    <w:rsid w:val="00325FA0"/>
    <w:rsid w:val="00326F1C"/>
    <w:rsid w:val="00327162"/>
    <w:rsid w:val="003302EF"/>
    <w:rsid w:val="00330A0A"/>
    <w:rsid w:val="00331F84"/>
    <w:rsid w:val="003328A9"/>
    <w:rsid w:val="00332BF4"/>
    <w:rsid w:val="003371B5"/>
    <w:rsid w:val="00337BAF"/>
    <w:rsid w:val="00340341"/>
    <w:rsid w:val="003417CB"/>
    <w:rsid w:val="003435A9"/>
    <w:rsid w:val="00344649"/>
    <w:rsid w:val="00345496"/>
    <w:rsid w:val="00345BCF"/>
    <w:rsid w:val="003466F9"/>
    <w:rsid w:val="00350092"/>
    <w:rsid w:val="003519AD"/>
    <w:rsid w:val="00351E0E"/>
    <w:rsid w:val="00354EB4"/>
    <w:rsid w:val="00354EED"/>
    <w:rsid w:val="003562C3"/>
    <w:rsid w:val="00356C9C"/>
    <w:rsid w:val="00356D29"/>
    <w:rsid w:val="003571C2"/>
    <w:rsid w:val="003640A7"/>
    <w:rsid w:val="00365447"/>
    <w:rsid w:val="003664AA"/>
    <w:rsid w:val="0036794E"/>
    <w:rsid w:val="003779E0"/>
    <w:rsid w:val="00380411"/>
    <w:rsid w:val="0038146C"/>
    <w:rsid w:val="00382609"/>
    <w:rsid w:val="00386124"/>
    <w:rsid w:val="003864D5"/>
    <w:rsid w:val="00390567"/>
    <w:rsid w:val="00390570"/>
    <w:rsid w:val="003966F6"/>
    <w:rsid w:val="0039677D"/>
    <w:rsid w:val="003A0660"/>
    <w:rsid w:val="003A0D52"/>
    <w:rsid w:val="003A2ED1"/>
    <w:rsid w:val="003A4C47"/>
    <w:rsid w:val="003A6724"/>
    <w:rsid w:val="003A6E1A"/>
    <w:rsid w:val="003A747D"/>
    <w:rsid w:val="003B0BA1"/>
    <w:rsid w:val="003B454A"/>
    <w:rsid w:val="003B4599"/>
    <w:rsid w:val="003B5E13"/>
    <w:rsid w:val="003B61B7"/>
    <w:rsid w:val="003C1AE2"/>
    <w:rsid w:val="003C4F8F"/>
    <w:rsid w:val="003C6B59"/>
    <w:rsid w:val="003D1206"/>
    <w:rsid w:val="003D299E"/>
    <w:rsid w:val="003D44C9"/>
    <w:rsid w:val="003D55E1"/>
    <w:rsid w:val="003D641A"/>
    <w:rsid w:val="003D71EB"/>
    <w:rsid w:val="003D76D5"/>
    <w:rsid w:val="003E067D"/>
    <w:rsid w:val="003E22CB"/>
    <w:rsid w:val="003E2343"/>
    <w:rsid w:val="003E406B"/>
    <w:rsid w:val="003E41FF"/>
    <w:rsid w:val="003E48C0"/>
    <w:rsid w:val="003E4F96"/>
    <w:rsid w:val="003E5CCA"/>
    <w:rsid w:val="003E7773"/>
    <w:rsid w:val="003F0246"/>
    <w:rsid w:val="003F0EC4"/>
    <w:rsid w:val="003F115E"/>
    <w:rsid w:val="003F14C2"/>
    <w:rsid w:val="003F2210"/>
    <w:rsid w:val="003F41BE"/>
    <w:rsid w:val="003F535C"/>
    <w:rsid w:val="003F7196"/>
    <w:rsid w:val="004008AF"/>
    <w:rsid w:val="00400B5F"/>
    <w:rsid w:val="00401DBF"/>
    <w:rsid w:val="0040270D"/>
    <w:rsid w:val="004033D9"/>
    <w:rsid w:val="00404A94"/>
    <w:rsid w:val="0040551F"/>
    <w:rsid w:val="0040771F"/>
    <w:rsid w:val="004111F7"/>
    <w:rsid w:val="0041217D"/>
    <w:rsid w:val="004125C6"/>
    <w:rsid w:val="0041275F"/>
    <w:rsid w:val="00421A89"/>
    <w:rsid w:val="00421EBC"/>
    <w:rsid w:val="0042304B"/>
    <w:rsid w:val="00424084"/>
    <w:rsid w:val="004266ED"/>
    <w:rsid w:val="004273AD"/>
    <w:rsid w:val="00427E1A"/>
    <w:rsid w:val="004305AE"/>
    <w:rsid w:val="00431512"/>
    <w:rsid w:val="00431800"/>
    <w:rsid w:val="00433541"/>
    <w:rsid w:val="00436514"/>
    <w:rsid w:val="00441C88"/>
    <w:rsid w:val="004423F7"/>
    <w:rsid w:val="00442A49"/>
    <w:rsid w:val="00442D52"/>
    <w:rsid w:val="00443E6B"/>
    <w:rsid w:val="0044690B"/>
    <w:rsid w:val="00446BBE"/>
    <w:rsid w:val="0044782C"/>
    <w:rsid w:val="0045093D"/>
    <w:rsid w:val="00451645"/>
    <w:rsid w:val="00451FA2"/>
    <w:rsid w:val="00452499"/>
    <w:rsid w:val="00454F8E"/>
    <w:rsid w:val="00460C33"/>
    <w:rsid w:val="00462778"/>
    <w:rsid w:val="00462A2E"/>
    <w:rsid w:val="00464F6C"/>
    <w:rsid w:val="00470960"/>
    <w:rsid w:val="00471D0D"/>
    <w:rsid w:val="00474E01"/>
    <w:rsid w:val="00474F45"/>
    <w:rsid w:val="00482804"/>
    <w:rsid w:val="00482B47"/>
    <w:rsid w:val="0048323E"/>
    <w:rsid w:val="0048382F"/>
    <w:rsid w:val="00484687"/>
    <w:rsid w:val="00484DC5"/>
    <w:rsid w:val="00485675"/>
    <w:rsid w:val="00487C85"/>
    <w:rsid w:val="00490DC4"/>
    <w:rsid w:val="004922BF"/>
    <w:rsid w:val="00494F64"/>
    <w:rsid w:val="00497B9F"/>
    <w:rsid w:val="004A2084"/>
    <w:rsid w:val="004A4430"/>
    <w:rsid w:val="004A4B91"/>
    <w:rsid w:val="004A4FDF"/>
    <w:rsid w:val="004A5489"/>
    <w:rsid w:val="004A5E73"/>
    <w:rsid w:val="004A7A52"/>
    <w:rsid w:val="004B19FE"/>
    <w:rsid w:val="004B1E56"/>
    <w:rsid w:val="004B2A4D"/>
    <w:rsid w:val="004B2F45"/>
    <w:rsid w:val="004B33C2"/>
    <w:rsid w:val="004B4214"/>
    <w:rsid w:val="004B689D"/>
    <w:rsid w:val="004C060F"/>
    <w:rsid w:val="004C0E97"/>
    <w:rsid w:val="004C1AA8"/>
    <w:rsid w:val="004C48C8"/>
    <w:rsid w:val="004C598D"/>
    <w:rsid w:val="004D3897"/>
    <w:rsid w:val="004D4425"/>
    <w:rsid w:val="004D6CC3"/>
    <w:rsid w:val="004E2BD6"/>
    <w:rsid w:val="004E3410"/>
    <w:rsid w:val="004F6AD3"/>
    <w:rsid w:val="00501386"/>
    <w:rsid w:val="00501BD9"/>
    <w:rsid w:val="00501C25"/>
    <w:rsid w:val="005027A6"/>
    <w:rsid w:val="00502DAE"/>
    <w:rsid w:val="00502FFB"/>
    <w:rsid w:val="005038A0"/>
    <w:rsid w:val="00504A82"/>
    <w:rsid w:val="00505E19"/>
    <w:rsid w:val="005103C5"/>
    <w:rsid w:val="005128DE"/>
    <w:rsid w:val="005131D3"/>
    <w:rsid w:val="0051352C"/>
    <w:rsid w:val="00514FC2"/>
    <w:rsid w:val="00515BFA"/>
    <w:rsid w:val="00517A86"/>
    <w:rsid w:val="005222EB"/>
    <w:rsid w:val="0052349D"/>
    <w:rsid w:val="005245A2"/>
    <w:rsid w:val="00524A5B"/>
    <w:rsid w:val="00524BE8"/>
    <w:rsid w:val="0052575D"/>
    <w:rsid w:val="00526C92"/>
    <w:rsid w:val="005275FC"/>
    <w:rsid w:val="0052768C"/>
    <w:rsid w:val="00530896"/>
    <w:rsid w:val="005310AF"/>
    <w:rsid w:val="005317F5"/>
    <w:rsid w:val="005342C3"/>
    <w:rsid w:val="005362F5"/>
    <w:rsid w:val="0053725B"/>
    <w:rsid w:val="0054093A"/>
    <w:rsid w:val="00540C57"/>
    <w:rsid w:val="005531BD"/>
    <w:rsid w:val="005567B2"/>
    <w:rsid w:val="00557870"/>
    <w:rsid w:val="00560277"/>
    <w:rsid w:val="00560938"/>
    <w:rsid w:val="00560AF1"/>
    <w:rsid w:val="00561562"/>
    <w:rsid w:val="00563DE6"/>
    <w:rsid w:val="0056528D"/>
    <w:rsid w:val="005657D4"/>
    <w:rsid w:val="0056628B"/>
    <w:rsid w:val="00566298"/>
    <w:rsid w:val="0057091E"/>
    <w:rsid w:val="005723D6"/>
    <w:rsid w:val="00572D21"/>
    <w:rsid w:val="00574A6E"/>
    <w:rsid w:val="00577145"/>
    <w:rsid w:val="005773BE"/>
    <w:rsid w:val="00582365"/>
    <w:rsid w:val="00583DFA"/>
    <w:rsid w:val="00585C1B"/>
    <w:rsid w:val="00587639"/>
    <w:rsid w:val="00592638"/>
    <w:rsid w:val="00593138"/>
    <w:rsid w:val="00593A33"/>
    <w:rsid w:val="005947B5"/>
    <w:rsid w:val="005960BB"/>
    <w:rsid w:val="00597407"/>
    <w:rsid w:val="005A0496"/>
    <w:rsid w:val="005A1B69"/>
    <w:rsid w:val="005A4047"/>
    <w:rsid w:val="005A4384"/>
    <w:rsid w:val="005A7012"/>
    <w:rsid w:val="005A7A5E"/>
    <w:rsid w:val="005B1632"/>
    <w:rsid w:val="005B1C07"/>
    <w:rsid w:val="005B3432"/>
    <w:rsid w:val="005B3BD6"/>
    <w:rsid w:val="005B7481"/>
    <w:rsid w:val="005B7D6C"/>
    <w:rsid w:val="005C05B6"/>
    <w:rsid w:val="005C0959"/>
    <w:rsid w:val="005C3211"/>
    <w:rsid w:val="005C42E1"/>
    <w:rsid w:val="005C4930"/>
    <w:rsid w:val="005C7215"/>
    <w:rsid w:val="005C73C4"/>
    <w:rsid w:val="005D00EA"/>
    <w:rsid w:val="005D023B"/>
    <w:rsid w:val="005D02C4"/>
    <w:rsid w:val="005D2304"/>
    <w:rsid w:val="005D3A04"/>
    <w:rsid w:val="005D48FE"/>
    <w:rsid w:val="005D7471"/>
    <w:rsid w:val="005D749D"/>
    <w:rsid w:val="005E2702"/>
    <w:rsid w:val="005E5874"/>
    <w:rsid w:val="005E59AB"/>
    <w:rsid w:val="005E75D5"/>
    <w:rsid w:val="005F07AC"/>
    <w:rsid w:val="005F1555"/>
    <w:rsid w:val="005F2978"/>
    <w:rsid w:val="005F4721"/>
    <w:rsid w:val="005F4CAE"/>
    <w:rsid w:val="005F720A"/>
    <w:rsid w:val="006018EF"/>
    <w:rsid w:val="00602F43"/>
    <w:rsid w:val="00603B08"/>
    <w:rsid w:val="00605776"/>
    <w:rsid w:val="00610162"/>
    <w:rsid w:val="00610ABA"/>
    <w:rsid w:val="00613037"/>
    <w:rsid w:val="006135AB"/>
    <w:rsid w:val="006138E4"/>
    <w:rsid w:val="006144F6"/>
    <w:rsid w:val="00616407"/>
    <w:rsid w:val="00616E8F"/>
    <w:rsid w:val="00620E5A"/>
    <w:rsid w:val="00622CF9"/>
    <w:rsid w:val="00624BC1"/>
    <w:rsid w:val="006250E9"/>
    <w:rsid w:val="006258F7"/>
    <w:rsid w:val="00625EC4"/>
    <w:rsid w:val="00633B2F"/>
    <w:rsid w:val="0063798E"/>
    <w:rsid w:val="0064030F"/>
    <w:rsid w:val="00640C31"/>
    <w:rsid w:val="00641D47"/>
    <w:rsid w:val="00643226"/>
    <w:rsid w:val="006459EF"/>
    <w:rsid w:val="00646066"/>
    <w:rsid w:val="006465F3"/>
    <w:rsid w:val="006534BF"/>
    <w:rsid w:val="006537D7"/>
    <w:rsid w:val="0065444A"/>
    <w:rsid w:val="00654F68"/>
    <w:rsid w:val="00655CF9"/>
    <w:rsid w:val="00655D45"/>
    <w:rsid w:val="0065714C"/>
    <w:rsid w:val="00660A74"/>
    <w:rsid w:val="00662E5F"/>
    <w:rsid w:val="00664434"/>
    <w:rsid w:val="0066561F"/>
    <w:rsid w:val="00666A58"/>
    <w:rsid w:val="00667F3A"/>
    <w:rsid w:val="00670650"/>
    <w:rsid w:val="006712C0"/>
    <w:rsid w:val="00674186"/>
    <w:rsid w:val="006744AC"/>
    <w:rsid w:val="00674C7D"/>
    <w:rsid w:val="00680B40"/>
    <w:rsid w:val="00681EC9"/>
    <w:rsid w:val="006822FA"/>
    <w:rsid w:val="0068288C"/>
    <w:rsid w:val="00683DDF"/>
    <w:rsid w:val="00683F36"/>
    <w:rsid w:val="00685589"/>
    <w:rsid w:val="0068682C"/>
    <w:rsid w:val="00690700"/>
    <w:rsid w:val="006938AA"/>
    <w:rsid w:val="0069474B"/>
    <w:rsid w:val="0069475D"/>
    <w:rsid w:val="00696EB1"/>
    <w:rsid w:val="00697966"/>
    <w:rsid w:val="006A1C60"/>
    <w:rsid w:val="006A3A2B"/>
    <w:rsid w:val="006A576A"/>
    <w:rsid w:val="006A6BF1"/>
    <w:rsid w:val="006B0398"/>
    <w:rsid w:val="006B14B6"/>
    <w:rsid w:val="006B3032"/>
    <w:rsid w:val="006B4438"/>
    <w:rsid w:val="006B4B4A"/>
    <w:rsid w:val="006B5FF9"/>
    <w:rsid w:val="006B75C6"/>
    <w:rsid w:val="006C0DEE"/>
    <w:rsid w:val="006C354C"/>
    <w:rsid w:val="006C3B76"/>
    <w:rsid w:val="006C4572"/>
    <w:rsid w:val="006C4A1A"/>
    <w:rsid w:val="006C7B03"/>
    <w:rsid w:val="006D0EC2"/>
    <w:rsid w:val="006D4C72"/>
    <w:rsid w:val="006D4E4C"/>
    <w:rsid w:val="006D5585"/>
    <w:rsid w:val="006D5F76"/>
    <w:rsid w:val="006D6D96"/>
    <w:rsid w:val="006D7211"/>
    <w:rsid w:val="006D75C8"/>
    <w:rsid w:val="006E1EF3"/>
    <w:rsid w:val="006F0D46"/>
    <w:rsid w:val="006F23DD"/>
    <w:rsid w:val="006F3A29"/>
    <w:rsid w:val="006F4847"/>
    <w:rsid w:val="006F5158"/>
    <w:rsid w:val="00700950"/>
    <w:rsid w:val="00701136"/>
    <w:rsid w:val="007018BD"/>
    <w:rsid w:val="0070319A"/>
    <w:rsid w:val="00703CB4"/>
    <w:rsid w:val="00705CEA"/>
    <w:rsid w:val="00707C18"/>
    <w:rsid w:val="007103A9"/>
    <w:rsid w:val="00714791"/>
    <w:rsid w:val="00716AD2"/>
    <w:rsid w:val="007203CA"/>
    <w:rsid w:val="007226F5"/>
    <w:rsid w:val="007227A9"/>
    <w:rsid w:val="00723B2C"/>
    <w:rsid w:val="00724ED0"/>
    <w:rsid w:val="00724F92"/>
    <w:rsid w:val="007253D6"/>
    <w:rsid w:val="0072578A"/>
    <w:rsid w:val="0072597A"/>
    <w:rsid w:val="0073792C"/>
    <w:rsid w:val="0074257A"/>
    <w:rsid w:val="00747434"/>
    <w:rsid w:val="0074788B"/>
    <w:rsid w:val="0075137C"/>
    <w:rsid w:val="0075418A"/>
    <w:rsid w:val="007554E6"/>
    <w:rsid w:val="00757650"/>
    <w:rsid w:val="00760D9D"/>
    <w:rsid w:val="0076260D"/>
    <w:rsid w:val="00763B77"/>
    <w:rsid w:val="0076702C"/>
    <w:rsid w:val="00767F37"/>
    <w:rsid w:val="00767F6C"/>
    <w:rsid w:val="00772829"/>
    <w:rsid w:val="00773B3C"/>
    <w:rsid w:val="00777848"/>
    <w:rsid w:val="00777893"/>
    <w:rsid w:val="00782AB1"/>
    <w:rsid w:val="007838DA"/>
    <w:rsid w:val="00784341"/>
    <w:rsid w:val="007852E9"/>
    <w:rsid w:val="007874E2"/>
    <w:rsid w:val="00790B15"/>
    <w:rsid w:val="00790F49"/>
    <w:rsid w:val="007931CB"/>
    <w:rsid w:val="007951D4"/>
    <w:rsid w:val="00797C46"/>
    <w:rsid w:val="007A19F6"/>
    <w:rsid w:val="007A2B65"/>
    <w:rsid w:val="007A4CC5"/>
    <w:rsid w:val="007A5085"/>
    <w:rsid w:val="007A5617"/>
    <w:rsid w:val="007B0245"/>
    <w:rsid w:val="007B083F"/>
    <w:rsid w:val="007B0880"/>
    <w:rsid w:val="007B0D01"/>
    <w:rsid w:val="007B172F"/>
    <w:rsid w:val="007B2085"/>
    <w:rsid w:val="007B2FDC"/>
    <w:rsid w:val="007B38A0"/>
    <w:rsid w:val="007B38B7"/>
    <w:rsid w:val="007B4F7B"/>
    <w:rsid w:val="007B583D"/>
    <w:rsid w:val="007B6684"/>
    <w:rsid w:val="007B6B21"/>
    <w:rsid w:val="007B7024"/>
    <w:rsid w:val="007B7061"/>
    <w:rsid w:val="007C0390"/>
    <w:rsid w:val="007C14A2"/>
    <w:rsid w:val="007C300E"/>
    <w:rsid w:val="007C328D"/>
    <w:rsid w:val="007C336F"/>
    <w:rsid w:val="007C41B1"/>
    <w:rsid w:val="007D30B7"/>
    <w:rsid w:val="007E15AD"/>
    <w:rsid w:val="007E25ED"/>
    <w:rsid w:val="007E2BC0"/>
    <w:rsid w:val="007E3377"/>
    <w:rsid w:val="007F2E7F"/>
    <w:rsid w:val="007F67E9"/>
    <w:rsid w:val="007F7C7B"/>
    <w:rsid w:val="00800587"/>
    <w:rsid w:val="008040A2"/>
    <w:rsid w:val="00804632"/>
    <w:rsid w:val="00804832"/>
    <w:rsid w:val="008054D9"/>
    <w:rsid w:val="00806688"/>
    <w:rsid w:val="00806DD9"/>
    <w:rsid w:val="00807A3E"/>
    <w:rsid w:val="00810338"/>
    <w:rsid w:val="00812282"/>
    <w:rsid w:val="008148E4"/>
    <w:rsid w:val="008157F1"/>
    <w:rsid w:val="00816EC2"/>
    <w:rsid w:val="008218AA"/>
    <w:rsid w:val="008236E1"/>
    <w:rsid w:val="00824458"/>
    <w:rsid w:val="008249F7"/>
    <w:rsid w:val="00824B74"/>
    <w:rsid w:val="008251DD"/>
    <w:rsid w:val="00827027"/>
    <w:rsid w:val="00835EC9"/>
    <w:rsid w:val="00841388"/>
    <w:rsid w:val="00841EFB"/>
    <w:rsid w:val="00841F44"/>
    <w:rsid w:val="00842C82"/>
    <w:rsid w:val="008436D7"/>
    <w:rsid w:val="008440FE"/>
    <w:rsid w:val="00845B04"/>
    <w:rsid w:val="00846119"/>
    <w:rsid w:val="008474E3"/>
    <w:rsid w:val="00851A93"/>
    <w:rsid w:val="008527ED"/>
    <w:rsid w:val="008537F7"/>
    <w:rsid w:val="008546BE"/>
    <w:rsid w:val="00856074"/>
    <w:rsid w:val="00857949"/>
    <w:rsid w:val="0086737E"/>
    <w:rsid w:val="008719C2"/>
    <w:rsid w:val="0087277A"/>
    <w:rsid w:val="00872A47"/>
    <w:rsid w:val="008736E2"/>
    <w:rsid w:val="00874565"/>
    <w:rsid w:val="00877247"/>
    <w:rsid w:val="008801AE"/>
    <w:rsid w:val="00880AA3"/>
    <w:rsid w:val="0088421C"/>
    <w:rsid w:val="0088434D"/>
    <w:rsid w:val="0088445B"/>
    <w:rsid w:val="00887886"/>
    <w:rsid w:val="0089081E"/>
    <w:rsid w:val="00891AF6"/>
    <w:rsid w:val="00891BC3"/>
    <w:rsid w:val="008937C8"/>
    <w:rsid w:val="00893AD4"/>
    <w:rsid w:val="008967C4"/>
    <w:rsid w:val="008A0D2A"/>
    <w:rsid w:val="008A1693"/>
    <w:rsid w:val="008A254F"/>
    <w:rsid w:val="008A2630"/>
    <w:rsid w:val="008A41BF"/>
    <w:rsid w:val="008A5833"/>
    <w:rsid w:val="008B3A88"/>
    <w:rsid w:val="008B4BFC"/>
    <w:rsid w:val="008B51B4"/>
    <w:rsid w:val="008B529A"/>
    <w:rsid w:val="008B5B67"/>
    <w:rsid w:val="008B5D7A"/>
    <w:rsid w:val="008B66E3"/>
    <w:rsid w:val="008B7848"/>
    <w:rsid w:val="008C1E05"/>
    <w:rsid w:val="008C34BB"/>
    <w:rsid w:val="008C45E2"/>
    <w:rsid w:val="008D3726"/>
    <w:rsid w:val="008D4CB0"/>
    <w:rsid w:val="008D4E30"/>
    <w:rsid w:val="008D6397"/>
    <w:rsid w:val="008D73C9"/>
    <w:rsid w:val="008E16BF"/>
    <w:rsid w:val="008E1707"/>
    <w:rsid w:val="008E3049"/>
    <w:rsid w:val="008E35A3"/>
    <w:rsid w:val="008E3EDD"/>
    <w:rsid w:val="008E7274"/>
    <w:rsid w:val="008F0562"/>
    <w:rsid w:val="008F0B24"/>
    <w:rsid w:val="008F260B"/>
    <w:rsid w:val="0090063B"/>
    <w:rsid w:val="00902BFD"/>
    <w:rsid w:val="00906821"/>
    <w:rsid w:val="00906E65"/>
    <w:rsid w:val="009144D5"/>
    <w:rsid w:val="00915F98"/>
    <w:rsid w:val="00915FA3"/>
    <w:rsid w:val="009213CA"/>
    <w:rsid w:val="00921512"/>
    <w:rsid w:val="009217F8"/>
    <w:rsid w:val="0092470E"/>
    <w:rsid w:val="00925187"/>
    <w:rsid w:val="0092709C"/>
    <w:rsid w:val="0092717F"/>
    <w:rsid w:val="00927744"/>
    <w:rsid w:val="00927B05"/>
    <w:rsid w:val="00927B38"/>
    <w:rsid w:val="00927F60"/>
    <w:rsid w:val="00930F4E"/>
    <w:rsid w:val="00936062"/>
    <w:rsid w:val="00937CBE"/>
    <w:rsid w:val="00940DCB"/>
    <w:rsid w:val="00941A11"/>
    <w:rsid w:val="00944087"/>
    <w:rsid w:val="00944E74"/>
    <w:rsid w:val="00946C24"/>
    <w:rsid w:val="0095012E"/>
    <w:rsid w:val="00951934"/>
    <w:rsid w:val="0095207B"/>
    <w:rsid w:val="00954C8C"/>
    <w:rsid w:val="00956ACE"/>
    <w:rsid w:val="009572A0"/>
    <w:rsid w:val="00957D24"/>
    <w:rsid w:val="00960349"/>
    <w:rsid w:val="00960DCF"/>
    <w:rsid w:val="00961B53"/>
    <w:rsid w:val="00962821"/>
    <w:rsid w:val="00963264"/>
    <w:rsid w:val="0096389D"/>
    <w:rsid w:val="00963AFD"/>
    <w:rsid w:val="009676C0"/>
    <w:rsid w:val="009803A9"/>
    <w:rsid w:val="009803CB"/>
    <w:rsid w:val="009803D4"/>
    <w:rsid w:val="009807A2"/>
    <w:rsid w:val="0098199C"/>
    <w:rsid w:val="00982BEB"/>
    <w:rsid w:val="009873F3"/>
    <w:rsid w:val="00992FC1"/>
    <w:rsid w:val="009933C5"/>
    <w:rsid w:val="00994D02"/>
    <w:rsid w:val="00995E98"/>
    <w:rsid w:val="00996F15"/>
    <w:rsid w:val="009975F9"/>
    <w:rsid w:val="00997BA8"/>
    <w:rsid w:val="009A06F4"/>
    <w:rsid w:val="009A3778"/>
    <w:rsid w:val="009A3E2E"/>
    <w:rsid w:val="009A56A2"/>
    <w:rsid w:val="009A7F34"/>
    <w:rsid w:val="009B138C"/>
    <w:rsid w:val="009B2245"/>
    <w:rsid w:val="009B258E"/>
    <w:rsid w:val="009B5997"/>
    <w:rsid w:val="009B66A8"/>
    <w:rsid w:val="009B6B23"/>
    <w:rsid w:val="009B7ABD"/>
    <w:rsid w:val="009C1D27"/>
    <w:rsid w:val="009C3BD9"/>
    <w:rsid w:val="009C5B82"/>
    <w:rsid w:val="009C5E84"/>
    <w:rsid w:val="009C6979"/>
    <w:rsid w:val="009C6E22"/>
    <w:rsid w:val="009C756E"/>
    <w:rsid w:val="009D21BE"/>
    <w:rsid w:val="009D3C3D"/>
    <w:rsid w:val="009D44CC"/>
    <w:rsid w:val="009D5288"/>
    <w:rsid w:val="009E2AD3"/>
    <w:rsid w:val="009E47E5"/>
    <w:rsid w:val="009F146F"/>
    <w:rsid w:val="009F3C75"/>
    <w:rsid w:val="009F669C"/>
    <w:rsid w:val="009F7601"/>
    <w:rsid w:val="00A0037E"/>
    <w:rsid w:val="00A01303"/>
    <w:rsid w:val="00A016E7"/>
    <w:rsid w:val="00A02C4F"/>
    <w:rsid w:val="00A04A09"/>
    <w:rsid w:val="00A05821"/>
    <w:rsid w:val="00A05D1D"/>
    <w:rsid w:val="00A05EA2"/>
    <w:rsid w:val="00A076CC"/>
    <w:rsid w:val="00A1165C"/>
    <w:rsid w:val="00A125D6"/>
    <w:rsid w:val="00A14E53"/>
    <w:rsid w:val="00A15580"/>
    <w:rsid w:val="00A16449"/>
    <w:rsid w:val="00A16D46"/>
    <w:rsid w:val="00A20833"/>
    <w:rsid w:val="00A214D8"/>
    <w:rsid w:val="00A22EFC"/>
    <w:rsid w:val="00A24AB4"/>
    <w:rsid w:val="00A2586E"/>
    <w:rsid w:val="00A26389"/>
    <w:rsid w:val="00A303B8"/>
    <w:rsid w:val="00A34735"/>
    <w:rsid w:val="00A361C3"/>
    <w:rsid w:val="00A411FA"/>
    <w:rsid w:val="00A4267E"/>
    <w:rsid w:val="00A44EC1"/>
    <w:rsid w:val="00A454B3"/>
    <w:rsid w:val="00A45E52"/>
    <w:rsid w:val="00A46652"/>
    <w:rsid w:val="00A46D15"/>
    <w:rsid w:val="00A4713D"/>
    <w:rsid w:val="00A5323B"/>
    <w:rsid w:val="00A54254"/>
    <w:rsid w:val="00A54FB4"/>
    <w:rsid w:val="00A56DE0"/>
    <w:rsid w:val="00A63C18"/>
    <w:rsid w:val="00A662DC"/>
    <w:rsid w:val="00A6741B"/>
    <w:rsid w:val="00A73826"/>
    <w:rsid w:val="00A74226"/>
    <w:rsid w:val="00A757B0"/>
    <w:rsid w:val="00A776A4"/>
    <w:rsid w:val="00A8049D"/>
    <w:rsid w:val="00A822C2"/>
    <w:rsid w:val="00A82990"/>
    <w:rsid w:val="00A90401"/>
    <w:rsid w:val="00A921E3"/>
    <w:rsid w:val="00A94D20"/>
    <w:rsid w:val="00A96E07"/>
    <w:rsid w:val="00A9752B"/>
    <w:rsid w:val="00AA075C"/>
    <w:rsid w:val="00AA2461"/>
    <w:rsid w:val="00AA2865"/>
    <w:rsid w:val="00AA3A9B"/>
    <w:rsid w:val="00AA3BF1"/>
    <w:rsid w:val="00AA5410"/>
    <w:rsid w:val="00AB1B84"/>
    <w:rsid w:val="00AB21C6"/>
    <w:rsid w:val="00AB2841"/>
    <w:rsid w:val="00AC6F7D"/>
    <w:rsid w:val="00AC720A"/>
    <w:rsid w:val="00AD60EA"/>
    <w:rsid w:val="00AD67D4"/>
    <w:rsid w:val="00AE4331"/>
    <w:rsid w:val="00AE614D"/>
    <w:rsid w:val="00AE7849"/>
    <w:rsid w:val="00AE78EC"/>
    <w:rsid w:val="00AE7977"/>
    <w:rsid w:val="00AF1F10"/>
    <w:rsid w:val="00AF3D39"/>
    <w:rsid w:val="00AF497B"/>
    <w:rsid w:val="00AF674E"/>
    <w:rsid w:val="00AF6A4C"/>
    <w:rsid w:val="00B01186"/>
    <w:rsid w:val="00B02183"/>
    <w:rsid w:val="00B047C2"/>
    <w:rsid w:val="00B04CB1"/>
    <w:rsid w:val="00B05635"/>
    <w:rsid w:val="00B073CA"/>
    <w:rsid w:val="00B07620"/>
    <w:rsid w:val="00B0795F"/>
    <w:rsid w:val="00B11D5E"/>
    <w:rsid w:val="00B123F5"/>
    <w:rsid w:val="00B12B55"/>
    <w:rsid w:val="00B1314F"/>
    <w:rsid w:val="00B151CF"/>
    <w:rsid w:val="00B20445"/>
    <w:rsid w:val="00B247AD"/>
    <w:rsid w:val="00B249E7"/>
    <w:rsid w:val="00B25D05"/>
    <w:rsid w:val="00B26622"/>
    <w:rsid w:val="00B26669"/>
    <w:rsid w:val="00B26C7E"/>
    <w:rsid w:val="00B276B4"/>
    <w:rsid w:val="00B303F6"/>
    <w:rsid w:val="00B307B7"/>
    <w:rsid w:val="00B348F2"/>
    <w:rsid w:val="00B34C6E"/>
    <w:rsid w:val="00B36028"/>
    <w:rsid w:val="00B40064"/>
    <w:rsid w:val="00B410D8"/>
    <w:rsid w:val="00B433AB"/>
    <w:rsid w:val="00B439F1"/>
    <w:rsid w:val="00B503AD"/>
    <w:rsid w:val="00B50A44"/>
    <w:rsid w:val="00B55101"/>
    <w:rsid w:val="00B55524"/>
    <w:rsid w:val="00B575BF"/>
    <w:rsid w:val="00B612EA"/>
    <w:rsid w:val="00B61C66"/>
    <w:rsid w:val="00B62604"/>
    <w:rsid w:val="00B62DF2"/>
    <w:rsid w:val="00B66A87"/>
    <w:rsid w:val="00B712D0"/>
    <w:rsid w:val="00B757E5"/>
    <w:rsid w:val="00B76E84"/>
    <w:rsid w:val="00B80EBF"/>
    <w:rsid w:val="00B81F38"/>
    <w:rsid w:val="00B83B62"/>
    <w:rsid w:val="00B8535F"/>
    <w:rsid w:val="00B878CD"/>
    <w:rsid w:val="00B87A92"/>
    <w:rsid w:val="00B90B66"/>
    <w:rsid w:val="00B91CB1"/>
    <w:rsid w:val="00B9249B"/>
    <w:rsid w:val="00B9536C"/>
    <w:rsid w:val="00B95979"/>
    <w:rsid w:val="00BA0415"/>
    <w:rsid w:val="00BA1AEF"/>
    <w:rsid w:val="00BA1FFB"/>
    <w:rsid w:val="00BA2B3F"/>
    <w:rsid w:val="00BA4E45"/>
    <w:rsid w:val="00BA59FB"/>
    <w:rsid w:val="00BB0D35"/>
    <w:rsid w:val="00BB14A3"/>
    <w:rsid w:val="00BC02D6"/>
    <w:rsid w:val="00BC15DE"/>
    <w:rsid w:val="00BC17C8"/>
    <w:rsid w:val="00BC369C"/>
    <w:rsid w:val="00BC4972"/>
    <w:rsid w:val="00BC6897"/>
    <w:rsid w:val="00BD1B8D"/>
    <w:rsid w:val="00BD33D4"/>
    <w:rsid w:val="00BD40B1"/>
    <w:rsid w:val="00BD51FC"/>
    <w:rsid w:val="00BD779B"/>
    <w:rsid w:val="00BE47BF"/>
    <w:rsid w:val="00BE5374"/>
    <w:rsid w:val="00BE627A"/>
    <w:rsid w:val="00BE6CE8"/>
    <w:rsid w:val="00BF2519"/>
    <w:rsid w:val="00BF5A11"/>
    <w:rsid w:val="00BF7C54"/>
    <w:rsid w:val="00C01D5F"/>
    <w:rsid w:val="00C0345A"/>
    <w:rsid w:val="00C03511"/>
    <w:rsid w:val="00C04C3A"/>
    <w:rsid w:val="00C05700"/>
    <w:rsid w:val="00C05AA7"/>
    <w:rsid w:val="00C074CD"/>
    <w:rsid w:val="00C107C3"/>
    <w:rsid w:val="00C13520"/>
    <w:rsid w:val="00C14F9B"/>
    <w:rsid w:val="00C14FAB"/>
    <w:rsid w:val="00C15511"/>
    <w:rsid w:val="00C15F42"/>
    <w:rsid w:val="00C1610B"/>
    <w:rsid w:val="00C1611D"/>
    <w:rsid w:val="00C1637E"/>
    <w:rsid w:val="00C16C9A"/>
    <w:rsid w:val="00C175E4"/>
    <w:rsid w:val="00C232E0"/>
    <w:rsid w:val="00C24B5E"/>
    <w:rsid w:val="00C2534F"/>
    <w:rsid w:val="00C30058"/>
    <w:rsid w:val="00C317A2"/>
    <w:rsid w:val="00C3282B"/>
    <w:rsid w:val="00C343FC"/>
    <w:rsid w:val="00C3501C"/>
    <w:rsid w:val="00C35F21"/>
    <w:rsid w:val="00C3651F"/>
    <w:rsid w:val="00C36633"/>
    <w:rsid w:val="00C36E9D"/>
    <w:rsid w:val="00C37827"/>
    <w:rsid w:val="00C37C86"/>
    <w:rsid w:val="00C412B1"/>
    <w:rsid w:val="00C4436C"/>
    <w:rsid w:val="00C461B2"/>
    <w:rsid w:val="00C47C8E"/>
    <w:rsid w:val="00C52A2B"/>
    <w:rsid w:val="00C52FD1"/>
    <w:rsid w:val="00C5359B"/>
    <w:rsid w:val="00C53AF7"/>
    <w:rsid w:val="00C554B5"/>
    <w:rsid w:val="00C5618C"/>
    <w:rsid w:val="00C56EF2"/>
    <w:rsid w:val="00C570A6"/>
    <w:rsid w:val="00C579F3"/>
    <w:rsid w:val="00C600B3"/>
    <w:rsid w:val="00C60DE1"/>
    <w:rsid w:val="00C61464"/>
    <w:rsid w:val="00C635EE"/>
    <w:rsid w:val="00C65FAA"/>
    <w:rsid w:val="00C677F0"/>
    <w:rsid w:val="00C67E8E"/>
    <w:rsid w:val="00C71F49"/>
    <w:rsid w:val="00C72177"/>
    <w:rsid w:val="00C73B6F"/>
    <w:rsid w:val="00C73F20"/>
    <w:rsid w:val="00C74B8C"/>
    <w:rsid w:val="00C81504"/>
    <w:rsid w:val="00C8268F"/>
    <w:rsid w:val="00C83535"/>
    <w:rsid w:val="00C83D84"/>
    <w:rsid w:val="00C87436"/>
    <w:rsid w:val="00C91651"/>
    <w:rsid w:val="00C917A4"/>
    <w:rsid w:val="00C922A2"/>
    <w:rsid w:val="00C9543D"/>
    <w:rsid w:val="00C95701"/>
    <w:rsid w:val="00C97CEE"/>
    <w:rsid w:val="00CA08A2"/>
    <w:rsid w:val="00CA26EA"/>
    <w:rsid w:val="00CA2FB2"/>
    <w:rsid w:val="00CA3D3A"/>
    <w:rsid w:val="00CA42D6"/>
    <w:rsid w:val="00CA528A"/>
    <w:rsid w:val="00CA71A7"/>
    <w:rsid w:val="00CB0378"/>
    <w:rsid w:val="00CB0811"/>
    <w:rsid w:val="00CB15E9"/>
    <w:rsid w:val="00CB2BD5"/>
    <w:rsid w:val="00CB3120"/>
    <w:rsid w:val="00CB5C55"/>
    <w:rsid w:val="00CC0A02"/>
    <w:rsid w:val="00CC0ADC"/>
    <w:rsid w:val="00CC1D1A"/>
    <w:rsid w:val="00CC33AD"/>
    <w:rsid w:val="00CC5956"/>
    <w:rsid w:val="00CC6260"/>
    <w:rsid w:val="00CD06DD"/>
    <w:rsid w:val="00CD1404"/>
    <w:rsid w:val="00CD20FD"/>
    <w:rsid w:val="00CE28E3"/>
    <w:rsid w:val="00CE656A"/>
    <w:rsid w:val="00CE726E"/>
    <w:rsid w:val="00CF085E"/>
    <w:rsid w:val="00CF1A2D"/>
    <w:rsid w:val="00CF2913"/>
    <w:rsid w:val="00CF439F"/>
    <w:rsid w:val="00CF7120"/>
    <w:rsid w:val="00CF724C"/>
    <w:rsid w:val="00D001B4"/>
    <w:rsid w:val="00D003B7"/>
    <w:rsid w:val="00D00E36"/>
    <w:rsid w:val="00D02F4F"/>
    <w:rsid w:val="00D04CB3"/>
    <w:rsid w:val="00D104DE"/>
    <w:rsid w:val="00D121CD"/>
    <w:rsid w:val="00D14E59"/>
    <w:rsid w:val="00D20031"/>
    <w:rsid w:val="00D21371"/>
    <w:rsid w:val="00D313B3"/>
    <w:rsid w:val="00D3292B"/>
    <w:rsid w:val="00D33F02"/>
    <w:rsid w:val="00D358F7"/>
    <w:rsid w:val="00D35B8C"/>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343E"/>
    <w:rsid w:val="00D64906"/>
    <w:rsid w:val="00D652D9"/>
    <w:rsid w:val="00D70DDA"/>
    <w:rsid w:val="00D73AD9"/>
    <w:rsid w:val="00D80C29"/>
    <w:rsid w:val="00D8316D"/>
    <w:rsid w:val="00D83B51"/>
    <w:rsid w:val="00D84ECA"/>
    <w:rsid w:val="00D8525E"/>
    <w:rsid w:val="00D867B5"/>
    <w:rsid w:val="00D86894"/>
    <w:rsid w:val="00D86C3E"/>
    <w:rsid w:val="00D87E92"/>
    <w:rsid w:val="00D9041B"/>
    <w:rsid w:val="00D90DBB"/>
    <w:rsid w:val="00D9141D"/>
    <w:rsid w:val="00D92775"/>
    <w:rsid w:val="00D946C9"/>
    <w:rsid w:val="00D94CF3"/>
    <w:rsid w:val="00D967A8"/>
    <w:rsid w:val="00DA058E"/>
    <w:rsid w:val="00DA512C"/>
    <w:rsid w:val="00DA6765"/>
    <w:rsid w:val="00DB003C"/>
    <w:rsid w:val="00DB1E91"/>
    <w:rsid w:val="00DB209E"/>
    <w:rsid w:val="00DB4410"/>
    <w:rsid w:val="00DB5117"/>
    <w:rsid w:val="00DB6031"/>
    <w:rsid w:val="00DB664A"/>
    <w:rsid w:val="00DB6A3E"/>
    <w:rsid w:val="00DB7463"/>
    <w:rsid w:val="00DB792A"/>
    <w:rsid w:val="00DC14AF"/>
    <w:rsid w:val="00DC1720"/>
    <w:rsid w:val="00DC3633"/>
    <w:rsid w:val="00DC39CE"/>
    <w:rsid w:val="00DC4108"/>
    <w:rsid w:val="00DC4EC7"/>
    <w:rsid w:val="00DC4F64"/>
    <w:rsid w:val="00DC50C5"/>
    <w:rsid w:val="00DC6137"/>
    <w:rsid w:val="00DC64A7"/>
    <w:rsid w:val="00DD0953"/>
    <w:rsid w:val="00DD1A95"/>
    <w:rsid w:val="00DD2C81"/>
    <w:rsid w:val="00DD46E8"/>
    <w:rsid w:val="00DE2496"/>
    <w:rsid w:val="00DE33F2"/>
    <w:rsid w:val="00DE4DD0"/>
    <w:rsid w:val="00DE6388"/>
    <w:rsid w:val="00DE7099"/>
    <w:rsid w:val="00DF0BC9"/>
    <w:rsid w:val="00DF0FAA"/>
    <w:rsid w:val="00DF12B6"/>
    <w:rsid w:val="00DF2E03"/>
    <w:rsid w:val="00DF341B"/>
    <w:rsid w:val="00DF39E9"/>
    <w:rsid w:val="00DF431B"/>
    <w:rsid w:val="00DF74D9"/>
    <w:rsid w:val="00E0360B"/>
    <w:rsid w:val="00E03A96"/>
    <w:rsid w:val="00E05D56"/>
    <w:rsid w:val="00E07777"/>
    <w:rsid w:val="00E079B8"/>
    <w:rsid w:val="00E105A9"/>
    <w:rsid w:val="00E138A7"/>
    <w:rsid w:val="00E15056"/>
    <w:rsid w:val="00E15DB1"/>
    <w:rsid w:val="00E17552"/>
    <w:rsid w:val="00E21B03"/>
    <w:rsid w:val="00E22445"/>
    <w:rsid w:val="00E255B1"/>
    <w:rsid w:val="00E260A3"/>
    <w:rsid w:val="00E26A5B"/>
    <w:rsid w:val="00E26D15"/>
    <w:rsid w:val="00E27DDB"/>
    <w:rsid w:val="00E31702"/>
    <w:rsid w:val="00E31B75"/>
    <w:rsid w:val="00E3242E"/>
    <w:rsid w:val="00E330C9"/>
    <w:rsid w:val="00E3330E"/>
    <w:rsid w:val="00E3351F"/>
    <w:rsid w:val="00E33992"/>
    <w:rsid w:val="00E375EE"/>
    <w:rsid w:val="00E40DAE"/>
    <w:rsid w:val="00E40F62"/>
    <w:rsid w:val="00E43249"/>
    <w:rsid w:val="00E436A2"/>
    <w:rsid w:val="00E45065"/>
    <w:rsid w:val="00E458D8"/>
    <w:rsid w:val="00E518A7"/>
    <w:rsid w:val="00E52997"/>
    <w:rsid w:val="00E529F5"/>
    <w:rsid w:val="00E5356B"/>
    <w:rsid w:val="00E53E00"/>
    <w:rsid w:val="00E54221"/>
    <w:rsid w:val="00E55FCA"/>
    <w:rsid w:val="00E5650A"/>
    <w:rsid w:val="00E574EC"/>
    <w:rsid w:val="00E57F76"/>
    <w:rsid w:val="00E57F9C"/>
    <w:rsid w:val="00E615F9"/>
    <w:rsid w:val="00E6193C"/>
    <w:rsid w:val="00E62BC2"/>
    <w:rsid w:val="00E63DAA"/>
    <w:rsid w:val="00E6675F"/>
    <w:rsid w:val="00E7221D"/>
    <w:rsid w:val="00E72FDE"/>
    <w:rsid w:val="00E74093"/>
    <w:rsid w:val="00E7615F"/>
    <w:rsid w:val="00E76AE0"/>
    <w:rsid w:val="00E81A87"/>
    <w:rsid w:val="00E83948"/>
    <w:rsid w:val="00E83CF9"/>
    <w:rsid w:val="00E91AA2"/>
    <w:rsid w:val="00E92974"/>
    <w:rsid w:val="00E92F98"/>
    <w:rsid w:val="00E9331D"/>
    <w:rsid w:val="00E95322"/>
    <w:rsid w:val="00E95490"/>
    <w:rsid w:val="00E959E1"/>
    <w:rsid w:val="00E968C1"/>
    <w:rsid w:val="00E96A1C"/>
    <w:rsid w:val="00E971F6"/>
    <w:rsid w:val="00EA09C5"/>
    <w:rsid w:val="00EA0E54"/>
    <w:rsid w:val="00EA1646"/>
    <w:rsid w:val="00EA1769"/>
    <w:rsid w:val="00EA3671"/>
    <w:rsid w:val="00EB0DEA"/>
    <w:rsid w:val="00EB1F63"/>
    <w:rsid w:val="00EB27BC"/>
    <w:rsid w:val="00EB30E0"/>
    <w:rsid w:val="00EB6A32"/>
    <w:rsid w:val="00EB6BE2"/>
    <w:rsid w:val="00EC33A0"/>
    <w:rsid w:val="00EC4836"/>
    <w:rsid w:val="00EC5088"/>
    <w:rsid w:val="00EC6D70"/>
    <w:rsid w:val="00ED5E38"/>
    <w:rsid w:val="00EE16DA"/>
    <w:rsid w:val="00EE4490"/>
    <w:rsid w:val="00EE4EEF"/>
    <w:rsid w:val="00EE6832"/>
    <w:rsid w:val="00EF1755"/>
    <w:rsid w:val="00EF3D58"/>
    <w:rsid w:val="00EF6385"/>
    <w:rsid w:val="00EF7063"/>
    <w:rsid w:val="00EF7084"/>
    <w:rsid w:val="00F03B39"/>
    <w:rsid w:val="00F04052"/>
    <w:rsid w:val="00F04FED"/>
    <w:rsid w:val="00F06673"/>
    <w:rsid w:val="00F06961"/>
    <w:rsid w:val="00F1066F"/>
    <w:rsid w:val="00F1415F"/>
    <w:rsid w:val="00F14201"/>
    <w:rsid w:val="00F1508C"/>
    <w:rsid w:val="00F1526F"/>
    <w:rsid w:val="00F1578E"/>
    <w:rsid w:val="00F15F5E"/>
    <w:rsid w:val="00F20763"/>
    <w:rsid w:val="00F21273"/>
    <w:rsid w:val="00F227C8"/>
    <w:rsid w:val="00F23CB7"/>
    <w:rsid w:val="00F244B7"/>
    <w:rsid w:val="00F257B5"/>
    <w:rsid w:val="00F2720E"/>
    <w:rsid w:val="00F2776D"/>
    <w:rsid w:val="00F30F20"/>
    <w:rsid w:val="00F331E1"/>
    <w:rsid w:val="00F346E6"/>
    <w:rsid w:val="00F36D12"/>
    <w:rsid w:val="00F40864"/>
    <w:rsid w:val="00F44895"/>
    <w:rsid w:val="00F44DB0"/>
    <w:rsid w:val="00F50585"/>
    <w:rsid w:val="00F516E3"/>
    <w:rsid w:val="00F51D4C"/>
    <w:rsid w:val="00F53109"/>
    <w:rsid w:val="00F54832"/>
    <w:rsid w:val="00F57885"/>
    <w:rsid w:val="00F66144"/>
    <w:rsid w:val="00F6713F"/>
    <w:rsid w:val="00F74B51"/>
    <w:rsid w:val="00F81362"/>
    <w:rsid w:val="00F8290A"/>
    <w:rsid w:val="00F83EA3"/>
    <w:rsid w:val="00F8481F"/>
    <w:rsid w:val="00F854EE"/>
    <w:rsid w:val="00F90CA4"/>
    <w:rsid w:val="00F91353"/>
    <w:rsid w:val="00F9684A"/>
    <w:rsid w:val="00FA03B1"/>
    <w:rsid w:val="00FA0825"/>
    <w:rsid w:val="00FA08AD"/>
    <w:rsid w:val="00FA2F27"/>
    <w:rsid w:val="00FA4150"/>
    <w:rsid w:val="00FA5766"/>
    <w:rsid w:val="00FA7838"/>
    <w:rsid w:val="00FA7D7D"/>
    <w:rsid w:val="00FB1F9B"/>
    <w:rsid w:val="00FB620D"/>
    <w:rsid w:val="00FB6325"/>
    <w:rsid w:val="00FB6F67"/>
    <w:rsid w:val="00FC047A"/>
    <w:rsid w:val="00FC0AD7"/>
    <w:rsid w:val="00FC10DE"/>
    <w:rsid w:val="00FC2D5F"/>
    <w:rsid w:val="00FC55A2"/>
    <w:rsid w:val="00FC5603"/>
    <w:rsid w:val="00FC6B6D"/>
    <w:rsid w:val="00FD0B28"/>
    <w:rsid w:val="00FD1361"/>
    <w:rsid w:val="00FD17BA"/>
    <w:rsid w:val="00FD2C9D"/>
    <w:rsid w:val="00FD2F74"/>
    <w:rsid w:val="00FD3B92"/>
    <w:rsid w:val="00FD3B94"/>
    <w:rsid w:val="00FD40DD"/>
    <w:rsid w:val="00FD43B3"/>
    <w:rsid w:val="00FD4E92"/>
    <w:rsid w:val="00FD6295"/>
    <w:rsid w:val="00FE1118"/>
    <w:rsid w:val="00FE40E5"/>
    <w:rsid w:val="00FE4739"/>
    <w:rsid w:val="00FE4DB2"/>
    <w:rsid w:val="00FE681D"/>
    <w:rsid w:val="00FE74DF"/>
    <w:rsid w:val="00FF0DBD"/>
    <w:rsid w:val="00FF2100"/>
    <w:rsid w:val="00FF3A07"/>
    <w:rsid w:val="00FF3FEA"/>
    <w:rsid w:val="00FF41A5"/>
    <w:rsid w:val="00FF4C68"/>
    <w:rsid w:val="134ED476"/>
    <w:rsid w:val="15BD51E7"/>
    <w:rsid w:val="1A218E7F"/>
    <w:rsid w:val="2662C064"/>
    <w:rsid w:val="35853F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AA7"/>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Bullets Points,Styl moj,Akapit z listą1,Akapit z listą11,ES Paragraph,PBAC ES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Styl moj Char,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Times" w:hAnsi="Time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Times" w:hAnsi="Time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Times" w:hAnsi="Time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unhideWhenUsed/>
    <w:rsid w:val="00292E79"/>
    <w:rPr>
      <w:color w:val="605E5C"/>
      <w:shd w:val="clear" w:color="auto" w:fill="E1DFDD"/>
    </w:rPr>
  </w:style>
  <w:style w:type="table" w:customStyle="1" w:styleId="TableGridLight2">
    <w:name w:val="Table Grid Light2"/>
    <w:basedOn w:val="TableNormal"/>
    <w:next w:val="TableGridLight"/>
    <w:uiPriority w:val="40"/>
    <w:rsid w:val="00B503AD"/>
    <w:pPr>
      <w:spacing w:after="0" w:line="240" w:lineRule="auto"/>
    </w:pPr>
    <w:rPr>
      <w:rFonts w:ascii="Times New Roman" w:eastAsia="Times New Roman" w:hAnsi="Times New Roman" w:cs="Times New Roman"/>
      <w:sz w:val="20"/>
      <w:szCs w:val="20"/>
      <w:lang w:eastAsia="en-A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B503AD"/>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B503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0C2287"/>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0C2287"/>
    <w:rPr>
      <w:rFonts w:ascii="Helv" w:eastAsia="Times New Roman" w:hAnsi="Helv" w:cs="Tahoma"/>
      <w:b/>
      <w:i/>
      <w:snapToGrid w:val="0"/>
      <w:color w:val="000000"/>
      <w:sz w:val="28"/>
    </w:rPr>
  </w:style>
  <w:style w:type="paragraph" w:customStyle="1" w:styleId="BulletBeforeDash">
    <w:name w:val="BulletBeforeDash"/>
    <w:basedOn w:val="Normal"/>
    <w:rsid w:val="003F0246"/>
    <w:pPr>
      <w:numPr>
        <w:numId w:val="12"/>
      </w:numPr>
      <w:spacing w:before="0" w:after="0" w:line="240" w:lineRule="auto"/>
    </w:pPr>
    <w:rPr>
      <w:rFonts w:ascii="Times New Roman" w:eastAsia="Times New Roman" w:hAnsi="Times New Roman" w:cs="Times New Roman"/>
      <w:color w:val="000000"/>
      <w:sz w:val="24"/>
      <w:szCs w:val="20"/>
      <w:lang w:eastAsia="en-AU"/>
    </w:rPr>
  </w:style>
  <w:style w:type="character" w:customStyle="1" w:styleId="Mention1">
    <w:name w:val="Mention1"/>
    <w:basedOn w:val="DefaultParagraphFont"/>
    <w:uiPriority w:val="99"/>
    <w:unhideWhenUsed/>
    <w:rsid w:val="003F0246"/>
    <w:rPr>
      <w:color w:val="2B579A"/>
      <w:shd w:val="clear" w:color="auto" w:fill="E1DFDD"/>
    </w:rPr>
  </w:style>
  <w:style w:type="character" w:styleId="UnresolvedMention">
    <w:name w:val="Unresolved Mention"/>
    <w:basedOn w:val="DefaultParagraphFont"/>
    <w:uiPriority w:val="99"/>
    <w:semiHidden/>
    <w:unhideWhenUsed/>
    <w:rsid w:val="00DC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3823911">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9203028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35029879">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852132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71360232">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3882920">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87800968">
      <w:bodyDiv w:val="1"/>
      <w:marLeft w:val="0"/>
      <w:marRight w:val="0"/>
      <w:marTop w:val="0"/>
      <w:marBottom w:val="0"/>
      <w:divBdr>
        <w:top w:val="none" w:sz="0" w:space="0" w:color="auto"/>
        <w:left w:val="none" w:sz="0" w:space="0" w:color="auto"/>
        <w:bottom w:val="none" w:sz="0" w:space="0" w:color="auto"/>
        <w:right w:val="none" w:sz="0" w:space="0" w:color="auto"/>
      </w:divBdr>
    </w:div>
    <w:div w:id="1399011992">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8928930">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09DFCADF3138D2B2CA2586E0007D539C/$File/MSAC%20Position%20Statement%20-%20PD-L1%20testing%20-%20Ratified%20-26Sept%20-%20clean.pdf"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msac.gov.au/internet/msac/publishing.nsf/Content/09DFCADF3138D2B2CA2586E0007D539C/$File/MSAC%20Position%20Statement%20-%20PD-L1%20testing%20-%20Ratified%20-26Sept%20-%20clean.pdf"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E784FCD1DA560611CA2586F0002371B3/$File/1522.1%20-%20Final%20PSD_redacted_Nov202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sac.gov.au/internet/msac/publishing.nsf/Content/E784FCD1DA560611CA2586F0002371B3/$File/1522.1%20-%20Final%20PSD_redacted_Nov2021.pdf" TargetMode="External"/><Relationship Id="rId23" Type="http://schemas.openxmlformats.org/officeDocument/2006/relationships/hyperlink" Target="http://msac.gov.au/internet/msac/publishing.nsf/Content/Home-1" TargetMode="External"/><Relationship Id="rId28" Type="http://schemas.openxmlformats.org/officeDocument/2006/relationships/fontTable" Target="fontTable.xml"/><Relationship Id="rId10" Type="http://schemas.openxmlformats.org/officeDocument/2006/relationships/hyperlink" Target="http://www.msac.gov.au/internet/msac/publishing.nsf/Content/09DFCADF3138D2B2CA2586E0007D539C/$File/MSAC%20Position%20Statement%20-%20PD-L1%20testing%20-%20Ratified%20-26Sept%20-%20clean.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sac.gov.au/internet/msac/publishing.nsf/Content/F50218257052D5F9CA25839F00136B7E/$File/1570%20Final%20PSD_Apr%202020_redacted.pdf" TargetMode="External"/><Relationship Id="rId14" Type="http://schemas.openxmlformats.org/officeDocument/2006/relationships/hyperlink" Target="http://www.msac.gov.au/internet/msac/publishing.nsf/Content/E784FCD1DA560611CA2586F0002371B3/$File/1522.1%20-%20Final%20PSD_redacted_Nov2021.pdf" TargetMode="External"/><Relationship Id="rId22" Type="http://schemas.openxmlformats.org/officeDocument/2006/relationships/hyperlink" Target="http://www.msac.gov.au/internet/msac/publishing.nsf/Content/F50218257052D5F9CA25839F00136B7E/$File/1570%20Final%20PSD_Apr%202020_redacted.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3BD7-E76E-416F-9275-D8EE6E6F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6418</Words>
  <Characters>36588</Characters>
  <Application>Microsoft Office Word</Application>
  <DocSecurity>0</DocSecurity>
  <Lines>304</Lines>
  <Paragraphs>85</Paragraphs>
  <ScaleCrop>false</ScaleCrop>
  <Manager/>
  <Company/>
  <LinksUpToDate>false</LinksUpToDate>
  <CharactersWithSpaces>42921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2023-06-23T04:39:00Z</dcterms:created>
  <dcterms:modified xsi:type="dcterms:W3CDTF">2023-06-27T01:10:00Z</dcterms:modified>
  <cp:category/>
</cp:coreProperties>
</file>