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895E" w14:textId="27A83362" w:rsidR="00E44B80" w:rsidRPr="00F637B3" w:rsidRDefault="00E44B80" w:rsidP="00E44B80">
      <w:pPr>
        <w:jc w:val="center"/>
        <w:rPr>
          <w:b/>
          <w:szCs w:val="20"/>
        </w:rPr>
      </w:pPr>
    </w:p>
    <w:p w14:paraId="1C468960" w14:textId="1F9345BF" w:rsidR="008B2610" w:rsidRPr="006F20CF" w:rsidRDefault="00CF7532" w:rsidP="00EE3C74">
      <w:pPr>
        <w:pStyle w:val="Title"/>
        <w:spacing w:before="2280"/>
      </w:pPr>
      <w:r>
        <w:t xml:space="preserve">MSAC </w:t>
      </w:r>
      <w:r w:rsidR="008B2610" w:rsidRPr="001906CD">
        <w:t xml:space="preserve">Application </w:t>
      </w:r>
      <w:r>
        <w:t>1549</w:t>
      </w:r>
    </w:p>
    <w:p w14:paraId="1C468963" w14:textId="61A8E015" w:rsidR="00AC10A2" w:rsidRDefault="00AC10A2" w:rsidP="001F160B">
      <w:pPr>
        <w:pStyle w:val="NormalWeb"/>
        <w:jc w:val="center"/>
        <w:rPr>
          <w:rFonts w:asciiTheme="minorHAnsi" w:eastAsiaTheme="minorHAnsi" w:hAnsiTheme="minorHAnsi" w:cstheme="minorBidi"/>
          <w:b/>
          <w:bCs/>
          <w:color w:val="4F81BD" w:themeColor="accent1"/>
          <w:sz w:val="40"/>
          <w:szCs w:val="32"/>
          <w:lang w:eastAsia="en-US"/>
        </w:rPr>
      </w:pPr>
      <w:r w:rsidRPr="001F160B">
        <w:rPr>
          <w:rFonts w:asciiTheme="minorHAnsi" w:eastAsiaTheme="minorHAnsi" w:hAnsiTheme="minorHAnsi" w:cstheme="minorBidi"/>
          <w:b/>
          <w:bCs/>
          <w:color w:val="4F81BD" w:themeColor="accent1"/>
          <w:sz w:val="40"/>
          <w:szCs w:val="32"/>
          <w:lang w:eastAsia="en-US"/>
        </w:rPr>
        <w:t>PD-L1 immunohistochemistry testing for access to pembrolizumab</w:t>
      </w:r>
      <w:r w:rsidR="00B72812">
        <w:rPr>
          <w:rFonts w:asciiTheme="minorHAnsi" w:eastAsiaTheme="minorHAnsi" w:hAnsiTheme="minorHAnsi" w:cstheme="minorBidi"/>
          <w:b/>
          <w:bCs/>
          <w:color w:val="4F81BD" w:themeColor="accent1"/>
          <w:sz w:val="40"/>
          <w:szCs w:val="32"/>
          <w:lang w:eastAsia="en-US"/>
        </w:rPr>
        <w:t xml:space="preserve"> in combination with chemotherapy</w:t>
      </w:r>
      <w:r w:rsidRPr="001F160B">
        <w:rPr>
          <w:rFonts w:asciiTheme="minorHAnsi" w:eastAsiaTheme="minorHAnsi" w:hAnsiTheme="minorHAnsi" w:cstheme="minorBidi"/>
          <w:b/>
          <w:bCs/>
          <w:color w:val="4F81BD" w:themeColor="accent1"/>
          <w:sz w:val="40"/>
          <w:szCs w:val="32"/>
          <w:lang w:eastAsia="en-US"/>
        </w:rPr>
        <w:t xml:space="preserve"> </w:t>
      </w:r>
      <w:r w:rsidR="002F4880">
        <w:rPr>
          <w:rFonts w:asciiTheme="minorHAnsi" w:eastAsiaTheme="minorHAnsi" w:hAnsiTheme="minorHAnsi" w:cstheme="minorBidi"/>
          <w:b/>
          <w:bCs/>
          <w:color w:val="4F81BD" w:themeColor="accent1"/>
          <w:sz w:val="40"/>
          <w:szCs w:val="32"/>
          <w:lang w:eastAsia="en-US"/>
        </w:rPr>
        <w:t xml:space="preserve">for </w:t>
      </w:r>
      <w:r w:rsidR="006F7074">
        <w:rPr>
          <w:rFonts w:asciiTheme="minorHAnsi" w:eastAsiaTheme="minorHAnsi" w:hAnsiTheme="minorHAnsi" w:cstheme="minorBidi"/>
          <w:b/>
          <w:bCs/>
          <w:color w:val="4F81BD" w:themeColor="accent1"/>
          <w:sz w:val="40"/>
          <w:szCs w:val="32"/>
          <w:lang w:eastAsia="en-US"/>
        </w:rPr>
        <w:t xml:space="preserve">first line treatment of </w:t>
      </w:r>
      <w:r w:rsidR="00FE3135">
        <w:rPr>
          <w:rFonts w:asciiTheme="minorHAnsi" w:eastAsiaTheme="minorHAnsi" w:hAnsiTheme="minorHAnsi" w:cstheme="minorBidi"/>
          <w:b/>
          <w:bCs/>
          <w:color w:val="4F81BD" w:themeColor="accent1"/>
          <w:sz w:val="40"/>
          <w:szCs w:val="32"/>
          <w:lang w:eastAsia="en-US"/>
        </w:rPr>
        <w:t>triple negative breast cancer</w:t>
      </w:r>
    </w:p>
    <w:p w14:paraId="1C468964" w14:textId="77777777" w:rsidR="006F0A7D" w:rsidRDefault="006F0A7D" w:rsidP="003F7CB9"/>
    <w:p w14:paraId="1C468965"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1C468966"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1C468967"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1C468968"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1C46896B" w14:textId="2FAD7804"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1C46896C" w14:textId="2CE21064" w:rsidR="009F5758"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C46896D" w14:textId="77777777" w:rsidR="0070573B" w:rsidRDefault="0070573B" w:rsidP="003F7CB9">
      <w:pPr>
        <w:spacing w:before="0" w:after="0"/>
      </w:pPr>
    </w:p>
    <w:p w14:paraId="1C46896E" w14:textId="77777777" w:rsidR="0070573B" w:rsidRPr="00154B00" w:rsidRDefault="0070573B" w:rsidP="003F7CB9">
      <w:pPr>
        <w:spacing w:before="0" w:after="0"/>
      </w:pPr>
    </w:p>
    <w:p w14:paraId="1C46896F" w14:textId="77777777" w:rsidR="001D77ED" w:rsidRPr="003F7CB9" w:rsidRDefault="001D77ED" w:rsidP="006751A9"/>
    <w:p w14:paraId="1FDCCE2F" w14:textId="77777777" w:rsidR="00CF7532" w:rsidRDefault="00CF7532">
      <w:pPr>
        <w:spacing w:before="0" w:after="200" w:line="276" w:lineRule="auto"/>
        <w:rPr>
          <w:bCs/>
          <w:color w:val="4F81BD" w:themeColor="accent1"/>
          <w:sz w:val="40"/>
          <w:szCs w:val="32"/>
        </w:rPr>
      </w:pPr>
      <w:r>
        <w:br w:type="page"/>
      </w:r>
    </w:p>
    <w:p w14:paraId="1C468970" w14:textId="6FE784C1" w:rsidR="00E04FB3" w:rsidRPr="00C776B1" w:rsidRDefault="00494011" w:rsidP="00A8732C">
      <w:pPr>
        <w:pStyle w:val="Heading1"/>
      </w:pPr>
      <w:r>
        <w:lastRenderedPageBreak/>
        <w:t>PART 1</w:t>
      </w:r>
      <w:r w:rsidR="00F93784">
        <w:t xml:space="preserve"> – </w:t>
      </w:r>
      <w:r w:rsidR="00E04FB3" w:rsidRPr="00C776B1">
        <w:t>APPLICANT DETAILS</w:t>
      </w:r>
    </w:p>
    <w:p w14:paraId="1C468971"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C46897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6F0A7D">
        <w:t>N/A</w:t>
      </w:r>
      <w:r w:rsidR="00AC10A2">
        <w:t xml:space="preserve"> </w:t>
      </w:r>
    </w:p>
    <w:p w14:paraId="1C46897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AC10A2" w:rsidRPr="00AC10A2">
        <w:t>MSD (Australia) Pty Limited</w:t>
      </w:r>
    </w:p>
    <w:p w14:paraId="1C46897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AC10A2" w:rsidRPr="00AC10A2">
        <w:t>14 000 173 508</w:t>
      </w:r>
    </w:p>
    <w:p w14:paraId="1C468975"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AC10A2">
        <w:t>N/A</w:t>
      </w:r>
    </w:p>
    <w:p w14:paraId="1C468976" w14:textId="77777777" w:rsidR="00C171FB" w:rsidRPr="00C171FB" w:rsidRDefault="00C171FB" w:rsidP="00C171FB"/>
    <w:p w14:paraId="1C468977" w14:textId="3ABB254F" w:rsidR="00C171FB" w:rsidRPr="00C171FB" w:rsidRDefault="00C171FB" w:rsidP="00C171FB">
      <w:pPr>
        <w:rPr>
          <w:b/>
        </w:rPr>
      </w:pPr>
      <w:r>
        <w:rPr>
          <w:b/>
        </w:rPr>
        <w:t xml:space="preserve">Primary contact name: </w:t>
      </w:r>
      <w:r w:rsidR="00FE3135" w:rsidRPr="00FE3135">
        <w:rPr>
          <w:b/>
        </w:rPr>
        <w:t>REDACTED</w:t>
      </w:r>
    </w:p>
    <w:p w14:paraId="1C468978"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1C468979" w14:textId="62414E03"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FE3135" w:rsidRPr="00FE3135">
        <w:rPr>
          <w:b/>
        </w:rPr>
        <w:t>REDACTED</w:t>
      </w:r>
    </w:p>
    <w:p w14:paraId="0FC4B002" w14:textId="77777777" w:rsidR="00FE3135" w:rsidRDefault="00C171FB" w:rsidP="00C171FB">
      <w:pPr>
        <w:pBdr>
          <w:top w:val="single" w:sz="4" w:space="1" w:color="auto"/>
          <w:left w:val="single" w:sz="4" w:space="4" w:color="auto"/>
          <w:bottom w:val="single" w:sz="4" w:space="1" w:color="auto"/>
          <w:right w:val="single" w:sz="4" w:space="4" w:color="auto"/>
        </w:pBdr>
      </w:pPr>
      <w:r>
        <w:t>Mobile:</w:t>
      </w:r>
      <w:r>
        <w:tab/>
      </w:r>
      <w:r w:rsidR="00FE3135" w:rsidRPr="00FE3135">
        <w:rPr>
          <w:b/>
        </w:rPr>
        <w:t>REDACTED</w:t>
      </w:r>
      <w:r w:rsidR="00FE3135">
        <w:t xml:space="preserve"> </w:t>
      </w:r>
    </w:p>
    <w:p w14:paraId="1C46897B" w14:textId="47B263F4"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FE3135" w:rsidRPr="00FE3135">
        <w:rPr>
          <w:b/>
        </w:rPr>
        <w:t>REDACTED</w:t>
      </w:r>
    </w:p>
    <w:p w14:paraId="1C46897C" w14:textId="77777777" w:rsidR="00C171FB" w:rsidRDefault="00C171FB" w:rsidP="00C171FB">
      <w:pPr>
        <w:rPr>
          <w:b/>
        </w:rPr>
      </w:pPr>
    </w:p>
    <w:p w14:paraId="1C46897D" w14:textId="0C4DB2E7" w:rsidR="00C171FB" w:rsidRPr="00C01F70" w:rsidRDefault="00C171FB" w:rsidP="00C171FB">
      <w:pPr>
        <w:rPr>
          <w:bCs/>
        </w:rPr>
      </w:pPr>
      <w:r>
        <w:rPr>
          <w:b/>
        </w:rPr>
        <w:t xml:space="preserve">Alternative contact name: </w:t>
      </w:r>
      <w:r w:rsidR="00FE3135" w:rsidRPr="00FE3135">
        <w:rPr>
          <w:b/>
        </w:rPr>
        <w:t>REDACTED</w:t>
      </w:r>
    </w:p>
    <w:p w14:paraId="1C46897E"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1C46897F" w14:textId="628695C4"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FE3135" w:rsidRPr="00FE3135">
        <w:rPr>
          <w:b/>
        </w:rPr>
        <w:t>REDACTED</w:t>
      </w:r>
    </w:p>
    <w:p w14:paraId="1C468980" w14:textId="7F274B57"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2F4880">
        <w:t xml:space="preserve"> </w:t>
      </w:r>
      <w:r w:rsidR="00FE3135" w:rsidRPr="00FE3135">
        <w:rPr>
          <w:b/>
        </w:rPr>
        <w:t>REDACTED</w:t>
      </w:r>
    </w:p>
    <w:p w14:paraId="1C468981" w14:textId="282A93DB"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FE3135" w:rsidRPr="00FE3135">
        <w:rPr>
          <w:b/>
        </w:rPr>
        <w:t>REDACTED</w:t>
      </w:r>
    </w:p>
    <w:p w14:paraId="1C468982" w14:textId="77777777" w:rsidR="00C171FB" w:rsidRDefault="00C171FB" w:rsidP="00C171FB"/>
    <w:p w14:paraId="1C468983" w14:textId="77777777" w:rsidR="00F34AEC" w:rsidRPr="00154B00" w:rsidRDefault="00F34AEC" w:rsidP="00F34AEC">
      <w:pPr>
        <w:pStyle w:val="Heading2"/>
      </w:pPr>
      <w:r>
        <w:t>(a) Are you a consultant acting on behalf of an Applicant?</w:t>
      </w:r>
    </w:p>
    <w:p w14:paraId="1C468984"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5119">
        <w:rPr>
          <w:szCs w:val="20"/>
        </w:rPr>
      </w:r>
      <w:r w:rsidR="00625119">
        <w:rPr>
          <w:szCs w:val="20"/>
        </w:rPr>
        <w:fldChar w:fldCharType="separate"/>
      </w:r>
      <w:r w:rsidRPr="00753C44">
        <w:rPr>
          <w:szCs w:val="20"/>
        </w:rPr>
        <w:fldChar w:fldCharType="end"/>
      </w:r>
      <w:r>
        <w:rPr>
          <w:szCs w:val="20"/>
        </w:rPr>
        <w:t xml:space="preserve"> Yes</w:t>
      </w:r>
    </w:p>
    <w:p w14:paraId="1C468986" w14:textId="74DEB477" w:rsidR="00F34AEC" w:rsidRPr="00CF7532" w:rsidRDefault="00AC10A2" w:rsidP="00CF7532">
      <w:pPr>
        <w:spacing w:before="0" w:after="0"/>
        <w:ind w:left="426"/>
        <w:rPr>
          <w:szCs w:val="20"/>
        </w:rPr>
      </w:pPr>
      <w:r>
        <w:rPr>
          <w:szCs w:val="20"/>
        </w:rPr>
        <w:fldChar w:fldCharType="begin">
          <w:ffData>
            <w:name w:val="Check2"/>
            <w:enabled/>
            <w:calcOnExit w:val="0"/>
            <w:checkBox>
              <w:sizeAuto/>
              <w:default w:val="1"/>
            </w:checkBox>
          </w:ffData>
        </w:fldChar>
      </w:r>
      <w:bookmarkStart w:id="0" w:name="Check2"/>
      <w:r>
        <w:rPr>
          <w:szCs w:val="20"/>
        </w:rPr>
        <w:instrText xml:space="preserve"> FORMCHECKBOX </w:instrText>
      </w:r>
      <w:r w:rsidR="00625119">
        <w:rPr>
          <w:szCs w:val="20"/>
        </w:rPr>
      </w:r>
      <w:r w:rsidR="00625119">
        <w:rPr>
          <w:szCs w:val="20"/>
        </w:rPr>
        <w:fldChar w:fldCharType="separate"/>
      </w:r>
      <w:r>
        <w:rPr>
          <w:szCs w:val="20"/>
        </w:rPr>
        <w:fldChar w:fldCharType="end"/>
      </w:r>
      <w:bookmarkEnd w:id="0"/>
      <w:r w:rsidR="00F34AEC">
        <w:rPr>
          <w:szCs w:val="20"/>
        </w:rPr>
        <w:t xml:space="preserve"> No</w:t>
      </w:r>
      <w:r w:rsidR="00352047">
        <w:rPr>
          <w:szCs w:val="20"/>
        </w:rPr>
        <w:t xml:space="preserve"> </w:t>
      </w:r>
    </w:p>
    <w:p w14:paraId="1C468987" w14:textId="77777777" w:rsidR="00F34AEC" w:rsidRPr="002F55EF" w:rsidRDefault="00F34AEC" w:rsidP="002F55EF">
      <w:pPr>
        <w:ind w:firstLine="360"/>
        <w:rPr>
          <w:b/>
        </w:rPr>
      </w:pPr>
      <w:r w:rsidRPr="002F55EF">
        <w:rPr>
          <w:b/>
        </w:rPr>
        <w:t>(b) If yes, what is the Applicant(s) name that you are acting on behalf of?</w:t>
      </w:r>
    </w:p>
    <w:p w14:paraId="1C468989" w14:textId="1EBE3FCE" w:rsidR="00F34AEC" w:rsidRPr="00C171FB" w:rsidRDefault="00CE12CF" w:rsidP="00CF7532">
      <w:pPr>
        <w:ind w:left="284" w:firstLine="76"/>
        <w:rPr>
          <w:noProof/>
        </w:rPr>
      </w:pPr>
      <w:r>
        <w:rPr>
          <w:noProof/>
        </w:rPr>
        <w:t>N/A</w:t>
      </w:r>
    </w:p>
    <w:p w14:paraId="1C46898A" w14:textId="77777777" w:rsidR="00534C5F" w:rsidRPr="00154B00" w:rsidRDefault="00494011" w:rsidP="004A0BF4">
      <w:pPr>
        <w:pStyle w:val="Heading2"/>
      </w:pPr>
      <w:r>
        <w:t xml:space="preserve">(a) </w:t>
      </w:r>
      <w:r w:rsidR="00534C5F">
        <w:t>Are you a lobbyist acting on behalf of an Applicant?</w:t>
      </w:r>
    </w:p>
    <w:p w14:paraId="1C46898B"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5119">
        <w:rPr>
          <w:szCs w:val="20"/>
        </w:rPr>
      </w:r>
      <w:r w:rsidR="00625119">
        <w:rPr>
          <w:szCs w:val="20"/>
        </w:rPr>
        <w:fldChar w:fldCharType="separate"/>
      </w:r>
      <w:r w:rsidRPr="00753C44">
        <w:rPr>
          <w:szCs w:val="20"/>
        </w:rPr>
        <w:fldChar w:fldCharType="end"/>
      </w:r>
      <w:r>
        <w:rPr>
          <w:szCs w:val="20"/>
        </w:rPr>
        <w:t xml:space="preserve"> Yes</w:t>
      </w:r>
    </w:p>
    <w:p w14:paraId="1C46898C" w14:textId="77777777" w:rsidR="00A6491A" w:rsidRPr="00753C44" w:rsidRDefault="00AC10A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119">
        <w:rPr>
          <w:szCs w:val="20"/>
        </w:rPr>
      </w:r>
      <w:r w:rsidR="00625119">
        <w:rPr>
          <w:szCs w:val="20"/>
        </w:rPr>
        <w:fldChar w:fldCharType="separate"/>
      </w:r>
      <w:r>
        <w:rPr>
          <w:szCs w:val="20"/>
        </w:rPr>
        <w:fldChar w:fldCharType="end"/>
      </w:r>
      <w:r w:rsidR="00A6491A">
        <w:rPr>
          <w:szCs w:val="20"/>
        </w:rPr>
        <w:t xml:space="preserve"> No</w:t>
      </w:r>
      <w:r w:rsidR="00A6491A" w:rsidRPr="00753C44">
        <w:rPr>
          <w:szCs w:val="20"/>
        </w:rPr>
        <w:t xml:space="preserve">  </w:t>
      </w:r>
    </w:p>
    <w:p w14:paraId="1C46898D" w14:textId="77777777" w:rsidR="00534C5F" w:rsidRPr="00154B00" w:rsidRDefault="00534C5F" w:rsidP="00BB1C9F">
      <w:pPr>
        <w:pStyle w:val="Heading2"/>
        <w:numPr>
          <w:ilvl w:val="0"/>
          <w:numId w:val="2"/>
        </w:numPr>
      </w:pPr>
      <w:r w:rsidRPr="00154B00">
        <w:t xml:space="preserve">If yes, </w:t>
      </w:r>
      <w:r>
        <w:t xml:space="preserve">are </w:t>
      </w:r>
      <w:r w:rsidRPr="00FE33A6">
        <w:t>you</w:t>
      </w:r>
      <w:r>
        <w:t xml:space="preserve"> listed on the Register of Lobbyists?</w:t>
      </w:r>
    </w:p>
    <w:p w14:paraId="1C46898F" w14:textId="2A0DE4EE" w:rsidR="00A6491A" w:rsidRDefault="00EE3C74" w:rsidP="00A6491A">
      <w:pPr>
        <w:spacing w:before="0" w:after="0"/>
        <w:ind w:left="426"/>
        <w:rPr>
          <w:szCs w:val="20"/>
        </w:rPr>
      </w:pPr>
      <w:r>
        <w:rPr>
          <w:szCs w:val="20"/>
        </w:rPr>
        <w:t>N/A</w:t>
      </w:r>
    </w:p>
    <w:p w14:paraId="27B788ED" w14:textId="77777777" w:rsidR="00A12DF6" w:rsidRPr="00154B00" w:rsidRDefault="00A12DF6" w:rsidP="00BB1C9F">
      <w:pPr>
        <w:pStyle w:val="Heading2"/>
        <w:numPr>
          <w:ilvl w:val="0"/>
          <w:numId w:val="2"/>
        </w:numPr>
        <w:ind w:left="360" w:firstLine="66"/>
      </w:pPr>
      <w:r>
        <w:t>Have you engaged a consultant on your behalf?</w:t>
      </w:r>
    </w:p>
    <w:p w14:paraId="4DF5F22C" w14:textId="0F3C8892" w:rsidR="00A12DF6" w:rsidRDefault="00EE3C74" w:rsidP="00A12DF6">
      <w:pPr>
        <w:spacing w:before="0" w:after="0"/>
        <w:ind w:left="426"/>
        <w:rPr>
          <w:szCs w:val="20"/>
        </w:rPr>
      </w:pPr>
      <w:r>
        <w:rPr>
          <w:szCs w:val="20"/>
        </w:rPr>
        <w:t>N/A</w:t>
      </w:r>
    </w:p>
    <w:p w14:paraId="7FBA435F" w14:textId="77777777" w:rsidR="00A12DF6" w:rsidRPr="00753C44" w:rsidRDefault="00A12DF6" w:rsidP="00A6491A">
      <w:pPr>
        <w:spacing w:before="0" w:after="0"/>
        <w:ind w:left="426"/>
        <w:rPr>
          <w:szCs w:val="20"/>
        </w:rPr>
      </w:pPr>
    </w:p>
    <w:p w14:paraId="1C468990" w14:textId="77777777" w:rsidR="00E04FB3" w:rsidRDefault="00E04FB3" w:rsidP="005C333E">
      <w:pPr>
        <w:spacing w:before="0" w:after="0"/>
        <w:ind w:left="426"/>
        <w:rPr>
          <w:b/>
          <w:szCs w:val="20"/>
        </w:rPr>
      </w:pPr>
      <w:r w:rsidRPr="00154B00">
        <w:rPr>
          <w:b/>
          <w:szCs w:val="20"/>
        </w:rPr>
        <w:br w:type="page"/>
      </w:r>
    </w:p>
    <w:p w14:paraId="1C468991"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tbl>
      <w:tblPr>
        <w:tblStyle w:val="TableGrid"/>
        <w:tblW w:w="0" w:type="auto"/>
        <w:tblLook w:val="04A0" w:firstRow="1" w:lastRow="0" w:firstColumn="1" w:lastColumn="0" w:noHBand="0" w:noVBand="1"/>
      </w:tblPr>
      <w:tblGrid>
        <w:gridCol w:w="9016"/>
      </w:tblGrid>
      <w:tr w:rsidR="003E664F" w14:paraId="2E666B49" w14:textId="77777777" w:rsidTr="003E664F">
        <w:tc>
          <w:tcPr>
            <w:tcW w:w="9242" w:type="dxa"/>
          </w:tcPr>
          <w:p w14:paraId="655327C2" w14:textId="0F85B5E7" w:rsidR="003E664F" w:rsidRDefault="00167029" w:rsidP="00167029">
            <w:r>
              <w:t>MSD has previously submitted two co-dependent applications for MBS funding of PD-L1 testing in non-small cell lung cancer (NSCLC) [Applications 1414, 1440, 1440.1]; and head and neck squamous cell carcinoma (HNSCC) [Applications 1522, 1522.1]. Application 1440.1 was supported by MSAC and a PD-L1 test in patients with NSCLC is now included on the MBS (Item 72184). Furthermore, HNSCC was also recently considered at the November 2021 meeting where MSAC supported amending MBS item 72814 for PD-L1 immunohistochemistry (IHC) testing to include patients with recurrent or metastatic HNSCC to identify those with a CPS</w:t>
            </w:r>
            <w:r>
              <w:rPr>
                <w:u w:val="single"/>
              </w:rPr>
              <w:t>&gt;</w:t>
            </w:r>
            <w:r>
              <w:t>20 who may be eligible for pembrolizumab monotherapy.</w:t>
            </w:r>
          </w:p>
          <w:p w14:paraId="78715212" w14:textId="17A01877" w:rsidR="00295CCD" w:rsidRDefault="00295CCD" w:rsidP="00167029">
            <w:r>
              <w:t xml:space="preserve">We understand that </w:t>
            </w:r>
            <w:r w:rsidR="00FD7B7D">
              <w:t xml:space="preserve">PASC and </w:t>
            </w:r>
            <w:r>
              <w:t>MSAC ha</w:t>
            </w:r>
            <w:r w:rsidR="00FD7B7D">
              <w:t>ve</w:t>
            </w:r>
            <w:r>
              <w:t xml:space="preserve"> extensive experience reviewing PD</w:t>
            </w:r>
            <w:r w:rsidR="006A1A24">
              <w:t xml:space="preserve">-L1 </w:t>
            </w:r>
            <w:r w:rsidR="00307F47">
              <w:t xml:space="preserve">tests </w:t>
            </w:r>
            <w:r w:rsidR="00053D76">
              <w:t xml:space="preserve">to determine eligibility for </w:t>
            </w:r>
            <w:r w:rsidR="00FD7B7D">
              <w:t xml:space="preserve">treatment with various </w:t>
            </w:r>
            <w:r w:rsidR="00053D76">
              <w:t>PD-(L)1</w:t>
            </w:r>
            <w:r w:rsidR="00FD7B7D">
              <w:t xml:space="preserve"> inhibitors across a range of tumours. </w:t>
            </w:r>
            <w:r w:rsidR="00CD17CC">
              <w:t>Furthermore, the specific scoring system (</w:t>
            </w:r>
            <w:bookmarkStart w:id="1" w:name="_Hlk119262061"/>
            <w:r w:rsidR="00CD17CC">
              <w:t>Combined Positive Score</w:t>
            </w:r>
            <w:bookmarkEnd w:id="1"/>
            <w:r w:rsidR="00CD17CC">
              <w:t xml:space="preserve">, CPS) used in this application is </w:t>
            </w:r>
            <w:r w:rsidR="00F66908">
              <w:t>identical to</w:t>
            </w:r>
            <w:r w:rsidR="00CD17CC">
              <w:t xml:space="preserve"> the scoring system</w:t>
            </w:r>
            <w:r w:rsidR="00F66908">
              <w:t xml:space="preserve"> used</w:t>
            </w:r>
            <w:r w:rsidR="00CD17CC">
              <w:t xml:space="preserve"> in HNSCC</w:t>
            </w:r>
            <w:r w:rsidR="00CF5382">
              <w:t>, which was recently reviewed by both committees. We hope to incorporate some learnings from that previous submission into the co-dependent submission for</w:t>
            </w:r>
            <w:r w:rsidR="004D1909">
              <w:t xml:space="preserve"> PD-L1 testing and pembrolizumab in Triple Negative Breast Cancer (TNBC), to ensure that </w:t>
            </w:r>
            <w:r w:rsidR="00C367DF">
              <w:t xml:space="preserve">the </w:t>
            </w:r>
            <w:r w:rsidR="00843F5C">
              <w:t xml:space="preserve">significant </w:t>
            </w:r>
            <w:r w:rsidR="00C367DF">
              <w:t>unmet clinical need can be addresses as soon as possible.</w:t>
            </w:r>
            <w:r w:rsidR="004D1909">
              <w:t xml:space="preserve"> </w:t>
            </w:r>
          </w:p>
        </w:tc>
      </w:tr>
    </w:tbl>
    <w:p w14:paraId="15AFF783" w14:textId="77777777" w:rsidR="00984E34" w:rsidRPr="00984E34" w:rsidRDefault="00984E34" w:rsidP="00984E34"/>
    <w:p w14:paraId="1C468992" w14:textId="376CF699" w:rsidR="000B3CD0" w:rsidRDefault="000B3CD0" w:rsidP="00730C04">
      <w:pPr>
        <w:pStyle w:val="Heading2"/>
      </w:pPr>
      <w:r w:rsidRPr="00154B00">
        <w:t>Application title</w:t>
      </w:r>
      <w:r w:rsidR="00A8732C">
        <w:t xml:space="preserve"> </w:t>
      </w:r>
    </w:p>
    <w:p w14:paraId="1C468993" w14:textId="5DF1F963" w:rsidR="00AC10A2" w:rsidRPr="00983C89" w:rsidRDefault="00AC10A2" w:rsidP="00CF7532">
      <w:pPr>
        <w:ind w:left="360"/>
      </w:pPr>
      <w:r w:rsidRPr="00983C89">
        <w:t>PD-L1 (Programmed Death 1 Ligand) i</w:t>
      </w:r>
      <w:bookmarkStart w:id="2" w:name="_Hlk119261918"/>
      <w:r w:rsidRPr="00983C89">
        <w:t>mmunohistochemistry</w:t>
      </w:r>
      <w:r w:rsidR="007F33A1">
        <w:t xml:space="preserve"> (IHC)</w:t>
      </w:r>
      <w:r w:rsidRPr="00983C89">
        <w:t xml:space="preserve"> </w:t>
      </w:r>
      <w:bookmarkEnd w:id="2"/>
      <w:r w:rsidRPr="00983C89">
        <w:t>testing for access to pembrolizumab</w:t>
      </w:r>
      <w:r w:rsidR="00B72812">
        <w:t xml:space="preserve"> in combination with chemotherapy</w:t>
      </w:r>
      <w:r w:rsidRPr="00983C89">
        <w:t xml:space="preserve"> for </w:t>
      </w:r>
      <w:r w:rsidR="002F4880">
        <w:t>Triple Negative Breast Cancer</w:t>
      </w:r>
      <w:r w:rsidR="00125BEB">
        <w:t xml:space="preserve"> (TNBC)</w:t>
      </w:r>
    </w:p>
    <w:p w14:paraId="1C468994"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C468995" w14:textId="57E7E876" w:rsidR="00800A81" w:rsidRDefault="00800A81" w:rsidP="00CF7532">
      <w:pPr>
        <w:ind w:left="357"/>
      </w:pPr>
      <w:r w:rsidRPr="002F4880">
        <w:t>Patients included within this application will have</w:t>
      </w:r>
      <w:r w:rsidR="00C260F1">
        <w:t xml:space="preserve"> previously untreated</w:t>
      </w:r>
      <w:r w:rsidR="0065575A">
        <w:t xml:space="preserve"> </w:t>
      </w:r>
      <w:r w:rsidR="00BB6B01" w:rsidRPr="00BB6B01">
        <w:t xml:space="preserve">locally </w:t>
      </w:r>
      <w:bookmarkStart w:id="3" w:name="_Hlk119262004"/>
      <w:r w:rsidR="00BB6B01" w:rsidRPr="00BB6B01">
        <w:t xml:space="preserve">recurrent </w:t>
      </w:r>
      <w:r w:rsidR="00DF78B8">
        <w:t>inoperable</w:t>
      </w:r>
      <w:r w:rsidR="00BB6B01" w:rsidRPr="00BB6B01">
        <w:t xml:space="preserve"> or metastatic triple negative breast cancer</w:t>
      </w:r>
      <w:bookmarkEnd w:id="3"/>
      <w:r w:rsidR="00ED5041">
        <w:t xml:space="preserve"> (R/M TNBC)</w:t>
      </w:r>
      <w:r w:rsidR="002441C2">
        <w:t xml:space="preserve"> </w:t>
      </w:r>
      <w:r w:rsidR="00952280">
        <w:t xml:space="preserve">that is </w:t>
      </w:r>
      <w:r w:rsidR="00E71F7A" w:rsidRPr="002F4880">
        <w:t xml:space="preserve">PD-L1 positive </w:t>
      </w:r>
      <w:r w:rsidR="00867CCF" w:rsidRPr="002F4880">
        <w:t xml:space="preserve">as determined by </w:t>
      </w:r>
      <w:r w:rsidR="00E71F7A" w:rsidRPr="002F4880">
        <w:t>C</w:t>
      </w:r>
      <w:r w:rsidR="00C02860" w:rsidRPr="002F4880">
        <w:t xml:space="preserve">ombined </w:t>
      </w:r>
      <w:r w:rsidR="00E71F7A" w:rsidRPr="002F4880">
        <w:t>P</w:t>
      </w:r>
      <w:r w:rsidR="00C02860" w:rsidRPr="002F4880">
        <w:t xml:space="preserve">ositive </w:t>
      </w:r>
      <w:r w:rsidR="00E71F7A" w:rsidRPr="002F4880">
        <w:t>S</w:t>
      </w:r>
      <w:r w:rsidR="00C02860" w:rsidRPr="002F4880">
        <w:t xml:space="preserve">core </w:t>
      </w:r>
      <w:r w:rsidR="007515D8">
        <w:t>(</w:t>
      </w:r>
      <w:r w:rsidR="00C02860" w:rsidRPr="002F4880">
        <w:t>CPS</w:t>
      </w:r>
      <w:r w:rsidR="00867CCF" w:rsidRPr="002F4880">
        <w:t>)</w:t>
      </w:r>
      <w:r w:rsidRPr="002F4880">
        <w:t>.</w:t>
      </w:r>
    </w:p>
    <w:p w14:paraId="76CDD92C" w14:textId="5AA3C932" w:rsidR="006D05B2" w:rsidRDefault="006D05B2" w:rsidP="00CF7532">
      <w:pPr>
        <w:ind w:left="357"/>
      </w:pPr>
      <w:bookmarkStart w:id="4" w:name="_Hlk119262142"/>
      <w:r>
        <w:rPr>
          <w:szCs w:val="20"/>
        </w:rPr>
        <w:t>TNBC</w:t>
      </w:r>
      <w:r w:rsidRPr="00FA162C">
        <w:rPr>
          <w:szCs w:val="20"/>
        </w:rPr>
        <w:t xml:space="preserve"> refers to breast cancer that does not present with the </w:t>
      </w:r>
      <w:r>
        <w:rPr>
          <w:szCs w:val="20"/>
        </w:rPr>
        <w:t>three</w:t>
      </w:r>
      <w:r w:rsidRPr="00FA162C">
        <w:rPr>
          <w:szCs w:val="20"/>
        </w:rPr>
        <w:t xml:space="preserve"> most c</w:t>
      </w:r>
      <w:r>
        <w:rPr>
          <w:szCs w:val="20"/>
        </w:rPr>
        <w:t xml:space="preserve">ommon types of receptors known </w:t>
      </w:r>
      <w:r w:rsidRPr="00FA162C">
        <w:rPr>
          <w:szCs w:val="20"/>
        </w:rPr>
        <w:t xml:space="preserve">to fuel </w:t>
      </w:r>
      <w:r>
        <w:rPr>
          <w:szCs w:val="20"/>
        </w:rPr>
        <w:t xml:space="preserve">breast </w:t>
      </w:r>
      <w:r w:rsidRPr="00FA162C">
        <w:rPr>
          <w:szCs w:val="20"/>
        </w:rPr>
        <w:t>ca</w:t>
      </w:r>
      <w:r>
        <w:rPr>
          <w:szCs w:val="20"/>
        </w:rPr>
        <w:t xml:space="preserve">ncer growth: estrogen (ER), </w:t>
      </w:r>
      <w:r w:rsidRPr="00FA162C">
        <w:rPr>
          <w:szCs w:val="20"/>
        </w:rPr>
        <w:t>progesterone (PR), and the human epidermal growth factor receptor 2 (HER2) gene.</w:t>
      </w:r>
      <w:r>
        <w:rPr>
          <w:szCs w:val="20"/>
        </w:rPr>
        <w:t xml:space="preserve"> </w:t>
      </w:r>
      <w:r w:rsidRPr="00F22307">
        <w:rPr>
          <w:szCs w:val="20"/>
        </w:rPr>
        <w:t>TNBC comprises</w:t>
      </w:r>
      <w:r>
        <w:rPr>
          <w:szCs w:val="20"/>
        </w:rPr>
        <w:t xml:space="preserve"> approximately</w:t>
      </w:r>
      <w:r w:rsidRPr="00F22307">
        <w:rPr>
          <w:szCs w:val="20"/>
        </w:rPr>
        <w:t xml:space="preserve"> </w:t>
      </w:r>
      <w:r>
        <w:rPr>
          <w:szCs w:val="20"/>
        </w:rPr>
        <w:t>15%</w:t>
      </w:r>
      <w:r w:rsidRPr="00F22307">
        <w:rPr>
          <w:szCs w:val="20"/>
        </w:rPr>
        <w:t xml:space="preserve"> of all breast cancers</w:t>
      </w:r>
      <w:r>
        <w:rPr>
          <w:szCs w:val="20"/>
        </w:rPr>
        <w:t xml:space="preserve"> and it tends to be more aggressive than other breast cancer sub-types</w:t>
      </w:r>
      <w:r w:rsidRPr="00F22307">
        <w:rPr>
          <w:szCs w:val="20"/>
        </w:rPr>
        <w:t xml:space="preserve"> </w:t>
      </w:r>
      <w:r>
        <w:rPr>
          <w:szCs w:val="20"/>
        </w:rPr>
        <w:t xml:space="preserve">with a poor prognosis </w:t>
      </w:r>
      <w:r w:rsidRPr="00F22307">
        <w:rPr>
          <w:szCs w:val="20"/>
        </w:rPr>
        <w:t>and is more likely to affect</w:t>
      </w:r>
      <w:r>
        <w:rPr>
          <w:szCs w:val="20"/>
        </w:rPr>
        <w:t xml:space="preserve"> premenopausal women.</w:t>
      </w:r>
    </w:p>
    <w:bookmarkEnd w:id="4"/>
    <w:p w14:paraId="1C468996"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2DD4BD67" w14:textId="19465595" w:rsidR="00C020F0" w:rsidRPr="00CF7532" w:rsidRDefault="00A60C03" w:rsidP="00CF7532">
      <w:pPr>
        <w:ind w:left="360"/>
      </w:pPr>
      <w:r>
        <w:t xml:space="preserve">PD-L1 testing has already been listed for NSCLC (MBS item 72184) and an amendment to the existing item number to include </w:t>
      </w:r>
      <w:r w:rsidR="00324DEE">
        <w:t>head and neck squamous cell carcinoma (HNSCC)</w:t>
      </w:r>
      <w:r>
        <w:t xml:space="preserve"> has been supported by MSAC (1522.1 Final MSAC PSD). It is suggested that this item number will also be amended to include</w:t>
      </w:r>
      <w:r w:rsidR="00C020F0">
        <w:t xml:space="preserve"> TNBC patients.</w:t>
      </w:r>
    </w:p>
    <w:p w14:paraId="56A090AC" w14:textId="3D9F09C3" w:rsidR="00E61D01" w:rsidRDefault="00AC10A2" w:rsidP="00CF7532">
      <w:pPr>
        <w:ind w:left="360"/>
        <w:rPr>
          <w:rFonts w:cstheme="minorHAnsi"/>
          <w:szCs w:val="20"/>
        </w:rPr>
      </w:pPr>
      <w:bookmarkStart w:id="5" w:name="_Hlk119261880"/>
      <w:r w:rsidRPr="003401DE">
        <w:rPr>
          <w:rFonts w:cstheme="minorHAnsi"/>
          <w:szCs w:val="20"/>
        </w:rPr>
        <w:t>It is proposed that IHC test</w:t>
      </w:r>
      <w:r w:rsidR="000A17DF">
        <w:rPr>
          <w:rFonts w:cstheme="minorHAnsi"/>
          <w:szCs w:val="20"/>
        </w:rPr>
        <w:t>ing</w:t>
      </w:r>
      <w:r w:rsidR="00CB0D8A" w:rsidRPr="003401DE">
        <w:rPr>
          <w:rFonts w:cstheme="minorHAnsi"/>
          <w:szCs w:val="20"/>
        </w:rPr>
        <w:t xml:space="preserve"> be used</w:t>
      </w:r>
      <w:r w:rsidRPr="003401DE">
        <w:rPr>
          <w:rFonts w:cstheme="minorHAnsi"/>
          <w:szCs w:val="20"/>
        </w:rPr>
        <w:t xml:space="preserve"> for </w:t>
      </w:r>
      <w:r w:rsidR="00CB0D8A" w:rsidRPr="003401DE">
        <w:rPr>
          <w:rFonts w:cstheme="minorHAnsi"/>
          <w:szCs w:val="20"/>
        </w:rPr>
        <w:t xml:space="preserve">the </w:t>
      </w:r>
      <w:r w:rsidRPr="003401DE">
        <w:rPr>
          <w:rFonts w:cstheme="minorHAnsi"/>
          <w:szCs w:val="20"/>
        </w:rPr>
        <w:t>evaluation of Programmed Cell Death- Ligand 1 (PD-L1) expression to determine eligibility for treatment with pembrolizumab</w:t>
      </w:r>
      <w:r w:rsidR="00B72812">
        <w:rPr>
          <w:rFonts w:cstheme="minorHAnsi"/>
          <w:szCs w:val="20"/>
        </w:rPr>
        <w:t xml:space="preserve"> in combination with chemotherapy</w:t>
      </w:r>
      <w:r w:rsidRPr="003401DE">
        <w:rPr>
          <w:rFonts w:cstheme="minorHAnsi"/>
          <w:szCs w:val="20"/>
        </w:rPr>
        <w:t xml:space="preserve"> </w:t>
      </w:r>
      <w:r w:rsidRPr="0087168D">
        <w:rPr>
          <w:rFonts w:cstheme="minorHAnsi"/>
          <w:szCs w:val="20"/>
        </w:rPr>
        <w:t>in patients with</w:t>
      </w:r>
      <w:r w:rsidR="002F4880">
        <w:rPr>
          <w:rFonts w:cstheme="minorHAnsi"/>
          <w:szCs w:val="20"/>
        </w:rPr>
        <w:t xml:space="preserve"> </w:t>
      </w:r>
      <w:r w:rsidR="008F3F13">
        <w:rPr>
          <w:rFonts w:cstheme="minorHAnsi"/>
          <w:szCs w:val="20"/>
        </w:rPr>
        <w:t xml:space="preserve">R/M </w:t>
      </w:r>
      <w:r w:rsidR="002F4880">
        <w:rPr>
          <w:rFonts w:cstheme="minorHAnsi"/>
          <w:szCs w:val="20"/>
        </w:rPr>
        <w:t>TNBC</w:t>
      </w:r>
      <w:r w:rsidR="00064D7E">
        <w:rPr>
          <w:rFonts w:cstheme="minorHAnsi"/>
          <w:szCs w:val="20"/>
        </w:rPr>
        <w:t>.</w:t>
      </w:r>
      <w:r w:rsidR="0087168D" w:rsidRPr="0087168D">
        <w:rPr>
          <w:rFonts w:cstheme="minorHAnsi"/>
          <w:szCs w:val="20"/>
        </w:rPr>
        <w:t xml:space="preserve"> </w:t>
      </w:r>
      <w:r w:rsidR="00ED2422" w:rsidRPr="00465F33">
        <w:rPr>
          <w:rFonts w:cstheme="minorHAnsi"/>
          <w:szCs w:val="20"/>
        </w:rPr>
        <w:t>T</w:t>
      </w:r>
      <w:r w:rsidR="00A51788" w:rsidRPr="00465F33">
        <w:rPr>
          <w:rFonts w:cstheme="minorHAnsi"/>
          <w:szCs w:val="20"/>
        </w:rPr>
        <w:t>issue</w:t>
      </w:r>
      <w:r w:rsidR="00A20A8B" w:rsidRPr="00465F33">
        <w:rPr>
          <w:rFonts w:cstheme="minorHAnsi"/>
          <w:szCs w:val="20"/>
        </w:rPr>
        <w:t xml:space="preserve"> obtained </w:t>
      </w:r>
      <w:r w:rsidR="004753C8">
        <w:rPr>
          <w:rFonts w:cstheme="minorHAnsi"/>
          <w:szCs w:val="20"/>
        </w:rPr>
        <w:t xml:space="preserve">through core </w:t>
      </w:r>
      <w:r w:rsidR="00797A7A">
        <w:rPr>
          <w:rFonts w:cstheme="minorHAnsi"/>
          <w:szCs w:val="20"/>
        </w:rPr>
        <w:t xml:space="preserve">or excisional </w:t>
      </w:r>
      <w:r w:rsidR="004753C8">
        <w:rPr>
          <w:rFonts w:cstheme="minorHAnsi"/>
          <w:szCs w:val="20"/>
        </w:rPr>
        <w:t xml:space="preserve">biopsy </w:t>
      </w:r>
      <w:r w:rsidR="00A51788" w:rsidRPr="00465F33">
        <w:rPr>
          <w:rFonts w:cstheme="minorHAnsi"/>
          <w:szCs w:val="20"/>
        </w:rPr>
        <w:t>at diagnosis</w:t>
      </w:r>
      <w:r w:rsidR="00FF60B2">
        <w:rPr>
          <w:rFonts w:cstheme="minorHAnsi"/>
          <w:szCs w:val="20"/>
        </w:rPr>
        <w:t xml:space="preserve"> of </w:t>
      </w:r>
      <w:r w:rsidR="004753C8">
        <w:rPr>
          <w:rFonts w:cstheme="minorHAnsi"/>
          <w:szCs w:val="20"/>
        </w:rPr>
        <w:t>R/M</w:t>
      </w:r>
      <w:r w:rsidR="00816419">
        <w:rPr>
          <w:rFonts w:cstheme="minorHAnsi"/>
          <w:szCs w:val="20"/>
        </w:rPr>
        <w:t xml:space="preserve"> TNBC</w:t>
      </w:r>
      <w:r w:rsidR="00A51788" w:rsidRPr="00465F33">
        <w:rPr>
          <w:rFonts w:cstheme="minorHAnsi"/>
          <w:szCs w:val="20"/>
        </w:rPr>
        <w:t xml:space="preserve"> </w:t>
      </w:r>
      <w:r w:rsidRPr="00465F33">
        <w:rPr>
          <w:rFonts w:cstheme="minorHAnsi"/>
          <w:szCs w:val="20"/>
        </w:rPr>
        <w:t xml:space="preserve">will be used for </w:t>
      </w:r>
      <w:r w:rsidR="006D05B2">
        <w:rPr>
          <w:rFonts w:cstheme="minorHAnsi"/>
          <w:szCs w:val="20"/>
        </w:rPr>
        <w:t>IHC</w:t>
      </w:r>
      <w:r w:rsidRPr="00465F33">
        <w:rPr>
          <w:rFonts w:cstheme="minorHAnsi"/>
          <w:szCs w:val="20"/>
        </w:rPr>
        <w:t xml:space="preserve"> testing </w:t>
      </w:r>
      <w:r w:rsidR="00A51788" w:rsidRPr="00465F33">
        <w:rPr>
          <w:rFonts w:cstheme="minorHAnsi"/>
          <w:szCs w:val="20"/>
        </w:rPr>
        <w:t>of</w:t>
      </w:r>
      <w:r w:rsidRPr="00465F33">
        <w:rPr>
          <w:rFonts w:cstheme="minorHAnsi"/>
          <w:szCs w:val="20"/>
        </w:rPr>
        <w:t xml:space="preserve"> PD-L1</w:t>
      </w:r>
      <w:r w:rsidR="00A20A8B" w:rsidRPr="00465F33">
        <w:rPr>
          <w:rFonts w:cstheme="minorHAnsi"/>
          <w:szCs w:val="20"/>
        </w:rPr>
        <w:t xml:space="preserve"> </w:t>
      </w:r>
      <w:r w:rsidR="00A51788" w:rsidRPr="00465F33">
        <w:rPr>
          <w:rFonts w:cstheme="minorHAnsi"/>
          <w:szCs w:val="20"/>
        </w:rPr>
        <w:t>expression</w:t>
      </w:r>
      <w:r w:rsidR="00675676">
        <w:rPr>
          <w:rFonts w:cstheme="minorHAnsi"/>
          <w:szCs w:val="20"/>
        </w:rPr>
        <w:t xml:space="preserve"> (CPS</w:t>
      </w:r>
      <w:r w:rsidR="00675676" w:rsidRPr="00675676">
        <w:rPr>
          <w:rFonts w:cstheme="minorHAnsi"/>
          <w:szCs w:val="20"/>
          <w:u w:val="single"/>
        </w:rPr>
        <w:t>&gt;</w:t>
      </w:r>
      <w:r w:rsidR="005A751C">
        <w:rPr>
          <w:rFonts w:cstheme="minorHAnsi"/>
          <w:szCs w:val="20"/>
        </w:rPr>
        <w:t>1</w:t>
      </w:r>
      <w:r w:rsidR="0065134E">
        <w:rPr>
          <w:rFonts w:cstheme="minorHAnsi"/>
          <w:szCs w:val="20"/>
        </w:rPr>
        <w:t>0</w:t>
      </w:r>
      <w:r w:rsidR="005A751C">
        <w:rPr>
          <w:rFonts w:cstheme="minorHAnsi"/>
          <w:szCs w:val="20"/>
        </w:rPr>
        <w:t>)</w:t>
      </w:r>
      <w:r w:rsidR="004408AB" w:rsidRPr="00616F99">
        <w:rPr>
          <w:rFonts w:cstheme="minorHAnsi"/>
          <w:szCs w:val="20"/>
        </w:rPr>
        <w:t xml:space="preserve">. </w:t>
      </w:r>
      <w:r w:rsidR="00636798" w:rsidRPr="00787828">
        <w:t>The testing would be done by a pathologist alongside other immunohistochemical tests</w:t>
      </w:r>
      <w:bookmarkEnd w:id="5"/>
      <w:r w:rsidR="00636798" w:rsidRPr="00787828">
        <w:t xml:space="preserve"> which are done routinely</w:t>
      </w:r>
      <w:r w:rsidR="00990CC6" w:rsidRPr="00616F99">
        <w:rPr>
          <w:rFonts w:cstheme="minorHAnsi"/>
          <w:szCs w:val="20"/>
        </w:rPr>
        <w:t>, and it is proposed that the test is a pathologist determinable test.</w:t>
      </w:r>
    </w:p>
    <w:p w14:paraId="367C14FA" w14:textId="77777777" w:rsidR="00D27A11" w:rsidRDefault="00E61D01" w:rsidP="00CF7532">
      <w:pPr>
        <w:ind w:left="360"/>
      </w:pPr>
      <w:r>
        <w:t xml:space="preserve">If newly obtained tissue is unavailable, then archival tissue can be used. </w:t>
      </w:r>
      <w:r w:rsidR="00A234FF">
        <w:t xml:space="preserve">This is consistent with the study protocol for KN-355. </w:t>
      </w:r>
      <w:r>
        <w:t xml:space="preserve">Based on the Information for Use (IFU) for PD-L1 IHC 22C3 </w:t>
      </w:r>
      <w:proofErr w:type="spellStart"/>
      <w:r>
        <w:t>pharmDx</w:t>
      </w:r>
      <w:proofErr w:type="spellEnd"/>
      <w:r>
        <w:t xml:space="preserve"> assay, the archival tissue should be &lt;5 years old.</w:t>
      </w:r>
    </w:p>
    <w:p w14:paraId="106325CC" w14:textId="1BC47421" w:rsidR="00D27A11" w:rsidRPr="006251EA" w:rsidRDefault="00AC0ACD" w:rsidP="00CF7532">
      <w:pPr>
        <w:ind w:left="360"/>
      </w:pPr>
      <w:r>
        <w:t xml:space="preserve">Based on the results of KEYNOTE-355 (KN-355), the clinically relevant cut-point for PD-L1 expression in </w:t>
      </w:r>
      <w:r w:rsidR="00E15F02">
        <w:t xml:space="preserve">R/M </w:t>
      </w:r>
      <w:r>
        <w:t>TNBC is CPS</w:t>
      </w:r>
      <w:r w:rsidRPr="006251EA">
        <w:t>≥10.</w:t>
      </w:r>
      <w:r>
        <w:t xml:space="preserve"> </w:t>
      </w:r>
      <w:r w:rsidR="00D27A11" w:rsidRPr="006251EA">
        <w:t xml:space="preserve">CPS is the number of PD-L1 staining cells divided by the total number of viable </w:t>
      </w:r>
      <w:r w:rsidR="00D27A11" w:rsidRPr="006251EA">
        <w:lastRenderedPageBreak/>
        <w:t>tumour cells, multiplied by 100. Distinction of viable tumour cells, lymphocytes, and macrophages is essential for accurate denominator estimation. CPS is defined as follows:</w:t>
      </w:r>
    </w:p>
    <w:p w14:paraId="46ADC2CC" w14:textId="77777777" w:rsidR="00D27A11" w:rsidRDefault="00D27A11" w:rsidP="00D27A11">
      <w:pPr>
        <w:ind w:left="284"/>
        <w:jc w:val="center"/>
      </w:pPr>
      <w:r>
        <w:rPr>
          <w:noProof/>
        </w:rPr>
        <w:drawing>
          <wp:inline distT="0" distB="0" distL="0" distR="0" wp14:anchorId="72C512D3" wp14:editId="073E8648">
            <wp:extent cx="3770851" cy="4572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3770851" cy="457200"/>
                    </a:xfrm>
                    <a:prstGeom prst="rect">
                      <a:avLst/>
                    </a:prstGeom>
                  </pic:spPr>
                </pic:pic>
              </a:graphicData>
            </a:graphic>
          </wp:inline>
        </w:drawing>
      </w:r>
    </w:p>
    <w:p w14:paraId="1316F516" w14:textId="1C879E05" w:rsidR="00D27A11" w:rsidRPr="009056C5" w:rsidRDefault="00D27A11" w:rsidP="00D27A11">
      <w:pPr>
        <w:ind w:left="360"/>
      </w:pPr>
    </w:p>
    <w:p w14:paraId="1C468998" w14:textId="6AA37150" w:rsidR="00D11EB1" w:rsidRPr="00616F99" w:rsidRDefault="00730C04" w:rsidP="00AC10A2">
      <w:pPr>
        <w:pStyle w:val="Heading2"/>
        <w:rPr>
          <w:rStyle w:val="Strong"/>
          <w:rFonts w:asciiTheme="minorHAnsi" w:eastAsiaTheme="minorHAnsi" w:hAnsiTheme="minorHAnsi" w:cstheme="minorBidi"/>
          <w:b/>
        </w:rPr>
      </w:pPr>
      <w:r w:rsidRPr="00616F99">
        <w:rPr>
          <w:rStyle w:val="Strong"/>
          <w:rFonts w:asciiTheme="minorHAnsi" w:eastAsiaTheme="minorHAnsi" w:hAnsiTheme="minorHAnsi" w:cstheme="minorBidi"/>
          <w:b/>
        </w:rPr>
        <w:t xml:space="preserve">(a) </w:t>
      </w:r>
      <w:r w:rsidR="00D11EB1" w:rsidRPr="00616F99">
        <w:rPr>
          <w:rStyle w:val="Strong"/>
          <w:rFonts w:asciiTheme="minorHAnsi" w:eastAsiaTheme="minorHAnsi" w:hAnsiTheme="minorHAnsi" w:cstheme="minorBidi"/>
          <w:b/>
        </w:rPr>
        <w:t>Is this a request for MBS funding?</w:t>
      </w:r>
    </w:p>
    <w:p w14:paraId="1C468999" w14:textId="77777777" w:rsidR="00753C44" w:rsidRDefault="00AC10A2" w:rsidP="00CF7532">
      <w:pPr>
        <w:pStyle w:val="Tickboxes"/>
      </w:pPr>
      <w:r>
        <w:fldChar w:fldCharType="begin">
          <w:ffData>
            <w:name w:val="Check1"/>
            <w:enabled/>
            <w:calcOnExit w:val="0"/>
            <w:checkBox>
              <w:sizeAuto/>
              <w:default w:val="1"/>
            </w:checkBox>
          </w:ffData>
        </w:fldChar>
      </w:r>
      <w:bookmarkStart w:id="6" w:name="Check1"/>
      <w:r>
        <w:instrText xml:space="preserve"> FORMCHECKBOX </w:instrText>
      </w:r>
      <w:r w:rsidR="00625119">
        <w:fldChar w:fldCharType="separate"/>
      </w:r>
      <w:r>
        <w:fldChar w:fldCharType="end"/>
      </w:r>
      <w:bookmarkEnd w:id="6"/>
      <w:r w:rsidR="006B6390">
        <w:t xml:space="preserve"> Yes</w:t>
      </w:r>
    </w:p>
    <w:p w14:paraId="1C46899A" w14:textId="77777777" w:rsidR="00753C44" w:rsidRPr="00753C44" w:rsidRDefault="006B6390" w:rsidP="00CF7532">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625119">
        <w:fldChar w:fldCharType="separate"/>
      </w:r>
      <w:r w:rsidRPr="00753C44">
        <w:fldChar w:fldCharType="end"/>
      </w:r>
      <w:r>
        <w:t xml:space="preserve"> No</w:t>
      </w:r>
      <w:r w:rsidR="00753C44" w:rsidRPr="00753C44">
        <w:t xml:space="preserve">  </w:t>
      </w:r>
    </w:p>
    <w:p w14:paraId="1C46899B" w14:textId="77777777" w:rsidR="000B3CD0" w:rsidRPr="0011036E" w:rsidRDefault="000B3CD0" w:rsidP="00BB1C9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C46899C" w14:textId="79CBB834" w:rsidR="009043CE" w:rsidRPr="00A071C7" w:rsidRDefault="009043CE" w:rsidP="00CF7532">
      <w:pPr>
        <w:pStyle w:val="Tickboxes"/>
        <w:rPr>
          <w:b/>
        </w:rPr>
      </w:pPr>
      <w:r>
        <w:fldChar w:fldCharType="begin">
          <w:ffData>
            <w:name w:val=""/>
            <w:enabled/>
            <w:calcOnExit w:val="0"/>
            <w:checkBox>
              <w:sizeAuto/>
              <w:default w:val="1"/>
            </w:checkBox>
          </w:ffData>
        </w:fldChar>
      </w:r>
      <w:r>
        <w:instrText xml:space="preserve"> FORMCHECKBOX </w:instrText>
      </w:r>
      <w:r w:rsidR="00625119">
        <w:fldChar w:fldCharType="separate"/>
      </w:r>
      <w:r>
        <w:fldChar w:fldCharType="end"/>
      </w:r>
      <w:r w:rsidR="006B6390">
        <w:t xml:space="preserve"> </w:t>
      </w:r>
      <w:r w:rsidR="00753C44" w:rsidRPr="00154B00">
        <w:t>Amendment to existing MBS item</w:t>
      </w:r>
      <w:r w:rsidR="00753C44">
        <w:t>(s)</w:t>
      </w:r>
      <w:r>
        <w:t xml:space="preserve"> </w:t>
      </w:r>
    </w:p>
    <w:p w14:paraId="1C46899D" w14:textId="77777777" w:rsidR="00753C44" w:rsidRPr="00A071C7" w:rsidRDefault="009043CE" w:rsidP="00CF7532">
      <w:pPr>
        <w:pStyle w:val="Tickboxes"/>
        <w:rPr>
          <w:b/>
        </w:rPr>
      </w:pPr>
      <w:r>
        <w:fldChar w:fldCharType="begin">
          <w:ffData>
            <w:name w:val=""/>
            <w:enabled/>
            <w:calcOnExit w:val="0"/>
            <w:checkBox>
              <w:sizeAuto/>
              <w:default w:val="0"/>
            </w:checkBox>
          </w:ffData>
        </w:fldChar>
      </w:r>
      <w:r>
        <w:instrText xml:space="preserve"> FORMCHECKBOX </w:instrText>
      </w:r>
      <w:r w:rsidR="00625119">
        <w:fldChar w:fldCharType="separate"/>
      </w:r>
      <w:r>
        <w:fldChar w:fldCharType="end"/>
      </w:r>
      <w:r w:rsidR="006B6390">
        <w:t xml:space="preserve"> </w:t>
      </w:r>
      <w:r w:rsidR="00753C44" w:rsidRPr="00154B00">
        <w:t>New MBS item</w:t>
      </w:r>
      <w:r w:rsidR="00753C44">
        <w:t>(s)</w:t>
      </w:r>
      <w:r w:rsidR="00A071C7">
        <w:t xml:space="preserve"> </w:t>
      </w:r>
    </w:p>
    <w:p w14:paraId="1C46899E" w14:textId="77777777" w:rsidR="00983C89" w:rsidRPr="00753C44" w:rsidRDefault="00983C89" w:rsidP="00A6491A">
      <w:pPr>
        <w:spacing w:before="0" w:after="0"/>
        <w:ind w:left="284"/>
        <w:rPr>
          <w:szCs w:val="20"/>
        </w:rPr>
      </w:pPr>
    </w:p>
    <w:p w14:paraId="1C46899F" w14:textId="77777777" w:rsidR="000B3CD0" w:rsidRPr="0011036E" w:rsidRDefault="000B3CD0" w:rsidP="00BB1C9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C4689A0" w14:textId="623DA3F3" w:rsidR="00F97CF1" w:rsidRPr="00BF1BEB" w:rsidRDefault="00BC2F18" w:rsidP="00CF7532">
      <w:pPr>
        <w:ind w:firstLine="360"/>
      </w:pPr>
      <w:r>
        <w:t>MBS item 72814</w:t>
      </w:r>
    </w:p>
    <w:p w14:paraId="1C4689A1" w14:textId="77777777" w:rsidR="006C0843" w:rsidRPr="0011036E" w:rsidRDefault="006C0843" w:rsidP="00BB1C9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C4689A2" w14:textId="77777777" w:rsidR="002A270B" w:rsidRPr="00CF7532" w:rsidRDefault="00030379" w:rsidP="00CF7532">
      <w:pPr>
        <w:pStyle w:val="Tickboxes"/>
        <w:rPr>
          <w:rStyle w:val="Strong"/>
          <w:b w:val="0"/>
        </w:rPr>
      </w:pPr>
      <w:r w:rsidRPr="00CF7532">
        <w:rPr>
          <w:b/>
        </w:rPr>
        <w:fldChar w:fldCharType="begin">
          <w:ffData>
            <w:name w:val=""/>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002A270B" w:rsidRPr="00CF7532">
        <w:rPr>
          <w:b/>
        </w:rPr>
        <w:t xml:space="preserve"> </w:t>
      </w:r>
      <w:r w:rsidR="002A270B" w:rsidRPr="00CF7532">
        <w:rPr>
          <w:rStyle w:val="Strong"/>
          <w:b w:val="0"/>
        </w:rPr>
        <w:t>An amendment to the way the service is clinically delivered under the existing item(s)</w:t>
      </w:r>
    </w:p>
    <w:p w14:paraId="1C4689A3" w14:textId="77777777" w:rsidR="002A270B" w:rsidRPr="00CF7532" w:rsidRDefault="009043CE" w:rsidP="00CF7532">
      <w:pPr>
        <w:pStyle w:val="Tickboxes"/>
        <w:rPr>
          <w:rStyle w:val="Strong"/>
          <w:b w:val="0"/>
        </w:rPr>
      </w:pPr>
      <w:r w:rsidRPr="00CF7532">
        <w:rPr>
          <w:b/>
        </w:rPr>
        <w:fldChar w:fldCharType="begin">
          <w:ffData>
            <w:name w:val=""/>
            <w:enabled/>
            <w:calcOnExit w:val="0"/>
            <w:checkBox>
              <w:sizeAuto/>
              <w:default w:val="1"/>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002A270B" w:rsidRPr="00CF7532">
        <w:rPr>
          <w:b/>
        </w:rPr>
        <w:t xml:space="preserve"> </w:t>
      </w:r>
      <w:r w:rsidR="002A270B" w:rsidRPr="00CF7532">
        <w:rPr>
          <w:rStyle w:val="Strong"/>
          <w:b w:val="0"/>
        </w:rPr>
        <w:t>An amendment to the patient population under the existing item(s)</w:t>
      </w:r>
    </w:p>
    <w:p w14:paraId="1C4689A4" w14:textId="77777777" w:rsidR="002A270B" w:rsidRPr="00CF7532" w:rsidRDefault="002A270B" w:rsidP="00CF7532">
      <w:pPr>
        <w:pStyle w:val="Tickboxes"/>
        <w:rPr>
          <w:rStyle w:val="Strong"/>
          <w:b w:val="0"/>
        </w:rPr>
      </w:pPr>
      <w:r w:rsidRPr="00CF7532">
        <w:rPr>
          <w:b/>
        </w:rPr>
        <w:fldChar w:fldCharType="begin">
          <w:ffData>
            <w:name w:val="Check2"/>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Pr="00CF7532">
        <w:rPr>
          <w:b/>
        </w:rPr>
        <w:t xml:space="preserve"> </w:t>
      </w:r>
      <w:r w:rsidRPr="00CF7532">
        <w:rPr>
          <w:rStyle w:val="Strong"/>
          <w:b w:val="0"/>
        </w:rPr>
        <w:t>An amendment to the schedule fee of the existing item(s)</w:t>
      </w:r>
    </w:p>
    <w:p w14:paraId="1C4689A5" w14:textId="77777777" w:rsidR="002A270B" w:rsidRPr="00CF7532" w:rsidRDefault="002A270B" w:rsidP="00CF7532">
      <w:pPr>
        <w:pStyle w:val="Tickboxes"/>
        <w:rPr>
          <w:rStyle w:val="Strong"/>
          <w:b w:val="0"/>
        </w:rPr>
      </w:pPr>
      <w:r w:rsidRPr="00CF7532">
        <w:rPr>
          <w:b/>
        </w:rPr>
        <w:fldChar w:fldCharType="begin">
          <w:ffData>
            <w:name w:val="Check2"/>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Pr="00CF7532">
        <w:rPr>
          <w:b/>
        </w:rPr>
        <w:t xml:space="preserve"> </w:t>
      </w:r>
      <w:r w:rsidRPr="00CF7532">
        <w:rPr>
          <w:rStyle w:val="Strong"/>
          <w:b w:val="0"/>
        </w:rPr>
        <w:t>An amendment to the time and complexity of an existing item(s)</w:t>
      </w:r>
    </w:p>
    <w:p w14:paraId="1C4689A6" w14:textId="77777777" w:rsidR="002A270B" w:rsidRPr="00CF7532" w:rsidRDefault="002A270B" w:rsidP="00CF7532">
      <w:pPr>
        <w:pStyle w:val="Tickboxes"/>
        <w:rPr>
          <w:rStyle w:val="Strong"/>
          <w:b w:val="0"/>
        </w:rPr>
      </w:pPr>
      <w:r w:rsidRPr="00CF7532">
        <w:rPr>
          <w:b/>
        </w:rPr>
        <w:fldChar w:fldCharType="begin">
          <w:ffData>
            <w:name w:val="Check2"/>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Pr="00CF7532">
        <w:rPr>
          <w:b/>
        </w:rPr>
        <w:t xml:space="preserve"> </w:t>
      </w:r>
      <w:r w:rsidRPr="00CF7532">
        <w:rPr>
          <w:rStyle w:val="Strong"/>
          <w:b w:val="0"/>
        </w:rPr>
        <w:t>Access to an existing item(s) by a different health practitioner group</w:t>
      </w:r>
    </w:p>
    <w:p w14:paraId="1C4689A7" w14:textId="77777777" w:rsidR="002A270B" w:rsidRPr="00CF7532" w:rsidRDefault="002A270B" w:rsidP="00CF7532">
      <w:pPr>
        <w:pStyle w:val="Tickboxes"/>
        <w:rPr>
          <w:rStyle w:val="Strong"/>
          <w:b w:val="0"/>
        </w:rPr>
      </w:pPr>
      <w:r w:rsidRPr="00CF7532">
        <w:rPr>
          <w:b/>
        </w:rPr>
        <w:fldChar w:fldCharType="begin">
          <w:ffData>
            <w:name w:val="Check2"/>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Pr="00CF7532">
        <w:rPr>
          <w:b/>
        </w:rPr>
        <w:t xml:space="preserve"> </w:t>
      </w:r>
      <w:r w:rsidRPr="00CF7532">
        <w:rPr>
          <w:rStyle w:val="Strong"/>
          <w:b w:val="0"/>
        </w:rPr>
        <w:t>Minor amendments to the item descriptor that does not affect how the service is delivered</w:t>
      </w:r>
    </w:p>
    <w:p w14:paraId="1C4689A8" w14:textId="77777777" w:rsidR="002A270B" w:rsidRPr="00CF7532" w:rsidRDefault="002A270B" w:rsidP="00CF7532">
      <w:pPr>
        <w:pStyle w:val="Tickboxes"/>
        <w:rPr>
          <w:rStyle w:val="Strong"/>
          <w:b w:val="0"/>
        </w:rPr>
      </w:pPr>
      <w:r w:rsidRPr="00CF7532">
        <w:rPr>
          <w:b/>
        </w:rPr>
        <w:fldChar w:fldCharType="begin">
          <w:ffData>
            <w:name w:val="Check2"/>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Pr="00CF7532">
        <w:rPr>
          <w:b/>
        </w:rPr>
        <w:t xml:space="preserve"> </w:t>
      </w:r>
      <w:r w:rsidRPr="00CF7532">
        <w:rPr>
          <w:rStyle w:val="Strong"/>
          <w:b w:val="0"/>
        </w:rPr>
        <w:t>An amendment to an existing specific single consultation item</w:t>
      </w:r>
    </w:p>
    <w:p w14:paraId="1871552C" w14:textId="77777777" w:rsidR="00CF7532" w:rsidRDefault="002A270B" w:rsidP="00CF7532">
      <w:pPr>
        <w:pStyle w:val="Tickboxes"/>
        <w:rPr>
          <w:rStyle w:val="Strong"/>
          <w:b w:val="0"/>
        </w:rPr>
      </w:pPr>
      <w:r w:rsidRPr="00CF7532">
        <w:rPr>
          <w:b/>
        </w:rPr>
        <w:fldChar w:fldCharType="begin">
          <w:ffData>
            <w:name w:val="Check2"/>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Pr="00CF7532">
        <w:rPr>
          <w:b/>
        </w:rPr>
        <w:t xml:space="preserve"> </w:t>
      </w:r>
      <w:r w:rsidRPr="00CF7532">
        <w:rPr>
          <w:rStyle w:val="Strong"/>
          <w:b w:val="0"/>
        </w:rPr>
        <w:t>An amendment to an existing global consultation item(s)</w:t>
      </w:r>
    </w:p>
    <w:p w14:paraId="1C4689AA" w14:textId="46C897B8" w:rsidR="002A270B" w:rsidRPr="00CF7532" w:rsidRDefault="004A263B" w:rsidP="00CF7532">
      <w:pPr>
        <w:pStyle w:val="Tickboxes"/>
        <w:rPr>
          <w:rStyle w:val="Strong"/>
          <w:b w:val="0"/>
        </w:rPr>
      </w:pPr>
      <w:r w:rsidRPr="00CF7532">
        <w:rPr>
          <w:b/>
        </w:rPr>
        <w:fldChar w:fldCharType="begin">
          <w:ffData>
            <w:name w:val="Check2"/>
            <w:enabled/>
            <w:calcOnExit w:val="0"/>
            <w:checkBox>
              <w:sizeAuto/>
              <w:default w:val="0"/>
            </w:checkBox>
          </w:ffData>
        </w:fldChar>
      </w:r>
      <w:r w:rsidRPr="00CF7532">
        <w:rPr>
          <w:b/>
        </w:rPr>
        <w:instrText xml:space="preserve"> FORMCHECKBOX </w:instrText>
      </w:r>
      <w:r w:rsidR="00625119">
        <w:rPr>
          <w:b/>
        </w:rPr>
      </w:r>
      <w:r w:rsidR="00625119">
        <w:rPr>
          <w:b/>
        </w:rPr>
        <w:fldChar w:fldCharType="separate"/>
      </w:r>
      <w:r w:rsidRPr="00CF7532">
        <w:rPr>
          <w:b/>
        </w:rPr>
        <w:fldChar w:fldCharType="end"/>
      </w:r>
      <w:r w:rsidRPr="00CF7532">
        <w:rPr>
          <w:b/>
        </w:rPr>
        <w:t xml:space="preserve"> </w:t>
      </w:r>
      <w:r w:rsidR="002A270B" w:rsidRPr="00CF7532">
        <w:rPr>
          <w:rStyle w:val="Strong"/>
          <w:b w:val="0"/>
        </w:rPr>
        <w:t>Other (please describe below)</w:t>
      </w:r>
      <w:r w:rsidR="00A6491A" w:rsidRPr="00CF7532">
        <w:rPr>
          <w:rStyle w:val="Strong"/>
          <w:b w:val="0"/>
        </w:rPr>
        <w:t>:</w:t>
      </w:r>
    </w:p>
    <w:p w14:paraId="1C4689AC" w14:textId="77777777" w:rsidR="00534C5F" w:rsidRPr="007E39E4" w:rsidRDefault="000770BA" w:rsidP="00BB1C9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C4689AD" w14:textId="77777777" w:rsidR="006B6390" w:rsidRPr="00AA2CFE" w:rsidRDefault="006B6390" w:rsidP="00CF7532">
      <w:pPr>
        <w:pStyle w:val="Tickboxes"/>
        <w:rPr>
          <w:rStyle w:val="Strong"/>
          <w:b w:val="0"/>
        </w:rPr>
      </w:pPr>
      <w:r w:rsidRPr="00AA2CFE">
        <w:rPr>
          <w:b/>
        </w:rPr>
        <w:fldChar w:fldCharType="begin">
          <w:ffData>
            <w:name w:val="Check2"/>
            <w:enabled/>
            <w:calcOnExit w:val="0"/>
            <w:checkBox>
              <w:sizeAuto/>
              <w:default w:val="0"/>
            </w:checkBox>
          </w:ffData>
        </w:fldChar>
      </w:r>
      <w:r w:rsidRPr="00AA2CFE">
        <w:rPr>
          <w:b/>
        </w:rPr>
        <w:instrText xml:space="preserve"> FORMCHECKBOX </w:instrText>
      </w:r>
      <w:r w:rsidR="00625119">
        <w:rPr>
          <w:b/>
        </w:rPr>
      </w:r>
      <w:r w:rsidR="00625119">
        <w:rPr>
          <w:b/>
        </w:rPr>
        <w:fldChar w:fldCharType="separate"/>
      </w:r>
      <w:r w:rsidRPr="00AA2CFE">
        <w:rPr>
          <w:b/>
        </w:rPr>
        <w:fldChar w:fldCharType="end"/>
      </w:r>
      <w:r w:rsidRPr="00AA2CFE">
        <w:rPr>
          <w:b/>
        </w:rPr>
        <w:t xml:space="preserve"> </w:t>
      </w:r>
      <w:r w:rsidRPr="00AA2CFE">
        <w:rPr>
          <w:rStyle w:val="Strong"/>
          <w:b w:val="0"/>
        </w:rPr>
        <w:t>A new item which also seeks to allow access to the MBS for a specific health practitioner group</w:t>
      </w:r>
    </w:p>
    <w:p w14:paraId="1C4689AE" w14:textId="0A6C7A73" w:rsidR="006B6390" w:rsidRPr="00AA2CFE" w:rsidRDefault="006B6390" w:rsidP="00CF7532">
      <w:pPr>
        <w:pStyle w:val="Tickboxes"/>
        <w:rPr>
          <w:rStyle w:val="Strong"/>
          <w:b w:val="0"/>
        </w:rPr>
      </w:pPr>
      <w:r w:rsidRPr="00AA2CFE">
        <w:rPr>
          <w:b/>
        </w:rPr>
        <w:fldChar w:fldCharType="begin">
          <w:ffData>
            <w:name w:val="Check2"/>
            <w:enabled/>
            <w:calcOnExit w:val="0"/>
            <w:checkBox>
              <w:sizeAuto/>
              <w:default w:val="0"/>
            </w:checkBox>
          </w:ffData>
        </w:fldChar>
      </w:r>
      <w:r w:rsidRPr="00AA2CFE">
        <w:rPr>
          <w:b/>
        </w:rPr>
        <w:instrText xml:space="preserve"> FORMCHECKBOX </w:instrText>
      </w:r>
      <w:r w:rsidR="00625119">
        <w:rPr>
          <w:b/>
        </w:rPr>
      </w:r>
      <w:r w:rsidR="00625119">
        <w:rPr>
          <w:b/>
        </w:rPr>
        <w:fldChar w:fldCharType="separate"/>
      </w:r>
      <w:r w:rsidRPr="00AA2CFE">
        <w:rPr>
          <w:b/>
        </w:rPr>
        <w:fldChar w:fldCharType="end"/>
      </w:r>
      <w:r w:rsidRPr="00AA2CFE">
        <w:rPr>
          <w:b/>
        </w:rPr>
        <w:t xml:space="preserve"> </w:t>
      </w:r>
      <w:r w:rsidRPr="00AA2CFE">
        <w:rPr>
          <w:rStyle w:val="Strong"/>
          <w:b w:val="0"/>
        </w:rPr>
        <w:t>A new item that is proposing a way of clinically delivering a service that is new to the MBS</w:t>
      </w:r>
    </w:p>
    <w:p w14:paraId="1C4689AF" w14:textId="77777777" w:rsidR="006B6390" w:rsidRPr="00AA2CFE" w:rsidRDefault="006B6390" w:rsidP="00CF7532">
      <w:pPr>
        <w:pStyle w:val="Tickboxes"/>
        <w:rPr>
          <w:rStyle w:val="Strong"/>
          <w:b w:val="0"/>
        </w:rPr>
      </w:pPr>
      <w:r w:rsidRPr="00AA2CFE">
        <w:rPr>
          <w:b/>
        </w:rPr>
        <w:fldChar w:fldCharType="begin">
          <w:ffData>
            <w:name w:val="Check2"/>
            <w:enabled/>
            <w:calcOnExit w:val="0"/>
            <w:checkBox>
              <w:sizeAuto/>
              <w:default w:val="0"/>
            </w:checkBox>
          </w:ffData>
        </w:fldChar>
      </w:r>
      <w:r w:rsidRPr="00AA2CFE">
        <w:rPr>
          <w:b/>
        </w:rPr>
        <w:instrText xml:space="preserve"> FORMCHECKBOX </w:instrText>
      </w:r>
      <w:r w:rsidR="00625119">
        <w:rPr>
          <w:b/>
        </w:rPr>
      </w:r>
      <w:r w:rsidR="00625119">
        <w:rPr>
          <w:b/>
        </w:rPr>
        <w:fldChar w:fldCharType="separate"/>
      </w:r>
      <w:r w:rsidRPr="00AA2CFE">
        <w:rPr>
          <w:b/>
        </w:rPr>
        <w:fldChar w:fldCharType="end"/>
      </w:r>
      <w:r w:rsidRPr="00AA2CFE">
        <w:rPr>
          <w:b/>
        </w:rPr>
        <w:t xml:space="preserve"> </w:t>
      </w:r>
      <w:r w:rsidRPr="00AA2CFE">
        <w:rPr>
          <w:rStyle w:val="Strong"/>
          <w:b w:val="0"/>
        </w:rPr>
        <w:t>A new item for a specific single consultation item</w:t>
      </w:r>
    </w:p>
    <w:p w14:paraId="1C4689B0" w14:textId="77777777" w:rsidR="006B6390" w:rsidRPr="00AA2CFE" w:rsidRDefault="006B6390" w:rsidP="00CF7532">
      <w:pPr>
        <w:pStyle w:val="Tickboxes"/>
        <w:rPr>
          <w:rStyle w:val="Strong"/>
          <w:b w:val="0"/>
        </w:rPr>
      </w:pPr>
      <w:r w:rsidRPr="00AA2CFE">
        <w:rPr>
          <w:b/>
        </w:rPr>
        <w:fldChar w:fldCharType="begin">
          <w:ffData>
            <w:name w:val="Check2"/>
            <w:enabled/>
            <w:calcOnExit w:val="0"/>
            <w:checkBox>
              <w:sizeAuto/>
              <w:default w:val="0"/>
            </w:checkBox>
          </w:ffData>
        </w:fldChar>
      </w:r>
      <w:r w:rsidRPr="00AA2CFE">
        <w:rPr>
          <w:b/>
        </w:rPr>
        <w:instrText xml:space="preserve"> FORMCHECKBOX </w:instrText>
      </w:r>
      <w:r w:rsidR="00625119">
        <w:rPr>
          <w:b/>
        </w:rPr>
      </w:r>
      <w:r w:rsidR="00625119">
        <w:rPr>
          <w:b/>
        </w:rPr>
        <w:fldChar w:fldCharType="separate"/>
      </w:r>
      <w:r w:rsidRPr="00AA2CFE">
        <w:rPr>
          <w:b/>
        </w:rPr>
        <w:fldChar w:fldCharType="end"/>
      </w:r>
      <w:r w:rsidRPr="00AA2CFE">
        <w:rPr>
          <w:b/>
        </w:rPr>
        <w:t xml:space="preserve"> </w:t>
      </w:r>
      <w:r w:rsidRPr="00AA2CFE">
        <w:rPr>
          <w:rStyle w:val="Strong"/>
          <w:b w:val="0"/>
        </w:rPr>
        <w:t>A new item for a global consultation item(s)</w:t>
      </w:r>
    </w:p>
    <w:p w14:paraId="1C4689B1" w14:textId="77777777" w:rsidR="003027BB" w:rsidRPr="007E39E4" w:rsidRDefault="00F30C22" w:rsidP="00BB1C9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C4689B2" w14:textId="77777777" w:rsidR="000A5B32" w:rsidRPr="00B72812" w:rsidRDefault="000A5B32" w:rsidP="00CF7532">
      <w:pPr>
        <w:pStyle w:val="Tickboxes"/>
      </w:pPr>
      <w:r w:rsidRPr="00B72812">
        <w:fldChar w:fldCharType="begin">
          <w:ffData>
            <w:name w:val="Check1"/>
            <w:enabled/>
            <w:calcOnExit w:val="0"/>
            <w:checkBox>
              <w:sizeAuto/>
              <w:default w:val="0"/>
            </w:checkBox>
          </w:ffData>
        </w:fldChar>
      </w:r>
      <w:r w:rsidRPr="00B72812">
        <w:instrText xml:space="preserve"> FORMCHECKBOX </w:instrText>
      </w:r>
      <w:r w:rsidR="00625119">
        <w:fldChar w:fldCharType="separate"/>
      </w:r>
      <w:r w:rsidRPr="00B72812">
        <w:fldChar w:fldCharType="end"/>
      </w:r>
      <w:r w:rsidRPr="00B72812">
        <w:t xml:space="preserve"> Yes</w:t>
      </w:r>
    </w:p>
    <w:p w14:paraId="1C4689B3" w14:textId="77777777" w:rsidR="00626365" w:rsidRDefault="00AC10A2" w:rsidP="00CF7532">
      <w:pPr>
        <w:pStyle w:val="Tickboxes"/>
      </w:pPr>
      <w:r w:rsidRPr="00B72812">
        <w:fldChar w:fldCharType="begin">
          <w:ffData>
            <w:name w:val=""/>
            <w:enabled/>
            <w:calcOnExit w:val="0"/>
            <w:checkBox>
              <w:sizeAuto/>
              <w:default w:val="1"/>
            </w:checkBox>
          </w:ffData>
        </w:fldChar>
      </w:r>
      <w:r w:rsidRPr="00B72812">
        <w:instrText xml:space="preserve"> FORMCHECKBOX </w:instrText>
      </w:r>
      <w:r w:rsidR="00625119">
        <w:fldChar w:fldCharType="separate"/>
      </w:r>
      <w:r w:rsidRPr="00B72812">
        <w:fldChar w:fldCharType="end"/>
      </w:r>
      <w:r w:rsidR="000A5B32" w:rsidRPr="00B72812">
        <w:t xml:space="preserve"> No</w:t>
      </w:r>
    </w:p>
    <w:p w14:paraId="1C4689B4" w14:textId="77777777" w:rsidR="003027BB" w:rsidRPr="007E39E4" w:rsidRDefault="003027BB" w:rsidP="00BB1C9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C4689B5" w14:textId="1088CC90" w:rsidR="000A5B32" w:rsidRDefault="00CF7532" w:rsidP="00732569">
      <w:pPr>
        <w:ind w:left="284" w:firstLine="76"/>
      </w:pPr>
      <w:r>
        <w:t>N/A</w:t>
      </w:r>
    </w:p>
    <w:p w14:paraId="43BEDFB8" w14:textId="77777777" w:rsidR="00FE1821" w:rsidRDefault="00FE1821" w:rsidP="00FE1821">
      <w:pPr>
        <w:pStyle w:val="Heading2"/>
      </w:pPr>
      <w:r w:rsidRPr="00154B00">
        <w:t xml:space="preserve">What is the type of </w:t>
      </w:r>
      <w:r>
        <w:t xml:space="preserve">medical </w:t>
      </w:r>
      <w:r w:rsidRPr="00154B00">
        <w:t>service</w:t>
      </w:r>
      <w:r>
        <w:t>/technology?</w:t>
      </w:r>
    </w:p>
    <w:p w14:paraId="1C4689CB" w14:textId="77777777" w:rsidR="00A6594E" w:rsidRDefault="00A6594E" w:rsidP="00CF7532">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625119">
        <w:rPr>
          <w:b/>
        </w:rPr>
      </w:r>
      <w:r w:rsidR="00625119">
        <w:rPr>
          <w:b/>
        </w:rPr>
        <w:fldChar w:fldCharType="separate"/>
      </w:r>
      <w:r w:rsidRPr="0027105F">
        <w:rPr>
          <w:b/>
        </w:rPr>
        <w:fldChar w:fldCharType="end"/>
      </w:r>
      <w:r w:rsidRPr="0027105F">
        <w:rPr>
          <w:b/>
        </w:rPr>
        <w:t xml:space="preserve"> </w:t>
      </w:r>
      <w:r>
        <w:t>Therapeutic medical service</w:t>
      </w:r>
    </w:p>
    <w:p w14:paraId="1C4689CC" w14:textId="77777777" w:rsidR="00A6594E" w:rsidRDefault="00A6594E" w:rsidP="00CF7532">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625119">
        <w:rPr>
          <w:b/>
        </w:rPr>
      </w:r>
      <w:r w:rsidR="00625119">
        <w:rPr>
          <w:b/>
        </w:rPr>
        <w:fldChar w:fldCharType="separate"/>
      </w:r>
      <w:r w:rsidRPr="0027105F">
        <w:rPr>
          <w:b/>
        </w:rPr>
        <w:fldChar w:fldCharType="end"/>
      </w:r>
      <w:r w:rsidRPr="0027105F">
        <w:rPr>
          <w:b/>
        </w:rPr>
        <w:t xml:space="preserve"> </w:t>
      </w:r>
      <w:r>
        <w:t>Investigative medical service</w:t>
      </w:r>
    </w:p>
    <w:p w14:paraId="1C4689CD" w14:textId="77777777" w:rsidR="00A6594E" w:rsidRDefault="00A6594E" w:rsidP="00CF7532">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625119">
        <w:rPr>
          <w:b/>
        </w:rPr>
      </w:r>
      <w:r w:rsidR="00625119">
        <w:rPr>
          <w:b/>
        </w:rPr>
        <w:fldChar w:fldCharType="separate"/>
      </w:r>
      <w:r w:rsidRPr="0027105F">
        <w:rPr>
          <w:b/>
        </w:rPr>
        <w:fldChar w:fldCharType="end"/>
      </w:r>
      <w:r w:rsidRPr="0027105F">
        <w:rPr>
          <w:b/>
        </w:rPr>
        <w:t xml:space="preserve"> </w:t>
      </w:r>
      <w:r>
        <w:t>Single consultation medical service</w:t>
      </w:r>
    </w:p>
    <w:p w14:paraId="1C4689CE" w14:textId="77777777" w:rsidR="00A6594E" w:rsidRDefault="00A6594E" w:rsidP="00CF7532">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625119">
        <w:rPr>
          <w:b/>
        </w:rPr>
      </w:r>
      <w:r w:rsidR="00625119">
        <w:rPr>
          <w:b/>
        </w:rPr>
        <w:fldChar w:fldCharType="separate"/>
      </w:r>
      <w:r w:rsidRPr="0027105F">
        <w:rPr>
          <w:b/>
        </w:rPr>
        <w:fldChar w:fldCharType="end"/>
      </w:r>
      <w:r w:rsidRPr="0027105F">
        <w:rPr>
          <w:b/>
        </w:rPr>
        <w:t xml:space="preserve"> </w:t>
      </w:r>
      <w:r>
        <w:t>Global consultation medical service</w:t>
      </w:r>
    </w:p>
    <w:p w14:paraId="1C4689CF" w14:textId="77777777" w:rsidR="00A6594E" w:rsidRDefault="00A6594E" w:rsidP="00CF7532">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625119">
        <w:rPr>
          <w:b/>
        </w:rPr>
      </w:r>
      <w:r w:rsidR="00625119">
        <w:rPr>
          <w:b/>
        </w:rPr>
        <w:fldChar w:fldCharType="separate"/>
      </w:r>
      <w:r w:rsidRPr="0027105F">
        <w:rPr>
          <w:b/>
        </w:rPr>
        <w:fldChar w:fldCharType="end"/>
      </w:r>
      <w:r w:rsidRPr="0027105F">
        <w:rPr>
          <w:b/>
        </w:rPr>
        <w:t xml:space="preserve"> </w:t>
      </w:r>
      <w:r>
        <w:t>Allied health service</w:t>
      </w:r>
    </w:p>
    <w:p w14:paraId="1C4689D0" w14:textId="77777777" w:rsidR="00A6594E" w:rsidRDefault="00AC10A2" w:rsidP="00CF7532">
      <w:pPr>
        <w:pStyle w:val="Tickboxes"/>
      </w:pPr>
      <w:r w:rsidRPr="00B72812">
        <w:rPr>
          <w:b/>
        </w:rPr>
        <w:fldChar w:fldCharType="begin">
          <w:ffData>
            <w:name w:val=""/>
            <w:enabled/>
            <w:calcOnExit w:val="0"/>
            <w:checkBox>
              <w:sizeAuto/>
              <w:default w:val="1"/>
            </w:checkBox>
          </w:ffData>
        </w:fldChar>
      </w:r>
      <w:r w:rsidRPr="00B72812">
        <w:rPr>
          <w:b/>
        </w:rPr>
        <w:instrText xml:space="preserve"> FORMCHECKBOX </w:instrText>
      </w:r>
      <w:r w:rsidR="00625119">
        <w:rPr>
          <w:b/>
        </w:rPr>
      </w:r>
      <w:r w:rsidR="00625119">
        <w:rPr>
          <w:b/>
        </w:rPr>
        <w:fldChar w:fldCharType="separate"/>
      </w:r>
      <w:r w:rsidRPr="00B72812">
        <w:rPr>
          <w:b/>
        </w:rPr>
        <w:fldChar w:fldCharType="end"/>
      </w:r>
      <w:r w:rsidR="00A6594E" w:rsidRPr="00B72812">
        <w:rPr>
          <w:b/>
        </w:rPr>
        <w:t xml:space="preserve"> </w:t>
      </w:r>
      <w:r w:rsidR="00A6594E" w:rsidRPr="00B72812">
        <w:t>Co-dependent technology</w:t>
      </w:r>
    </w:p>
    <w:p w14:paraId="1C4689D1" w14:textId="77777777" w:rsidR="00A6594E" w:rsidRDefault="00A6594E" w:rsidP="00CF7532">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625119">
        <w:rPr>
          <w:b/>
        </w:rPr>
      </w:r>
      <w:r w:rsidR="00625119">
        <w:rPr>
          <w:b/>
        </w:rPr>
        <w:fldChar w:fldCharType="separate"/>
      </w:r>
      <w:r w:rsidRPr="0027105F">
        <w:rPr>
          <w:b/>
        </w:rPr>
        <w:fldChar w:fldCharType="end"/>
      </w:r>
      <w:r w:rsidRPr="0027105F">
        <w:rPr>
          <w:b/>
        </w:rPr>
        <w:t xml:space="preserve"> </w:t>
      </w:r>
      <w:r>
        <w:t>Hybrid health technology</w:t>
      </w:r>
    </w:p>
    <w:p w14:paraId="1C4689D2" w14:textId="77777777" w:rsidR="00124B00" w:rsidRPr="00A6594E" w:rsidRDefault="00124B00" w:rsidP="00A6491A">
      <w:pPr>
        <w:spacing w:before="0" w:after="0"/>
        <w:ind w:left="284"/>
      </w:pPr>
    </w:p>
    <w:p w14:paraId="1C4689D3" w14:textId="77777777" w:rsidR="0054594B" w:rsidRDefault="0054594B" w:rsidP="00730C04">
      <w:pPr>
        <w:pStyle w:val="Heading2"/>
      </w:pPr>
      <w:r w:rsidRPr="00154B00">
        <w:lastRenderedPageBreak/>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C4689D4" w14:textId="77777777" w:rsidR="00A6594E" w:rsidRPr="00CF7532" w:rsidRDefault="00A6594E" w:rsidP="00CF7532">
      <w:pPr>
        <w:pStyle w:val="Tickboxes"/>
      </w:pPr>
      <w:r w:rsidRPr="00CF7532">
        <w:fldChar w:fldCharType="begin">
          <w:ffData>
            <w:name w:val="Check2"/>
            <w:enabled/>
            <w:calcOnExit w:val="0"/>
            <w:checkBox>
              <w:sizeAuto/>
              <w:default w:val="0"/>
            </w:checkBox>
          </w:ffData>
        </w:fldChar>
      </w:r>
      <w:r w:rsidRPr="00CF7532">
        <w:instrText xml:space="preserve"> FORMCHECKBOX </w:instrText>
      </w:r>
      <w:r w:rsidR="00625119">
        <w:fldChar w:fldCharType="separate"/>
      </w:r>
      <w:r w:rsidRPr="00CF7532">
        <w:fldChar w:fldCharType="end"/>
      </w:r>
      <w:r w:rsidRPr="00CF7532">
        <w:t xml:space="preserve"> To be used as a screening tool in asymptomatic populations </w:t>
      </w:r>
    </w:p>
    <w:p w14:paraId="1C4689D5" w14:textId="77777777" w:rsidR="00A6594E" w:rsidRPr="00CF7532" w:rsidRDefault="00A6594E" w:rsidP="00CF7532">
      <w:pPr>
        <w:pStyle w:val="Tickboxes"/>
      </w:pPr>
      <w:r w:rsidRPr="00CF7532">
        <w:fldChar w:fldCharType="begin">
          <w:ffData>
            <w:name w:val="Check2"/>
            <w:enabled/>
            <w:calcOnExit w:val="0"/>
            <w:checkBox>
              <w:sizeAuto/>
              <w:default w:val="0"/>
            </w:checkBox>
          </w:ffData>
        </w:fldChar>
      </w:r>
      <w:r w:rsidRPr="00CF7532">
        <w:instrText xml:space="preserve"> FORMCHECKBOX </w:instrText>
      </w:r>
      <w:r w:rsidR="00625119">
        <w:fldChar w:fldCharType="separate"/>
      </w:r>
      <w:r w:rsidRPr="00CF7532">
        <w:fldChar w:fldCharType="end"/>
      </w:r>
      <w:r w:rsidRPr="00CF7532">
        <w:t xml:space="preserve"> Assists in establishing a diagnosis in symptomatic patients</w:t>
      </w:r>
    </w:p>
    <w:p w14:paraId="1C4689D6" w14:textId="77777777" w:rsidR="00A6594E" w:rsidRPr="00CF7532" w:rsidRDefault="00A6594E" w:rsidP="00CF7532">
      <w:pPr>
        <w:pStyle w:val="Tickboxes"/>
      </w:pPr>
      <w:r w:rsidRPr="00CF7532">
        <w:fldChar w:fldCharType="begin">
          <w:ffData>
            <w:name w:val="Check2"/>
            <w:enabled/>
            <w:calcOnExit w:val="0"/>
            <w:checkBox>
              <w:sizeAuto/>
              <w:default w:val="0"/>
            </w:checkBox>
          </w:ffData>
        </w:fldChar>
      </w:r>
      <w:r w:rsidRPr="00CF7532">
        <w:instrText xml:space="preserve"> FORMCHECKBOX </w:instrText>
      </w:r>
      <w:r w:rsidR="00625119">
        <w:fldChar w:fldCharType="separate"/>
      </w:r>
      <w:r w:rsidRPr="00CF7532">
        <w:fldChar w:fldCharType="end"/>
      </w:r>
      <w:r w:rsidRPr="00CF7532">
        <w:t xml:space="preserve"> Provides information about prognosis</w:t>
      </w:r>
    </w:p>
    <w:p w14:paraId="1C4689D7" w14:textId="77777777" w:rsidR="00A6594E" w:rsidRPr="00CF7532" w:rsidRDefault="00AC10A2" w:rsidP="00CF7532">
      <w:pPr>
        <w:pStyle w:val="Tickboxes"/>
      </w:pPr>
      <w:r w:rsidRPr="00CF7532">
        <w:fldChar w:fldCharType="begin">
          <w:ffData>
            <w:name w:val=""/>
            <w:enabled/>
            <w:calcOnExit w:val="0"/>
            <w:checkBox>
              <w:sizeAuto/>
              <w:default w:val="1"/>
            </w:checkBox>
          </w:ffData>
        </w:fldChar>
      </w:r>
      <w:r w:rsidRPr="00CF7532">
        <w:instrText xml:space="preserve"> FORMCHECKBOX </w:instrText>
      </w:r>
      <w:r w:rsidR="00625119">
        <w:fldChar w:fldCharType="separate"/>
      </w:r>
      <w:r w:rsidRPr="00CF7532">
        <w:fldChar w:fldCharType="end"/>
      </w:r>
      <w:r w:rsidR="00A6594E" w:rsidRPr="00CF7532">
        <w:t xml:space="preserve"> Identifies a patient as suitable for therapy by predicting a variation in the effect of the therapy</w:t>
      </w:r>
    </w:p>
    <w:p w14:paraId="1C4689D8" w14:textId="77777777" w:rsidR="00F63A62" w:rsidRPr="00CF7532" w:rsidRDefault="00A6594E" w:rsidP="00CF7532">
      <w:pPr>
        <w:pStyle w:val="Tickboxes"/>
      </w:pPr>
      <w:r w:rsidRPr="00CF7532">
        <w:fldChar w:fldCharType="begin">
          <w:ffData>
            <w:name w:val="Check2"/>
            <w:enabled/>
            <w:calcOnExit w:val="0"/>
            <w:checkBox>
              <w:sizeAuto/>
              <w:default w:val="0"/>
            </w:checkBox>
          </w:ffData>
        </w:fldChar>
      </w:r>
      <w:r w:rsidRPr="00CF7532">
        <w:instrText xml:space="preserve"> FORMCHECKBOX </w:instrText>
      </w:r>
      <w:r w:rsidR="00625119">
        <w:fldChar w:fldCharType="separate"/>
      </w:r>
      <w:r w:rsidRPr="00CF7532">
        <w:fldChar w:fldCharType="end"/>
      </w:r>
      <w:r w:rsidRPr="00CF7532">
        <w:t xml:space="preserve"> Monitors a patient over time to assess treatment response and guide subsequent treatment decisions</w:t>
      </w:r>
    </w:p>
    <w:p w14:paraId="1C4689DA" w14:textId="05CAFC03" w:rsidR="002A40AE" w:rsidRDefault="00F63A62" w:rsidP="00732569">
      <w:pPr>
        <w:pStyle w:val="Tickboxes"/>
      </w:pPr>
      <w:r w:rsidRPr="00CF7532">
        <w:fldChar w:fldCharType="begin">
          <w:ffData>
            <w:name w:val="Check2"/>
            <w:enabled/>
            <w:calcOnExit w:val="0"/>
            <w:checkBox>
              <w:sizeAuto/>
              <w:default w:val="0"/>
            </w:checkBox>
          </w:ffData>
        </w:fldChar>
      </w:r>
      <w:r w:rsidRPr="00CF7532">
        <w:instrText xml:space="preserve"> FORMCHECKBOX </w:instrText>
      </w:r>
      <w:r w:rsidR="00625119">
        <w:fldChar w:fldCharType="separate"/>
      </w:r>
      <w:r w:rsidRPr="00CF7532">
        <w:fldChar w:fldCharType="end"/>
      </w:r>
      <w:r w:rsidRPr="00CF7532">
        <w:t xml:space="preserve"> Is for genetic testing </w:t>
      </w:r>
      <w:r w:rsidR="0050517E" w:rsidRPr="00CF7532">
        <w:t>for</w:t>
      </w:r>
      <w:r w:rsidRPr="00CF7532">
        <w:t xml:space="preserve"> heritable mutations </w:t>
      </w:r>
      <w:r w:rsidR="0050517E" w:rsidRPr="00CF7532">
        <w:t>in</w:t>
      </w:r>
      <w:r w:rsidRPr="00CF7532">
        <w:t xml:space="preserve"> clinically affected individuals and</w:t>
      </w:r>
      <w:r w:rsidR="0050517E" w:rsidRPr="00CF7532">
        <w:t>,</w:t>
      </w:r>
      <w:r w:rsidRPr="00CF7532">
        <w:t xml:space="preserve"> </w:t>
      </w:r>
      <w:r w:rsidR="0050517E" w:rsidRPr="00CF7532">
        <w:t>when also appropriate,</w:t>
      </w:r>
      <w:r w:rsidRPr="00CF7532">
        <w:t xml:space="preserve"> </w:t>
      </w:r>
      <w:r w:rsidR="0050517E" w:rsidRPr="00CF7532">
        <w:t xml:space="preserve">in </w:t>
      </w:r>
      <w:r w:rsidRPr="00CF7532">
        <w:t xml:space="preserve">family members of those individuals who test positive for one or more </w:t>
      </w:r>
      <w:r w:rsidR="0050517E" w:rsidRPr="00CF7532">
        <w:t xml:space="preserve">relevant </w:t>
      </w:r>
      <w:r w:rsidRPr="00CF7532">
        <w:t>mutations (and thus for which the Clinical Utility Card proforma might apply)</w:t>
      </w:r>
    </w:p>
    <w:p w14:paraId="1C4689DB"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C4689DC" w14:textId="77777777" w:rsidR="00FE16C1" w:rsidRDefault="00AC10A2" w:rsidP="00732569">
      <w:pPr>
        <w:spacing w:before="0" w:after="0"/>
        <w:ind w:left="360"/>
      </w:pPr>
      <w:r w:rsidRPr="00B72812">
        <w:rPr>
          <w:b/>
          <w:szCs w:val="20"/>
        </w:rPr>
        <w:fldChar w:fldCharType="begin">
          <w:ffData>
            <w:name w:val=""/>
            <w:enabled/>
            <w:calcOnExit w:val="0"/>
            <w:checkBox>
              <w:sizeAuto/>
              <w:default w:val="1"/>
            </w:checkBox>
          </w:ffData>
        </w:fldChar>
      </w:r>
      <w:r w:rsidRPr="00B72812">
        <w:rPr>
          <w:b/>
          <w:szCs w:val="20"/>
        </w:rPr>
        <w:instrText xml:space="preserve"> FORMCHECKBOX </w:instrText>
      </w:r>
      <w:r w:rsidR="00625119">
        <w:rPr>
          <w:b/>
          <w:szCs w:val="20"/>
        </w:rPr>
      </w:r>
      <w:r w:rsidR="00625119">
        <w:rPr>
          <w:b/>
          <w:szCs w:val="20"/>
        </w:rPr>
        <w:fldChar w:fldCharType="separate"/>
      </w:r>
      <w:r w:rsidRPr="00B72812">
        <w:rPr>
          <w:b/>
          <w:szCs w:val="20"/>
        </w:rPr>
        <w:fldChar w:fldCharType="end"/>
      </w:r>
      <w:r w:rsidR="00FE16C1" w:rsidRPr="00B72812">
        <w:rPr>
          <w:b/>
          <w:szCs w:val="20"/>
        </w:rPr>
        <w:t xml:space="preserve"> </w:t>
      </w:r>
      <w:r w:rsidR="00FE16C1" w:rsidRPr="00B72812">
        <w:t>Pharmaceutical / Biological</w:t>
      </w:r>
    </w:p>
    <w:p w14:paraId="1C4689DD" w14:textId="77777777" w:rsidR="00FE16C1" w:rsidRDefault="00FE16C1" w:rsidP="00732569">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119">
        <w:rPr>
          <w:b/>
          <w:szCs w:val="20"/>
        </w:rPr>
      </w:r>
      <w:r w:rsidR="00625119">
        <w:rPr>
          <w:b/>
          <w:szCs w:val="20"/>
        </w:rPr>
        <w:fldChar w:fldCharType="separate"/>
      </w:r>
      <w:r w:rsidRPr="0027105F">
        <w:rPr>
          <w:b/>
          <w:szCs w:val="20"/>
        </w:rPr>
        <w:fldChar w:fldCharType="end"/>
      </w:r>
      <w:r w:rsidRPr="0027105F">
        <w:rPr>
          <w:b/>
          <w:szCs w:val="20"/>
        </w:rPr>
        <w:t xml:space="preserve"> </w:t>
      </w:r>
      <w:r>
        <w:t>Prosthesis or device</w:t>
      </w:r>
    </w:p>
    <w:p w14:paraId="1C4689DE" w14:textId="77777777" w:rsidR="00FE16C1" w:rsidRPr="00FE16C1" w:rsidRDefault="00FE16C1" w:rsidP="00732569">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119">
        <w:rPr>
          <w:b/>
          <w:szCs w:val="20"/>
        </w:rPr>
      </w:r>
      <w:r w:rsidR="00625119">
        <w:rPr>
          <w:b/>
          <w:szCs w:val="20"/>
        </w:rPr>
        <w:fldChar w:fldCharType="separate"/>
      </w:r>
      <w:r w:rsidRPr="0027105F">
        <w:rPr>
          <w:b/>
          <w:szCs w:val="20"/>
        </w:rPr>
        <w:fldChar w:fldCharType="end"/>
      </w:r>
      <w:r w:rsidRPr="0027105F">
        <w:rPr>
          <w:b/>
          <w:szCs w:val="20"/>
        </w:rPr>
        <w:t xml:space="preserve"> </w:t>
      </w:r>
      <w:r>
        <w:t>No</w:t>
      </w:r>
    </w:p>
    <w:p w14:paraId="1C4689DF"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C4689E0" w14:textId="77777777" w:rsidR="00FE16C1" w:rsidRDefault="00AC10A2" w:rsidP="00732569">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25119">
        <w:rPr>
          <w:szCs w:val="20"/>
        </w:rPr>
      </w:r>
      <w:r w:rsidR="00625119">
        <w:rPr>
          <w:szCs w:val="20"/>
        </w:rPr>
        <w:fldChar w:fldCharType="separate"/>
      </w:r>
      <w:r>
        <w:rPr>
          <w:szCs w:val="20"/>
        </w:rPr>
        <w:fldChar w:fldCharType="end"/>
      </w:r>
      <w:r w:rsidR="00FE16C1" w:rsidRPr="000A5B32">
        <w:rPr>
          <w:szCs w:val="20"/>
        </w:rPr>
        <w:t xml:space="preserve"> Yes</w:t>
      </w:r>
    </w:p>
    <w:p w14:paraId="1C4689E1" w14:textId="77777777" w:rsidR="00FE16C1" w:rsidRPr="00FE16C1" w:rsidRDefault="00AC10A2" w:rsidP="00732569">
      <w:pPr>
        <w:spacing w:before="0" w:after="0"/>
        <w:ind w:left="360"/>
        <w:rPr>
          <w:szCs w:val="20"/>
        </w:rPr>
      </w:pPr>
      <w:r w:rsidRPr="00B72812">
        <w:rPr>
          <w:szCs w:val="20"/>
        </w:rPr>
        <w:fldChar w:fldCharType="begin">
          <w:ffData>
            <w:name w:val=""/>
            <w:enabled/>
            <w:calcOnExit w:val="0"/>
            <w:checkBox>
              <w:sizeAuto/>
              <w:default w:val="1"/>
            </w:checkBox>
          </w:ffData>
        </w:fldChar>
      </w:r>
      <w:r w:rsidRPr="00B72812">
        <w:rPr>
          <w:szCs w:val="20"/>
        </w:rPr>
        <w:instrText xml:space="preserve"> FORMCHECKBOX </w:instrText>
      </w:r>
      <w:r w:rsidR="00625119">
        <w:rPr>
          <w:szCs w:val="20"/>
        </w:rPr>
      </w:r>
      <w:r w:rsidR="00625119">
        <w:rPr>
          <w:szCs w:val="20"/>
        </w:rPr>
        <w:fldChar w:fldCharType="separate"/>
      </w:r>
      <w:r w:rsidRPr="00B72812">
        <w:rPr>
          <w:szCs w:val="20"/>
        </w:rPr>
        <w:fldChar w:fldCharType="end"/>
      </w:r>
      <w:r w:rsidR="00FE16C1" w:rsidRPr="00B72812">
        <w:rPr>
          <w:szCs w:val="20"/>
        </w:rPr>
        <w:t xml:space="preserve"> No</w:t>
      </w:r>
      <w:r w:rsidR="00FE16C1">
        <w:rPr>
          <w:szCs w:val="20"/>
        </w:rPr>
        <w:t xml:space="preserve">  </w:t>
      </w:r>
    </w:p>
    <w:p w14:paraId="1C4689E2" w14:textId="77777777" w:rsidR="00EC127A" w:rsidRPr="001E6958" w:rsidRDefault="000E5439" w:rsidP="00BB1C9F">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C4689E3" w14:textId="1C338EE0" w:rsidR="007E39E4" w:rsidRPr="007E39E4" w:rsidRDefault="00CF7532" w:rsidP="00732569">
      <w:pPr>
        <w:ind w:left="284" w:firstLine="76"/>
        <w:rPr>
          <w:b/>
          <w:szCs w:val="20"/>
        </w:rPr>
      </w:pPr>
      <w:r>
        <w:t>N/A</w:t>
      </w:r>
    </w:p>
    <w:p w14:paraId="1C4689E4" w14:textId="77777777" w:rsidR="00411735" w:rsidRPr="001E6958" w:rsidRDefault="00411735" w:rsidP="00BB1C9F">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C4689E5" w14:textId="1337C48A" w:rsidR="007E39E4" w:rsidRDefault="00BC4061" w:rsidP="00732569">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25119">
        <w:rPr>
          <w:szCs w:val="20"/>
        </w:rPr>
      </w:r>
      <w:r w:rsidR="00625119">
        <w:rPr>
          <w:szCs w:val="20"/>
        </w:rPr>
        <w:fldChar w:fldCharType="separate"/>
      </w:r>
      <w:r>
        <w:rPr>
          <w:szCs w:val="20"/>
        </w:rPr>
        <w:fldChar w:fldCharType="end"/>
      </w:r>
      <w:r w:rsidR="007E39E4" w:rsidRPr="00B72812">
        <w:rPr>
          <w:szCs w:val="20"/>
        </w:rPr>
        <w:t xml:space="preserve"> Yes</w:t>
      </w:r>
      <w:r w:rsidR="001E6919" w:rsidRPr="00B72812">
        <w:rPr>
          <w:szCs w:val="20"/>
        </w:rPr>
        <w:t xml:space="preserve"> (please provide PBAC submission item number below)</w:t>
      </w:r>
    </w:p>
    <w:p w14:paraId="1C4689E6" w14:textId="77FD6A0F" w:rsidR="001E6919" w:rsidRDefault="00BC4061" w:rsidP="00732569">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119">
        <w:rPr>
          <w:szCs w:val="20"/>
        </w:rPr>
      </w:r>
      <w:r w:rsidR="00625119">
        <w:rPr>
          <w:szCs w:val="20"/>
        </w:rPr>
        <w:fldChar w:fldCharType="separate"/>
      </w:r>
      <w:r>
        <w:rPr>
          <w:szCs w:val="20"/>
        </w:rPr>
        <w:fldChar w:fldCharType="end"/>
      </w:r>
      <w:r w:rsidR="001E6919">
        <w:rPr>
          <w:szCs w:val="20"/>
        </w:rPr>
        <w:t xml:space="preserve"> No</w:t>
      </w:r>
    </w:p>
    <w:p w14:paraId="59043509" w14:textId="556C0D92" w:rsidR="00B72245" w:rsidRDefault="00753505" w:rsidP="00732569">
      <w:pPr>
        <w:ind w:left="360"/>
      </w:pPr>
      <w:r>
        <w:t xml:space="preserve">MSD intends to lodge an </w:t>
      </w:r>
      <w:r w:rsidR="00132AF9">
        <w:t>integrated</w:t>
      </w:r>
      <w:r w:rsidR="00D22CFE">
        <w:t xml:space="preserve"> co-depe</w:t>
      </w:r>
      <w:r w:rsidR="00FC5F2D">
        <w:t>n</w:t>
      </w:r>
      <w:r w:rsidR="00D22CFE">
        <w:t>dent</w:t>
      </w:r>
      <w:r w:rsidR="00AC10A2">
        <w:t xml:space="preserve"> application</w:t>
      </w:r>
      <w:r w:rsidR="00E76635">
        <w:t xml:space="preserve"> for pem</w:t>
      </w:r>
      <w:r w:rsidR="00D22CFE">
        <w:t>brolizumab</w:t>
      </w:r>
      <w:r w:rsidR="00966D4A">
        <w:t xml:space="preserve"> in combination with chemotherapy</w:t>
      </w:r>
      <w:r w:rsidR="00D22CFE">
        <w:t xml:space="preserve"> for the treatment of </w:t>
      </w:r>
      <w:r w:rsidR="00E54F5E">
        <w:t xml:space="preserve">R/M </w:t>
      </w:r>
      <w:r w:rsidR="00B72812">
        <w:t>TNBC</w:t>
      </w:r>
      <w:r>
        <w:t xml:space="preserve"> patients</w:t>
      </w:r>
      <w:r w:rsidR="00202D62">
        <w:t xml:space="preserve"> </w:t>
      </w:r>
      <w:r w:rsidR="00E91D81">
        <w:t>who</w:t>
      </w:r>
      <w:r w:rsidR="00130D9C">
        <w:t xml:space="preserve"> are PD-L1 positive </w:t>
      </w:r>
      <w:r w:rsidR="00732569" w:rsidRPr="00732569">
        <w:rPr>
          <w:b/>
          <w:bCs/>
          <w:sz w:val="22"/>
        </w:rPr>
        <w:t>REDACTED</w:t>
      </w:r>
      <w:r w:rsidR="00B84417">
        <w:t xml:space="preserve">. </w:t>
      </w:r>
    </w:p>
    <w:p w14:paraId="1C4689E7" w14:textId="455AD8A9" w:rsidR="001E6919" w:rsidRPr="007E39E4" w:rsidRDefault="0017764B" w:rsidP="00732569">
      <w:pPr>
        <w:ind w:left="360"/>
        <w:rPr>
          <w:szCs w:val="20"/>
        </w:rPr>
      </w:pPr>
      <w:r w:rsidRPr="0017764B">
        <w:t>Pembrolizumab (K</w:t>
      </w:r>
      <w:r>
        <w:t>EYTRUDA</w:t>
      </w:r>
      <w:r w:rsidRPr="0017764B">
        <w:t>) is currently PBS listed for use in advanced malignant melanoma, adjuvant melanoma, relapsed/refractory Hodgkin’s Lymphoma, 1L non-small cell lung cancer, 1L metastatic urothelial cancer, primary mediastinal B-cell lymphoma and 1L metastatic mismatch repair deficient colorectal cancer. At the time of this application, pembrolizumab is under consideration for head and neck squamous cell carcinoma, oesophageal carcinoma, renal cell carcinoma and endometrial cancer.</w:t>
      </w:r>
      <w:r w:rsidR="00AC10A2" w:rsidRPr="00AC10A2">
        <w:t xml:space="preserve"> </w:t>
      </w:r>
    </w:p>
    <w:p w14:paraId="1C4689E8" w14:textId="77777777" w:rsidR="000E5439" w:rsidRDefault="000E5439" w:rsidP="00BB1C9F">
      <w:pPr>
        <w:pStyle w:val="Heading2"/>
        <w:numPr>
          <w:ilvl w:val="0"/>
          <w:numId w:val="4"/>
        </w:numPr>
      </w:pPr>
      <w:r w:rsidRPr="007E39E4">
        <w:t>If you are seeking both MBS and PBS listing</w:t>
      </w:r>
      <w:r w:rsidR="00B75965" w:rsidRPr="007E39E4">
        <w:t>, what is the trade name and generic name of the pharmaceutical?</w:t>
      </w:r>
    </w:p>
    <w:p w14:paraId="1C4689E9" w14:textId="7E26F718" w:rsidR="001E6958" w:rsidRDefault="001E6958" w:rsidP="00732569">
      <w:pPr>
        <w:spacing w:before="0" w:after="0"/>
        <w:ind w:left="360"/>
      </w:pPr>
      <w:r>
        <w:t>Trade name:</w:t>
      </w:r>
      <w:r w:rsidR="00743041">
        <w:t xml:space="preserve"> </w:t>
      </w:r>
      <w:r w:rsidR="00582917">
        <w:t>KEYTRUDA</w:t>
      </w:r>
    </w:p>
    <w:p w14:paraId="1C4689EB" w14:textId="79699E2D" w:rsidR="00334901" w:rsidRDefault="001E6958" w:rsidP="00732569">
      <w:pPr>
        <w:spacing w:before="0" w:after="0"/>
        <w:ind w:left="360"/>
      </w:pPr>
      <w:r>
        <w:t xml:space="preserve">Generic name: </w:t>
      </w:r>
      <w:r w:rsidR="00582917">
        <w:t>pembrolizumab</w:t>
      </w:r>
    </w:p>
    <w:p w14:paraId="1C4689EF" w14:textId="765B978B" w:rsidR="00B75965" w:rsidRDefault="00B75965" w:rsidP="00530204">
      <w:pPr>
        <w:pStyle w:val="Heading2"/>
      </w:pPr>
      <w:r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Pr="00154B00">
        <w:t>is it already included on the Prosthes</w:t>
      </w:r>
      <w:r w:rsidR="00BB003A">
        <w:t>e</w:t>
      </w:r>
      <w:r w:rsidRPr="00154B00">
        <w:t>s List?</w:t>
      </w:r>
    </w:p>
    <w:p w14:paraId="1C4689F2" w14:textId="0AA2D311" w:rsidR="001E6919" w:rsidRPr="001E6958" w:rsidRDefault="00CF7532" w:rsidP="00CF7532">
      <w:pPr>
        <w:spacing w:before="0" w:after="0"/>
        <w:ind w:left="360"/>
        <w:rPr>
          <w:szCs w:val="20"/>
        </w:rPr>
      </w:pPr>
      <w:r>
        <w:rPr>
          <w:szCs w:val="20"/>
        </w:rPr>
        <w:t>N/A</w:t>
      </w:r>
    </w:p>
    <w:p w14:paraId="1C468A02"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1C468A03" w14:textId="39C2C5C7" w:rsidR="00637E7C" w:rsidRDefault="009939DC" w:rsidP="00732569">
      <w:pPr>
        <w:spacing w:before="0" w:after="0"/>
        <w:ind w:left="2344" w:hanging="1984"/>
      </w:pPr>
      <w:r w:rsidRPr="00AF63D9">
        <w:rPr>
          <w:b/>
        </w:rPr>
        <w:t>Single use consumables:</w:t>
      </w:r>
      <w:r>
        <w:t xml:space="preserve"> </w:t>
      </w:r>
      <w:r w:rsidR="00637E7C">
        <w:t xml:space="preserve"> </w:t>
      </w:r>
      <w:r w:rsidR="00582917" w:rsidRPr="00582917">
        <w:t xml:space="preserve">The PD-L1 test comes as part of a kit (PD-L1 22C3 </w:t>
      </w:r>
      <w:proofErr w:type="spellStart"/>
      <w:r w:rsidR="00582917" w:rsidRPr="00582917">
        <w:t>PharmDxkit</w:t>
      </w:r>
      <w:proofErr w:type="spellEnd"/>
      <w:r w:rsidR="00582917" w:rsidRPr="00582917">
        <w:t xml:space="preserve">). The kit is </w:t>
      </w:r>
      <w:r w:rsidR="00637E7C">
        <w:t xml:space="preserve"> </w:t>
      </w:r>
    </w:p>
    <w:p w14:paraId="1C468A04" w14:textId="4C9C13CC" w:rsidR="008E05E2" w:rsidRDefault="00582917" w:rsidP="00732569">
      <w:pPr>
        <w:spacing w:before="0" w:after="0"/>
        <w:ind w:left="2490"/>
      </w:pPr>
      <w:r>
        <w:t xml:space="preserve">designed </w:t>
      </w:r>
      <w:r w:rsidRPr="00582917">
        <w:t>for 50 single use tests</w:t>
      </w:r>
      <w:r w:rsidR="00BC1D70">
        <w:t xml:space="preserve"> on the </w:t>
      </w:r>
      <w:proofErr w:type="spellStart"/>
      <w:r w:rsidR="00F555B5">
        <w:t>Dako</w:t>
      </w:r>
      <w:proofErr w:type="spellEnd"/>
      <w:r w:rsidR="00F555B5">
        <w:t xml:space="preserve"> AS</w:t>
      </w:r>
      <w:r w:rsidR="00AF6D13">
        <w:t xml:space="preserve">L </w:t>
      </w:r>
      <w:r w:rsidR="00F555B5">
        <w:t>4</w:t>
      </w:r>
      <w:r w:rsidR="00AF6D13">
        <w:t>8</w:t>
      </w:r>
      <w:r w:rsidR="00F555B5">
        <w:t xml:space="preserve"> platform</w:t>
      </w:r>
      <w:r w:rsidRPr="00582917">
        <w:t xml:space="preserve">. </w:t>
      </w:r>
      <w:r w:rsidR="00466E4D" w:rsidRPr="00351038">
        <w:t>The 22C3 antibody</w:t>
      </w:r>
      <w:r w:rsidR="00B042EE" w:rsidRPr="00351038">
        <w:t xml:space="preserve"> concentrate</w:t>
      </w:r>
      <w:r w:rsidR="00466E4D" w:rsidRPr="00351038">
        <w:t xml:space="preserve"> is also available for use on alternate platforms</w:t>
      </w:r>
      <w:r w:rsidR="00970F01">
        <w:t xml:space="preserve"> (</w:t>
      </w:r>
      <w:proofErr w:type="gramStart"/>
      <w:r w:rsidR="00970F01">
        <w:t>e.g.</w:t>
      </w:r>
      <w:proofErr w:type="gramEnd"/>
      <w:r w:rsidR="00970F01">
        <w:t xml:space="preserve"> Ventana</w:t>
      </w:r>
      <w:r w:rsidR="00C02860">
        <w:t>)</w:t>
      </w:r>
    </w:p>
    <w:p w14:paraId="1C468A05" w14:textId="77777777" w:rsidR="00582917" w:rsidRDefault="00582917" w:rsidP="00732569">
      <w:pPr>
        <w:spacing w:before="0" w:after="0"/>
        <w:ind w:left="2344" w:hanging="1984"/>
      </w:pPr>
      <w:r w:rsidRPr="00582917">
        <w:t xml:space="preserve"> </w:t>
      </w:r>
    </w:p>
    <w:p w14:paraId="1C468A06" w14:textId="2FAD8915" w:rsidR="00A15CF2" w:rsidRDefault="009939DC" w:rsidP="00732569">
      <w:pPr>
        <w:spacing w:before="0" w:after="0"/>
        <w:ind w:left="360"/>
      </w:pPr>
      <w:r w:rsidRPr="00AF63D9">
        <w:rPr>
          <w:b/>
        </w:rPr>
        <w:t>Multi-use consumables:</w:t>
      </w:r>
      <w:r w:rsidRPr="009939DC">
        <w:t xml:space="preserve"> </w:t>
      </w:r>
      <w:r w:rsidR="00CF7532">
        <w:t>Nil</w:t>
      </w:r>
    </w:p>
    <w:p w14:paraId="1C468A07" w14:textId="77777777" w:rsidR="00A15CF2" w:rsidRDefault="00A15CF2">
      <w:pPr>
        <w:spacing w:before="0" w:after="200" w:line="276" w:lineRule="auto"/>
      </w:pPr>
      <w:r>
        <w:br w:type="page"/>
      </w:r>
    </w:p>
    <w:p w14:paraId="1C468A08"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6C61C9EE" w14:textId="77777777" w:rsidR="001124F2" w:rsidRPr="00EA0A59" w:rsidRDefault="001124F2" w:rsidP="001124F2">
      <w:pPr>
        <w:pStyle w:val="Heading2"/>
      </w:pPr>
      <w:r w:rsidRPr="00EA0A59">
        <w:t>(a) If the proposed medical service involves use of a medical device, in-vitro diagnostic test, pharmaceutical product, radioactive tracer, or any other type of therapeutic good, please provide details</w:t>
      </w:r>
    </w:p>
    <w:p w14:paraId="1C468A0A" w14:textId="77777777" w:rsidR="000A5444" w:rsidRPr="00D37D52" w:rsidRDefault="00A26343" w:rsidP="00CF7532">
      <w:pPr>
        <w:spacing w:before="0" w:after="0"/>
        <w:ind w:left="2486" w:hanging="2126"/>
      </w:pPr>
      <w:r w:rsidRPr="00D37D52">
        <w:rPr>
          <w:szCs w:val="20"/>
        </w:rPr>
        <w:t xml:space="preserve">Type of therapeutic good: </w:t>
      </w:r>
      <w:r w:rsidR="0014788D" w:rsidRPr="00D37D52">
        <w:t>The PD-L1 test is</w:t>
      </w:r>
      <w:r w:rsidR="000A5444" w:rsidRPr="00D37D52">
        <w:t xml:space="preserve"> a class III</w:t>
      </w:r>
      <w:r w:rsidR="0014788D" w:rsidRPr="00D37D52">
        <w:t xml:space="preserve"> in vitro diagnostic test which uses </w:t>
      </w:r>
      <w:r w:rsidR="000A5444" w:rsidRPr="00D37D52">
        <w:t xml:space="preserve">IHC (CT1056  </w:t>
      </w:r>
    </w:p>
    <w:p w14:paraId="1C468A0B" w14:textId="77777777" w:rsidR="00A26343" w:rsidRPr="00D37D52" w:rsidRDefault="000A5444" w:rsidP="00CF7532">
      <w:pPr>
        <w:spacing w:before="0" w:after="0"/>
        <w:ind w:left="2486" w:hanging="2126"/>
        <w:rPr>
          <w:szCs w:val="20"/>
        </w:rPr>
      </w:pPr>
      <w:r w:rsidRPr="00D37D52">
        <w:t>Immunohistology cell marker IVDs)</w:t>
      </w:r>
    </w:p>
    <w:p w14:paraId="1C468A0C" w14:textId="77777777" w:rsidR="00A26343" w:rsidRPr="00D37D52" w:rsidRDefault="00A26343" w:rsidP="00CF7532">
      <w:pPr>
        <w:spacing w:before="0" w:after="0"/>
        <w:ind w:left="360"/>
        <w:rPr>
          <w:szCs w:val="20"/>
        </w:rPr>
      </w:pPr>
      <w:r w:rsidRPr="00D37D52">
        <w:rPr>
          <w:szCs w:val="20"/>
        </w:rPr>
        <w:t xml:space="preserve">Manufacturer’s name: </w:t>
      </w:r>
      <w:proofErr w:type="spellStart"/>
      <w:r w:rsidR="0014788D" w:rsidRPr="00D37D52">
        <w:t>Dako</w:t>
      </w:r>
      <w:proofErr w:type="spellEnd"/>
      <w:r w:rsidR="0014788D" w:rsidRPr="00D37D52">
        <w:t xml:space="preserve"> Pty Ltd</w:t>
      </w:r>
      <w:r w:rsidR="001F25B9" w:rsidRPr="00D37D52">
        <w:t>/Agilent</w:t>
      </w:r>
    </w:p>
    <w:p w14:paraId="0E871578" w14:textId="2F70BF99" w:rsidR="004C55D3" w:rsidRDefault="00A26343" w:rsidP="00CF7532">
      <w:pPr>
        <w:spacing w:before="0" w:after="0"/>
        <w:ind w:left="360"/>
        <w:rPr>
          <w:szCs w:val="20"/>
        </w:rPr>
      </w:pPr>
      <w:r w:rsidRPr="00D37D52">
        <w:rPr>
          <w:szCs w:val="20"/>
        </w:rPr>
        <w:t xml:space="preserve">Sponsor’s name: </w:t>
      </w:r>
      <w:r w:rsidR="005C1E14" w:rsidRPr="005C1E14">
        <w:rPr>
          <w:szCs w:val="20"/>
        </w:rPr>
        <w:t>Agilent Technologies Australia Pty Ltd</w:t>
      </w:r>
    </w:p>
    <w:p w14:paraId="723A6140" w14:textId="44B1D1C1" w:rsidR="00CC3B44" w:rsidRDefault="004C55D3" w:rsidP="00BB1C9F">
      <w:pPr>
        <w:pStyle w:val="Heading2"/>
        <w:numPr>
          <w:ilvl w:val="0"/>
          <w:numId w:val="6"/>
        </w:numPr>
        <w:ind w:left="360"/>
      </w:pPr>
      <w:r>
        <w:t>Has it been listed on the Australian Register of Therapeutic Goods (ARTG) by the Therapeutic Goods Administration (TGA)? If the therapeutic good has been listed on the ARTG, please state the ARTG identification numbers, TGA-approved indication(s), and TGA-approved purpose(s).</w:t>
      </w:r>
    </w:p>
    <w:p w14:paraId="74C8BC8A" w14:textId="156674C4" w:rsidR="00CC3B44" w:rsidRPr="00CC3B44" w:rsidRDefault="00CF7532" w:rsidP="00CF7532">
      <w:pPr>
        <w:ind w:left="360"/>
      </w:pPr>
      <w:r>
        <w:t>-</w:t>
      </w:r>
    </w:p>
    <w:p w14:paraId="5C1954CD" w14:textId="2598CE98" w:rsidR="00CC3B44" w:rsidRPr="00CC3B44" w:rsidRDefault="00CC3B44" w:rsidP="00BB1C9F">
      <w:pPr>
        <w:pStyle w:val="Heading2"/>
        <w:numPr>
          <w:ilvl w:val="0"/>
          <w:numId w:val="6"/>
        </w:numPr>
        <w:ind w:left="360"/>
      </w:pPr>
      <w:r w:rsidRPr="00CC3B44">
        <w:t>If a medical device is involved, has the medical device been classified by TGA as a Class III OR Active Implantable Medical Device (AIMD) under the TGA regulatory scheme for devices?</w:t>
      </w:r>
    </w:p>
    <w:p w14:paraId="1C468A0F" w14:textId="77777777" w:rsidR="00615F42" w:rsidRPr="00D37D52" w:rsidRDefault="000A5444" w:rsidP="00CF7532">
      <w:pPr>
        <w:spacing w:before="0" w:after="0"/>
        <w:ind w:left="360"/>
        <w:rPr>
          <w:szCs w:val="20"/>
        </w:rPr>
      </w:pPr>
      <w:r w:rsidRPr="00D37D52">
        <w:rPr>
          <w:szCs w:val="20"/>
        </w:rPr>
        <w:fldChar w:fldCharType="begin">
          <w:ffData>
            <w:name w:val=""/>
            <w:enabled/>
            <w:calcOnExit w:val="0"/>
            <w:checkBox>
              <w:sizeAuto/>
              <w:default w:val="1"/>
            </w:checkBox>
          </w:ffData>
        </w:fldChar>
      </w:r>
      <w:r w:rsidRPr="00D37D52">
        <w:rPr>
          <w:szCs w:val="20"/>
        </w:rPr>
        <w:instrText xml:space="preserve"> FORMCHECKBOX </w:instrText>
      </w:r>
      <w:r w:rsidR="00625119">
        <w:rPr>
          <w:szCs w:val="20"/>
        </w:rPr>
      </w:r>
      <w:r w:rsidR="00625119">
        <w:rPr>
          <w:szCs w:val="20"/>
        </w:rPr>
        <w:fldChar w:fldCharType="separate"/>
      </w:r>
      <w:r w:rsidRPr="00D37D52">
        <w:rPr>
          <w:szCs w:val="20"/>
        </w:rPr>
        <w:fldChar w:fldCharType="end"/>
      </w:r>
      <w:r w:rsidR="00615F42" w:rsidRPr="00D37D52">
        <w:rPr>
          <w:szCs w:val="20"/>
        </w:rPr>
        <w:t xml:space="preserve"> Class III</w:t>
      </w:r>
    </w:p>
    <w:p w14:paraId="1C468A10" w14:textId="77777777" w:rsidR="00615F42" w:rsidRPr="00D37D52" w:rsidRDefault="00615F42" w:rsidP="00CF7532">
      <w:pPr>
        <w:spacing w:before="0" w:after="0"/>
        <w:ind w:left="360"/>
        <w:rPr>
          <w:szCs w:val="20"/>
        </w:rPr>
      </w:pPr>
      <w:r w:rsidRPr="00D37D52">
        <w:rPr>
          <w:szCs w:val="20"/>
        </w:rPr>
        <w:fldChar w:fldCharType="begin">
          <w:ffData>
            <w:name w:val="Check1"/>
            <w:enabled/>
            <w:calcOnExit w:val="0"/>
            <w:checkBox>
              <w:sizeAuto/>
              <w:default w:val="0"/>
            </w:checkBox>
          </w:ffData>
        </w:fldChar>
      </w:r>
      <w:r w:rsidRPr="00D37D52">
        <w:rPr>
          <w:szCs w:val="20"/>
        </w:rPr>
        <w:instrText xml:space="preserve"> FORMCHECKBOX </w:instrText>
      </w:r>
      <w:r w:rsidR="00625119">
        <w:rPr>
          <w:szCs w:val="20"/>
        </w:rPr>
      </w:r>
      <w:r w:rsidR="00625119">
        <w:rPr>
          <w:szCs w:val="20"/>
        </w:rPr>
        <w:fldChar w:fldCharType="separate"/>
      </w:r>
      <w:r w:rsidRPr="00D37D52">
        <w:rPr>
          <w:szCs w:val="20"/>
        </w:rPr>
        <w:fldChar w:fldCharType="end"/>
      </w:r>
      <w:r w:rsidRPr="00D37D52">
        <w:rPr>
          <w:szCs w:val="20"/>
        </w:rPr>
        <w:t xml:space="preserve"> AIMD</w:t>
      </w:r>
    </w:p>
    <w:p w14:paraId="45FFC30D" w14:textId="137329AD" w:rsidR="00E26AE0" w:rsidRDefault="000A5444" w:rsidP="00CF7532">
      <w:pPr>
        <w:spacing w:before="0" w:after="0"/>
        <w:ind w:left="360"/>
        <w:rPr>
          <w:szCs w:val="20"/>
        </w:rPr>
      </w:pPr>
      <w:r w:rsidRPr="00D37D52">
        <w:rPr>
          <w:szCs w:val="20"/>
        </w:rPr>
        <w:fldChar w:fldCharType="begin">
          <w:ffData>
            <w:name w:val=""/>
            <w:enabled/>
            <w:calcOnExit w:val="0"/>
            <w:checkBox>
              <w:sizeAuto/>
              <w:default w:val="0"/>
            </w:checkBox>
          </w:ffData>
        </w:fldChar>
      </w:r>
      <w:r w:rsidRPr="00D37D52">
        <w:rPr>
          <w:szCs w:val="20"/>
        </w:rPr>
        <w:instrText xml:space="preserve"> FORMCHECKBOX </w:instrText>
      </w:r>
      <w:r w:rsidR="00625119">
        <w:rPr>
          <w:szCs w:val="20"/>
        </w:rPr>
      </w:r>
      <w:r w:rsidR="00625119">
        <w:rPr>
          <w:szCs w:val="20"/>
        </w:rPr>
        <w:fldChar w:fldCharType="separate"/>
      </w:r>
      <w:r w:rsidRPr="00D37D52">
        <w:rPr>
          <w:szCs w:val="20"/>
        </w:rPr>
        <w:fldChar w:fldCharType="end"/>
      </w:r>
      <w:r w:rsidR="00615F42" w:rsidRPr="00D37D52">
        <w:rPr>
          <w:szCs w:val="20"/>
        </w:rPr>
        <w:t xml:space="preserve"> N/A</w:t>
      </w:r>
    </w:p>
    <w:p w14:paraId="67FBF832" w14:textId="3A038DB6" w:rsidR="00E26AE0" w:rsidRDefault="00011761" w:rsidP="00BB1C9F">
      <w:pPr>
        <w:pStyle w:val="Heading2"/>
        <w:numPr>
          <w:ilvl w:val="0"/>
          <w:numId w:val="6"/>
        </w:numPr>
        <w:ind w:left="360"/>
        <w:rPr>
          <w:bCs/>
          <w:lang w:val="en-GB"/>
        </w:rPr>
      </w:pPr>
      <w:r w:rsidRPr="000E2E02">
        <w:rPr>
          <w:bCs/>
          <w:lang w:val="en-GB"/>
        </w:rPr>
        <w:t>Is the therapeutic good classified by TGA for Research Use Only (RUO)?</w:t>
      </w:r>
    </w:p>
    <w:p w14:paraId="35604B2C" w14:textId="44128433" w:rsidR="00011761" w:rsidRPr="00011761" w:rsidRDefault="00CF7532" w:rsidP="00CF7532">
      <w:pPr>
        <w:ind w:left="360"/>
        <w:rPr>
          <w:lang w:val="en-GB"/>
        </w:rPr>
      </w:pPr>
      <w:r>
        <w:rPr>
          <w:lang w:val="en-GB"/>
        </w:rPr>
        <w:t>-</w:t>
      </w:r>
    </w:p>
    <w:p w14:paraId="1C468A12" w14:textId="7B268388" w:rsidR="003421AE" w:rsidRPr="00D37D52" w:rsidRDefault="0011369B" w:rsidP="00530204">
      <w:pPr>
        <w:pStyle w:val="Heading2"/>
      </w:pPr>
      <w:r w:rsidRPr="00D37D52">
        <w:t xml:space="preserve">(a) </w:t>
      </w:r>
      <w:r w:rsidR="005A03CC" w:rsidRPr="00FF23B8">
        <w:rPr>
          <w:u w:val="single"/>
        </w:rPr>
        <w:t>If not listed on the ARTG</w:t>
      </w:r>
      <w:r w:rsidR="005A03CC">
        <w:t>, i</w:t>
      </w:r>
      <w:r w:rsidR="005A03CC" w:rsidRPr="00A6491A">
        <w:t xml:space="preserve">s the </w:t>
      </w:r>
      <w:r w:rsidR="005A03CC" w:rsidRPr="0043654D">
        <w:t>therapeutic</w:t>
      </w:r>
      <w:r w:rsidR="005A03CC" w:rsidRPr="00A6491A">
        <w:t xml:space="preserve"> good to be used in the service exempt from the regulatory requirements of the </w:t>
      </w:r>
      <w:r w:rsidR="005A03CC" w:rsidRPr="00A6491A">
        <w:rPr>
          <w:i/>
        </w:rPr>
        <w:t>Therapeutic Goods Act 1989</w:t>
      </w:r>
      <w:r w:rsidR="005A03CC" w:rsidRPr="00A6491A">
        <w:t>?</w:t>
      </w:r>
    </w:p>
    <w:p w14:paraId="1C468A13" w14:textId="77777777" w:rsidR="00615F42" w:rsidRPr="00D37D52" w:rsidRDefault="00615F42" w:rsidP="00CF7532">
      <w:pPr>
        <w:spacing w:before="0" w:after="0"/>
        <w:ind w:left="360"/>
        <w:rPr>
          <w:szCs w:val="20"/>
        </w:rPr>
      </w:pPr>
      <w:r w:rsidRPr="00D37D52">
        <w:rPr>
          <w:szCs w:val="20"/>
        </w:rPr>
        <w:fldChar w:fldCharType="begin">
          <w:ffData>
            <w:name w:val="Check1"/>
            <w:enabled/>
            <w:calcOnExit w:val="0"/>
            <w:checkBox>
              <w:sizeAuto/>
              <w:default w:val="0"/>
            </w:checkBox>
          </w:ffData>
        </w:fldChar>
      </w:r>
      <w:r w:rsidRPr="00D37D52">
        <w:rPr>
          <w:szCs w:val="20"/>
        </w:rPr>
        <w:instrText xml:space="preserve"> FORMCHECKBOX </w:instrText>
      </w:r>
      <w:r w:rsidR="00625119">
        <w:rPr>
          <w:szCs w:val="20"/>
        </w:rPr>
      </w:r>
      <w:r w:rsidR="00625119">
        <w:rPr>
          <w:szCs w:val="20"/>
        </w:rPr>
        <w:fldChar w:fldCharType="separate"/>
      </w:r>
      <w:r w:rsidRPr="00D37D52">
        <w:rPr>
          <w:szCs w:val="20"/>
        </w:rPr>
        <w:fldChar w:fldCharType="end"/>
      </w:r>
      <w:r w:rsidRPr="00D37D52">
        <w:rPr>
          <w:szCs w:val="20"/>
        </w:rPr>
        <w:t xml:space="preserve"> Yes (If yes, please provide supporting documentation as an attachment to this application form)</w:t>
      </w:r>
    </w:p>
    <w:p w14:paraId="1C468A14" w14:textId="77777777" w:rsidR="003421AE" w:rsidRPr="00D37D52" w:rsidRDefault="0014788D" w:rsidP="00CF7532">
      <w:pPr>
        <w:spacing w:before="0" w:after="0"/>
        <w:ind w:left="360"/>
        <w:rPr>
          <w:b/>
          <w:szCs w:val="20"/>
        </w:rPr>
      </w:pPr>
      <w:r w:rsidRPr="00D37D52">
        <w:rPr>
          <w:szCs w:val="20"/>
        </w:rPr>
        <w:fldChar w:fldCharType="begin">
          <w:ffData>
            <w:name w:val=""/>
            <w:enabled/>
            <w:calcOnExit w:val="0"/>
            <w:checkBox>
              <w:sizeAuto/>
              <w:default w:val="1"/>
            </w:checkBox>
          </w:ffData>
        </w:fldChar>
      </w:r>
      <w:r w:rsidRPr="00D37D52">
        <w:rPr>
          <w:szCs w:val="20"/>
        </w:rPr>
        <w:instrText xml:space="preserve"> FORMCHECKBOX </w:instrText>
      </w:r>
      <w:r w:rsidR="00625119">
        <w:rPr>
          <w:szCs w:val="20"/>
        </w:rPr>
      </w:r>
      <w:r w:rsidR="00625119">
        <w:rPr>
          <w:szCs w:val="20"/>
        </w:rPr>
        <w:fldChar w:fldCharType="separate"/>
      </w:r>
      <w:r w:rsidRPr="00D37D52">
        <w:rPr>
          <w:szCs w:val="20"/>
        </w:rPr>
        <w:fldChar w:fldCharType="end"/>
      </w:r>
      <w:r w:rsidR="00615F42" w:rsidRPr="00D37D52">
        <w:rPr>
          <w:szCs w:val="20"/>
        </w:rPr>
        <w:t xml:space="preserve"> No</w:t>
      </w:r>
    </w:p>
    <w:p w14:paraId="1C468A15" w14:textId="30EE08BF" w:rsidR="00D85676" w:rsidRPr="005B64C9" w:rsidRDefault="005B64C9" w:rsidP="00BB1C9F">
      <w:pPr>
        <w:pStyle w:val="ListParagraph"/>
        <w:numPr>
          <w:ilvl w:val="0"/>
          <w:numId w:val="7"/>
        </w:numPr>
        <w:rPr>
          <w:b/>
          <w:szCs w:val="20"/>
        </w:rPr>
      </w:pPr>
      <w:r w:rsidRPr="005B64C9">
        <w:rPr>
          <w:b/>
          <w:szCs w:val="20"/>
        </w:rPr>
        <w:t xml:space="preserve">If the therapeutic good is </w:t>
      </w:r>
      <w:r w:rsidRPr="005B64C9">
        <w:rPr>
          <w:b/>
          <w:szCs w:val="20"/>
          <w:u w:val="single"/>
        </w:rPr>
        <w:t>not ARTG listed</w:t>
      </w:r>
      <w:r w:rsidRPr="005B64C9">
        <w:rPr>
          <w:b/>
          <w:szCs w:val="20"/>
        </w:rPr>
        <w:t>, is the therapeutic good in the process of being considered by TGA?</w:t>
      </w:r>
    </w:p>
    <w:p w14:paraId="1C468A16" w14:textId="6BA2A272" w:rsidR="0043654D" w:rsidRPr="00D37D52" w:rsidRDefault="00D37D52" w:rsidP="00CF7532">
      <w:pPr>
        <w:spacing w:before="0" w:after="0"/>
        <w:ind w:left="360"/>
        <w:rPr>
          <w:szCs w:val="20"/>
        </w:rPr>
      </w:pPr>
      <w:r w:rsidRPr="00D37D52">
        <w:rPr>
          <w:szCs w:val="20"/>
        </w:rPr>
        <w:fldChar w:fldCharType="begin">
          <w:ffData>
            <w:name w:val=""/>
            <w:enabled/>
            <w:calcOnExit w:val="0"/>
            <w:checkBox>
              <w:sizeAuto/>
              <w:default w:val="0"/>
            </w:checkBox>
          </w:ffData>
        </w:fldChar>
      </w:r>
      <w:r w:rsidRPr="00D37D52">
        <w:rPr>
          <w:szCs w:val="20"/>
        </w:rPr>
        <w:instrText xml:space="preserve"> FORMCHECKBOX </w:instrText>
      </w:r>
      <w:r w:rsidR="00625119">
        <w:rPr>
          <w:szCs w:val="20"/>
        </w:rPr>
      </w:r>
      <w:r w:rsidR="00625119">
        <w:rPr>
          <w:szCs w:val="20"/>
        </w:rPr>
        <w:fldChar w:fldCharType="separate"/>
      </w:r>
      <w:r w:rsidRPr="00D37D52">
        <w:rPr>
          <w:szCs w:val="20"/>
        </w:rPr>
        <w:fldChar w:fldCharType="end"/>
      </w:r>
      <w:r w:rsidR="0043654D" w:rsidRPr="00D37D52">
        <w:rPr>
          <w:szCs w:val="20"/>
        </w:rPr>
        <w:t xml:space="preserve"> Yes (if yes, please provide details below)</w:t>
      </w:r>
    </w:p>
    <w:p w14:paraId="30A6119D" w14:textId="0F6E15AA" w:rsidR="003F5A15" w:rsidRDefault="00D37D52" w:rsidP="00CF7532">
      <w:pPr>
        <w:spacing w:before="0" w:after="0"/>
        <w:ind w:left="360"/>
        <w:rPr>
          <w:szCs w:val="20"/>
        </w:rPr>
      </w:pPr>
      <w:r w:rsidRPr="00D37D52">
        <w:rPr>
          <w:szCs w:val="20"/>
        </w:rPr>
        <w:fldChar w:fldCharType="begin">
          <w:ffData>
            <w:name w:val=""/>
            <w:enabled/>
            <w:calcOnExit w:val="0"/>
            <w:checkBox>
              <w:sizeAuto/>
              <w:default w:val="1"/>
            </w:checkBox>
          </w:ffData>
        </w:fldChar>
      </w:r>
      <w:r w:rsidRPr="00D37D52">
        <w:rPr>
          <w:szCs w:val="20"/>
        </w:rPr>
        <w:instrText xml:space="preserve"> FORMCHECKBOX </w:instrText>
      </w:r>
      <w:r w:rsidR="00625119">
        <w:rPr>
          <w:szCs w:val="20"/>
        </w:rPr>
      </w:r>
      <w:r w:rsidR="00625119">
        <w:rPr>
          <w:szCs w:val="20"/>
        </w:rPr>
        <w:fldChar w:fldCharType="separate"/>
      </w:r>
      <w:r w:rsidRPr="00D37D52">
        <w:rPr>
          <w:szCs w:val="20"/>
        </w:rPr>
        <w:fldChar w:fldCharType="end"/>
      </w:r>
      <w:r w:rsidR="0043654D" w:rsidRPr="00D37D52">
        <w:rPr>
          <w:szCs w:val="20"/>
        </w:rPr>
        <w:t xml:space="preserve"> No</w:t>
      </w:r>
    </w:p>
    <w:p w14:paraId="0D41E4F1" w14:textId="33F89E49" w:rsidR="0069092F" w:rsidRDefault="0069092F" w:rsidP="003F5A15">
      <w:pPr>
        <w:spacing w:before="0" w:after="0"/>
        <w:ind w:left="284"/>
        <w:rPr>
          <w:szCs w:val="20"/>
        </w:rPr>
      </w:pPr>
    </w:p>
    <w:p w14:paraId="63DD1ADA" w14:textId="579DEE65" w:rsidR="0069092F" w:rsidRPr="00CF7532" w:rsidRDefault="007D5730" w:rsidP="00CF7532">
      <w:pPr>
        <w:pStyle w:val="ListParagraph"/>
        <w:numPr>
          <w:ilvl w:val="0"/>
          <w:numId w:val="7"/>
        </w:numPr>
        <w:rPr>
          <w:b/>
          <w:szCs w:val="20"/>
        </w:rPr>
      </w:pPr>
      <w:r w:rsidRPr="007D5730">
        <w:rPr>
          <w:b/>
          <w:szCs w:val="20"/>
        </w:rPr>
        <w:t>If the therapeutic good is NOT in the process of being considered by TGA, is an application to TGA being prepared?</w:t>
      </w:r>
    </w:p>
    <w:p w14:paraId="1C468A29" w14:textId="3AE993F2" w:rsidR="000A110D" w:rsidRPr="00D57984" w:rsidRDefault="00D57984" w:rsidP="00CF7532">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119">
        <w:rPr>
          <w:szCs w:val="20"/>
        </w:rPr>
      </w:r>
      <w:r w:rsidR="00625119">
        <w:rPr>
          <w:szCs w:val="20"/>
        </w:rPr>
        <w:fldChar w:fldCharType="separate"/>
      </w:r>
      <w:r>
        <w:rPr>
          <w:szCs w:val="20"/>
        </w:rPr>
        <w:fldChar w:fldCharType="end"/>
      </w:r>
      <w:r w:rsidR="000A110D" w:rsidRPr="00D57984">
        <w:rPr>
          <w:szCs w:val="20"/>
        </w:rPr>
        <w:t xml:space="preserve"> Yes (please provide details below)</w:t>
      </w:r>
    </w:p>
    <w:p w14:paraId="1C468A2A" w14:textId="77777777" w:rsidR="000A110D" w:rsidRPr="00D57984" w:rsidRDefault="000A110D" w:rsidP="00CF7532">
      <w:pPr>
        <w:spacing w:before="0" w:after="0"/>
        <w:ind w:left="360"/>
        <w:rPr>
          <w:szCs w:val="20"/>
        </w:rPr>
      </w:pPr>
      <w:r w:rsidRPr="00D57984">
        <w:rPr>
          <w:szCs w:val="20"/>
        </w:rPr>
        <w:fldChar w:fldCharType="begin">
          <w:ffData>
            <w:name w:val="Check1"/>
            <w:enabled/>
            <w:calcOnExit w:val="0"/>
            <w:checkBox>
              <w:sizeAuto/>
              <w:default w:val="0"/>
            </w:checkBox>
          </w:ffData>
        </w:fldChar>
      </w:r>
      <w:r w:rsidRPr="00D57984">
        <w:rPr>
          <w:szCs w:val="20"/>
        </w:rPr>
        <w:instrText xml:space="preserve"> FORMCHECKBOX </w:instrText>
      </w:r>
      <w:r w:rsidR="00625119">
        <w:rPr>
          <w:szCs w:val="20"/>
        </w:rPr>
      </w:r>
      <w:r w:rsidR="00625119">
        <w:rPr>
          <w:szCs w:val="20"/>
        </w:rPr>
        <w:fldChar w:fldCharType="separate"/>
      </w:r>
      <w:r w:rsidRPr="00D57984">
        <w:rPr>
          <w:szCs w:val="20"/>
        </w:rPr>
        <w:fldChar w:fldCharType="end"/>
      </w:r>
      <w:r w:rsidRPr="00D57984">
        <w:rPr>
          <w:szCs w:val="20"/>
        </w:rPr>
        <w:t xml:space="preserve"> No</w:t>
      </w:r>
    </w:p>
    <w:p w14:paraId="1C468A2B" w14:textId="77777777" w:rsidR="000A110D" w:rsidRPr="000A6E84" w:rsidRDefault="000A110D" w:rsidP="00971EDB">
      <w:pPr>
        <w:spacing w:before="0" w:after="0"/>
        <w:rPr>
          <w:szCs w:val="20"/>
          <w:highlight w:val="yellow"/>
        </w:rPr>
      </w:pPr>
    </w:p>
    <w:p w14:paraId="53DC7C79" w14:textId="77777777" w:rsidR="00FE6BCC" w:rsidRDefault="00971EDB" w:rsidP="00CF7532">
      <w:pPr>
        <w:spacing w:before="0" w:after="0"/>
        <w:ind w:left="360"/>
        <w:rPr>
          <w:szCs w:val="20"/>
        </w:rPr>
      </w:pPr>
      <w:r w:rsidRPr="004A7F3D">
        <w:rPr>
          <w:szCs w:val="20"/>
        </w:rPr>
        <w:t xml:space="preserve">Estimated date of submission to TGA:  </w:t>
      </w:r>
    </w:p>
    <w:p w14:paraId="342F5993" w14:textId="77777777" w:rsidR="00FE6BCC" w:rsidRDefault="00FE6BCC" w:rsidP="00CF7532">
      <w:pPr>
        <w:spacing w:before="0" w:after="0"/>
        <w:ind w:left="360"/>
        <w:rPr>
          <w:szCs w:val="20"/>
        </w:rPr>
      </w:pPr>
    </w:p>
    <w:p w14:paraId="5910C85B" w14:textId="310B6D27" w:rsidR="00FE6BCC" w:rsidRDefault="00FE6BCC" w:rsidP="00CF7532">
      <w:pPr>
        <w:spacing w:before="0" w:after="0"/>
        <w:ind w:left="360"/>
      </w:pPr>
      <w:r>
        <w:t xml:space="preserve">The ARTG entry 282596 includes the following indications: </w:t>
      </w:r>
    </w:p>
    <w:p w14:paraId="73E322B9" w14:textId="09BF657B" w:rsidR="00FE6BCC" w:rsidRDefault="00FE6BCC" w:rsidP="00CF7532">
      <w:pPr>
        <w:pStyle w:val="ListParagraph"/>
        <w:numPr>
          <w:ilvl w:val="0"/>
          <w:numId w:val="19"/>
        </w:numPr>
        <w:spacing w:before="0" w:after="0"/>
        <w:ind w:left="1080"/>
      </w:pPr>
      <w:r>
        <w:t>Companion Diagnostic (</w:t>
      </w:r>
      <w:proofErr w:type="spellStart"/>
      <w:r>
        <w:t>CDx</w:t>
      </w:r>
      <w:proofErr w:type="spellEnd"/>
      <w:r>
        <w:t>) claims for NSCLC, Urothelial Carcinoma</w:t>
      </w:r>
    </w:p>
    <w:p w14:paraId="6BB800FA" w14:textId="465D689D" w:rsidR="00FE6BCC" w:rsidRDefault="00FE6BCC" w:rsidP="00CF7532">
      <w:pPr>
        <w:pStyle w:val="ListParagraph"/>
        <w:numPr>
          <w:ilvl w:val="0"/>
          <w:numId w:val="19"/>
        </w:numPr>
        <w:spacing w:before="0" w:after="0"/>
        <w:ind w:left="1080"/>
      </w:pPr>
      <w:r>
        <w:t>Analytical claim for Melanoma</w:t>
      </w:r>
    </w:p>
    <w:p w14:paraId="0D0A54B5" w14:textId="77777777" w:rsidR="00FE6BCC" w:rsidRDefault="00FE6BCC" w:rsidP="00CF7532">
      <w:pPr>
        <w:spacing w:before="0" w:after="0"/>
        <w:ind w:left="360"/>
      </w:pPr>
    </w:p>
    <w:p w14:paraId="60606E28" w14:textId="77777777" w:rsidR="00FE6BCC" w:rsidRDefault="00FE6BCC" w:rsidP="00CF7532">
      <w:pPr>
        <w:spacing w:before="0" w:after="0"/>
        <w:ind w:left="360"/>
      </w:pPr>
      <w:r>
        <w:t xml:space="preserve">On October 29, 2020, Agilent submitted application DV-2020-IVA-30161-1/Submission ID DA-2020-0930-1 to the TGA for inclusion of PD-L1 IHC 22C3 </w:t>
      </w:r>
      <w:proofErr w:type="spellStart"/>
      <w:r>
        <w:t>pharmDx</w:t>
      </w:r>
      <w:proofErr w:type="spellEnd"/>
      <w:r>
        <w:t xml:space="preserve"> into the ARTG as a Class 3 in vitro diagnostic (IVD) </w:t>
      </w:r>
      <w:proofErr w:type="spellStart"/>
      <w:r>
        <w:t>CDx</w:t>
      </w:r>
      <w:proofErr w:type="spellEnd"/>
      <w:r>
        <w:t xml:space="preserve"> as per the new TGA </w:t>
      </w:r>
      <w:proofErr w:type="spellStart"/>
      <w:r>
        <w:t>CDx</w:t>
      </w:r>
      <w:proofErr w:type="spellEnd"/>
      <w:r>
        <w:t xml:space="preserve"> IVD regulations (effective Feb 2020). </w:t>
      </w:r>
    </w:p>
    <w:p w14:paraId="6E6EDC87" w14:textId="77777777" w:rsidR="00FE6BCC" w:rsidRDefault="00FE6BCC" w:rsidP="00CF7532">
      <w:pPr>
        <w:spacing w:before="0" w:after="0"/>
        <w:ind w:left="360"/>
      </w:pPr>
    </w:p>
    <w:p w14:paraId="2E0F2BBE" w14:textId="5848E67E" w:rsidR="00FE6BCC" w:rsidRDefault="00FE6BCC" w:rsidP="00CF7532">
      <w:pPr>
        <w:spacing w:before="0" w:after="0"/>
        <w:ind w:left="360"/>
      </w:pPr>
      <w:r>
        <w:t xml:space="preserve">The proposed instructions for use (IFU) of the PD-L1 IHC 22C3 </w:t>
      </w:r>
      <w:proofErr w:type="spellStart"/>
      <w:r>
        <w:t>pharmDx</w:t>
      </w:r>
      <w:proofErr w:type="spellEnd"/>
      <w:r>
        <w:t xml:space="preserve"> under review include </w:t>
      </w:r>
      <w:r w:rsidR="00E04EB0">
        <w:t xml:space="preserve">NSCLC, </w:t>
      </w:r>
      <w:r>
        <w:t>melanoma, and the addition of an intended use for PD-L1 testing as an aid in identifying HNSCC patients for treatment with pembrolizumab. That submission remains under review with the TGA.</w:t>
      </w:r>
    </w:p>
    <w:p w14:paraId="170DE5E0" w14:textId="77777777" w:rsidR="00FE6BCC" w:rsidRDefault="00FE6BCC" w:rsidP="00FE6BCC">
      <w:pPr>
        <w:spacing w:before="0" w:after="0"/>
      </w:pPr>
    </w:p>
    <w:p w14:paraId="1C468A2C" w14:textId="5224656B" w:rsidR="00971EDB" w:rsidRDefault="00FE6BCC" w:rsidP="00CF7532">
      <w:pPr>
        <w:spacing w:before="0" w:after="0"/>
        <w:ind w:left="360"/>
      </w:pPr>
      <w:r>
        <w:t xml:space="preserve">Upon approval of the IFU currently under review, and when a new ARTG number is issued for this PD-L1 IHC 22C3 </w:t>
      </w:r>
      <w:proofErr w:type="spellStart"/>
      <w:r>
        <w:t>pharmDx</w:t>
      </w:r>
      <w:proofErr w:type="spellEnd"/>
      <w:r>
        <w:t xml:space="preserve"> submission under the new </w:t>
      </w:r>
      <w:proofErr w:type="spellStart"/>
      <w:r>
        <w:t>CDx</w:t>
      </w:r>
      <w:proofErr w:type="spellEnd"/>
      <w:r>
        <w:t xml:space="preserve"> regulations, Agilent will </w:t>
      </w:r>
      <w:proofErr w:type="gramStart"/>
      <w:r>
        <w:t>submit an application</w:t>
      </w:r>
      <w:proofErr w:type="gramEnd"/>
      <w:r>
        <w:t xml:space="preserve"> for the addition of an intended use for PD-L1 testing for patients with TNBC.</w:t>
      </w:r>
    </w:p>
    <w:p w14:paraId="5953A10C" w14:textId="77777777" w:rsidR="00CD7AD0" w:rsidRPr="004A7F3D" w:rsidRDefault="00CD7AD0" w:rsidP="00CF7532">
      <w:pPr>
        <w:spacing w:before="0" w:after="0"/>
        <w:ind w:left="360"/>
        <w:rPr>
          <w:szCs w:val="20"/>
        </w:rPr>
      </w:pPr>
    </w:p>
    <w:p w14:paraId="50BCC10C" w14:textId="77777777" w:rsidR="003205B1" w:rsidRDefault="00971EDB" w:rsidP="00CF7532">
      <w:pPr>
        <w:spacing w:before="0" w:after="0"/>
        <w:ind w:left="360"/>
        <w:rPr>
          <w:szCs w:val="20"/>
        </w:rPr>
      </w:pPr>
      <w:r w:rsidRPr="004A7F3D">
        <w:rPr>
          <w:szCs w:val="20"/>
        </w:rPr>
        <w:t xml:space="preserve">Proposed indication(s), if applicable: </w:t>
      </w:r>
      <w:r w:rsidR="003205B1">
        <w:rPr>
          <w:szCs w:val="20"/>
        </w:rPr>
        <w:t>As above.</w:t>
      </w:r>
    </w:p>
    <w:p w14:paraId="1C468A2D" w14:textId="0B477E16" w:rsidR="00971EDB" w:rsidRPr="004A7F3D" w:rsidRDefault="003205B1" w:rsidP="00CF7532">
      <w:pPr>
        <w:spacing w:before="0" w:after="0"/>
        <w:ind w:left="360"/>
        <w:rPr>
          <w:szCs w:val="20"/>
        </w:rPr>
      </w:pPr>
      <w:r w:rsidRPr="004A7F3D">
        <w:rPr>
          <w:szCs w:val="20"/>
        </w:rPr>
        <w:t xml:space="preserve"> </w:t>
      </w:r>
    </w:p>
    <w:p w14:paraId="6B9A29D6" w14:textId="77777777" w:rsidR="000968C0" w:rsidRDefault="00971EDB" w:rsidP="00CF7532">
      <w:pPr>
        <w:spacing w:before="0" w:after="0"/>
        <w:ind w:left="360"/>
        <w:rPr>
          <w:szCs w:val="20"/>
        </w:rPr>
      </w:pPr>
      <w:r w:rsidRPr="004A7F3D">
        <w:rPr>
          <w:szCs w:val="20"/>
        </w:rPr>
        <w:t>Proposed purpose(s), if applicable:</w:t>
      </w:r>
      <w:r w:rsidR="00125216" w:rsidRPr="00125216">
        <w:t xml:space="preserve"> </w:t>
      </w:r>
      <w:r w:rsidR="00125216" w:rsidRPr="00125216">
        <w:rPr>
          <w:szCs w:val="20"/>
        </w:rPr>
        <w:t>For in vitro diagnostic use.</w:t>
      </w:r>
    </w:p>
    <w:p w14:paraId="0A15A553" w14:textId="77777777" w:rsidR="000968C0" w:rsidRDefault="000968C0" w:rsidP="00CF7532">
      <w:pPr>
        <w:spacing w:before="0" w:after="0"/>
        <w:ind w:left="360"/>
        <w:rPr>
          <w:szCs w:val="20"/>
        </w:rPr>
      </w:pPr>
    </w:p>
    <w:p w14:paraId="1C468A2E" w14:textId="314C41C4" w:rsidR="00F83A9D" w:rsidRPr="00154B00" w:rsidRDefault="000968C0" w:rsidP="00CF7532">
      <w:pPr>
        <w:spacing w:before="0" w:after="0"/>
        <w:ind w:left="360"/>
        <w:rPr>
          <w:szCs w:val="20"/>
        </w:rPr>
      </w:pPr>
      <w:r w:rsidRPr="000968C0">
        <w:rPr>
          <w:szCs w:val="20"/>
        </w:rPr>
        <w:t xml:space="preserve">PD-L1 IHC 22C3 </w:t>
      </w:r>
      <w:proofErr w:type="spellStart"/>
      <w:r w:rsidRPr="000968C0">
        <w:rPr>
          <w:szCs w:val="20"/>
        </w:rPr>
        <w:t>pharmDx</w:t>
      </w:r>
      <w:proofErr w:type="spellEnd"/>
      <w:r w:rsidRPr="000968C0">
        <w:rPr>
          <w:szCs w:val="20"/>
        </w:rPr>
        <w:t xml:space="preserve"> is a qualitative immunohistochemical assay using monoclonal mouse anti-PD-L1, Clone 22C3 intended for use in the detection of PD-L1 protein in formalin-fixed, paraffin-embedded (FFPE) non-small cell lung cancer (NSCLC), head and neck squamous cell carcinoma (HNSCC), and melanoma </w:t>
      </w:r>
      <w:proofErr w:type="gramStart"/>
      <w:r w:rsidR="00C55DE0" w:rsidRPr="000968C0">
        <w:rPr>
          <w:szCs w:val="20"/>
        </w:rPr>
        <w:t xml:space="preserve">tissues </w:t>
      </w:r>
      <w:r w:rsidR="00F523F3" w:rsidRPr="000968C0">
        <w:rPr>
          <w:szCs w:val="20"/>
        </w:rPr>
        <w:t xml:space="preserve"> </w:t>
      </w:r>
      <w:r w:rsidRPr="000968C0">
        <w:rPr>
          <w:szCs w:val="20"/>
        </w:rPr>
        <w:t>using</w:t>
      </w:r>
      <w:proofErr w:type="gramEnd"/>
      <w:r w:rsidRPr="000968C0">
        <w:rPr>
          <w:szCs w:val="20"/>
        </w:rPr>
        <w:t xml:space="preserve"> </w:t>
      </w:r>
      <w:proofErr w:type="spellStart"/>
      <w:r w:rsidRPr="000968C0">
        <w:rPr>
          <w:szCs w:val="20"/>
        </w:rPr>
        <w:t>EnVision</w:t>
      </w:r>
      <w:proofErr w:type="spellEnd"/>
      <w:r w:rsidRPr="000968C0">
        <w:rPr>
          <w:szCs w:val="20"/>
        </w:rPr>
        <w:t xml:space="preserve"> FLEX visualization system on </w:t>
      </w:r>
      <w:proofErr w:type="spellStart"/>
      <w:r w:rsidRPr="000968C0">
        <w:rPr>
          <w:szCs w:val="20"/>
        </w:rPr>
        <w:t>Autostainer</w:t>
      </w:r>
      <w:proofErr w:type="spellEnd"/>
      <w:r w:rsidRPr="000968C0">
        <w:rPr>
          <w:szCs w:val="20"/>
        </w:rPr>
        <w:t xml:space="preserve"> Link 48.</w:t>
      </w:r>
    </w:p>
    <w:p w14:paraId="197EEA25" w14:textId="77777777" w:rsidR="00DD308E" w:rsidRDefault="00DD308E">
      <w:pPr>
        <w:rPr>
          <w:b/>
          <w:sz w:val="32"/>
          <w:szCs w:val="32"/>
        </w:rPr>
      </w:pPr>
    </w:p>
    <w:p w14:paraId="1C468A2F" w14:textId="32343FC3" w:rsidR="00BC3C08" w:rsidRDefault="00BC3C08">
      <w:pPr>
        <w:rPr>
          <w:b/>
          <w:sz w:val="32"/>
          <w:szCs w:val="32"/>
        </w:rPr>
        <w:sectPr w:rsidR="00BC3C08" w:rsidSect="00991EE4">
          <w:footerReference w:type="default" r:id="rId15"/>
          <w:pgSz w:w="11906" w:h="16838"/>
          <w:pgMar w:top="1440" w:right="1440" w:bottom="1440" w:left="1440" w:header="708" w:footer="708" w:gutter="0"/>
          <w:pgNumType w:start="0"/>
          <w:cols w:space="708"/>
          <w:titlePg/>
          <w:docGrid w:linePitch="360"/>
        </w:sectPr>
      </w:pPr>
    </w:p>
    <w:p w14:paraId="1C468A30" w14:textId="77777777" w:rsidR="00DD308E" w:rsidRPr="00C776B1" w:rsidRDefault="00B17CBE" w:rsidP="00F222BE">
      <w:pPr>
        <w:pStyle w:val="Heading1"/>
      </w:pPr>
      <w:r>
        <w:lastRenderedPageBreak/>
        <w:t>PART 4</w:t>
      </w:r>
      <w:r w:rsidR="00DD308E">
        <w:t xml:space="preserve"> – </w:t>
      </w:r>
      <w:r w:rsidR="00DD308E" w:rsidRPr="00E13580">
        <w:t>SUMMARY OF EVIDENCE</w:t>
      </w:r>
    </w:p>
    <w:p w14:paraId="423DF561" w14:textId="14DA7902" w:rsidR="00F50371" w:rsidRPr="00F50371" w:rsidRDefault="00F50371" w:rsidP="00F50371">
      <w:pPr>
        <w:pStyle w:val="Heading2"/>
      </w:pPr>
      <w:r w:rsidRPr="00F50371">
        <w:t xml:space="preserve">Provide one or more recent (published) high quality clinical studies that support use of the proposed health service/technology. At ‘Application Form lodgement’, please do not attach full text articles; just provide a </w:t>
      </w:r>
      <w:r w:rsidR="0078664C" w:rsidRPr="00F50371">
        <w:t>summary.</w:t>
      </w:r>
    </w:p>
    <w:tbl>
      <w:tblPr>
        <w:tblStyle w:val="TableGrid"/>
        <w:tblW w:w="5000" w:type="pct"/>
        <w:tblLayout w:type="fixed"/>
        <w:tblLook w:val="04A0" w:firstRow="1" w:lastRow="0" w:firstColumn="1" w:lastColumn="0" w:noHBand="0" w:noVBand="1"/>
        <w:tblCaption w:val="Summary of Evidence - Published"/>
      </w:tblPr>
      <w:tblGrid>
        <w:gridCol w:w="466"/>
        <w:gridCol w:w="2014"/>
        <w:gridCol w:w="2494"/>
        <w:gridCol w:w="3785"/>
        <w:gridCol w:w="2790"/>
        <w:gridCol w:w="2399"/>
      </w:tblGrid>
      <w:tr w:rsidR="00DD308E" w14:paraId="1C468A38" w14:textId="77777777" w:rsidTr="001A6086">
        <w:trPr>
          <w:cantSplit/>
          <w:tblHeader/>
        </w:trPr>
        <w:tc>
          <w:tcPr>
            <w:tcW w:w="167" w:type="pct"/>
          </w:tcPr>
          <w:p w14:paraId="1C468A32" w14:textId="77777777" w:rsidR="00DD308E" w:rsidRDefault="00DD308E" w:rsidP="00855944">
            <w:pPr>
              <w:pStyle w:val="TableHEADER"/>
            </w:pPr>
          </w:p>
        </w:tc>
        <w:tc>
          <w:tcPr>
            <w:tcW w:w="722" w:type="pct"/>
          </w:tcPr>
          <w:p w14:paraId="1C468A33" w14:textId="09564CD4" w:rsidR="00DD308E" w:rsidRDefault="00DD308E" w:rsidP="00855944">
            <w:pPr>
              <w:pStyle w:val="TableHEADER"/>
            </w:pPr>
            <w:r>
              <w:t>Type of study design</w:t>
            </w:r>
          </w:p>
        </w:tc>
        <w:tc>
          <w:tcPr>
            <w:tcW w:w="894" w:type="pct"/>
          </w:tcPr>
          <w:p w14:paraId="1C468A34" w14:textId="73467B3E" w:rsidR="00DD308E" w:rsidRDefault="00DD308E" w:rsidP="00855944">
            <w:pPr>
              <w:pStyle w:val="TableHEADER"/>
            </w:pPr>
            <w:r>
              <w:t>Title of journal article or research project</w:t>
            </w:r>
          </w:p>
        </w:tc>
        <w:tc>
          <w:tcPr>
            <w:tcW w:w="1357" w:type="pct"/>
          </w:tcPr>
          <w:p w14:paraId="1C468A35" w14:textId="71F2DE39" w:rsidR="00DD308E" w:rsidRDefault="00DD308E" w:rsidP="00855944">
            <w:pPr>
              <w:pStyle w:val="TableHEADER"/>
            </w:pPr>
            <w:r>
              <w:t xml:space="preserve">Short description of research </w:t>
            </w:r>
          </w:p>
        </w:tc>
        <w:tc>
          <w:tcPr>
            <w:tcW w:w="1000" w:type="pct"/>
          </w:tcPr>
          <w:p w14:paraId="1C468A36" w14:textId="0CCD241E" w:rsidR="00DD308E" w:rsidRDefault="00DD308E" w:rsidP="00855944">
            <w:pPr>
              <w:pStyle w:val="TableHEADER"/>
            </w:pPr>
            <w:r w:rsidRPr="00E82F54">
              <w:t xml:space="preserve">Website link to </w:t>
            </w:r>
            <w:r>
              <w:t xml:space="preserve">journal article or research </w:t>
            </w:r>
          </w:p>
        </w:tc>
        <w:tc>
          <w:tcPr>
            <w:tcW w:w="860" w:type="pct"/>
          </w:tcPr>
          <w:p w14:paraId="1C468A37" w14:textId="79D023BC" w:rsidR="00DD308E" w:rsidRDefault="00DD308E" w:rsidP="00855944">
            <w:pPr>
              <w:pStyle w:val="TableHEADER"/>
            </w:pPr>
            <w:r w:rsidRPr="00E82F54">
              <w:t>Date</w:t>
            </w:r>
            <w:r>
              <w:t xml:space="preserve"> of publication</w:t>
            </w:r>
          </w:p>
        </w:tc>
      </w:tr>
      <w:tr w:rsidR="00B071B3" w14:paraId="3D188568" w14:textId="77777777" w:rsidTr="001A6086">
        <w:trPr>
          <w:cantSplit/>
        </w:trPr>
        <w:tc>
          <w:tcPr>
            <w:tcW w:w="167" w:type="pct"/>
          </w:tcPr>
          <w:p w14:paraId="3EFB59C5" w14:textId="7BD17501" w:rsidR="00B071B3" w:rsidRDefault="00B071B3" w:rsidP="00DD308E">
            <w:pPr>
              <w:rPr>
                <w:szCs w:val="20"/>
              </w:rPr>
            </w:pPr>
            <w:r>
              <w:rPr>
                <w:szCs w:val="20"/>
              </w:rPr>
              <w:t>1.</w:t>
            </w:r>
          </w:p>
        </w:tc>
        <w:tc>
          <w:tcPr>
            <w:tcW w:w="722" w:type="pct"/>
          </w:tcPr>
          <w:p w14:paraId="4BAFA6B1" w14:textId="05B6E847" w:rsidR="00B071B3" w:rsidRDefault="00B071B3" w:rsidP="00DD308E">
            <w:pPr>
              <w:rPr>
                <w:b/>
                <w:szCs w:val="20"/>
              </w:rPr>
            </w:pPr>
            <w:r>
              <w:rPr>
                <w:b/>
                <w:szCs w:val="20"/>
              </w:rPr>
              <w:t>Single Arm Trial</w:t>
            </w:r>
          </w:p>
        </w:tc>
        <w:tc>
          <w:tcPr>
            <w:tcW w:w="894" w:type="pct"/>
          </w:tcPr>
          <w:p w14:paraId="2C9AC31F" w14:textId="7AA6355B" w:rsidR="00B071B3" w:rsidRDefault="00B071B3" w:rsidP="00202D62">
            <w:pPr>
              <w:rPr>
                <w:b/>
                <w:szCs w:val="20"/>
              </w:rPr>
            </w:pPr>
            <w:r>
              <w:rPr>
                <w:b/>
                <w:szCs w:val="20"/>
              </w:rPr>
              <w:t>Pembrolizumab in Patients with advanced triple-negative breast cancer: Phase 1b KEYNOTE-012 Study</w:t>
            </w:r>
          </w:p>
        </w:tc>
        <w:tc>
          <w:tcPr>
            <w:tcW w:w="1357" w:type="pct"/>
          </w:tcPr>
          <w:p w14:paraId="483C488A" w14:textId="471C79E9" w:rsidR="00B071B3" w:rsidRDefault="00830F66" w:rsidP="008328A4">
            <w:pPr>
              <w:rPr>
                <w:szCs w:val="20"/>
              </w:rPr>
            </w:pPr>
            <w:r>
              <w:rPr>
                <w:szCs w:val="20"/>
              </w:rPr>
              <w:t xml:space="preserve">A phase 1b trial of single-agent pembrolizumab was conducted for patients with advanced PD-L1-positive TNBC. Among the 27 patients who </w:t>
            </w:r>
            <w:r w:rsidR="006A0BB6">
              <w:rPr>
                <w:szCs w:val="20"/>
              </w:rPr>
              <w:t>had received chemotherapy for both early and advanced disease</w:t>
            </w:r>
            <w:r>
              <w:rPr>
                <w:szCs w:val="20"/>
              </w:rPr>
              <w:t>, pembrolizumab demonstrated an ORR of 18.5%.</w:t>
            </w:r>
            <w:r w:rsidR="001D475D">
              <w:rPr>
                <w:szCs w:val="20"/>
              </w:rPr>
              <w:t xml:space="preserve"> This study supported further development of pembrolizumab for treatment of </w:t>
            </w:r>
            <w:proofErr w:type="spellStart"/>
            <w:r w:rsidR="001D475D">
              <w:rPr>
                <w:szCs w:val="20"/>
              </w:rPr>
              <w:t>mTNBC</w:t>
            </w:r>
            <w:proofErr w:type="spellEnd"/>
            <w:r w:rsidR="001D475D">
              <w:rPr>
                <w:szCs w:val="20"/>
              </w:rPr>
              <w:t>.</w:t>
            </w:r>
          </w:p>
        </w:tc>
        <w:tc>
          <w:tcPr>
            <w:tcW w:w="1000" w:type="pct"/>
          </w:tcPr>
          <w:p w14:paraId="4BB7AC86" w14:textId="2B58AA44" w:rsidR="00B071B3" w:rsidRPr="00B071B3" w:rsidRDefault="001D475D" w:rsidP="00DD308E">
            <w:r w:rsidRPr="001D475D">
              <w:t>https://ascopubs.org/doi/10.1200/JCO.2015.64.8931?url_ver=Z39.88-2003&amp;rfr_id=ori:rid:crossref.org&amp;rfr_dat=cr_pub%20%200pubmed</w:t>
            </w:r>
          </w:p>
        </w:tc>
        <w:tc>
          <w:tcPr>
            <w:tcW w:w="860" w:type="pct"/>
          </w:tcPr>
          <w:p w14:paraId="60627B14" w14:textId="452872EC" w:rsidR="00B071B3" w:rsidRDefault="001D475D" w:rsidP="00DD308E">
            <w:pPr>
              <w:rPr>
                <w:szCs w:val="20"/>
              </w:rPr>
            </w:pPr>
            <w:r>
              <w:rPr>
                <w:szCs w:val="20"/>
              </w:rPr>
              <w:t>2 May 2016</w:t>
            </w:r>
          </w:p>
        </w:tc>
      </w:tr>
      <w:tr w:rsidR="00632F0B" w14:paraId="63C97D80" w14:textId="77777777" w:rsidTr="001A6086">
        <w:trPr>
          <w:cantSplit/>
        </w:trPr>
        <w:tc>
          <w:tcPr>
            <w:tcW w:w="167" w:type="pct"/>
          </w:tcPr>
          <w:p w14:paraId="28764899" w14:textId="3E6C962A" w:rsidR="00632F0B" w:rsidRPr="00965B6B" w:rsidRDefault="00B071B3" w:rsidP="00DD308E">
            <w:pPr>
              <w:rPr>
                <w:szCs w:val="20"/>
              </w:rPr>
            </w:pPr>
            <w:r>
              <w:rPr>
                <w:szCs w:val="20"/>
              </w:rPr>
              <w:t>2.</w:t>
            </w:r>
          </w:p>
        </w:tc>
        <w:tc>
          <w:tcPr>
            <w:tcW w:w="722" w:type="pct"/>
          </w:tcPr>
          <w:p w14:paraId="5CCBEFDF" w14:textId="421EEEFB" w:rsidR="00632F0B" w:rsidRDefault="00632F0B" w:rsidP="00DD308E">
            <w:pPr>
              <w:rPr>
                <w:b/>
                <w:szCs w:val="20"/>
              </w:rPr>
            </w:pPr>
            <w:r>
              <w:rPr>
                <w:b/>
                <w:szCs w:val="20"/>
              </w:rPr>
              <w:t>Single Arm Trial</w:t>
            </w:r>
          </w:p>
        </w:tc>
        <w:tc>
          <w:tcPr>
            <w:tcW w:w="894" w:type="pct"/>
          </w:tcPr>
          <w:p w14:paraId="16BE1322" w14:textId="1559BCDF" w:rsidR="00632F0B" w:rsidRDefault="00632F0B" w:rsidP="00202D62">
            <w:pPr>
              <w:rPr>
                <w:b/>
                <w:szCs w:val="20"/>
              </w:rPr>
            </w:pPr>
            <w:r>
              <w:rPr>
                <w:b/>
                <w:szCs w:val="20"/>
              </w:rPr>
              <w:t>Pembrolizumab monotherapy for previously treated metastatic triple-negative breast cancer: cohort A of the phase II KEYNOTE-086 study</w:t>
            </w:r>
          </w:p>
        </w:tc>
        <w:tc>
          <w:tcPr>
            <w:tcW w:w="1357" w:type="pct"/>
          </w:tcPr>
          <w:p w14:paraId="14F0C005" w14:textId="2983E3F7" w:rsidR="00632F0B" w:rsidRPr="008E029B" w:rsidRDefault="00632F0B" w:rsidP="008328A4">
            <w:pPr>
              <w:rPr>
                <w:szCs w:val="20"/>
              </w:rPr>
            </w:pPr>
            <w:r>
              <w:rPr>
                <w:szCs w:val="20"/>
              </w:rPr>
              <w:t>A phase 2 single-arm trial of pembrolizumab for previously treated metastatic triple-negative breast cancer was conducted. 105 patients had PD-L-positive tumours</w:t>
            </w:r>
            <w:r w:rsidR="0008787B">
              <w:rPr>
                <w:szCs w:val="20"/>
              </w:rPr>
              <w:t>. O</w:t>
            </w:r>
            <w:r w:rsidR="000A6E84">
              <w:rPr>
                <w:szCs w:val="20"/>
              </w:rPr>
              <w:t>RR</w:t>
            </w:r>
            <w:r w:rsidR="0008787B">
              <w:rPr>
                <w:szCs w:val="20"/>
              </w:rPr>
              <w:t xml:space="preserve"> was 5.7% in the PD-L1-positive populations, demonstrating pembrolizumab’s durable antitumour activity in patients with previously treated </w:t>
            </w:r>
            <w:proofErr w:type="spellStart"/>
            <w:r w:rsidR="0008787B">
              <w:rPr>
                <w:szCs w:val="20"/>
              </w:rPr>
              <w:t>mTNBC</w:t>
            </w:r>
            <w:proofErr w:type="spellEnd"/>
            <w:r w:rsidR="0008787B">
              <w:rPr>
                <w:szCs w:val="20"/>
              </w:rPr>
              <w:t>.</w:t>
            </w:r>
          </w:p>
        </w:tc>
        <w:tc>
          <w:tcPr>
            <w:tcW w:w="1000" w:type="pct"/>
          </w:tcPr>
          <w:p w14:paraId="730329EC" w14:textId="0A37F161" w:rsidR="00632F0B" w:rsidRPr="00FC29A2" w:rsidRDefault="00B071B3" w:rsidP="00DD308E">
            <w:r w:rsidRPr="00B071B3">
              <w:t>https://www.annalsofoncology.org/article/S0923-7534(19)31075-0/fulltext</w:t>
            </w:r>
          </w:p>
        </w:tc>
        <w:tc>
          <w:tcPr>
            <w:tcW w:w="860" w:type="pct"/>
          </w:tcPr>
          <w:p w14:paraId="5B6C4615" w14:textId="66E2FEB7" w:rsidR="00632F0B" w:rsidDel="00556057" w:rsidRDefault="00B071B3" w:rsidP="00DD308E">
            <w:pPr>
              <w:rPr>
                <w:szCs w:val="20"/>
              </w:rPr>
            </w:pPr>
            <w:r>
              <w:rPr>
                <w:szCs w:val="20"/>
              </w:rPr>
              <w:t>1 March 2019</w:t>
            </w:r>
          </w:p>
        </w:tc>
      </w:tr>
      <w:tr w:rsidR="00B071B3" w14:paraId="48087C76" w14:textId="77777777" w:rsidTr="001A6086">
        <w:trPr>
          <w:cantSplit/>
        </w:trPr>
        <w:tc>
          <w:tcPr>
            <w:tcW w:w="167" w:type="pct"/>
          </w:tcPr>
          <w:p w14:paraId="12AD1F4A" w14:textId="5220A6E2" w:rsidR="00B071B3" w:rsidRDefault="00B071B3" w:rsidP="00DD308E">
            <w:pPr>
              <w:rPr>
                <w:szCs w:val="20"/>
              </w:rPr>
            </w:pPr>
            <w:r>
              <w:rPr>
                <w:szCs w:val="20"/>
              </w:rPr>
              <w:lastRenderedPageBreak/>
              <w:t>3.</w:t>
            </w:r>
          </w:p>
        </w:tc>
        <w:tc>
          <w:tcPr>
            <w:tcW w:w="722" w:type="pct"/>
          </w:tcPr>
          <w:p w14:paraId="169626C3" w14:textId="27EEE44A" w:rsidR="00B071B3" w:rsidRDefault="001D475D" w:rsidP="00DD308E">
            <w:pPr>
              <w:rPr>
                <w:b/>
                <w:szCs w:val="20"/>
              </w:rPr>
            </w:pPr>
            <w:r>
              <w:rPr>
                <w:b/>
                <w:szCs w:val="20"/>
              </w:rPr>
              <w:t>Randomised, open-label trial</w:t>
            </w:r>
          </w:p>
        </w:tc>
        <w:tc>
          <w:tcPr>
            <w:tcW w:w="894" w:type="pct"/>
          </w:tcPr>
          <w:p w14:paraId="1959C841" w14:textId="76C86258" w:rsidR="00B071B3" w:rsidRDefault="001D475D" w:rsidP="00202D62">
            <w:pPr>
              <w:rPr>
                <w:b/>
                <w:szCs w:val="20"/>
              </w:rPr>
            </w:pPr>
            <w:r>
              <w:rPr>
                <w:b/>
                <w:szCs w:val="20"/>
              </w:rPr>
              <w:t>Pembrolizumab versus investigator-choice chemotherapy for metastatic triple-negative breast cancer (KEYNOTE-119): a randomised, open-label, phase 3 trial</w:t>
            </w:r>
          </w:p>
        </w:tc>
        <w:tc>
          <w:tcPr>
            <w:tcW w:w="1357" w:type="pct"/>
          </w:tcPr>
          <w:p w14:paraId="24642F0C" w14:textId="193E537E" w:rsidR="00B071B3" w:rsidRPr="008E029B" w:rsidRDefault="008C1B86" w:rsidP="008328A4">
            <w:pPr>
              <w:rPr>
                <w:szCs w:val="20"/>
              </w:rPr>
            </w:pPr>
            <w:r>
              <w:rPr>
                <w:szCs w:val="20"/>
              </w:rPr>
              <w:t xml:space="preserve">A randomised, open-label phase 3 trial was conducted on patients who had metastatic triple-negative breast cancer who had completed previous systemic treatment. </w:t>
            </w:r>
            <w:r w:rsidR="00474AC5">
              <w:rPr>
                <w:szCs w:val="20"/>
              </w:rPr>
              <w:t xml:space="preserve">While pembrolizumab did not significantly improve overall survival in patients, it informed a combinatorial approach for the treatment of patients with </w:t>
            </w:r>
            <w:proofErr w:type="spellStart"/>
            <w:r w:rsidR="00DA71A4">
              <w:rPr>
                <w:szCs w:val="20"/>
              </w:rPr>
              <w:t>m</w:t>
            </w:r>
            <w:r w:rsidR="00474AC5">
              <w:rPr>
                <w:szCs w:val="20"/>
              </w:rPr>
              <w:t>TNBC</w:t>
            </w:r>
            <w:proofErr w:type="spellEnd"/>
            <w:r w:rsidR="00474AC5">
              <w:rPr>
                <w:szCs w:val="20"/>
              </w:rPr>
              <w:t>.</w:t>
            </w:r>
          </w:p>
        </w:tc>
        <w:tc>
          <w:tcPr>
            <w:tcW w:w="1000" w:type="pct"/>
          </w:tcPr>
          <w:p w14:paraId="326D9323" w14:textId="76D79F3D" w:rsidR="00B071B3" w:rsidRPr="00FC29A2" w:rsidRDefault="00554934" w:rsidP="00DD308E">
            <w:r w:rsidRPr="00554934">
              <w:t>https://www.thelancet.com/journals/lanonc/article/PIIS1470-2045(20)30754-3/fulltext</w:t>
            </w:r>
          </w:p>
        </w:tc>
        <w:tc>
          <w:tcPr>
            <w:tcW w:w="860" w:type="pct"/>
          </w:tcPr>
          <w:p w14:paraId="30B26CE6" w14:textId="19F3603C" w:rsidR="00B071B3" w:rsidDel="00556057" w:rsidRDefault="00474AC5" w:rsidP="00DD308E">
            <w:pPr>
              <w:rPr>
                <w:szCs w:val="20"/>
              </w:rPr>
            </w:pPr>
            <w:r>
              <w:rPr>
                <w:szCs w:val="20"/>
              </w:rPr>
              <w:t>1 April 2021</w:t>
            </w:r>
          </w:p>
        </w:tc>
      </w:tr>
      <w:tr w:rsidR="00202D62" w14:paraId="1C468A3F" w14:textId="77777777" w:rsidTr="001A6086">
        <w:trPr>
          <w:cantSplit/>
        </w:trPr>
        <w:tc>
          <w:tcPr>
            <w:tcW w:w="167" w:type="pct"/>
          </w:tcPr>
          <w:p w14:paraId="1C468A39" w14:textId="5F094E2C" w:rsidR="00202D62" w:rsidRPr="00965B6B" w:rsidRDefault="00B071B3" w:rsidP="00DD308E">
            <w:pPr>
              <w:rPr>
                <w:szCs w:val="20"/>
              </w:rPr>
            </w:pPr>
            <w:r>
              <w:rPr>
                <w:szCs w:val="20"/>
              </w:rPr>
              <w:t>4.</w:t>
            </w:r>
          </w:p>
        </w:tc>
        <w:tc>
          <w:tcPr>
            <w:tcW w:w="722" w:type="pct"/>
          </w:tcPr>
          <w:p w14:paraId="1C468A3A" w14:textId="0F5B9F75" w:rsidR="00202D62" w:rsidRDefault="00FC29A2" w:rsidP="00DD308E">
            <w:pPr>
              <w:rPr>
                <w:b/>
                <w:szCs w:val="20"/>
              </w:rPr>
            </w:pPr>
            <w:r>
              <w:rPr>
                <w:b/>
                <w:szCs w:val="20"/>
              </w:rPr>
              <w:t>Randomised clinical trial</w:t>
            </w:r>
          </w:p>
        </w:tc>
        <w:tc>
          <w:tcPr>
            <w:tcW w:w="894" w:type="pct"/>
          </w:tcPr>
          <w:p w14:paraId="1C468A3B" w14:textId="6B24BE45" w:rsidR="00202D62" w:rsidRPr="00147D24" w:rsidRDefault="00FC29A2" w:rsidP="00202D62">
            <w:pPr>
              <w:rPr>
                <w:b/>
                <w:szCs w:val="20"/>
              </w:rPr>
            </w:pPr>
            <w:r>
              <w:rPr>
                <w:b/>
                <w:szCs w:val="20"/>
              </w:rPr>
              <w:t>Pembrolizumab plus chemotherapy versus placebo plus chemotherapy for previously untreated locally recurrent inoperable or metastatic triple-negative breast cancer (KEYNOTE-355): a randomised, placebo-controlled, double-blind, phase 3 clinical trial</w:t>
            </w:r>
          </w:p>
        </w:tc>
        <w:tc>
          <w:tcPr>
            <w:tcW w:w="1357" w:type="pct"/>
          </w:tcPr>
          <w:p w14:paraId="1C468A3C" w14:textId="20C8D53D" w:rsidR="00202D62" w:rsidRPr="008E029B" w:rsidRDefault="00666BE7" w:rsidP="008328A4">
            <w:pPr>
              <w:rPr>
                <w:szCs w:val="20"/>
              </w:rPr>
            </w:pPr>
            <w:r w:rsidRPr="008E029B">
              <w:rPr>
                <w:szCs w:val="20"/>
              </w:rPr>
              <w:t>A</w:t>
            </w:r>
            <w:r w:rsidRPr="00205EF3">
              <w:rPr>
                <w:szCs w:val="20"/>
              </w:rPr>
              <w:t xml:space="preserve"> randomised, placebo-controlled</w:t>
            </w:r>
            <w:r w:rsidRPr="00632F0B">
              <w:rPr>
                <w:szCs w:val="20"/>
              </w:rPr>
              <w:t xml:space="preserve"> phase 3 trial </w:t>
            </w:r>
            <w:r w:rsidR="00D753EE">
              <w:rPr>
                <w:szCs w:val="20"/>
              </w:rPr>
              <w:t>(N=</w:t>
            </w:r>
            <w:r w:rsidR="00E657B5">
              <w:rPr>
                <w:szCs w:val="20"/>
              </w:rPr>
              <w:t xml:space="preserve">847) </w:t>
            </w:r>
            <w:r w:rsidRPr="00632F0B">
              <w:rPr>
                <w:szCs w:val="20"/>
              </w:rPr>
              <w:t xml:space="preserve">was completed for untreated locally recurrent inoperable or </w:t>
            </w:r>
            <w:proofErr w:type="spellStart"/>
            <w:r w:rsidRPr="00632F0B">
              <w:rPr>
                <w:szCs w:val="20"/>
              </w:rPr>
              <w:t>m</w:t>
            </w:r>
            <w:r w:rsidR="00E657B5">
              <w:rPr>
                <w:szCs w:val="20"/>
              </w:rPr>
              <w:t>TNBC</w:t>
            </w:r>
            <w:proofErr w:type="spellEnd"/>
            <w:r w:rsidR="008E029B" w:rsidRPr="00632F0B">
              <w:rPr>
                <w:szCs w:val="20"/>
              </w:rPr>
              <w:t>. A total of 566 pa</w:t>
            </w:r>
            <w:r w:rsidR="00EE1C4D">
              <w:rPr>
                <w:szCs w:val="20"/>
              </w:rPr>
              <w:t>rticipant</w:t>
            </w:r>
            <w:r w:rsidR="008E029B" w:rsidRPr="00632F0B">
              <w:rPr>
                <w:szCs w:val="20"/>
              </w:rPr>
              <w:t>s received pembrolizumab-chemotherapy combination</w:t>
            </w:r>
            <w:r w:rsidR="00EE1C4D">
              <w:rPr>
                <w:szCs w:val="20"/>
              </w:rPr>
              <w:t>, and</w:t>
            </w:r>
            <w:r w:rsidR="00A31B0E">
              <w:rPr>
                <w:szCs w:val="20"/>
              </w:rPr>
              <w:t xml:space="preserve"> 281 received chemotherapy plus placebo</w:t>
            </w:r>
            <w:r w:rsidR="008E029B" w:rsidRPr="00632F0B">
              <w:rPr>
                <w:szCs w:val="20"/>
              </w:rPr>
              <w:t>. Among pa</w:t>
            </w:r>
            <w:r w:rsidR="00625EF3">
              <w:rPr>
                <w:szCs w:val="20"/>
              </w:rPr>
              <w:t xml:space="preserve">rticipants in the </w:t>
            </w:r>
            <w:r w:rsidR="008E029B" w:rsidRPr="00632F0B">
              <w:rPr>
                <w:szCs w:val="20"/>
              </w:rPr>
              <w:t>CPS</w:t>
            </w:r>
            <w:r w:rsidR="008E029B" w:rsidRPr="00E13580">
              <w:rPr>
                <w:szCs w:val="20"/>
              </w:rPr>
              <w:t>≥10</w:t>
            </w:r>
            <w:r w:rsidR="00625EF3">
              <w:rPr>
                <w:szCs w:val="20"/>
              </w:rPr>
              <w:t xml:space="preserve"> subpopulation</w:t>
            </w:r>
            <w:r w:rsidR="008E029B" w:rsidRPr="00E13580">
              <w:rPr>
                <w:szCs w:val="20"/>
              </w:rPr>
              <w:t>, median progression-free survival was 9.7 months, as opposed to 5.6 months with placebo-chemotherapy.</w:t>
            </w:r>
            <w:r w:rsidR="00625EF3">
              <w:rPr>
                <w:szCs w:val="20"/>
              </w:rPr>
              <w:t xml:space="preserve"> </w:t>
            </w:r>
          </w:p>
        </w:tc>
        <w:tc>
          <w:tcPr>
            <w:tcW w:w="1000" w:type="pct"/>
          </w:tcPr>
          <w:p w14:paraId="1FE5113B" w14:textId="77777777" w:rsidR="00202D62" w:rsidRDefault="00FC29A2" w:rsidP="00DD308E">
            <w:r w:rsidRPr="00FC29A2">
              <w:t>https://www.thelancet.com/journals/lancet/article/PIIS0140-6736(20)32531-9/fulltext</w:t>
            </w:r>
          </w:p>
          <w:p w14:paraId="7C014157" w14:textId="77777777" w:rsidR="00457503" w:rsidRDefault="00457503" w:rsidP="00DD308E"/>
          <w:p w14:paraId="1C468A3D" w14:textId="57EE19B5" w:rsidR="006C7ECC" w:rsidRPr="00D259F7" w:rsidRDefault="006C7ECC" w:rsidP="00DD308E"/>
        </w:tc>
        <w:tc>
          <w:tcPr>
            <w:tcW w:w="860" w:type="pct"/>
          </w:tcPr>
          <w:p w14:paraId="372BEC7B" w14:textId="77777777" w:rsidR="006C7ECC" w:rsidRDefault="00FC29A2" w:rsidP="00DD308E">
            <w:pPr>
              <w:rPr>
                <w:szCs w:val="20"/>
              </w:rPr>
            </w:pPr>
            <w:r>
              <w:rPr>
                <w:szCs w:val="20"/>
              </w:rPr>
              <w:t xml:space="preserve"> 5 December 2020</w:t>
            </w:r>
            <w:r w:rsidR="006C7ECC">
              <w:rPr>
                <w:szCs w:val="20"/>
              </w:rPr>
              <w:br/>
            </w:r>
            <w:r w:rsidR="006C7ECC">
              <w:rPr>
                <w:szCs w:val="20"/>
              </w:rPr>
              <w:br/>
            </w:r>
          </w:p>
          <w:p w14:paraId="6C0064B2" w14:textId="77777777" w:rsidR="006C7ECC" w:rsidRDefault="006C7ECC" w:rsidP="00DD308E">
            <w:pPr>
              <w:rPr>
                <w:szCs w:val="20"/>
              </w:rPr>
            </w:pPr>
          </w:p>
          <w:p w14:paraId="1C468A3E" w14:textId="25B74A36" w:rsidR="006C7ECC" w:rsidRPr="00D259F7" w:rsidRDefault="006C7ECC" w:rsidP="00DD308E">
            <w:pPr>
              <w:rPr>
                <w:szCs w:val="20"/>
              </w:rPr>
            </w:pPr>
          </w:p>
        </w:tc>
      </w:tr>
    </w:tbl>
    <w:p w14:paraId="1C468A51" w14:textId="77777777" w:rsidR="00DD308E" w:rsidRDefault="00DD308E" w:rsidP="00DD308E">
      <w:pPr>
        <w:rPr>
          <w:i/>
          <w:szCs w:val="20"/>
        </w:rPr>
      </w:pPr>
      <w:r>
        <w:rPr>
          <w:i/>
          <w:szCs w:val="20"/>
        </w:rPr>
        <w:br w:type="page"/>
      </w:r>
    </w:p>
    <w:p w14:paraId="1C468A52"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58AE947E" w14:textId="5537B34F" w:rsidR="008507B5" w:rsidRDefault="008507B5" w:rsidP="008507B5">
      <w:pPr>
        <w:pStyle w:val="Heading2"/>
      </w:pPr>
      <w:r w:rsidRPr="00643755">
        <w:lastRenderedPageBreak/>
        <w:t xml:space="preserve">Identify </w:t>
      </w:r>
      <w:r w:rsidR="00E71725" w:rsidRPr="00643755">
        <w:rPr>
          <w:u w:val="single"/>
        </w:rPr>
        <w:t>yet-to-be-published</w:t>
      </w:r>
      <w:r w:rsidR="00E71725" w:rsidRPr="00643755">
        <w:t xml:space="preserve"> </w:t>
      </w:r>
      <w:r w:rsidRPr="00643755">
        <w:t xml:space="preserve">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Pr="00643755">
        <w:rPr>
          <w:i/>
        </w:rPr>
        <w:t>.</w:t>
      </w:r>
    </w:p>
    <w:tbl>
      <w:tblPr>
        <w:tblStyle w:val="TableGrid"/>
        <w:tblW w:w="4689" w:type="pct"/>
        <w:tblLayout w:type="fixed"/>
        <w:tblLook w:val="04A0" w:firstRow="1" w:lastRow="0" w:firstColumn="1" w:lastColumn="0" w:noHBand="0" w:noVBand="1"/>
        <w:tblCaption w:val="Summary of Evidence - Yet to be Published"/>
      </w:tblPr>
      <w:tblGrid>
        <w:gridCol w:w="693"/>
        <w:gridCol w:w="2137"/>
        <w:gridCol w:w="2721"/>
        <w:gridCol w:w="3759"/>
        <w:gridCol w:w="2514"/>
        <w:gridCol w:w="1256"/>
      </w:tblGrid>
      <w:tr w:rsidR="00F62BD0" w14:paraId="1C468A5A" w14:textId="77777777" w:rsidTr="00F62BD0">
        <w:trPr>
          <w:cantSplit/>
          <w:tblHeader/>
        </w:trPr>
        <w:tc>
          <w:tcPr>
            <w:tcW w:w="265" w:type="pct"/>
            <w:tcBorders>
              <w:top w:val="single" w:sz="4" w:space="0" w:color="auto"/>
              <w:left w:val="single" w:sz="4" w:space="0" w:color="auto"/>
              <w:bottom w:val="single" w:sz="4" w:space="0" w:color="auto"/>
              <w:right w:val="single" w:sz="4" w:space="0" w:color="auto"/>
            </w:tcBorders>
          </w:tcPr>
          <w:p w14:paraId="1C468A54" w14:textId="77777777" w:rsidR="006858CC" w:rsidRDefault="006858CC">
            <w:pPr>
              <w:pStyle w:val="TableHEADER"/>
              <w:rPr>
                <w:lang w:eastAsia="en-US"/>
              </w:rPr>
            </w:pPr>
          </w:p>
        </w:tc>
        <w:tc>
          <w:tcPr>
            <w:tcW w:w="817" w:type="pct"/>
            <w:tcBorders>
              <w:top w:val="single" w:sz="4" w:space="0" w:color="auto"/>
              <w:left w:val="single" w:sz="4" w:space="0" w:color="auto"/>
              <w:bottom w:val="single" w:sz="4" w:space="0" w:color="auto"/>
              <w:right w:val="single" w:sz="4" w:space="0" w:color="auto"/>
            </w:tcBorders>
            <w:hideMark/>
          </w:tcPr>
          <w:p w14:paraId="1C468A55" w14:textId="01DC6BDF" w:rsidR="006858CC" w:rsidRDefault="006858CC">
            <w:pPr>
              <w:pStyle w:val="TableHEADER"/>
              <w:rPr>
                <w:lang w:eastAsia="en-US"/>
              </w:rPr>
            </w:pPr>
            <w:r>
              <w:rPr>
                <w:lang w:eastAsia="en-US"/>
              </w:rPr>
              <w:t>Type of study design</w:t>
            </w:r>
          </w:p>
        </w:tc>
        <w:tc>
          <w:tcPr>
            <w:tcW w:w="1040" w:type="pct"/>
            <w:tcBorders>
              <w:top w:val="single" w:sz="4" w:space="0" w:color="auto"/>
              <w:left w:val="single" w:sz="4" w:space="0" w:color="auto"/>
              <w:bottom w:val="single" w:sz="4" w:space="0" w:color="auto"/>
              <w:right w:val="single" w:sz="4" w:space="0" w:color="auto"/>
            </w:tcBorders>
            <w:hideMark/>
          </w:tcPr>
          <w:p w14:paraId="1C468A56" w14:textId="0022F2A1" w:rsidR="006858CC" w:rsidRDefault="006858CC">
            <w:pPr>
              <w:pStyle w:val="TableHEADER"/>
              <w:rPr>
                <w:lang w:eastAsia="en-US"/>
              </w:rPr>
            </w:pPr>
            <w:r>
              <w:rPr>
                <w:lang w:eastAsia="en-US"/>
              </w:rPr>
              <w:t xml:space="preserve">Title of research </w:t>
            </w:r>
          </w:p>
        </w:tc>
        <w:tc>
          <w:tcPr>
            <w:tcW w:w="1437" w:type="pct"/>
            <w:tcBorders>
              <w:top w:val="single" w:sz="4" w:space="0" w:color="auto"/>
              <w:left w:val="single" w:sz="4" w:space="0" w:color="auto"/>
              <w:bottom w:val="single" w:sz="4" w:space="0" w:color="auto"/>
              <w:right w:val="single" w:sz="4" w:space="0" w:color="auto"/>
            </w:tcBorders>
            <w:hideMark/>
          </w:tcPr>
          <w:p w14:paraId="1C468A57" w14:textId="40F7EA18" w:rsidR="006858CC" w:rsidRDefault="006858CC">
            <w:pPr>
              <w:pStyle w:val="TableHEADER"/>
              <w:rPr>
                <w:lang w:eastAsia="en-US"/>
              </w:rPr>
            </w:pPr>
            <w:r>
              <w:rPr>
                <w:lang w:eastAsia="en-US"/>
              </w:rPr>
              <w:t>Short description of research</w:t>
            </w:r>
          </w:p>
        </w:tc>
        <w:tc>
          <w:tcPr>
            <w:tcW w:w="961" w:type="pct"/>
            <w:tcBorders>
              <w:top w:val="single" w:sz="4" w:space="0" w:color="auto"/>
              <w:left w:val="single" w:sz="4" w:space="0" w:color="auto"/>
              <w:bottom w:val="single" w:sz="4" w:space="0" w:color="auto"/>
              <w:right w:val="single" w:sz="4" w:space="0" w:color="auto"/>
            </w:tcBorders>
            <w:hideMark/>
          </w:tcPr>
          <w:p w14:paraId="1C468A58" w14:textId="57C2A8D6" w:rsidR="006858CC" w:rsidRDefault="006858CC">
            <w:pPr>
              <w:pStyle w:val="TableHEADER"/>
              <w:rPr>
                <w:lang w:eastAsia="en-US"/>
              </w:rPr>
            </w:pPr>
            <w:r>
              <w:rPr>
                <w:lang w:eastAsia="en-US"/>
              </w:rPr>
              <w:t xml:space="preserve">Website link to research </w:t>
            </w:r>
          </w:p>
        </w:tc>
        <w:tc>
          <w:tcPr>
            <w:tcW w:w="480" w:type="pct"/>
            <w:tcBorders>
              <w:top w:val="single" w:sz="4" w:space="0" w:color="auto"/>
              <w:left w:val="single" w:sz="4" w:space="0" w:color="auto"/>
              <w:bottom w:val="single" w:sz="4" w:space="0" w:color="auto"/>
              <w:right w:val="single" w:sz="4" w:space="0" w:color="auto"/>
            </w:tcBorders>
            <w:hideMark/>
          </w:tcPr>
          <w:p w14:paraId="1C468A59" w14:textId="6C2A0AF4" w:rsidR="006858CC" w:rsidRDefault="006858CC">
            <w:pPr>
              <w:pStyle w:val="TableHEADER"/>
              <w:rPr>
                <w:lang w:eastAsia="en-US"/>
              </w:rPr>
            </w:pPr>
            <w:r>
              <w:rPr>
                <w:lang w:eastAsia="en-US"/>
              </w:rPr>
              <w:t>Date</w:t>
            </w:r>
          </w:p>
        </w:tc>
      </w:tr>
      <w:tr w:rsidR="00F62BD0" w14:paraId="1C468A65" w14:textId="77777777" w:rsidTr="0070573B">
        <w:trPr>
          <w:cantSplit/>
          <w:trHeight w:val="2901"/>
        </w:trPr>
        <w:tc>
          <w:tcPr>
            <w:tcW w:w="265" w:type="pct"/>
            <w:tcBorders>
              <w:top w:val="single" w:sz="4" w:space="0" w:color="auto"/>
              <w:left w:val="single" w:sz="4" w:space="0" w:color="auto"/>
              <w:bottom w:val="single" w:sz="4" w:space="0" w:color="auto"/>
              <w:right w:val="single" w:sz="4" w:space="0" w:color="auto"/>
            </w:tcBorders>
            <w:hideMark/>
          </w:tcPr>
          <w:p w14:paraId="1C468A5B" w14:textId="77777777" w:rsidR="006858CC" w:rsidRPr="00F62BD0" w:rsidRDefault="006858CC">
            <w:pPr>
              <w:rPr>
                <w:sz w:val="18"/>
              </w:rPr>
            </w:pPr>
            <w:r w:rsidRPr="00F62BD0">
              <w:rPr>
                <w:sz w:val="18"/>
              </w:rPr>
              <w:t>1.</w:t>
            </w:r>
          </w:p>
        </w:tc>
        <w:tc>
          <w:tcPr>
            <w:tcW w:w="817" w:type="pct"/>
            <w:tcBorders>
              <w:top w:val="single" w:sz="4" w:space="0" w:color="auto"/>
              <w:left w:val="single" w:sz="4" w:space="0" w:color="auto"/>
              <w:bottom w:val="single" w:sz="4" w:space="0" w:color="auto"/>
              <w:right w:val="single" w:sz="4" w:space="0" w:color="auto"/>
            </w:tcBorders>
          </w:tcPr>
          <w:p w14:paraId="1C468A5C" w14:textId="27A30E26" w:rsidR="006858CC" w:rsidRPr="00A6722C" w:rsidRDefault="009A5D27">
            <w:pPr>
              <w:rPr>
                <w:b/>
                <w:bCs/>
                <w:szCs w:val="20"/>
              </w:rPr>
            </w:pPr>
            <w:r w:rsidRPr="00A6722C">
              <w:rPr>
                <w:b/>
                <w:bCs/>
                <w:szCs w:val="20"/>
              </w:rPr>
              <w:t>Randomised, double-blind</w:t>
            </w:r>
          </w:p>
        </w:tc>
        <w:tc>
          <w:tcPr>
            <w:tcW w:w="1040" w:type="pct"/>
            <w:tcBorders>
              <w:top w:val="single" w:sz="4" w:space="0" w:color="auto"/>
              <w:left w:val="single" w:sz="4" w:space="0" w:color="auto"/>
              <w:bottom w:val="single" w:sz="4" w:space="0" w:color="auto"/>
              <w:right w:val="single" w:sz="4" w:space="0" w:color="auto"/>
            </w:tcBorders>
          </w:tcPr>
          <w:p w14:paraId="1C468A5D" w14:textId="32DA7FCE" w:rsidR="00A6722C" w:rsidRPr="00A6722C" w:rsidRDefault="00A6722C">
            <w:pPr>
              <w:rPr>
                <w:b/>
                <w:bCs/>
                <w:szCs w:val="20"/>
              </w:rPr>
            </w:pPr>
            <w:r>
              <w:rPr>
                <w:b/>
                <w:szCs w:val="20"/>
              </w:rPr>
              <w:t>Pembrolizumab plus chemotherapy versus placebo plus chemotherapy for previously untreated locally recurrent inoperable or metastatic triple-negative breast cancer (KEYNOTE-355): a randomised, placebo-controlled, double-blind, phase 3 clinical trial</w:t>
            </w:r>
          </w:p>
        </w:tc>
        <w:tc>
          <w:tcPr>
            <w:tcW w:w="1437" w:type="pct"/>
            <w:tcBorders>
              <w:top w:val="single" w:sz="4" w:space="0" w:color="auto"/>
              <w:left w:val="single" w:sz="4" w:space="0" w:color="auto"/>
              <w:bottom w:val="single" w:sz="4" w:space="0" w:color="auto"/>
              <w:right w:val="single" w:sz="4" w:space="0" w:color="auto"/>
            </w:tcBorders>
          </w:tcPr>
          <w:p w14:paraId="207DF967" w14:textId="737619ED" w:rsidR="006858CC" w:rsidRPr="006C5CAE" w:rsidRDefault="00037B20" w:rsidP="000633C4">
            <w:pPr>
              <w:rPr>
                <w:rFonts w:ascii="Source Sans Pro" w:hAnsi="Source Sans Pro"/>
                <w:color w:val="000000"/>
                <w:szCs w:val="20"/>
                <w:shd w:val="clear" w:color="auto" w:fill="FFFFFF"/>
              </w:rPr>
            </w:pPr>
            <w:r w:rsidRPr="006C5CAE">
              <w:rPr>
                <w:szCs w:val="20"/>
              </w:rPr>
              <w:t>Interim results from KN-355</w:t>
            </w:r>
            <w:r w:rsidR="00AC206A">
              <w:rPr>
                <w:szCs w:val="20"/>
              </w:rPr>
              <w:t xml:space="preserve"> a</w:t>
            </w:r>
            <w:r w:rsidR="006C5CAE" w:rsidRPr="006C5CAE">
              <w:rPr>
                <w:szCs w:val="20"/>
              </w:rPr>
              <w:t>re outlined in the table above.</w:t>
            </w:r>
            <w:r w:rsidR="006C5CAE">
              <w:rPr>
                <w:szCs w:val="20"/>
              </w:rPr>
              <w:t xml:space="preserve"> </w:t>
            </w:r>
            <w:r w:rsidR="00B97A7E">
              <w:rPr>
                <w:szCs w:val="20"/>
              </w:rPr>
              <w:t xml:space="preserve">Results from the final analysis were presented at the </w:t>
            </w:r>
            <w:r w:rsidR="007A5BD0">
              <w:rPr>
                <w:szCs w:val="20"/>
              </w:rPr>
              <w:t xml:space="preserve">San Antonio Breast Cancer Symposium </w:t>
            </w:r>
            <w:r w:rsidR="00863DFD">
              <w:rPr>
                <w:szCs w:val="20"/>
              </w:rPr>
              <w:t xml:space="preserve">(SABSC) 2021. </w:t>
            </w:r>
          </w:p>
          <w:p w14:paraId="1C468A5F" w14:textId="4686812F" w:rsidR="00037B20" w:rsidRPr="006C5CAE" w:rsidRDefault="004E3E86" w:rsidP="000633C4">
            <w:pPr>
              <w:rPr>
                <w:szCs w:val="20"/>
              </w:rPr>
            </w:pPr>
            <w:r>
              <w:rPr>
                <w:szCs w:val="20"/>
              </w:rPr>
              <w:t>In patients with CPS</w:t>
            </w:r>
            <w:r>
              <w:rPr>
                <w:rFonts w:ascii="Times New Roman" w:hAnsi="Times New Roman" w:cs="Times New Roman"/>
                <w:szCs w:val="20"/>
              </w:rPr>
              <w:t>≥</w:t>
            </w:r>
            <w:r>
              <w:rPr>
                <w:szCs w:val="20"/>
              </w:rPr>
              <w:t>10, p</w:t>
            </w:r>
            <w:r w:rsidR="00037B20" w:rsidRPr="006C5CAE">
              <w:rPr>
                <w:szCs w:val="20"/>
              </w:rPr>
              <w:t>embrolizumab was associated with a statistically significant benefit in terms of overall survival, with median OS of 23.0 months in the pembrolizumab-chemotherapy arm versus 16.1 months in the chemotherapy-only arm (HR: 0.73, 95% CI 0.55-0.95; p=0.0093).</w:t>
            </w:r>
            <w:r w:rsidR="009C7B7B">
              <w:rPr>
                <w:szCs w:val="20"/>
              </w:rPr>
              <w:t xml:space="preserve"> </w:t>
            </w:r>
          </w:p>
        </w:tc>
        <w:tc>
          <w:tcPr>
            <w:tcW w:w="961" w:type="pct"/>
            <w:tcBorders>
              <w:top w:val="single" w:sz="4" w:space="0" w:color="auto"/>
              <w:left w:val="single" w:sz="4" w:space="0" w:color="auto"/>
              <w:bottom w:val="single" w:sz="4" w:space="0" w:color="auto"/>
              <w:right w:val="single" w:sz="4" w:space="0" w:color="auto"/>
            </w:tcBorders>
          </w:tcPr>
          <w:p w14:paraId="1C468A63" w14:textId="0BFD8699" w:rsidR="0012110C" w:rsidRPr="007C4225" w:rsidRDefault="00B97A7E">
            <w:pPr>
              <w:rPr>
                <w:szCs w:val="20"/>
              </w:rPr>
            </w:pPr>
            <w:r w:rsidRPr="006C7ECC">
              <w:t>https://oncologypro.esmo.org/meeting-resources/esmo-congress/keynote-355-final-results-from-a-randomized-double-blind-phase-iii-study-of-first-line-pembrolizumab-chemotherapy-vs-placebo-chemotherapy-for</w:t>
            </w:r>
          </w:p>
        </w:tc>
        <w:tc>
          <w:tcPr>
            <w:tcW w:w="480" w:type="pct"/>
            <w:tcBorders>
              <w:top w:val="single" w:sz="4" w:space="0" w:color="auto"/>
              <w:left w:val="single" w:sz="4" w:space="0" w:color="auto"/>
              <w:bottom w:val="single" w:sz="4" w:space="0" w:color="auto"/>
              <w:right w:val="single" w:sz="4" w:space="0" w:color="auto"/>
            </w:tcBorders>
            <w:hideMark/>
          </w:tcPr>
          <w:p w14:paraId="77E95E8E" w14:textId="124CDEEC" w:rsidR="00B97A7E" w:rsidRDefault="00B97A7E" w:rsidP="00F62BD0">
            <w:pPr>
              <w:rPr>
                <w:szCs w:val="20"/>
              </w:rPr>
            </w:pPr>
            <w:r>
              <w:rPr>
                <w:szCs w:val="20"/>
              </w:rPr>
              <w:t>19 September 2021</w:t>
            </w:r>
          </w:p>
          <w:p w14:paraId="1C468A64" w14:textId="49ED15A4" w:rsidR="006858CC" w:rsidRPr="007C4225" w:rsidRDefault="00EA5FB4" w:rsidP="00F62BD0">
            <w:pPr>
              <w:rPr>
                <w:szCs w:val="20"/>
              </w:rPr>
            </w:pPr>
            <w:r>
              <w:rPr>
                <w:szCs w:val="20"/>
              </w:rPr>
              <w:t>P</w:t>
            </w:r>
            <w:r w:rsidR="00B97A7E">
              <w:rPr>
                <w:szCs w:val="20"/>
              </w:rPr>
              <w:t>eer reviewed p</w:t>
            </w:r>
            <w:r>
              <w:rPr>
                <w:szCs w:val="20"/>
              </w:rPr>
              <w:t xml:space="preserve">ublication expected </w:t>
            </w:r>
            <w:r w:rsidR="008D54A0">
              <w:rPr>
                <w:szCs w:val="20"/>
              </w:rPr>
              <w:t>in 2022.</w:t>
            </w:r>
          </w:p>
        </w:tc>
      </w:tr>
      <w:tr w:rsidR="006F487A" w14:paraId="74E97089" w14:textId="77777777" w:rsidTr="00202D62">
        <w:trPr>
          <w:cantSplit/>
          <w:trHeight w:val="3218"/>
        </w:trPr>
        <w:tc>
          <w:tcPr>
            <w:tcW w:w="265" w:type="pct"/>
            <w:tcBorders>
              <w:top w:val="single" w:sz="4" w:space="0" w:color="auto"/>
              <w:left w:val="single" w:sz="4" w:space="0" w:color="auto"/>
              <w:bottom w:val="single" w:sz="4" w:space="0" w:color="auto"/>
              <w:right w:val="single" w:sz="4" w:space="0" w:color="auto"/>
            </w:tcBorders>
          </w:tcPr>
          <w:p w14:paraId="548EC146" w14:textId="14AAC461" w:rsidR="006F487A" w:rsidRPr="00F62BD0" w:rsidRDefault="006F487A" w:rsidP="006F487A">
            <w:pPr>
              <w:rPr>
                <w:sz w:val="18"/>
              </w:rPr>
            </w:pPr>
            <w:r>
              <w:rPr>
                <w:sz w:val="18"/>
              </w:rPr>
              <w:t>2</w:t>
            </w:r>
          </w:p>
        </w:tc>
        <w:tc>
          <w:tcPr>
            <w:tcW w:w="817" w:type="pct"/>
            <w:tcBorders>
              <w:top w:val="single" w:sz="4" w:space="0" w:color="auto"/>
              <w:left w:val="single" w:sz="4" w:space="0" w:color="auto"/>
              <w:bottom w:val="single" w:sz="4" w:space="0" w:color="auto"/>
              <w:right w:val="single" w:sz="4" w:space="0" w:color="auto"/>
            </w:tcBorders>
          </w:tcPr>
          <w:p w14:paraId="039973C0" w14:textId="077D7DE7" w:rsidR="006F487A" w:rsidRPr="006831D9" w:rsidRDefault="006F487A" w:rsidP="006F487A">
            <w:pPr>
              <w:rPr>
                <w:b/>
                <w:bCs/>
                <w:szCs w:val="20"/>
              </w:rPr>
            </w:pPr>
            <w:r w:rsidRPr="006831D9">
              <w:rPr>
                <w:b/>
                <w:bCs/>
                <w:szCs w:val="20"/>
              </w:rPr>
              <w:t xml:space="preserve">Concordance Study </w:t>
            </w:r>
          </w:p>
        </w:tc>
        <w:tc>
          <w:tcPr>
            <w:tcW w:w="1040" w:type="pct"/>
            <w:tcBorders>
              <w:top w:val="single" w:sz="4" w:space="0" w:color="auto"/>
              <w:left w:val="single" w:sz="4" w:space="0" w:color="auto"/>
              <w:bottom w:val="single" w:sz="4" w:space="0" w:color="auto"/>
              <w:right w:val="single" w:sz="4" w:space="0" w:color="auto"/>
            </w:tcBorders>
          </w:tcPr>
          <w:p w14:paraId="30FA2DA5" w14:textId="7453A9D5" w:rsidR="006F487A" w:rsidRPr="00A6722C" w:rsidRDefault="006F487A" w:rsidP="006F487A">
            <w:pPr>
              <w:rPr>
                <w:b/>
                <w:bCs/>
                <w:szCs w:val="20"/>
              </w:rPr>
            </w:pPr>
            <w:r w:rsidRPr="000D22DC">
              <w:rPr>
                <w:szCs w:val="20"/>
              </w:rPr>
              <w:t xml:space="preserve">Analytical Comparison of a PD-L1 22C3 Antibody Laboratory-Developed Test Protocol on the Benchmark XT and PD-L1 IHC 22C3 </w:t>
            </w:r>
            <w:proofErr w:type="spellStart"/>
            <w:r w:rsidRPr="000D22DC">
              <w:rPr>
                <w:szCs w:val="20"/>
              </w:rPr>
              <w:t>pharmDx</w:t>
            </w:r>
            <w:proofErr w:type="spellEnd"/>
            <w:r w:rsidRPr="000D22DC">
              <w:rPr>
                <w:szCs w:val="20"/>
              </w:rPr>
              <w:t>:  Pan-</w:t>
            </w:r>
            <w:proofErr w:type="spellStart"/>
            <w:r w:rsidRPr="000D22DC">
              <w:rPr>
                <w:szCs w:val="20"/>
              </w:rPr>
              <w:t>Tumor</w:t>
            </w:r>
            <w:proofErr w:type="spellEnd"/>
            <w:r w:rsidRPr="000D22DC">
              <w:rPr>
                <w:szCs w:val="20"/>
              </w:rPr>
              <w:t xml:space="preserve"> and Triple-Negative Breast Cancer Samples</w:t>
            </w:r>
          </w:p>
        </w:tc>
        <w:tc>
          <w:tcPr>
            <w:tcW w:w="1437" w:type="pct"/>
            <w:tcBorders>
              <w:top w:val="single" w:sz="4" w:space="0" w:color="auto"/>
              <w:left w:val="single" w:sz="4" w:space="0" w:color="auto"/>
              <w:bottom w:val="single" w:sz="4" w:space="0" w:color="auto"/>
              <w:right w:val="single" w:sz="4" w:space="0" w:color="auto"/>
            </w:tcBorders>
          </w:tcPr>
          <w:p w14:paraId="08B5E2D2" w14:textId="48A742F2" w:rsidR="006F487A" w:rsidRPr="00A303F9" w:rsidRDefault="006F487A" w:rsidP="006F487A">
            <w:pPr>
              <w:rPr>
                <w:szCs w:val="20"/>
              </w:rPr>
            </w:pPr>
            <w:r>
              <w:rPr>
                <w:szCs w:val="20"/>
              </w:rPr>
              <w:t>A study t</w:t>
            </w:r>
            <w:r w:rsidRPr="000D22DC">
              <w:rPr>
                <w:szCs w:val="20"/>
              </w:rPr>
              <w:t xml:space="preserve">o compare PD-L1 22C3 antibody–based LDT on the </w:t>
            </w:r>
            <w:proofErr w:type="spellStart"/>
            <w:r w:rsidRPr="000D22DC">
              <w:rPr>
                <w:szCs w:val="20"/>
              </w:rPr>
              <w:t>BenchMark</w:t>
            </w:r>
            <w:proofErr w:type="spellEnd"/>
            <w:r w:rsidRPr="000D22DC">
              <w:rPr>
                <w:szCs w:val="20"/>
              </w:rPr>
              <w:t xml:space="preserve"> XT platform with the gold standard PD-L1 IHC 22C3 </w:t>
            </w:r>
            <w:proofErr w:type="spellStart"/>
            <w:r w:rsidRPr="000D22DC">
              <w:rPr>
                <w:szCs w:val="20"/>
              </w:rPr>
              <w:t>pharmDx</w:t>
            </w:r>
            <w:proofErr w:type="spellEnd"/>
            <w:r w:rsidRPr="000D22DC">
              <w:rPr>
                <w:szCs w:val="20"/>
              </w:rPr>
              <w:t>, alone or together in a pan-</w:t>
            </w:r>
            <w:proofErr w:type="spellStart"/>
            <w:r w:rsidRPr="000D22DC">
              <w:rPr>
                <w:szCs w:val="20"/>
              </w:rPr>
              <w:t>tumor</w:t>
            </w:r>
            <w:proofErr w:type="spellEnd"/>
            <w:r w:rsidRPr="000D22DC">
              <w:rPr>
                <w:szCs w:val="20"/>
              </w:rPr>
              <w:t xml:space="preserve"> analysis, in patients with CC, ESCC, HNSCC, TNBC, or UC</w:t>
            </w:r>
          </w:p>
        </w:tc>
        <w:tc>
          <w:tcPr>
            <w:tcW w:w="961" w:type="pct"/>
            <w:tcBorders>
              <w:top w:val="single" w:sz="4" w:space="0" w:color="auto"/>
              <w:left w:val="single" w:sz="4" w:space="0" w:color="auto"/>
              <w:bottom w:val="single" w:sz="4" w:space="0" w:color="auto"/>
              <w:right w:val="single" w:sz="4" w:space="0" w:color="auto"/>
            </w:tcBorders>
          </w:tcPr>
          <w:p w14:paraId="44CB3787" w14:textId="53C00D69" w:rsidR="006F487A" w:rsidRPr="00A303F9" w:rsidRDefault="006F487A" w:rsidP="006F487A">
            <w:pPr>
              <w:rPr>
                <w:szCs w:val="20"/>
              </w:rPr>
            </w:pPr>
            <w:r>
              <w:rPr>
                <w:szCs w:val="20"/>
              </w:rPr>
              <w:t>Currently available as a poster and can be provided if needed.</w:t>
            </w:r>
          </w:p>
        </w:tc>
        <w:tc>
          <w:tcPr>
            <w:tcW w:w="480" w:type="pct"/>
            <w:tcBorders>
              <w:top w:val="single" w:sz="4" w:space="0" w:color="auto"/>
              <w:left w:val="single" w:sz="4" w:space="0" w:color="auto"/>
              <w:bottom w:val="single" w:sz="4" w:space="0" w:color="auto"/>
              <w:right w:val="single" w:sz="4" w:space="0" w:color="auto"/>
            </w:tcBorders>
          </w:tcPr>
          <w:p w14:paraId="431E1A72" w14:textId="52918F0D" w:rsidR="006F487A" w:rsidRPr="00A303F9" w:rsidRDefault="001456F4" w:rsidP="006F487A">
            <w:pPr>
              <w:rPr>
                <w:szCs w:val="20"/>
              </w:rPr>
            </w:pPr>
            <w:r>
              <w:rPr>
                <w:szCs w:val="20"/>
              </w:rPr>
              <w:t>Presented at SITC November 2021</w:t>
            </w:r>
          </w:p>
        </w:tc>
      </w:tr>
    </w:tbl>
    <w:p w14:paraId="1C468A77"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1C468A78"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1C468A79" w14:textId="052048DC" w:rsidR="00E82F54" w:rsidRDefault="00020A0C" w:rsidP="00020A0C">
      <w:pPr>
        <w:pStyle w:val="Heading2"/>
      </w:pPr>
      <w:r w:rsidRPr="00020A0C">
        <w:t>List all appropriate professional bodies/organisations representing the health professionals who provide the service. For MBS-related applications ONLY, please attach a brief ‘Statement of Clinical Relevance’ from the most relevant college/society.</w:t>
      </w:r>
    </w:p>
    <w:p w14:paraId="2731773D" w14:textId="267CB313" w:rsidR="006242E2" w:rsidRDefault="009949C6" w:rsidP="00CF7532">
      <w:pPr>
        <w:ind w:left="360"/>
      </w:pPr>
      <w:bookmarkStart w:id="7" w:name="_Hlk97802030"/>
      <w:r>
        <w:t>Royal College of Pathologists Australasia.</w:t>
      </w:r>
      <w:r w:rsidR="00513C86">
        <w:t xml:space="preserve"> </w:t>
      </w:r>
    </w:p>
    <w:bookmarkEnd w:id="7"/>
    <w:p w14:paraId="1C468A7B" w14:textId="5B4769F5" w:rsidR="00294EF0" w:rsidRPr="00C32800" w:rsidRDefault="003E33A2" w:rsidP="00CF7532">
      <w:pPr>
        <w:ind w:left="360"/>
      </w:pPr>
      <w:r>
        <w:t>The s</w:t>
      </w:r>
      <w:r w:rsidR="006242E2">
        <w:t>tatement of clinical relevan</w:t>
      </w:r>
      <w:r w:rsidR="009949C6">
        <w:t>ce</w:t>
      </w:r>
      <w:r w:rsidR="006242E2">
        <w:t xml:space="preserve"> </w:t>
      </w:r>
      <w:r>
        <w:t xml:space="preserve">is </w:t>
      </w:r>
      <w:r w:rsidR="006242E2">
        <w:t>n</w:t>
      </w:r>
      <w:r w:rsidR="00421820">
        <w:t xml:space="preserve">ot applicable. As MSAC has recommended PD-L1 testing in relation to </w:t>
      </w:r>
      <w:r w:rsidR="00364AC3">
        <w:t>p</w:t>
      </w:r>
      <w:r w:rsidR="00421820">
        <w:t xml:space="preserve">embrolizumab access for </w:t>
      </w:r>
      <w:r w:rsidR="00364AC3">
        <w:t>NSCLC</w:t>
      </w:r>
      <w:r w:rsidR="00756806">
        <w:t xml:space="preserve"> and </w:t>
      </w:r>
      <w:r w:rsidR="00912B91">
        <w:t>HNSCC</w:t>
      </w:r>
      <w:r w:rsidR="00421820">
        <w:t xml:space="preserve">, the clinical </w:t>
      </w:r>
      <w:r w:rsidR="00E13580">
        <w:t>relevance</w:t>
      </w:r>
      <w:r w:rsidR="00421820">
        <w:t xml:space="preserve"> of the test has been determined</w:t>
      </w:r>
      <w:r w:rsidR="00CF7532">
        <w:t>.</w:t>
      </w:r>
    </w:p>
    <w:p w14:paraId="1C468A7C" w14:textId="77777777" w:rsidR="00EA173C" w:rsidRPr="00C32800" w:rsidRDefault="00EA173C" w:rsidP="00061F35">
      <w:pPr>
        <w:pStyle w:val="Heading2"/>
        <w:spacing w:before="0"/>
        <w:rPr>
          <w:szCs w:val="22"/>
        </w:rPr>
      </w:pPr>
      <w:r w:rsidRPr="00C32800">
        <w:t>List any professional bodies / organisations that may be impacted by this medical service</w:t>
      </w:r>
      <w:r w:rsidR="00F93784" w:rsidRPr="00C32800">
        <w:t xml:space="preserve"> (</w:t>
      </w:r>
      <w:proofErr w:type="gramStart"/>
      <w:r w:rsidR="00F93784" w:rsidRPr="00C32800">
        <w:t>i.e.</w:t>
      </w:r>
      <w:proofErr w:type="gramEnd"/>
      <w:r w:rsidR="00F93784" w:rsidRPr="00C32800">
        <w:t xml:space="preserve"> those who provide the comparator service)</w:t>
      </w:r>
      <w:r w:rsidR="00197D29" w:rsidRPr="00C32800">
        <w:t>:</w:t>
      </w:r>
    </w:p>
    <w:p w14:paraId="1C468A7E" w14:textId="1B2377A4" w:rsidR="00616F99" w:rsidRPr="001B4CA1" w:rsidRDefault="00513C86" w:rsidP="00F00E0E">
      <w:pPr>
        <w:ind w:left="360"/>
      </w:pPr>
      <w:r>
        <w:t xml:space="preserve">As </w:t>
      </w:r>
      <w:r w:rsidR="00616F99">
        <w:t>above.</w:t>
      </w:r>
    </w:p>
    <w:p w14:paraId="6EDE17E8" w14:textId="14DBF406" w:rsidR="00F00E0E" w:rsidRDefault="00F00E0E" w:rsidP="00F00E0E">
      <w:pPr>
        <w:pStyle w:val="Heading2"/>
      </w:pPr>
      <w:r w:rsidRPr="00F00E0E">
        <w:t>List the consumer organisations relevant to the proposed medical service (noting there is NO NEED to attach a support letter at the ‘Application Lodgement’ stage of the MSAC process):</w:t>
      </w:r>
    </w:p>
    <w:p w14:paraId="552D3F4E" w14:textId="6AF543CD" w:rsidR="009D372C" w:rsidRPr="009D372C" w:rsidRDefault="009D372C" w:rsidP="009D372C">
      <w:pPr>
        <w:ind w:left="360"/>
      </w:pPr>
      <w:r>
        <w:t>Breast Cancer Network Australia (BCNA)</w:t>
      </w:r>
    </w:p>
    <w:p w14:paraId="1C468A82" w14:textId="77777777" w:rsidR="003433D1" w:rsidRDefault="003433D1" w:rsidP="00AF63D9">
      <w:pPr>
        <w:pStyle w:val="Heading2"/>
      </w:pPr>
      <w:r>
        <w:t xml:space="preserve">List the relevant </w:t>
      </w:r>
      <w:r w:rsidRPr="00EE6450">
        <w:t>sponsor</w:t>
      </w:r>
      <w:r>
        <w:t xml:space="preserve">(s) and / or manufacturer(s) who produce </w:t>
      </w:r>
      <w:r w:rsidRPr="006100B7">
        <w:rPr>
          <w:u w:val="single"/>
        </w:rPr>
        <w:t>similar</w:t>
      </w:r>
      <w:r>
        <w:t xml:space="preserve"> products relevant </w:t>
      </w:r>
      <w:r w:rsidR="00197D29">
        <w:t>to the proposed medical service:</w:t>
      </w:r>
    </w:p>
    <w:p w14:paraId="1C468A84" w14:textId="7B49EFBE" w:rsidR="00762B50" w:rsidRPr="00201A74" w:rsidRDefault="002D5474" w:rsidP="00201A74">
      <w:pPr>
        <w:ind w:left="426"/>
      </w:pPr>
      <w:r w:rsidRPr="002D5474">
        <w:t>Roche Products Pty Ltd</w:t>
      </w:r>
      <w:r w:rsidR="00A63B70">
        <w:t xml:space="preserve"> </w:t>
      </w:r>
      <w:r w:rsidR="004B3317">
        <w:t>(</w:t>
      </w:r>
      <w:r w:rsidR="004B3317" w:rsidRPr="004B3317">
        <w:t>Ventana PD-L1 (SP142) assay</w:t>
      </w:r>
      <w:r w:rsidR="004B3317">
        <w:t>)</w:t>
      </w:r>
    </w:p>
    <w:p w14:paraId="1C468A86" w14:textId="404B239C" w:rsidR="00A96329" w:rsidRPr="00CA0264" w:rsidRDefault="00E82F54" w:rsidP="00A96329">
      <w:pPr>
        <w:pStyle w:val="Heading2"/>
      </w:pPr>
      <w:r w:rsidRPr="00CA0264">
        <w:t>Nominate two experts who could be approached about the proposed medical service</w:t>
      </w:r>
      <w:r w:rsidR="00201A74">
        <w:t>,</w:t>
      </w:r>
      <w:r w:rsidRPr="00CA0264">
        <w:t xml:space="preserve"> and the current clinical management of the</w:t>
      </w:r>
      <w:r w:rsidR="00201A74">
        <w:t xml:space="preserve"> condition</w:t>
      </w:r>
      <w:r w:rsidRPr="00CA0264">
        <w:t>:</w:t>
      </w:r>
    </w:p>
    <w:p w14:paraId="1C468A87" w14:textId="3075F987" w:rsidR="00987ABE" w:rsidRPr="00FF60B2" w:rsidRDefault="00987ABE" w:rsidP="00987ABE">
      <w:pPr>
        <w:ind w:left="426"/>
        <w:rPr>
          <w:szCs w:val="20"/>
        </w:rPr>
      </w:pPr>
      <w:r w:rsidRPr="00E627E3">
        <w:rPr>
          <w:b/>
          <w:bCs/>
          <w:szCs w:val="20"/>
        </w:rPr>
        <w:t>Name of expert 1:</w:t>
      </w:r>
      <w:r w:rsidRPr="00FF60B2">
        <w:rPr>
          <w:szCs w:val="20"/>
        </w:rPr>
        <w:t xml:space="preserve"> </w:t>
      </w:r>
      <w:r w:rsidR="00CF7532" w:rsidRPr="00CF7532">
        <w:rPr>
          <w:b/>
          <w:sz w:val="22"/>
        </w:rPr>
        <w:t>REDACTED</w:t>
      </w:r>
    </w:p>
    <w:p w14:paraId="1C468A88" w14:textId="67D1C798" w:rsidR="00987ABE" w:rsidRPr="00FF60B2" w:rsidRDefault="00987ABE" w:rsidP="00987ABE">
      <w:pPr>
        <w:ind w:left="426"/>
        <w:rPr>
          <w:szCs w:val="20"/>
        </w:rPr>
      </w:pPr>
      <w:r w:rsidRPr="00E627E3">
        <w:rPr>
          <w:b/>
          <w:bCs/>
          <w:szCs w:val="20"/>
        </w:rPr>
        <w:t>Telephone number(s):</w:t>
      </w:r>
      <w:r w:rsidRPr="00FF60B2">
        <w:rPr>
          <w:szCs w:val="20"/>
        </w:rPr>
        <w:t xml:space="preserve"> </w:t>
      </w:r>
      <w:r w:rsidR="00CF7532" w:rsidRPr="00CF7532">
        <w:rPr>
          <w:b/>
          <w:sz w:val="22"/>
        </w:rPr>
        <w:t>REDACTED</w:t>
      </w:r>
    </w:p>
    <w:p w14:paraId="1C468A89" w14:textId="545870AB" w:rsidR="00987ABE" w:rsidRPr="00FF60B2" w:rsidRDefault="00987ABE" w:rsidP="00987ABE">
      <w:pPr>
        <w:ind w:left="426"/>
        <w:rPr>
          <w:b/>
        </w:rPr>
      </w:pPr>
      <w:r w:rsidRPr="00E627E3">
        <w:rPr>
          <w:b/>
          <w:bCs/>
          <w:szCs w:val="20"/>
        </w:rPr>
        <w:t>Email address:</w:t>
      </w:r>
      <w:r w:rsidRPr="00FF60B2">
        <w:rPr>
          <w:szCs w:val="20"/>
        </w:rPr>
        <w:t xml:space="preserve"> </w:t>
      </w:r>
      <w:r w:rsidR="00CF7532" w:rsidRPr="00CF7532">
        <w:rPr>
          <w:b/>
          <w:sz w:val="22"/>
        </w:rPr>
        <w:t>REDACTED</w:t>
      </w:r>
    </w:p>
    <w:p w14:paraId="1C468A8A" w14:textId="40BAF2DC" w:rsidR="00987ABE" w:rsidRPr="00051F04" w:rsidRDefault="00987ABE" w:rsidP="00987ABE">
      <w:pPr>
        <w:ind w:left="426"/>
        <w:rPr>
          <w:szCs w:val="20"/>
        </w:rPr>
      </w:pPr>
      <w:r w:rsidRPr="00E627E3">
        <w:rPr>
          <w:b/>
          <w:bCs/>
          <w:szCs w:val="20"/>
        </w:rPr>
        <w:t>Justification of expertise:</w:t>
      </w:r>
      <w:r w:rsidRPr="00FF60B2">
        <w:rPr>
          <w:szCs w:val="20"/>
        </w:rPr>
        <w:t xml:space="preserve"> </w:t>
      </w:r>
      <w:r w:rsidR="00CF7532" w:rsidRPr="00CF7532">
        <w:rPr>
          <w:b/>
          <w:sz w:val="22"/>
        </w:rPr>
        <w:t>REDACTED</w:t>
      </w:r>
    </w:p>
    <w:p w14:paraId="1C468A8B" w14:textId="77777777" w:rsidR="00987ABE" w:rsidRPr="00051F04" w:rsidRDefault="00987ABE" w:rsidP="00987ABE">
      <w:pPr>
        <w:ind w:left="426"/>
        <w:rPr>
          <w:szCs w:val="20"/>
        </w:rPr>
      </w:pPr>
    </w:p>
    <w:p w14:paraId="1C468A8C" w14:textId="0F80D78D" w:rsidR="00CA0264" w:rsidRPr="00E627E3" w:rsidRDefault="00987ABE" w:rsidP="00CA0264">
      <w:pPr>
        <w:ind w:left="426"/>
        <w:rPr>
          <w:szCs w:val="20"/>
        </w:rPr>
      </w:pPr>
      <w:r w:rsidRPr="00E627E3">
        <w:rPr>
          <w:b/>
          <w:bCs/>
          <w:szCs w:val="20"/>
        </w:rPr>
        <w:t>Name of expert 2:</w:t>
      </w:r>
      <w:r w:rsidR="008E7A81" w:rsidRPr="00E627E3">
        <w:rPr>
          <w:szCs w:val="20"/>
        </w:rPr>
        <w:t xml:space="preserve"> </w:t>
      </w:r>
      <w:r w:rsidR="00CF7532" w:rsidRPr="00CF7532">
        <w:rPr>
          <w:b/>
          <w:sz w:val="22"/>
        </w:rPr>
        <w:t>REDACTED</w:t>
      </w:r>
    </w:p>
    <w:p w14:paraId="1C468A8D" w14:textId="1CB29029" w:rsidR="00987ABE" w:rsidRPr="00E627E3" w:rsidRDefault="00987ABE" w:rsidP="00987ABE">
      <w:pPr>
        <w:ind w:left="426"/>
        <w:rPr>
          <w:szCs w:val="20"/>
        </w:rPr>
      </w:pPr>
      <w:r w:rsidRPr="00E627E3">
        <w:rPr>
          <w:b/>
          <w:bCs/>
          <w:szCs w:val="20"/>
        </w:rPr>
        <w:t>Telephone number(s):</w:t>
      </w:r>
      <w:r w:rsidRPr="00E627E3">
        <w:rPr>
          <w:szCs w:val="20"/>
        </w:rPr>
        <w:t xml:space="preserve"> </w:t>
      </w:r>
      <w:r w:rsidR="00CF7532" w:rsidRPr="00CF7532">
        <w:rPr>
          <w:b/>
          <w:sz w:val="22"/>
        </w:rPr>
        <w:t>REDACTED</w:t>
      </w:r>
    </w:p>
    <w:p w14:paraId="29C2269A" w14:textId="77777777" w:rsidR="00CF7532" w:rsidRDefault="00987ABE" w:rsidP="00987ABE">
      <w:pPr>
        <w:ind w:left="426"/>
        <w:rPr>
          <w:b/>
          <w:bCs/>
          <w:szCs w:val="20"/>
        </w:rPr>
      </w:pPr>
      <w:r w:rsidRPr="00E627E3">
        <w:rPr>
          <w:b/>
          <w:bCs/>
          <w:szCs w:val="20"/>
        </w:rPr>
        <w:t>Email address:</w:t>
      </w:r>
      <w:r w:rsidRPr="00E627E3">
        <w:rPr>
          <w:szCs w:val="20"/>
        </w:rPr>
        <w:t xml:space="preserve"> </w:t>
      </w:r>
      <w:r w:rsidR="00CF7532" w:rsidRPr="00CF7532">
        <w:rPr>
          <w:b/>
          <w:sz w:val="22"/>
        </w:rPr>
        <w:t>REDACTED</w:t>
      </w:r>
      <w:r w:rsidR="00CF7532" w:rsidRPr="00E627E3">
        <w:rPr>
          <w:b/>
          <w:bCs/>
          <w:szCs w:val="20"/>
        </w:rPr>
        <w:t xml:space="preserve"> </w:t>
      </w:r>
    </w:p>
    <w:p w14:paraId="1C468A90" w14:textId="65C929CE" w:rsidR="00987ABE" w:rsidRPr="00CF7532" w:rsidRDefault="00987ABE" w:rsidP="00CF7532">
      <w:pPr>
        <w:ind w:left="426"/>
        <w:rPr>
          <w:szCs w:val="20"/>
        </w:rPr>
      </w:pPr>
      <w:r w:rsidRPr="00E627E3">
        <w:rPr>
          <w:b/>
          <w:bCs/>
          <w:szCs w:val="20"/>
        </w:rPr>
        <w:t>Justification of expertise:</w:t>
      </w:r>
      <w:r w:rsidRPr="00E627E3">
        <w:rPr>
          <w:szCs w:val="20"/>
        </w:rPr>
        <w:t xml:space="preserve"> </w:t>
      </w:r>
      <w:r w:rsidR="00CF7532" w:rsidRPr="00CF7532">
        <w:rPr>
          <w:b/>
          <w:sz w:val="22"/>
        </w:rPr>
        <w:t>REDACTED</w:t>
      </w:r>
    </w:p>
    <w:p w14:paraId="1C468A91"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1C468A92" w14:textId="77777777" w:rsidR="003433D1" w:rsidRDefault="003433D1">
      <w:pPr>
        <w:rPr>
          <w:b/>
          <w:sz w:val="32"/>
          <w:szCs w:val="32"/>
        </w:rPr>
      </w:pPr>
      <w:r>
        <w:rPr>
          <w:b/>
          <w:sz w:val="32"/>
          <w:szCs w:val="32"/>
        </w:rPr>
        <w:br w:type="page"/>
      </w:r>
    </w:p>
    <w:p w14:paraId="1C468A93"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1C468A94" w14:textId="77777777" w:rsidR="0021185D" w:rsidRPr="005C3AE7" w:rsidRDefault="005C3AE7" w:rsidP="00CF7532">
      <w:pPr>
        <w:pStyle w:val="Subtitle"/>
        <w:ind w:left="0"/>
      </w:pPr>
      <w:r w:rsidRPr="005C3AE7">
        <w:t xml:space="preserve">PART 6a – </w:t>
      </w:r>
      <w:r w:rsidR="0021185D" w:rsidRPr="005C3AE7">
        <w:t>INFORMATION ABOUT THE PROPOSED POPULATION</w:t>
      </w:r>
    </w:p>
    <w:p w14:paraId="1C468A95" w14:textId="1E31F006"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CD3994">
        <w:t>(</w:t>
      </w:r>
      <w:r w:rsidR="0054594B" w:rsidRPr="00A96329">
        <w:t>in terms of both morbidity and mortality</w:t>
      </w:r>
      <w:r w:rsidR="00CD3994">
        <w:t>)</w:t>
      </w:r>
      <w:r w:rsidR="00197D29">
        <w:t>:</w:t>
      </w:r>
    </w:p>
    <w:p w14:paraId="1C468A96" w14:textId="4CF07211" w:rsidR="00F22307" w:rsidRDefault="00583F7C" w:rsidP="00F22307">
      <w:pPr>
        <w:spacing w:before="100" w:beforeAutospacing="1" w:after="100" w:afterAutospacing="1"/>
        <w:ind w:left="360"/>
        <w:rPr>
          <w:szCs w:val="20"/>
        </w:rPr>
      </w:pPr>
      <w:r>
        <w:rPr>
          <w:szCs w:val="20"/>
        </w:rPr>
        <w:t>TNBC</w:t>
      </w:r>
      <w:r w:rsidR="0048344E" w:rsidRPr="00FA162C">
        <w:rPr>
          <w:szCs w:val="20"/>
        </w:rPr>
        <w:t xml:space="preserve"> refers to breast cancer that does not present with the </w:t>
      </w:r>
      <w:r w:rsidR="006F1CFD">
        <w:rPr>
          <w:szCs w:val="20"/>
        </w:rPr>
        <w:t>three</w:t>
      </w:r>
      <w:r w:rsidR="0048344E" w:rsidRPr="00FA162C">
        <w:rPr>
          <w:szCs w:val="20"/>
        </w:rPr>
        <w:t xml:space="preserve"> most c</w:t>
      </w:r>
      <w:r w:rsidR="0048344E">
        <w:rPr>
          <w:szCs w:val="20"/>
        </w:rPr>
        <w:t xml:space="preserve">ommon types of receptors known </w:t>
      </w:r>
      <w:r w:rsidR="0048344E" w:rsidRPr="00FA162C">
        <w:rPr>
          <w:szCs w:val="20"/>
        </w:rPr>
        <w:t xml:space="preserve">to fuel </w:t>
      </w:r>
      <w:r w:rsidR="006F1CFD">
        <w:rPr>
          <w:szCs w:val="20"/>
        </w:rPr>
        <w:t xml:space="preserve">breast </w:t>
      </w:r>
      <w:r w:rsidR="0048344E" w:rsidRPr="00FA162C">
        <w:rPr>
          <w:szCs w:val="20"/>
        </w:rPr>
        <w:t>ca</w:t>
      </w:r>
      <w:r w:rsidR="0048344E">
        <w:rPr>
          <w:szCs w:val="20"/>
        </w:rPr>
        <w:t>ncer growth</w:t>
      </w:r>
      <w:r w:rsidR="006F1CFD">
        <w:rPr>
          <w:szCs w:val="20"/>
        </w:rPr>
        <w:t xml:space="preserve">: </w:t>
      </w:r>
      <w:r w:rsidR="0048344E">
        <w:rPr>
          <w:szCs w:val="20"/>
        </w:rPr>
        <w:t xml:space="preserve">estrogen (ER), </w:t>
      </w:r>
      <w:r w:rsidR="0048344E" w:rsidRPr="00FA162C">
        <w:rPr>
          <w:szCs w:val="20"/>
        </w:rPr>
        <w:t>progesterone (PR), and the human epidermal growth factor receptor 2 (HER2) gene.</w:t>
      </w:r>
      <w:r w:rsidR="0048344E">
        <w:rPr>
          <w:szCs w:val="20"/>
        </w:rPr>
        <w:t xml:space="preserve"> </w:t>
      </w:r>
      <w:r w:rsidR="0048344E" w:rsidRPr="00F22307">
        <w:rPr>
          <w:szCs w:val="20"/>
        </w:rPr>
        <w:t>TNBC comprises</w:t>
      </w:r>
      <w:r w:rsidR="007E61AC">
        <w:rPr>
          <w:szCs w:val="20"/>
        </w:rPr>
        <w:t xml:space="preserve"> approximately</w:t>
      </w:r>
      <w:r w:rsidR="0048344E" w:rsidRPr="00F22307">
        <w:rPr>
          <w:szCs w:val="20"/>
        </w:rPr>
        <w:t xml:space="preserve"> </w:t>
      </w:r>
      <w:r w:rsidR="007E61AC">
        <w:rPr>
          <w:szCs w:val="20"/>
        </w:rPr>
        <w:t>15%</w:t>
      </w:r>
      <w:r w:rsidR="00A10F1B">
        <w:rPr>
          <w:szCs w:val="20"/>
          <w:vertAlign w:val="superscript"/>
        </w:rPr>
        <w:t>1</w:t>
      </w:r>
      <w:r w:rsidR="00D91318" w:rsidRPr="00F22307">
        <w:rPr>
          <w:szCs w:val="20"/>
        </w:rPr>
        <w:t xml:space="preserve"> of all breast cancers</w:t>
      </w:r>
      <w:r>
        <w:rPr>
          <w:szCs w:val="20"/>
        </w:rPr>
        <w:t xml:space="preserve"> </w:t>
      </w:r>
      <w:r w:rsidR="003E25E8">
        <w:rPr>
          <w:szCs w:val="20"/>
        </w:rPr>
        <w:t>and it</w:t>
      </w:r>
      <w:r w:rsidR="00F22307">
        <w:rPr>
          <w:szCs w:val="20"/>
        </w:rPr>
        <w:t xml:space="preserve"> tends to be more aggressive than other breast cancer sub-types</w:t>
      </w:r>
      <w:r w:rsidR="00D91318" w:rsidRPr="00F22307">
        <w:rPr>
          <w:szCs w:val="20"/>
        </w:rPr>
        <w:t xml:space="preserve"> </w:t>
      </w:r>
      <w:r w:rsidR="007B2981">
        <w:rPr>
          <w:szCs w:val="20"/>
        </w:rPr>
        <w:t xml:space="preserve">with a poor prognosis </w:t>
      </w:r>
      <w:r w:rsidR="00D91318" w:rsidRPr="00F22307">
        <w:rPr>
          <w:szCs w:val="20"/>
        </w:rPr>
        <w:t>and is more likely to affect</w:t>
      </w:r>
      <w:r w:rsidR="007E61AC">
        <w:rPr>
          <w:szCs w:val="20"/>
        </w:rPr>
        <w:t xml:space="preserve"> premenopausal women.</w:t>
      </w:r>
      <w:r w:rsidR="00F22307">
        <w:rPr>
          <w:szCs w:val="20"/>
        </w:rPr>
        <w:t xml:space="preserve"> </w:t>
      </w:r>
      <w:r w:rsidR="0048344E" w:rsidRPr="00F22307">
        <w:rPr>
          <w:szCs w:val="20"/>
        </w:rPr>
        <w:t xml:space="preserve">Additionally, there is an association </w:t>
      </w:r>
      <w:r w:rsidR="00F22307" w:rsidRPr="00F22307">
        <w:rPr>
          <w:szCs w:val="20"/>
        </w:rPr>
        <w:t xml:space="preserve">of TNBC </w:t>
      </w:r>
      <w:r w:rsidR="0048344E" w:rsidRPr="00F22307">
        <w:rPr>
          <w:szCs w:val="20"/>
        </w:rPr>
        <w:t>with BRCA1/2 mutations</w:t>
      </w:r>
      <w:r w:rsidR="00F22307" w:rsidRPr="00F22307">
        <w:rPr>
          <w:szCs w:val="20"/>
        </w:rPr>
        <w:t>.</w:t>
      </w:r>
      <w:r w:rsidR="00591E66">
        <w:rPr>
          <w:szCs w:val="20"/>
          <w:vertAlign w:val="superscript"/>
        </w:rPr>
        <w:t>1</w:t>
      </w:r>
      <w:r w:rsidR="0048344E" w:rsidRPr="00F22307">
        <w:rPr>
          <w:szCs w:val="20"/>
        </w:rPr>
        <w:t xml:space="preserve"> </w:t>
      </w:r>
      <w:r w:rsidR="007B2981">
        <w:rPr>
          <w:szCs w:val="20"/>
        </w:rPr>
        <w:t xml:space="preserve">The majority of breast cancer patients that carry the BRCA1 </w:t>
      </w:r>
      <w:r w:rsidR="00B21262">
        <w:rPr>
          <w:szCs w:val="20"/>
        </w:rPr>
        <w:t>mutation</w:t>
      </w:r>
      <w:r w:rsidR="007B2981">
        <w:rPr>
          <w:szCs w:val="20"/>
        </w:rPr>
        <w:t xml:space="preserve"> exhibit the triple negative phenotype.</w:t>
      </w:r>
      <w:bookmarkStart w:id="8" w:name="_Ref518478846"/>
      <w:r w:rsidR="006477E7">
        <w:rPr>
          <w:rStyle w:val="FootnoteReference"/>
          <w:szCs w:val="20"/>
        </w:rPr>
        <w:footnoteReference w:id="2"/>
      </w:r>
      <w:bookmarkEnd w:id="8"/>
      <w:r w:rsidR="006477E7">
        <w:rPr>
          <w:szCs w:val="20"/>
        </w:rPr>
        <w:t xml:space="preserve"> </w:t>
      </w:r>
    </w:p>
    <w:p w14:paraId="65F6865E" w14:textId="77777777" w:rsidR="00AF49BB" w:rsidRDefault="00F22307" w:rsidP="00AF49BB">
      <w:pPr>
        <w:spacing w:before="100" w:beforeAutospacing="1" w:after="100" w:afterAutospacing="1"/>
        <w:ind w:left="360"/>
        <w:rPr>
          <w:szCs w:val="20"/>
          <w:vertAlign w:val="superscript"/>
        </w:rPr>
      </w:pPr>
      <w:r>
        <w:rPr>
          <w:szCs w:val="20"/>
        </w:rPr>
        <w:t>T</w:t>
      </w:r>
      <w:r w:rsidR="0048344E" w:rsidRPr="00935396">
        <w:rPr>
          <w:szCs w:val="20"/>
        </w:rPr>
        <w:t>he main treatments for advanced</w:t>
      </w:r>
      <w:r w:rsidR="000970F1">
        <w:rPr>
          <w:szCs w:val="20"/>
        </w:rPr>
        <w:t xml:space="preserve"> </w:t>
      </w:r>
      <w:r w:rsidR="0048344E" w:rsidRPr="00935396">
        <w:rPr>
          <w:szCs w:val="20"/>
        </w:rPr>
        <w:t>breast cancer are surgery, chemotherapy and radiation therapy</w:t>
      </w:r>
      <w:r w:rsidR="00B938FF">
        <w:rPr>
          <w:szCs w:val="20"/>
        </w:rPr>
        <w:t>. T</w:t>
      </w:r>
      <w:r w:rsidR="00583F7C">
        <w:rPr>
          <w:szCs w:val="20"/>
        </w:rPr>
        <w:t xml:space="preserve">herapeutic options </w:t>
      </w:r>
      <w:r w:rsidR="00574391">
        <w:rPr>
          <w:szCs w:val="20"/>
        </w:rPr>
        <w:t>for</w:t>
      </w:r>
      <w:r w:rsidR="00583F7C">
        <w:rPr>
          <w:szCs w:val="20"/>
        </w:rPr>
        <w:t xml:space="preserve"> TNBC are limited to non-targeted therapies due to a lack of an identified molecular target</w:t>
      </w:r>
      <w:r w:rsidR="00222860">
        <w:rPr>
          <w:szCs w:val="20"/>
        </w:rPr>
        <w:t xml:space="preserve">, which makes </w:t>
      </w:r>
      <w:r w:rsidR="00583F7C">
        <w:rPr>
          <w:szCs w:val="20"/>
        </w:rPr>
        <w:t>t</w:t>
      </w:r>
      <w:r w:rsidR="0048344E" w:rsidRPr="00811C40">
        <w:rPr>
          <w:szCs w:val="20"/>
        </w:rPr>
        <w:t>reatment of TNBC challenging</w:t>
      </w:r>
      <w:r w:rsidR="00CA36EE">
        <w:rPr>
          <w:szCs w:val="20"/>
        </w:rPr>
        <w:t>.</w:t>
      </w:r>
      <w:r w:rsidR="005C4EBB">
        <w:rPr>
          <w:szCs w:val="20"/>
        </w:rPr>
        <w:t xml:space="preserve"> </w:t>
      </w:r>
      <w:proofErr w:type="spellStart"/>
      <w:r w:rsidR="0048344E" w:rsidRPr="00935396">
        <w:rPr>
          <w:szCs w:val="20"/>
        </w:rPr>
        <w:t>Taxanes</w:t>
      </w:r>
      <w:proofErr w:type="spellEnd"/>
      <w:r w:rsidR="00583F7C">
        <w:rPr>
          <w:szCs w:val="20"/>
        </w:rPr>
        <w:t>, cyclophosphamide and</w:t>
      </w:r>
      <w:r w:rsidR="00ED4998">
        <w:rPr>
          <w:szCs w:val="20"/>
        </w:rPr>
        <w:t xml:space="preserve"> </w:t>
      </w:r>
      <w:r w:rsidR="0048344E" w:rsidRPr="00935396">
        <w:rPr>
          <w:szCs w:val="20"/>
        </w:rPr>
        <w:t>anthracyclines are the preferred option in the neoadjuvant and adjuvant settings, but resistance develops rapidly upon disease recurrence</w:t>
      </w:r>
      <w:r w:rsidR="007714B7">
        <w:rPr>
          <w:szCs w:val="20"/>
        </w:rPr>
        <w:t>.</w:t>
      </w:r>
      <w:r w:rsidR="0048344E" w:rsidRPr="00935396">
        <w:rPr>
          <w:rFonts w:cstheme="minorHAnsi"/>
          <w:vertAlign w:val="superscript"/>
        </w:rPr>
        <w:footnoteReference w:id="3"/>
      </w:r>
      <w:r w:rsidR="0048344E" w:rsidRPr="00935396">
        <w:rPr>
          <w:szCs w:val="20"/>
        </w:rPr>
        <w:t xml:space="preserve"> </w:t>
      </w:r>
      <w:r w:rsidR="007B2981">
        <w:rPr>
          <w:szCs w:val="20"/>
        </w:rPr>
        <w:t>This translates into decreased overall survival for TNBC patients compared to other breast cancer subtypes</w:t>
      </w:r>
      <w:r w:rsidR="00DC6081">
        <w:rPr>
          <w:szCs w:val="20"/>
        </w:rPr>
        <w:t xml:space="preserve">, </w:t>
      </w:r>
      <w:r w:rsidR="00CA36EE">
        <w:rPr>
          <w:szCs w:val="20"/>
        </w:rPr>
        <w:t xml:space="preserve">making </w:t>
      </w:r>
      <w:r w:rsidR="005C4EBB">
        <w:rPr>
          <w:szCs w:val="20"/>
        </w:rPr>
        <w:t>TNBC</w:t>
      </w:r>
      <w:r w:rsidR="00CA36EE">
        <w:rPr>
          <w:szCs w:val="20"/>
        </w:rPr>
        <w:t xml:space="preserve"> an area of high unmet</w:t>
      </w:r>
      <w:r w:rsidR="005C4EBB">
        <w:rPr>
          <w:szCs w:val="20"/>
        </w:rPr>
        <w:t xml:space="preserve"> clinical</w:t>
      </w:r>
      <w:r w:rsidR="00CA36EE">
        <w:rPr>
          <w:szCs w:val="20"/>
        </w:rPr>
        <w:t xml:space="preserve"> need</w:t>
      </w:r>
      <w:r w:rsidR="007B2981">
        <w:rPr>
          <w:szCs w:val="20"/>
        </w:rPr>
        <w:t>.</w:t>
      </w:r>
      <w:r w:rsidR="004C461B">
        <w:rPr>
          <w:szCs w:val="20"/>
          <w:vertAlign w:val="superscript"/>
        </w:rPr>
        <w:t>2</w:t>
      </w:r>
    </w:p>
    <w:p w14:paraId="148569D8" w14:textId="70931C7F" w:rsidR="00AF49BB" w:rsidRPr="00AF49BB" w:rsidRDefault="00AF49BB" w:rsidP="00AF49BB">
      <w:pPr>
        <w:spacing w:before="100" w:beforeAutospacing="1" w:after="100" w:afterAutospacing="1"/>
        <w:ind w:left="360"/>
      </w:pPr>
      <w:r>
        <w:rPr>
          <w:szCs w:val="20"/>
        </w:rPr>
        <w:t>B</w:t>
      </w:r>
      <w:r w:rsidR="0048344E" w:rsidRPr="00D91318">
        <w:t xml:space="preserve">reast cancer </w:t>
      </w:r>
      <w:r w:rsidR="0048344E" w:rsidRPr="00AF49BB">
        <w:t xml:space="preserve">is the </w:t>
      </w:r>
      <w:r w:rsidR="005B7599" w:rsidRPr="00AF49BB">
        <w:t xml:space="preserve">second </w:t>
      </w:r>
      <w:proofErr w:type="gramStart"/>
      <w:r w:rsidR="0048344E" w:rsidRPr="00AF49BB">
        <w:t>most commonly diagnosed</w:t>
      </w:r>
      <w:proofErr w:type="gramEnd"/>
      <w:r w:rsidR="0048344E" w:rsidRPr="00AF49BB">
        <w:t xml:space="preserve"> cancer in Australia</w:t>
      </w:r>
      <w:r w:rsidR="00F44641" w:rsidRPr="00AF49BB">
        <w:t xml:space="preserve"> and the most commonly diagnosed cancer in females</w:t>
      </w:r>
      <w:r w:rsidR="0048344E" w:rsidRPr="00AF49BB">
        <w:t>, with</w:t>
      </w:r>
      <w:r w:rsidR="0048344E" w:rsidRPr="00D91318">
        <w:t xml:space="preserve"> </w:t>
      </w:r>
      <w:r w:rsidR="00583F7C">
        <w:t>20</w:t>
      </w:r>
      <w:r w:rsidR="00783265">
        <w:t>,</w:t>
      </w:r>
      <w:r w:rsidR="00583F7C">
        <w:t>030</w:t>
      </w:r>
      <w:r w:rsidR="0048344E" w:rsidRPr="00D91318">
        <w:t xml:space="preserve"> patients diagnosed </w:t>
      </w:r>
      <w:r w:rsidR="005A5CA9">
        <w:t>i</w:t>
      </w:r>
      <w:r w:rsidR="00583F7C">
        <w:t>n</w:t>
      </w:r>
      <w:r w:rsidR="005A5CA9">
        <w:t xml:space="preserve"> </w:t>
      </w:r>
      <w:r w:rsidR="00583F7C">
        <w:t>202</w:t>
      </w:r>
      <w:r w:rsidR="00583F7C" w:rsidRPr="00A40396">
        <w:t>1</w:t>
      </w:r>
      <w:r w:rsidR="00F44641" w:rsidRPr="00A40396">
        <w:t>.</w:t>
      </w:r>
      <w:bookmarkStart w:id="9" w:name="_Ref97675553"/>
      <w:r w:rsidR="00F44641" w:rsidRPr="00A40396">
        <w:rPr>
          <w:rStyle w:val="FootnoteReference"/>
        </w:rPr>
        <w:footnoteReference w:id="4"/>
      </w:r>
      <w:bookmarkEnd w:id="9"/>
      <w:r w:rsidR="00F44641">
        <w:rPr>
          <w:b/>
        </w:rPr>
        <w:t xml:space="preserve"> </w:t>
      </w:r>
      <w:r w:rsidR="0048344E" w:rsidRPr="00D91318">
        <w:t xml:space="preserve"> </w:t>
      </w:r>
      <w:r w:rsidR="00AD3FDA">
        <w:t>It</w:t>
      </w:r>
      <w:r w:rsidR="00D91318">
        <w:t xml:space="preserve"> accounts for approximately 1</w:t>
      </w:r>
      <w:r w:rsidR="005A5CA9">
        <w:t>3</w:t>
      </w:r>
      <w:r w:rsidR="0048344E" w:rsidRPr="00D91318">
        <w:t>% of all new cancers in Australia</w:t>
      </w:r>
      <w:bookmarkStart w:id="10" w:name="_Ref518478994"/>
      <w:r>
        <w:t xml:space="preserve"> and </w:t>
      </w:r>
      <w:r w:rsidR="00AA389F">
        <w:t>6% of cancer deaths</w:t>
      </w:r>
      <w:r w:rsidR="006024B5">
        <w:t>.</w:t>
      </w:r>
      <w:bookmarkEnd w:id="10"/>
      <w:r w:rsidR="006024B5">
        <w:t xml:space="preserve"> </w:t>
      </w:r>
      <w:r w:rsidR="0048344E" w:rsidRPr="00D91318">
        <w:t>Overall survival of breast cancer has increased over the last thirty years</w:t>
      </w:r>
      <w:r w:rsidR="00DE17D4">
        <w:t xml:space="preserve">, with 2013-2017 data showing a </w:t>
      </w:r>
      <w:r w:rsidR="0048344E" w:rsidRPr="00D91318">
        <w:t>five-year overall survival ra</w:t>
      </w:r>
      <w:r w:rsidR="00180496">
        <w:t>te of 9</w:t>
      </w:r>
      <w:r w:rsidR="00EC1848">
        <w:t>2</w:t>
      </w:r>
      <w:r w:rsidR="00180496">
        <w:t>% (20</w:t>
      </w:r>
      <w:r w:rsidR="00EC1848">
        <w:t>13</w:t>
      </w:r>
      <w:r w:rsidR="00180496">
        <w:t>-20</w:t>
      </w:r>
      <w:r w:rsidR="00EC1848">
        <w:t>17</w:t>
      </w:r>
      <w:r w:rsidR="00180496">
        <w:t>)</w:t>
      </w:r>
      <w:r w:rsidR="0048344E" w:rsidRPr="00D91318">
        <w:t>.</w:t>
      </w:r>
      <w:r w:rsidR="00AA389F" w:rsidRPr="00AA389F">
        <w:rPr>
          <w:vertAlign w:val="superscript"/>
        </w:rPr>
        <w:fldChar w:fldCharType="begin"/>
      </w:r>
      <w:r w:rsidR="00AA389F" w:rsidRPr="00AA389F">
        <w:rPr>
          <w:vertAlign w:val="superscript"/>
        </w:rPr>
        <w:instrText xml:space="preserve"> NOTEREF _Ref97675553 \h </w:instrText>
      </w:r>
      <w:r w:rsidR="00AA389F">
        <w:rPr>
          <w:vertAlign w:val="superscript"/>
        </w:rPr>
        <w:instrText xml:space="preserve"> \* MERGEFORMAT </w:instrText>
      </w:r>
      <w:r w:rsidR="00AA389F" w:rsidRPr="00AA389F">
        <w:rPr>
          <w:vertAlign w:val="superscript"/>
        </w:rPr>
      </w:r>
      <w:r w:rsidR="00AA389F" w:rsidRPr="00AA389F">
        <w:rPr>
          <w:vertAlign w:val="superscript"/>
        </w:rPr>
        <w:fldChar w:fldCharType="separate"/>
      </w:r>
      <w:r w:rsidR="00AA389F" w:rsidRPr="00AA389F">
        <w:rPr>
          <w:vertAlign w:val="superscript"/>
        </w:rPr>
        <w:t>3</w:t>
      </w:r>
      <w:r w:rsidR="00AA389F" w:rsidRPr="00AA389F">
        <w:rPr>
          <w:vertAlign w:val="superscript"/>
        </w:rPr>
        <w:fldChar w:fldCharType="end"/>
      </w:r>
      <w:r w:rsidR="0048344E" w:rsidRPr="00D91318">
        <w:t xml:space="preserve"> </w:t>
      </w:r>
      <w:r w:rsidR="0038216F">
        <w:t xml:space="preserve">However, </w:t>
      </w:r>
      <w:r w:rsidR="00DA6D6E">
        <w:t>T</w:t>
      </w:r>
      <w:r w:rsidR="007714B7">
        <w:t xml:space="preserve">NBC </w:t>
      </w:r>
      <w:r w:rsidR="0048344E" w:rsidRPr="00D91318">
        <w:t>can be more aggressive</w:t>
      </w:r>
      <w:r w:rsidR="00F13A9A">
        <w:t xml:space="preserve">, </w:t>
      </w:r>
      <w:r w:rsidR="0048344E" w:rsidRPr="00D91318">
        <w:t>difficult</w:t>
      </w:r>
      <w:r w:rsidR="00723D60">
        <w:t>-</w:t>
      </w:r>
      <w:r w:rsidR="0048344E" w:rsidRPr="00D91318">
        <w:t>to</w:t>
      </w:r>
      <w:r w:rsidR="00723D60">
        <w:t>-</w:t>
      </w:r>
      <w:r w:rsidR="0048344E" w:rsidRPr="00D91318">
        <w:t>treat</w:t>
      </w:r>
      <w:r w:rsidR="00F13A9A">
        <w:t xml:space="preserve"> and</w:t>
      </w:r>
      <w:r w:rsidR="0048344E" w:rsidRPr="00D91318">
        <w:t xml:space="preserve"> </w:t>
      </w:r>
      <w:r w:rsidR="00F22307">
        <w:t xml:space="preserve">is often diagnosed at a </w:t>
      </w:r>
      <w:r w:rsidR="0048344E" w:rsidRPr="00D91318">
        <w:t>more advanced disease stage</w:t>
      </w:r>
      <w:r w:rsidR="00723D60">
        <w:t>,</w:t>
      </w:r>
      <w:r w:rsidR="00DA6D6E">
        <w:t xml:space="preserve"> leading to poorer prognosis compared with breast cancer as a whole.</w:t>
      </w:r>
      <w:r w:rsidR="0048344E" w:rsidRPr="00AF49BB">
        <w:t xml:space="preserve"> </w:t>
      </w:r>
    </w:p>
    <w:p w14:paraId="1C468A99" w14:textId="33D1A10B" w:rsidR="0048344E" w:rsidRPr="00347E39" w:rsidRDefault="006112A8" w:rsidP="00347E39">
      <w:pPr>
        <w:spacing w:before="100" w:beforeAutospacing="1" w:after="100" w:afterAutospacing="1"/>
        <w:ind w:left="360"/>
        <w:rPr>
          <w:szCs w:val="20"/>
          <w:vertAlign w:val="superscript"/>
        </w:rPr>
      </w:pPr>
      <w:r w:rsidRPr="00AF49BB">
        <w:t xml:space="preserve">There is a paucity of Australian survival data specific to TNBC. However, the </w:t>
      </w:r>
      <w:r w:rsidR="0070767C" w:rsidRPr="00AF49BB">
        <w:t>US National Cancer Institute (NCI)</w:t>
      </w:r>
      <w:r w:rsidR="00A5603B" w:rsidRPr="00AF49BB">
        <w:t xml:space="preserve"> Surveillance, Epidemiology, and End Result Program (</w:t>
      </w:r>
      <w:r w:rsidR="0070767C" w:rsidRPr="00AF49BB">
        <w:t>SEER</w:t>
      </w:r>
      <w:r w:rsidR="00A5603B" w:rsidRPr="00AF49BB">
        <w:t>) d</w:t>
      </w:r>
      <w:r w:rsidR="0070767C" w:rsidRPr="00AF49BB">
        <w:t>atabase</w:t>
      </w:r>
      <w:r w:rsidR="00A5603B" w:rsidRPr="00AF49BB">
        <w:t xml:space="preserve"> </w:t>
      </w:r>
      <w:r w:rsidR="00DA3570" w:rsidRPr="00AF49BB">
        <w:t xml:space="preserve">reports a similar </w:t>
      </w:r>
      <w:r w:rsidR="009E2537" w:rsidRPr="00AF49BB">
        <w:t>five-year overall survival rate of 90.3%</w:t>
      </w:r>
      <w:r w:rsidR="007A66A9" w:rsidRPr="00AF49BB">
        <w:t xml:space="preserve"> for all breast cancers</w:t>
      </w:r>
      <w:r w:rsidR="009E2537" w:rsidRPr="00AF49BB">
        <w:t>, irrespective of stage at diagnosis.</w:t>
      </w:r>
      <w:bookmarkStart w:id="11" w:name="_Ref97676286"/>
      <w:r w:rsidR="00B144E7" w:rsidRPr="00AF49BB">
        <w:rPr>
          <w:rStyle w:val="FootnoteReference"/>
        </w:rPr>
        <w:footnoteReference w:id="5"/>
      </w:r>
      <w:bookmarkEnd w:id="11"/>
      <w:r w:rsidR="009E2537" w:rsidRPr="00AF49BB">
        <w:t xml:space="preserve"> For TNBC, the corresponding figure is 76.9% across all stages</w:t>
      </w:r>
      <w:r w:rsidR="00A96741" w:rsidRPr="00AF49BB">
        <w:t xml:space="preserve">, 65.4% if regional disease is present at diagnosis and only 12.2% </w:t>
      </w:r>
      <w:r w:rsidR="00312623" w:rsidRPr="00AF49BB">
        <w:t xml:space="preserve">for distant/metastatic </w:t>
      </w:r>
      <w:r w:rsidR="00FF216C" w:rsidRPr="00AF49BB">
        <w:t>disease</w:t>
      </w:r>
      <w:r w:rsidR="00CC50EC">
        <w:t>,</w:t>
      </w:r>
      <w:r w:rsidR="0010185D">
        <w:t xml:space="preserve"> compared with </w:t>
      </w:r>
      <w:r w:rsidR="005F3690">
        <w:t xml:space="preserve">30-45% five-year overall survival for </w:t>
      </w:r>
      <w:r w:rsidR="00566629">
        <w:t xml:space="preserve">female breast cancer patients with other subtypes who were diagnosed with </w:t>
      </w:r>
      <w:r w:rsidR="00347E39">
        <w:t>distant/metastatic disease.</w:t>
      </w:r>
      <w:r w:rsidR="00347E39" w:rsidRPr="00347E39">
        <w:rPr>
          <w:vertAlign w:val="superscript"/>
        </w:rPr>
        <w:fldChar w:fldCharType="begin"/>
      </w:r>
      <w:r w:rsidR="00347E39" w:rsidRPr="00347E39">
        <w:rPr>
          <w:vertAlign w:val="superscript"/>
        </w:rPr>
        <w:instrText xml:space="preserve"> NOTEREF _Ref97676286 \h </w:instrText>
      </w:r>
      <w:r w:rsidR="00347E39">
        <w:rPr>
          <w:vertAlign w:val="superscript"/>
        </w:rPr>
        <w:instrText xml:space="preserve"> \* MERGEFORMAT </w:instrText>
      </w:r>
      <w:r w:rsidR="00347E39" w:rsidRPr="00347E39">
        <w:rPr>
          <w:vertAlign w:val="superscript"/>
        </w:rPr>
      </w:r>
      <w:r w:rsidR="00347E39" w:rsidRPr="00347E39">
        <w:rPr>
          <w:vertAlign w:val="superscript"/>
        </w:rPr>
        <w:fldChar w:fldCharType="separate"/>
      </w:r>
      <w:r w:rsidR="00347E39" w:rsidRPr="00347E39">
        <w:rPr>
          <w:vertAlign w:val="superscript"/>
        </w:rPr>
        <w:t>4</w:t>
      </w:r>
      <w:r w:rsidR="00347E39" w:rsidRPr="00347E39">
        <w:rPr>
          <w:vertAlign w:val="superscript"/>
        </w:rPr>
        <w:fldChar w:fldCharType="end"/>
      </w:r>
    </w:p>
    <w:p w14:paraId="1C468A9A" w14:textId="45DF8F09" w:rsidR="00AA5FDA" w:rsidRDefault="00685FF7" w:rsidP="00685FF7">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managed and referred within the Australian health care system</w:t>
      </w:r>
      <w:r>
        <w:t>,</w:t>
      </w:r>
      <w:r w:rsidRPr="00154B00">
        <w:t xml:space="preserve"> in the lead up to being eligible for the service</w:t>
      </w:r>
      <w:r>
        <w:t>):</w:t>
      </w:r>
    </w:p>
    <w:p w14:paraId="2151AE69" w14:textId="255A181C" w:rsidR="00672679" w:rsidRDefault="00672679" w:rsidP="00672679">
      <w:pPr>
        <w:pStyle w:val="CommentText"/>
        <w:ind w:left="360"/>
      </w:pPr>
      <w:r w:rsidRPr="000B1B59">
        <w:lastRenderedPageBreak/>
        <w:t xml:space="preserve">The Cancer Council Victoria and Department of Health Victoria’s </w:t>
      </w:r>
      <w:r w:rsidRPr="000B1B59">
        <w:rPr>
          <w:i/>
          <w:iCs/>
        </w:rPr>
        <w:t>Optimal care pathway for people with breast cancer</w:t>
      </w:r>
      <w:r w:rsidR="001226F2">
        <w:rPr>
          <w:i/>
          <w:iCs/>
        </w:rPr>
        <w:t>, Second Edition</w:t>
      </w:r>
      <w:r w:rsidRPr="000B1B59">
        <w:rPr>
          <w:rStyle w:val="FootnoteReference"/>
          <w:i/>
          <w:iCs/>
        </w:rPr>
        <w:footnoteReference w:id="6"/>
      </w:r>
      <w:r w:rsidR="001226F2">
        <w:rPr>
          <w:i/>
          <w:iCs/>
        </w:rPr>
        <w:t xml:space="preserve"> </w:t>
      </w:r>
      <w:r w:rsidR="001226F2">
        <w:t>(see Attachment 1)</w:t>
      </w:r>
      <w:r w:rsidRPr="000B1B59">
        <w:t>, provides detailed information on how breast cancer patients are investigated, referred and managed</w:t>
      </w:r>
      <w:r>
        <w:t>. To summarise:</w:t>
      </w:r>
    </w:p>
    <w:p w14:paraId="559CBDE5" w14:textId="77777777" w:rsidR="00672679" w:rsidRDefault="00672679" w:rsidP="00672679">
      <w:pPr>
        <w:pStyle w:val="CommentText"/>
        <w:numPr>
          <w:ilvl w:val="0"/>
          <w:numId w:val="20"/>
        </w:numPr>
      </w:pPr>
      <w:r>
        <w:t xml:space="preserve">At least </w:t>
      </w:r>
      <w:r w:rsidRPr="00C60824">
        <w:t>one-third of breast cancers are found in apparently asymptomatic women through routine breast cancer screening</w:t>
      </w:r>
      <w:r>
        <w:t xml:space="preserve"> (</w:t>
      </w:r>
      <w:proofErr w:type="spellStart"/>
      <w:r>
        <w:t>BreastScreen</w:t>
      </w:r>
      <w:proofErr w:type="spellEnd"/>
      <w:r>
        <w:t xml:space="preserve"> Australia)</w:t>
      </w:r>
    </w:p>
    <w:p w14:paraId="792DEC87" w14:textId="77777777" w:rsidR="00672679" w:rsidRDefault="00672679" w:rsidP="00672679">
      <w:pPr>
        <w:pStyle w:val="CommentText"/>
        <w:numPr>
          <w:ilvl w:val="0"/>
          <w:numId w:val="20"/>
        </w:numPr>
      </w:pPr>
      <w:r>
        <w:t>Women who experience symptoms are likely to present to their general practitioner</w:t>
      </w:r>
    </w:p>
    <w:p w14:paraId="71D7FE49" w14:textId="77777777" w:rsidR="00672679" w:rsidRDefault="00672679" w:rsidP="00672679">
      <w:pPr>
        <w:pStyle w:val="CommentText"/>
        <w:numPr>
          <w:ilvl w:val="0"/>
          <w:numId w:val="20"/>
        </w:numPr>
      </w:pPr>
      <w:r>
        <w:t>Initial investigations include:</w:t>
      </w:r>
    </w:p>
    <w:p w14:paraId="0643317B" w14:textId="77777777" w:rsidR="00672679" w:rsidRDefault="00672679" w:rsidP="00732569">
      <w:pPr>
        <w:pStyle w:val="CommentText"/>
        <w:numPr>
          <w:ilvl w:val="1"/>
          <w:numId w:val="20"/>
        </w:numPr>
        <w:spacing w:before="60" w:after="60"/>
        <w:ind w:left="1797" w:hanging="357"/>
      </w:pPr>
      <w:r>
        <w:t>Medical history and clinical breast examination</w:t>
      </w:r>
    </w:p>
    <w:p w14:paraId="5ACDF201" w14:textId="7349429E" w:rsidR="00672679" w:rsidRDefault="00672679" w:rsidP="00732569">
      <w:pPr>
        <w:pStyle w:val="CommentText"/>
        <w:numPr>
          <w:ilvl w:val="1"/>
          <w:numId w:val="20"/>
        </w:numPr>
        <w:spacing w:before="60" w:after="60"/>
        <w:ind w:left="1797" w:hanging="357"/>
      </w:pPr>
      <w:r>
        <w:t>Imaging – mammography and/or ultrasound</w:t>
      </w:r>
    </w:p>
    <w:p w14:paraId="29CA04A7" w14:textId="77777777" w:rsidR="00672679" w:rsidRDefault="00672679" w:rsidP="00732569">
      <w:pPr>
        <w:pStyle w:val="CommentText"/>
        <w:numPr>
          <w:ilvl w:val="1"/>
          <w:numId w:val="20"/>
        </w:numPr>
        <w:spacing w:before="60" w:after="60"/>
        <w:ind w:left="1797" w:hanging="357"/>
      </w:pPr>
      <w:r>
        <w:t>Non-excision biopsy</w:t>
      </w:r>
    </w:p>
    <w:p w14:paraId="462150E9" w14:textId="77777777" w:rsidR="00672679" w:rsidRDefault="00672679" w:rsidP="00672679">
      <w:pPr>
        <w:pStyle w:val="CommentText"/>
        <w:numPr>
          <w:ilvl w:val="0"/>
          <w:numId w:val="20"/>
        </w:numPr>
      </w:pPr>
      <w:r>
        <w:t>Patients with a positive result on any component above would be referred for specialist surgical assessment and/or further investigation.</w:t>
      </w:r>
    </w:p>
    <w:p w14:paraId="0729D71C" w14:textId="77777777" w:rsidR="00672679" w:rsidRDefault="00672679" w:rsidP="00672679">
      <w:pPr>
        <w:pStyle w:val="CommentText"/>
        <w:numPr>
          <w:ilvl w:val="0"/>
          <w:numId w:val="20"/>
        </w:numPr>
      </w:pPr>
      <w:r>
        <w:t>Diagnostic work-up is undertaken under the guidance of a specialist. This includes:</w:t>
      </w:r>
    </w:p>
    <w:p w14:paraId="6B2E0631" w14:textId="77777777" w:rsidR="00672679" w:rsidRDefault="00672679" w:rsidP="00732569">
      <w:pPr>
        <w:pStyle w:val="CommentText"/>
        <w:numPr>
          <w:ilvl w:val="1"/>
          <w:numId w:val="20"/>
        </w:numPr>
        <w:spacing w:before="60" w:after="60"/>
        <w:ind w:left="1797" w:hanging="357"/>
      </w:pPr>
      <w:r w:rsidRPr="00FD3189">
        <w:t>appropriate breast imaging tests including bilateral mammography and ultrasound</w:t>
      </w:r>
    </w:p>
    <w:p w14:paraId="5FB06868" w14:textId="77777777" w:rsidR="00672679" w:rsidRDefault="00672679" w:rsidP="00732569">
      <w:pPr>
        <w:pStyle w:val="CommentText"/>
        <w:numPr>
          <w:ilvl w:val="1"/>
          <w:numId w:val="20"/>
        </w:numPr>
        <w:spacing w:before="60" w:after="60"/>
        <w:ind w:left="1797" w:hanging="357"/>
      </w:pPr>
      <w:r w:rsidRPr="00FD3189">
        <w:t xml:space="preserve">ultrasound of the axilla (including fine-needle aspiration of nodes if the axillary </w:t>
      </w:r>
      <w:proofErr w:type="gramStart"/>
      <w:r w:rsidRPr="00FD3189">
        <w:t>ultrasound  is</w:t>
      </w:r>
      <w:proofErr w:type="gramEnd"/>
      <w:r w:rsidRPr="00FD3189">
        <w:t xml:space="preserve"> abnormal)</w:t>
      </w:r>
    </w:p>
    <w:p w14:paraId="0DA2391F" w14:textId="77777777" w:rsidR="00672679" w:rsidRDefault="00672679" w:rsidP="00732569">
      <w:pPr>
        <w:pStyle w:val="CommentText"/>
        <w:numPr>
          <w:ilvl w:val="1"/>
          <w:numId w:val="20"/>
        </w:numPr>
        <w:spacing w:before="60" w:after="60"/>
        <w:ind w:left="1797" w:hanging="357"/>
      </w:pPr>
      <w:r w:rsidRPr="00FD3189">
        <w:t>breast core biopsy, if not already undertaken (which allows determination of breast cancer receptor profiles [ER, PR, HER2]).</w:t>
      </w:r>
    </w:p>
    <w:p w14:paraId="23761DD9" w14:textId="151F3DBD" w:rsidR="00672679" w:rsidRDefault="00672679" w:rsidP="00672679">
      <w:pPr>
        <w:pStyle w:val="CommentText"/>
        <w:numPr>
          <w:ilvl w:val="0"/>
          <w:numId w:val="20"/>
        </w:numPr>
      </w:pPr>
      <w:r>
        <w:t>Regardless of breast cancer subtype, patients would then be staged, performance status would be determined</w:t>
      </w:r>
      <w:r w:rsidR="00707457">
        <w:t>,</w:t>
      </w:r>
      <w:r>
        <w:t xml:space="preserve"> and treatment planning would occur.</w:t>
      </w:r>
    </w:p>
    <w:p w14:paraId="07F3AD07" w14:textId="228EFD62" w:rsidR="00C76DF3" w:rsidRDefault="00672679" w:rsidP="00672679">
      <w:pPr>
        <w:pStyle w:val="CommentText"/>
        <w:ind w:left="360"/>
      </w:pPr>
      <w:r>
        <w:t xml:space="preserve">With respect to TNBC, patients with early-stage disease may be referred for neoadjuvant </w:t>
      </w:r>
      <w:r w:rsidR="00766F35">
        <w:t>chemotherapy</w:t>
      </w:r>
      <w:r w:rsidR="00C76DF3">
        <w:t>. It should be noted that PD-L1 testing is not relevant in this stage of disease and would not be undertaken, however, tissue may be obtained and archived</w:t>
      </w:r>
      <w:r>
        <w:t xml:space="preserve">. </w:t>
      </w:r>
      <w:r w:rsidR="000E2390">
        <w:t>The expectation is that archived tissue would not be used for PD-L1 testing if the patient experiences recurrence unless a new tissue biopsy is not available.</w:t>
      </w:r>
    </w:p>
    <w:p w14:paraId="0563E188" w14:textId="4EF633CE" w:rsidR="00672679" w:rsidRPr="000B1B59" w:rsidRDefault="00672679" w:rsidP="00672679">
      <w:pPr>
        <w:pStyle w:val="CommentText"/>
        <w:ind w:left="360"/>
      </w:pPr>
      <w:r>
        <w:t xml:space="preserve">It is proposed that TNBC patients would </w:t>
      </w:r>
      <w:r w:rsidR="002D15BE">
        <w:t>have access</w:t>
      </w:r>
      <w:r>
        <w:t xml:space="preserve"> </w:t>
      </w:r>
      <w:r w:rsidR="002D15BE">
        <w:t>to</w:t>
      </w:r>
      <w:r>
        <w:t xml:space="preserve"> PD-L1 testing</w:t>
      </w:r>
      <w:r w:rsidR="00C76DF3">
        <w:t xml:space="preserve"> via the MBS upon diagnosis of locally recurrent inoperable or metastatic disease </w:t>
      </w:r>
      <w:r w:rsidR="002D15BE">
        <w:t>to inform eligibility for pembrolizumab in the first-line setting</w:t>
      </w:r>
      <w:r>
        <w:t xml:space="preserve">.  </w:t>
      </w:r>
    </w:p>
    <w:p w14:paraId="1C468AA2" w14:textId="77777777" w:rsidR="002A50FD" w:rsidRPr="00881F93" w:rsidRDefault="005C3AE7" w:rsidP="00732569">
      <w:pPr>
        <w:pStyle w:val="Subtitle"/>
        <w:ind w:left="0"/>
        <w:jc w:val="both"/>
      </w:pPr>
      <w:r>
        <w:t xml:space="preserve">PART 6b – </w:t>
      </w:r>
      <w:r w:rsidR="002A50FD" w:rsidRPr="00881F93">
        <w:t>INFORMATION ABOUT THE INTERVENTION</w:t>
      </w:r>
    </w:p>
    <w:p w14:paraId="1C468AA3" w14:textId="11A8EE5A" w:rsidR="002A50FD" w:rsidRPr="00154B00" w:rsidRDefault="0005554B" w:rsidP="0005554B">
      <w:pPr>
        <w:pStyle w:val="Heading2"/>
      </w:pPr>
      <w:r w:rsidRPr="00154B00">
        <w:t xml:space="preserve">Describe </w:t>
      </w:r>
      <w:r w:rsidRPr="00DA7D0C">
        <w:t>the</w:t>
      </w:r>
      <w:r w:rsidRPr="00154B00">
        <w:t xml:space="preserve"> key components and clinical steps involved in delivering </w:t>
      </w:r>
      <w:r>
        <w:t>the proposed medical service/technology:</w:t>
      </w:r>
    </w:p>
    <w:p w14:paraId="2F175C9C" w14:textId="00FF2CC1" w:rsidR="00AA7C6F" w:rsidRDefault="00AA7C6F" w:rsidP="00732569">
      <w:pPr>
        <w:ind w:left="360"/>
      </w:pPr>
      <w:r w:rsidRPr="00470DF9">
        <w:t xml:space="preserve">As IHC testing is a common procedure, it is proposed that PD-L1 IHC testing be carried out in any pathology laboratory holding the appropriate accreditation to claim pathology services through the MBS. While kits are available, they can only be performed on the </w:t>
      </w:r>
      <w:proofErr w:type="spellStart"/>
      <w:r w:rsidRPr="00470DF9">
        <w:t>Dako</w:t>
      </w:r>
      <w:proofErr w:type="spellEnd"/>
      <w:r w:rsidRPr="00470DF9">
        <w:t>/Agilent platform. Antibodies can be validated on alternate platforms and MSD has</w:t>
      </w:r>
      <w:r w:rsidR="004F64E7">
        <w:t xml:space="preserve"> previously</w:t>
      </w:r>
      <w:r w:rsidR="004F64E7" w:rsidRPr="00470DF9">
        <w:t xml:space="preserve"> </w:t>
      </w:r>
      <w:r w:rsidRPr="00470DF9">
        <w:t xml:space="preserve">developed protocols for this validation process. </w:t>
      </w:r>
    </w:p>
    <w:p w14:paraId="2E48A10B" w14:textId="77777777" w:rsidR="00AA7C6F" w:rsidRDefault="00AA7C6F" w:rsidP="00732569">
      <w:pPr>
        <w:pStyle w:val="CommentText"/>
        <w:ind w:left="360"/>
      </w:pPr>
      <w:r w:rsidRPr="00180496">
        <w:t>The testing would be performed by a pathologist, and it is proposed that the test is a pathologist determinable test.</w:t>
      </w:r>
      <w:r>
        <w:t xml:space="preserve"> </w:t>
      </w:r>
      <w:r w:rsidRPr="006A0815">
        <w:t xml:space="preserve">The test would enable identification of those patients most likely to benefit from </w:t>
      </w:r>
      <w:r>
        <w:t xml:space="preserve">first line </w:t>
      </w:r>
      <w:r w:rsidRPr="006A0815">
        <w:t xml:space="preserve">treatment with pembrolizumab </w:t>
      </w:r>
      <w:r>
        <w:t>in combination with clinician’s choice of chemotherapy.</w:t>
      </w:r>
    </w:p>
    <w:p w14:paraId="2C06877F" w14:textId="77777777" w:rsidR="006C24D1" w:rsidRDefault="002803F8" w:rsidP="00732569">
      <w:pPr>
        <w:spacing w:before="0"/>
        <w:ind w:left="360"/>
      </w:pPr>
      <w:r w:rsidRPr="00554B35">
        <w:t xml:space="preserve">The PD-L1 assay used during the pembrolizumab </w:t>
      </w:r>
      <w:r w:rsidR="00554B35">
        <w:t>TNBC</w:t>
      </w:r>
      <w:r w:rsidRPr="00554B35">
        <w:t xml:space="preserve"> clinical development program is known as the PD-L1 IHC 22C3 </w:t>
      </w:r>
      <w:proofErr w:type="spellStart"/>
      <w:r w:rsidRPr="00554B35">
        <w:t>pharmDx</w:t>
      </w:r>
      <w:proofErr w:type="spellEnd"/>
      <w:r w:rsidRPr="00554B35">
        <w:t xml:space="preserve"> Market Ready Assay (developed by </w:t>
      </w:r>
      <w:proofErr w:type="spellStart"/>
      <w:r w:rsidRPr="00554B35">
        <w:t>Dako</w:t>
      </w:r>
      <w:proofErr w:type="spellEnd"/>
      <w:r w:rsidR="001F25B9" w:rsidRPr="00554B35">
        <w:t>/Agilent</w:t>
      </w:r>
      <w:r w:rsidRPr="00554B35">
        <w:t xml:space="preserve">). The PD-L1 IHC 22C3 </w:t>
      </w:r>
      <w:proofErr w:type="spellStart"/>
      <w:r w:rsidRPr="00554B35">
        <w:t>pharmDx</w:t>
      </w:r>
      <w:proofErr w:type="spellEnd"/>
      <w:r w:rsidRPr="00554B35">
        <w:t xml:space="preserve"> Market Ready Assay w</w:t>
      </w:r>
      <w:r w:rsidR="00334CE1">
        <w:t>as</w:t>
      </w:r>
      <w:r w:rsidRPr="00554B35">
        <w:t xml:space="preserve"> used to determine PD-L1 expression in tumour tissue in order to explore the relationship between tumour PD-L1 expression and response to treatment with pembrolizumab.</w:t>
      </w:r>
      <w:r w:rsidR="00B01113">
        <w:t xml:space="preserve"> Furthermore, </w:t>
      </w:r>
      <w:r w:rsidR="006130F3">
        <w:t xml:space="preserve">the CPS method </w:t>
      </w:r>
      <w:r w:rsidR="00B01113">
        <w:t>has been validated</w:t>
      </w:r>
      <w:r w:rsidR="008D2DFA">
        <w:t xml:space="preserve"> by MSD for</w:t>
      </w:r>
      <w:r w:rsidR="006130F3">
        <w:t xml:space="preserve"> predicting response to pembrolizumab in </w:t>
      </w:r>
      <w:r w:rsidR="008D2DFA">
        <w:t xml:space="preserve">R/M </w:t>
      </w:r>
      <w:r w:rsidR="006130F3">
        <w:t>TNBC.</w:t>
      </w:r>
    </w:p>
    <w:p w14:paraId="245EAE03" w14:textId="70AE9010" w:rsidR="006C24D1" w:rsidRPr="00554B35" w:rsidRDefault="006C24D1" w:rsidP="00732569">
      <w:pPr>
        <w:ind w:left="360"/>
      </w:pPr>
      <w:r w:rsidRPr="00554B35">
        <w:lastRenderedPageBreak/>
        <w:t xml:space="preserve">Pembrolizumab is a highly selective humanised monoclonal antibody that targets the </w:t>
      </w:r>
      <w:r>
        <w:t>p</w:t>
      </w:r>
      <w:r w:rsidRPr="00334CE1">
        <w:t xml:space="preserve">rogrammed death ligand-1 (PD-L1) </w:t>
      </w:r>
      <w:r w:rsidRPr="00554B35">
        <w:t xml:space="preserve">receptor to potentiate an immune response. PD-L1 expression in </w:t>
      </w:r>
      <w:r>
        <w:t xml:space="preserve">R/M </w:t>
      </w:r>
      <w:r w:rsidRPr="00554B35">
        <w:t>TNBC biopsies can be assessed using IHC testing with antibodies that bind specifically to the PD-L1 protein.</w:t>
      </w:r>
    </w:p>
    <w:p w14:paraId="1C468AAC" w14:textId="7E2C783D" w:rsidR="00BC10DC" w:rsidRPr="00A90670" w:rsidRDefault="00257CBF" w:rsidP="00732569">
      <w:pPr>
        <w:ind w:left="360"/>
        <w:rPr>
          <w:highlight w:val="yellow"/>
        </w:rPr>
      </w:pPr>
      <w:r>
        <w:t>T</w:t>
      </w:r>
      <w:r w:rsidR="00BC10DC" w:rsidRPr="00554B35">
        <w:t xml:space="preserve">he therapeutically important cut-point for CPS </w:t>
      </w:r>
      <w:r>
        <w:t xml:space="preserve">has been shown to differ by tumour and </w:t>
      </w:r>
      <w:r w:rsidR="00BC10DC" w:rsidRPr="00554B35">
        <w:t>is still being prospectively validated across different cancers in the Pembrolizumab clinic</w:t>
      </w:r>
      <w:r w:rsidR="00BC10DC" w:rsidRPr="00030F89">
        <w:t xml:space="preserve">al trial program. </w:t>
      </w:r>
      <w:r w:rsidR="00550767">
        <w:t xml:space="preserve">In R/M </w:t>
      </w:r>
      <w:r w:rsidR="00554B35" w:rsidRPr="00D8189C">
        <w:t>TNBC</w:t>
      </w:r>
      <w:r w:rsidR="00BC10DC" w:rsidRPr="00030F89">
        <w:t xml:space="preserve">, </w:t>
      </w:r>
      <w:r w:rsidR="00437856" w:rsidRPr="00030F89">
        <w:t xml:space="preserve">the Phase 3 trial (KN-355) demonstrated that </w:t>
      </w:r>
      <w:r w:rsidR="0007667F" w:rsidRPr="00030F89">
        <w:t xml:space="preserve">the addition of pembrolizumab </w:t>
      </w:r>
      <w:r w:rsidR="00191DFC" w:rsidRPr="00030F89">
        <w:t>to chemotherapy was associated with improved PFS and OS in patients with</w:t>
      </w:r>
      <w:r w:rsidR="00437856" w:rsidRPr="00030F89">
        <w:t xml:space="preserve"> CPS </w:t>
      </w:r>
      <w:r w:rsidR="00437856" w:rsidRPr="00030F89">
        <w:rPr>
          <w:rFonts w:ascii="Times New Roman" w:hAnsi="Times New Roman" w:cs="Times New Roman"/>
        </w:rPr>
        <w:t>≥</w:t>
      </w:r>
      <w:r w:rsidR="00437856" w:rsidRPr="00030F89">
        <w:t>10</w:t>
      </w:r>
      <w:r w:rsidR="00BC10DC" w:rsidRPr="00D8189C">
        <w:t>.</w:t>
      </w:r>
    </w:p>
    <w:p w14:paraId="1C468AAF" w14:textId="77777777" w:rsidR="002A6753" w:rsidRDefault="002A6753" w:rsidP="002803F8">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24ECCEB" w14:textId="4F12B141" w:rsidR="00963700" w:rsidRDefault="00963700" w:rsidP="00963700">
      <w:pPr>
        <w:ind w:left="360"/>
      </w:pPr>
      <w:r w:rsidRPr="002D2F35">
        <w:t>At the time of lodging this application, PD-L1 testing is listed on the MBS for use in 1L NSCLC</w:t>
      </w:r>
      <w:r w:rsidR="00605199">
        <w:t xml:space="preserve"> and </w:t>
      </w:r>
      <w:proofErr w:type="spellStart"/>
      <w:r w:rsidR="00A73AA0">
        <w:t>and</w:t>
      </w:r>
      <w:proofErr w:type="spellEnd"/>
      <w:r w:rsidR="00A73AA0">
        <w:t xml:space="preserve"> MSAC has supported an </w:t>
      </w:r>
      <w:r w:rsidR="00A73AA0" w:rsidRPr="00AF0D8C">
        <w:t>amendment to this MBS item to include patients with HNSCC</w:t>
      </w:r>
      <w:r w:rsidRPr="00AF0D8C">
        <w:t xml:space="preserve">. The PD-L1 22C3 </w:t>
      </w:r>
      <w:proofErr w:type="spellStart"/>
      <w:r w:rsidRPr="00AF0D8C">
        <w:t>pharmDx</w:t>
      </w:r>
      <w:proofErr w:type="spellEnd"/>
      <w:r w:rsidRPr="00AF0D8C">
        <w:t xml:space="preserve"> assay Market Ready Assay will be made commercially available in Australia. The PD-L1 22C3 </w:t>
      </w:r>
      <w:proofErr w:type="spellStart"/>
      <w:r w:rsidRPr="00AF0D8C">
        <w:t>pharmDx</w:t>
      </w:r>
      <w:proofErr w:type="spellEnd"/>
      <w:r w:rsidRPr="00AF0D8C">
        <w:t xml:space="preserve"> assay Market Ready Assay, including any applicable registered trademark, is TGA registered.  The 22C3 antibody is also available for use on other platforms.</w:t>
      </w:r>
    </w:p>
    <w:p w14:paraId="1C468AB1"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C468AB2" w14:textId="77777777" w:rsidR="00DF0C51" w:rsidRDefault="006E5053" w:rsidP="00E357B9">
      <w:pPr>
        <w:ind w:left="426"/>
        <w:rPr>
          <w:b/>
          <w:szCs w:val="20"/>
        </w:rPr>
      </w:pPr>
      <w:r>
        <w:t>N/A</w:t>
      </w:r>
    </w:p>
    <w:p w14:paraId="1C468AB3"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AE1188">
        <w:t>:</w:t>
      </w:r>
    </w:p>
    <w:p w14:paraId="1C468AB4" w14:textId="77777777" w:rsidR="00ED1C44" w:rsidRPr="00732569" w:rsidRDefault="00ED1C44" w:rsidP="00732569">
      <w:pPr>
        <w:spacing w:after="0"/>
        <w:ind w:left="357"/>
        <w:rPr>
          <w:b/>
          <w:bCs/>
        </w:rPr>
      </w:pPr>
      <w:r w:rsidRPr="00732569">
        <w:rPr>
          <w:b/>
          <w:bCs/>
        </w:rPr>
        <w:t>Accessibility</w:t>
      </w:r>
    </w:p>
    <w:p w14:paraId="78A9E75C" w14:textId="77777777" w:rsidR="00C10371" w:rsidRDefault="00C10371" w:rsidP="00732569">
      <w:pPr>
        <w:spacing w:before="0"/>
        <w:ind w:left="357"/>
      </w:pPr>
      <w:r>
        <w:t xml:space="preserve">Patients with suspected advanced breast cancer undergo imaging and core biopsy as part of standard diagnostic work-up. Tissue biopsy allows determination of breast cancer receptor profiles (ER, PR, HER2). </w:t>
      </w:r>
    </w:p>
    <w:p w14:paraId="1F1A29E1" w14:textId="4D64C07B" w:rsidR="006363E7" w:rsidRDefault="00963700" w:rsidP="00732569">
      <w:pPr>
        <w:ind w:left="360"/>
      </w:pPr>
      <w:r w:rsidRPr="00AE26DA">
        <w:t>It is proposed that PD-L1 expression testing</w:t>
      </w:r>
      <w:r w:rsidR="00424B98">
        <w:t xml:space="preserve"> with the 22C3 antibody</w:t>
      </w:r>
      <w:r w:rsidRPr="00AE26DA">
        <w:t xml:space="preserve"> </w:t>
      </w:r>
      <w:r w:rsidR="000D6989">
        <w:t>would</w:t>
      </w:r>
      <w:r w:rsidRPr="00AE26DA">
        <w:t xml:space="preserve"> be carried out on the tissue sample when a patient</w:t>
      </w:r>
      <w:r w:rsidR="00C76DF3">
        <w:t xml:space="preserve"> with advanced disease</w:t>
      </w:r>
      <w:r w:rsidRPr="00AE26DA">
        <w:t xml:space="preserve"> is found to have </w:t>
      </w:r>
      <w:r w:rsidR="007D2127">
        <w:t xml:space="preserve">the </w:t>
      </w:r>
      <w:r w:rsidR="00424B98">
        <w:t>TNBC</w:t>
      </w:r>
      <w:r w:rsidR="007D2127">
        <w:t xml:space="preserve"> subtype</w:t>
      </w:r>
      <w:r w:rsidRPr="00AE26DA">
        <w:t xml:space="preserve">. </w:t>
      </w:r>
      <w:r w:rsidR="00F00F7A" w:rsidRPr="0070573B">
        <w:t>As IHC testing does</w:t>
      </w:r>
      <w:r w:rsidR="00F00F7A">
        <w:t xml:space="preserve"> </w:t>
      </w:r>
      <w:r w:rsidR="00F00F7A" w:rsidRPr="0070573B">
        <w:t>n</w:t>
      </w:r>
      <w:r w:rsidR="00F00F7A">
        <w:t>o</w:t>
      </w:r>
      <w:r w:rsidR="00F00F7A" w:rsidRPr="0070573B">
        <w:t>t require a large volume of tissue, tissue availability should</w:t>
      </w:r>
      <w:r w:rsidR="00F00F7A">
        <w:t xml:space="preserve"> </w:t>
      </w:r>
      <w:r w:rsidR="00F00F7A" w:rsidRPr="0070573B">
        <w:t>n</w:t>
      </w:r>
      <w:r w:rsidR="00F00F7A">
        <w:t>o</w:t>
      </w:r>
      <w:r w:rsidR="00F00F7A" w:rsidRPr="0070573B">
        <w:t>t limit access</w:t>
      </w:r>
      <w:r w:rsidR="00F00F7A">
        <w:t xml:space="preserve"> to PD-L1 testing</w:t>
      </w:r>
      <w:r w:rsidR="00F00F7A" w:rsidRPr="0070573B">
        <w:t>.</w:t>
      </w:r>
    </w:p>
    <w:p w14:paraId="1C468AB8" w14:textId="77777777" w:rsidR="00ED1C44" w:rsidRPr="00732569" w:rsidRDefault="00ED1C44" w:rsidP="00732569">
      <w:pPr>
        <w:spacing w:after="0"/>
        <w:ind w:left="357"/>
        <w:rPr>
          <w:b/>
          <w:bCs/>
        </w:rPr>
      </w:pPr>
      <w:r w:rsidRPr="00732569">
        <w:rPr>
          <w:b/>
          <w:bCs/>
        </w:rPr>
        <w:t xml:space="preserve">Frequency </w:t>
      </w:r>
    </w:p>
    <w:p w14:paraId="1C468AB9" w14:textId="1EEF33B5" w:rsidR="00ED1C44" w:rsidRPr="00027A17" w:rsidRDefault="00ED2422" w:rsidP="00732569">
      <w:pPr>
        <w:spacing w:before="0"/>
        <w:ind w:left="357"/>
      </w:pPr>
      <w:r w:rsidRPr="00470DF9">
        <w:t>It is proposed that one</w:t>
      </w:r>
      <w:r w:rsidR="00ED1C44" w:rsidRPr="00470DF9">
        <w:t xml:space="preserve"> PD-L1 test </w:t>
      </w:r>
      <w:r w:rsidR="008E5F9E" w:rsidRPr="00470DF9">
        <w:t xml:space="preserve">be </w:t>
      </w:r>
      <w:r w:rsidR="00E66F8E" w:rsidRPr="00470DF9">
        <w:t xml:space="preserve">performed once </w:t>
      </w:r>
      <w:r w:rsidR="00351038" w:rsidRPr="00470DF9">
        <w:t>f</w:t>
      </w:r>
      <w:r w:rsidRPr="00470DF9">
        <w:t xml:space="preserve">or each patient as part of the diagnostic biopsy, </w:t>
      </w:r>
      <w:r w:rsidR="0022155D">
        <w:t>once the TNBC subtype has been confirmed</w:t>
      </w:r>
      <w:r w:rsidRPr="00470DF9">
        <w:t>.</w:t>
      </w:r>
      <w:r w:rsidRPr="00351038">
        <w:t xml:space="preserve"> </w:t>
      </w:r>
      <w:r w:rsidR="00BB032E" w:rsidRPr="00AE26DA">
        <w:t>There is no known role for PD-L1 testing in</w:t>
      </w:r>
      <w:r w:rsidR="0033409C">
        <w:t xml:space="preserve"> ongoing</w:t>
      </w:r>
      <w:r w:rsidR="00BB032E" w:rsidRPr="00AE26DA">
        <w:t xml:space="preserve"> monitoring</w:t>
      </w:r>
      <w:r w:rsidR="00F03D38">
        <w:t xml:space="preserve"> of</w:t>
      </w:r>
      <w:r w:rsidR="00BB032E" w:rsidRPr="00AE26DA">
        <w:t xml:space="preserve"> a patient’s response to pembrolizumab treatment</w:t>
      </w:r>
      <w:r w:rsidR="00BB032E">
        <w:t>.</w:t>
      </w:r>
      <w:r w:rsidR="00323862">
        <w:t xml:space="preserve"> Accordingly, repeat PD-L1 testing will not be required.</w:t>
      </w:r>
    </w:p>
    <w:p w14:paraId="1C468ABA" w14:textId="36046393" w:rsidR="00ED1C44" w:rsidRPr="00732569" w:rsidRDefault="00ED1C44" w:rsidP="00732569">
      <w:pPr>
        <w:spacing w:after="0"/>
        <w:ind w:left="357"/>
        <w:rPr>
          <w:b/>
          <w:bCs/>
        </w:rPr>
      </w:pPr>
      <w:r w:rsidRPr="00732569">
        <w:rPr>
          <w:b/>
          <w:bCs/>
        </w:rPr>
        <w:t xml:space="preserve">Sample </w:t>
      </w:r>
      <w:r w:rsidR="0010748A" w:rsidRPr="00732569">
        <w:rPr>
          <w:b/>
          <w:bCs/>
        </w:rPr>
        <w:t>consideration</w:t>
      </w:r>
    </w:p>
    <w:p w14:paraId="72CC3E3B" w14:textId="1B7CBE6A" w:rsidR="00973A71" w:rsidRDefault="00ED1C44" w:rsidP="00732569">
      <w:pPr>
        <w:spacing w:before="0"/>
        <w:ind w:left="357"/>
      </w:pPr>
      <w:r w:rsidRPr="00470DF9">
        <w:t xml:space="preserve">As mentioned previously, </w:t>
      </w:r>
      <w:r w:rsidR="00E439A6" w:rsidRPr="00470DF9">
        <w:t xml:space="preserve">in </w:t>
      </w:r>
      <w:r w:rsidR="004B3FAF" w:rsidRPr="00470DF9">
        <w:t>KN</w:t>
      </w:r>
      <w:r w:rsidR="003604EF" w:rsidRPr="00470DF9">
        <w:t>-</w:t>
      </w:r>
      <w:r w:rsidR="00470DF9" w:rsidRPr="00470DF9">
        <w:t>355</w:t>
      </w:r>
      <w:r w:rsidR="00336BA4">
        <w:t xml:space="preserve">, PD-L1 status was tested </w:t>
      </w:r>
      <w:r w:rsidR="00A92CE6">
        <w:t>using newly or recently obtained tissue samples</w:t>
      </w:r>
      <w:r w:rsidR="0090064C">
        <w:t xml:space="preserve"> in </w:t>
      </w:r>
      <w:proofErr w:type="gramStart"/>
      <w:r w:rsidR="0090064C">
        <w:t>the majority of</w:t>
      </w:r>
      <w:proofErr w:type="gramEnd"/>
      <w:r w:rsidR="0090064C">
        <w:t xml:space="preserve"> p</w:t>
      </w:r>
      <w:r w:rsidR="00B373FD">
        <w:t>atients</w:t>
      </w:r>
      <w:r w:rsidR="001A359C">
        <w:t>.</w:t>
      </w:r>
      <w:r w:rsidR="00B4249F">
        <w:t xml:space="preserve"> </w:t>
      </w:r>
      <w:r w:rsidR="001A359C">
        <w:t>H</w:t>
      </w:r>
      <w:r w:rsidR="00B4249F">
        <w:t>owever</w:t>
      </w:r>
      <w:r w:rsidR="009C1276">
        <w:t xml:space="preserve">, </w:t>
      </w:r>
      <w:r w:rsidR="00087457" w:rsidRPr="000527DB">
        <w:t>archival tissue samples</w:t>
      </w:r>
      <w:r w:rsidR="00087457">
        <w:t xml:space="preserve"> </w:t>
      </w:r>
      <w:r w:rsidR="000C6AD7">
        <w:t xml:space="preserve">obtained before the diagnosis of R/M TNBC were considered adequate </w:t>
      </w:r>
      <w:r w:rsidR="00BF04E2">
        <w:t xml:space="preserve">if neither a recently nor newly obtained biopsy from a locally recurrent inoperable or metastatic site were available. </w:t>
      </w:r>
    </w:p>
    <w:p w14:paraId="13EE3B43" w14:textId="1BA1AB32" w:rsidR="00141358" w:rsidRDefault="00C05D06" w:rsidP="00732569">
      <w:pPr>
        <w:ind w:left="360"/>
      </w:pPr>
      <w:r>
        <w:t xml:space="preserve">MSAC previously considered that </w:t>
      </w:r>
      <w:r w:rsidR="00CB5265">
        <w:t>genuine TNBC would not change in PD-L1 status over time to the same extent as in lung cancer</w:t>
      </w:r>
      <w:r w:rsidR="00D722D7">
        <w:t xml:space="preserve"> (Public Summary Document, Application No. 1570). MSAC</w:t>
      </w:r>
      <w:r w:rsidR="009D0C00">
        <w:t xml:space="preserve"> also</w:t>
      </w:r>
      <w:r w:rsidR="00360A3B">
        <w:t xml:space="preserve"> considered that </w:t>
      </w:r>
      <w:r w:rsidR="00A7773C">
        <w:t xml:space="preserve">a repeat biopsy would be impractical for many patients. </w:t>
      </w:r>
      <w:r w:rsidR="00973A71">
        <w:t>Therefore, MSAC advised the PBAC that “the most prudent and practical balance would be to specify the ‘most recent sample’ for PD-L1 testing, which could be archival if necessary</w:t>
      </w:r>
      <w:r w:rsidR="00672679">
        <w:t>”</w:t>
      </w:r>
      <w:r w:rsidR="00973A71">
        <w:t>.</w:t>
      </w:r>
      <w:r w:rsidR="00FC5F42">
        <w:t xml:space="preserve"> </w:t>
      </w:r>
    </w:p>
    <w:p w14:paraId="1C468AC0" w14:textId="7662F213" w:rsidR="00C03C0D" w:rsidRPr="00B366B4" w:rsidRDefault="004D6A9B" w:rsidP="00732569">
      <w:pPr>
        <w:ind w:left="360"/>
      </w:pPr>
      <w:r>
        <w:t>The co-dependent</w:t>
      </w:r>
      <w:r w:rsidR="00ED1C44" w:rsidRPr="00B366B4">
        <w:t xml:space="preserve"> application will </w:t>
      </w:r>
      <w:r w:rsidR="00DC1342" w:rsidRPr="00B366B4">
        <w:t>explore</w:t>
      </w:r>
      <w:r w:rsidR="00ED1C44" w:rsidRPr="00B366B4">
        <w:t xml:space="preserve"> information on other relevant sample considerations as needed</w:t>
      </w:r>
      <w:r w:rsidR="004A07EF" w:rsidRPr="00B366B4">
        <w:t xml:space="preserve"> (pending available data)</w:t>
      </w:r>
      <w:r w:rsidR="00ED1C44" w:rsidRPr="00B366B4">
        <w:t xml:space="preserve">. </w:t>
      </w:r>
    </w:p>
    <w:p w14:paraId="1C468AC2" w14:textId="77777777" w:rsidR="009B7D14" w:rsidRPr="00732569" w:rsidRDefault="009B7D14" w:rsidP="00732569">
      <w:pPr>
        <w:spacing w:after="0"/>
        <w:ind w:left="357"/>
        <w:rPr>
          <w:b/>
          <w:bCs/>
        </w:rPr>
      </w:pPr>
      <w:r w:rsidRPr="00732569">
        <w:rPr>
          <w:b/>
          <w:bCs/>
        </w:rPr>
        <w:t>Testing Considerations</w:t>
      </w:r>
    </w:p>
    <w:p w14:paraId="0A259C35" w14:textId="05BC0874" w:rsidR="0010010D" w:rsidRDefault="009B7D14" w:rsidP="00732569">
      <w:pPr>
        <w:spacing w:before="0"/>
        <w:ind w:left="357"/>
      </w:pPr>
      <w:r w:rsidRPr="00470DF9">
        <w:t xml:space="preserve">IHC testing is a well-established technique in all major pathology labs. Laboratories already have the platform infrastructure and reagents to perform PD-L1 IHC testing. </w:t>
      </w:r>
    </w:p>
    <w:p w14:paraId="73899F6D" w14:textId="53461067" w:rsidR="002546D1" w:rsidRDefault="00C6266B" w:rsidP="00732569">
      <w:pPr>
        <w:ind w:left="357"/>
      </w:pPr>
      <w:bookmarkStart w:id="12" w:name="_Hlk97881907"/>
      <w:r>
        <w:t>It is acknowledged that there are differences between PD-L1 antibody assays for immune cell staining. Consequently, it is important that the antibody being used to assess PD-L1 status is aligned to the drug being considered</w:t>
      </w:r>
      <w:r w:rsidR="003C728A">
        <w:t>.</w:t>
      </w:r>
      <w:r w:rsidR="002546D1">
        <w:t xml:space="preserve"> </w:t>
      </w:r>
      <w:r w:rsidR="003C728A">
        <w:t>I</w:t>
      </w:r>
      <w:r>
        <w:t xml:space="preserve">n this </w:t>
      </w:r>
      <w:r w:rsidR="003C728A">
        <w:t xml:space="preserve">instance, </w:t>
      </w:r>
      <w:r>
        <w:t>the 22C3 antibody and CPS</w:t>
      </w:r>
      <w:r w:rsidRPr="00B64F37">
        <w:t>≥</w:t>
      </w:r>
      <w:r>
        <w:t>10 cut point should be used to determine eligibility for pembrolizumab.</w:t>
      </w:r>
      <w:bookmarkEnd w:id="12"/>
    </w:p>
    <w:p w14:paraId="1C468AC5" w14:textId="77777777" w:rsidR="00791C8D" w:rsidRDefault="00791C8D" w:rsidP="00530204">
      <w:pPr>
        <w:pStyle w:val="Heading2"/>
      </w:pPr>
      <w:r w:rsidRPr="00154B00">
        <w:lastRenderedPageBreak/>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C468AC6" w14:textId="5D5CBF6F" w:rsidR="00FA64AC" w:rsidRDefault="00D82CF3" w:rsidP="00F62BD0">
      <w:pPr>
        <w:spacing w:before="0" w:after="0"/>
        <w:ind w:left="360"/>
      </w:pPr>
      <w:r>
        <w:rPr>
          <w:szCs w:val="20"/>
        </w:rPr>
        <w:t>Patients with suspected advanced breast cancer already undergo a</w:t>
      </w:r>
      <w:r w:rsidR="00C41716">
        <w:rPr>
          <w:szCs w:val="20"/>
        </w:rPr>
        <w:t xml:space="preserve"> core biopsy as part of their standard diagnostic work-up (</w:t>
      </w:r>
      <w:r w:rsidR="00403C39">
        <w:rPr>
          <w:szCs w:val="20"/>
        </w:rPr>
        <w:t>to determine breast cancer receptor profiles – ER, PR, HER2)</w:t>
      </w:r>
      <w:r w:rsidR="00C41716">
        <w:rPr>
          <w:szCs w:val="20"/>
        </w:rPr>
        <w:t xml:space="preserve">. </w:t>
      </w:r>
      <w:r w:rsidR="007D53BD">
        <w:rPr>
          <w:szCs w:val="20"/>
        </w:rPr>
        <w:t xml:space="preserve">As outlined above, </w:t>
      </w:r>
      <w:r w:rsidR="007D53BD" w:rsidRPr="0070573B">
        <w:t>IHC testing does</w:t>
      </w:r>
      <w:r w:rsidR="007D53BD">
        <w:t xml:space="preserve"> </w:t>
      </w:r>
      <w:r w:rsidR="007D53BD" w:rsidRPr="0070573B">
        <w:t>n</w:t>
      </w:r>
      <w:r w:rsidR="007D53BD">
        <w:t>o</w:t>
      </w:r>
      <w:r w:rsidR="007D53BD" w:rsidRPr="0070573B">
        <w:t>t require a large volume of tissue</w:t>
      </w:r>
      <w:r w:rsidR="007D53BD">
        <w:t>. As such, it is anticipated that PD-L1 testing would be undertaken on the same biopsied tissue sample and no additional healthcare resources would be required</w:t>
      </w:r>
      <w:r w:rsidR="00FC698D">
        <w:t xml:space="preserve"> beyond the proposed service</w:t>
      </w:r>
      <w:r w:rsidR="007D53BD" w:rsidRPr="0070573B">
        <w:t>.</w:t>
      </w:r>
    </w:p>
    <w:p w14:paraId="1C468AC7" w14:textId="77777777"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C468AC8" w14:textId="2F499760" w:rsidR="00C77A68" w:rsidRDefault="006E5053" w:rsidP="006E5053">
      <w:pPr>
        <w:ind w:left="360"/>
      </w:pPr>
      <w:r w:rsidRPr="00470DF9">
        <w:t xml:space="preserve">A certified pathologist would be responsible for conducting the test and reporting the results. Consistent with </w:t>
      </w:r>
      <w:r w:rsidR="00E439A6" w:rsidRPr="00470DF9">
        <w:t xml:space="preserve">the </w:t>
      </w:r>
      <w:r w:rsidRPr="00470DF9">
        <w:t xml:space="preserve">introduction of diagnostic tests associated with access to other targeted therapies, pathologist training and quality assurance programs </w:t>
      </w:r>
      <w:r w:rsidR="005526AE">
        <w:t>are underway</w:t>
      </w:r>
      <w:r w:rsidR="00820047">
        <w:rPr>
          <w:rStyle w:val="CommentReference"/>
        </w:rPr>
        <w:t xml:space="preserve"> </w:t>
      </w:r>
      <w:r w:rsidR="005526AE" w:rsidRPr="005526AE">
        <w:t>to educate reporting pathologists to understand the scoring of CPS for TNBC samples</w:t>
      </w:r>
      <w:r w:rsidR="0051463E" w:rsidRPr="00820047">
        <w:t>.</w:t>
      </w:r>
    </w:p>
    <w:p w14:paraId="1C468AC9" w14:textId="77777777"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C468ACA" w14:textId="77777777" w:rsidR="006E5053" w:rsidRPr="006E5053" w:rsidRDefault="006E5053" w:rsidP="006E5053">
      <w:pPr>
        <w:ind w:left="360"/>
      </w:pPr>
      <w:r w:rsidRPr="00470DF9">
        <w:t xml:space="preserve">A certified pathologist would be responsible for conducting the test and reporting the results. Specialists including </w:t>
      </w:r>
      <w:r w:rsidR="00F97CF1" w:rsidRPr="00470DF9">
        <w:t>(</w:t>
      </w:r>
      <w:proofErr w:type="gramStart"/>
      <w:r w:rsidR="00F97CF1" w:rsidRPr="00470DF9">
        <w:t>e.g.</w:t>
      </w:r>
      <w:proofErr w:type="gramEnd"/>
      <w:r w:rsidR="00F97CF1" w:rsidRPr="00470DF9">
        <w:t xml:space="preserve"> </w:t>
      </w:r>
      <w:r w:rsidRPr="00470DF9">
        <w:t>oncologists</w:t>
      </w:r>
      <w:r w:rsidR="00F97CF1" w:rsidRPr="00470DF9">
        <w:t>) will</w:t>
      </w:r>
      <w:r w:rsidRPr="00470DF9">
        <w:t xml:space="preserve"> provide a referral for PD-L1 testing.</w:t>
      </w:r>
    </w:p>
    <w:p w14:paraId="1C468ACB" w14:textId="77777777" w:rsidR="0006050E" w:rsidRPr="0006050E" w:rsidRDefault="00EA0E25" w:rsidP="0006050E">
      <w:pPr>
        <w:pStyle w:val="Heading2"/>
        <w:spacing w:before="0"/>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C468ACC" w14:textId="70540D71" w:rsidR="00B902B6" w:rsidRPr="00732569" w:rsidRDefault="00B902B6" w:rsidP="00732569">
      <w:pPr>
        <w:ind w:left="360"/>
      </w:pPr>
      <w:r w:rsidRPr="00470DF9">
        <w:t>As IHC testing is a common procedure, it is proposed that PD-L1 IHC testing be carried out in any pathology laboratory holding the appropriate accreditation to claim pathology services through the MBS.</w:t>
      </w:r>
    </w:p>
    <w:p w14:paraId="1C468ACE" w14:textId="2F1ACF5F" w:rsidR="00EA0E25" w:rsidRPr="00154B00" w:rsidRDefault="00EA0E25" w:rsidP="00993F0A">
      <w:pPr>
        <w:pStyle w:val="Heading2"/>
        <w:spacing w:before="0" w:after="0"/>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461080">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C468ACF" w14:textId="3921870D" w:rsidR="00B92D5C" w:rsidRPr="0051672A" w:rsidRDefault="00B902B6" w:rsidP="0051672A">
      <w:pPr>
        <w:ind w:left="426"/>
        <w:rPr>
          <w:szCs w:val="20"/>
          <w:highlight w:val="yellow"/>
        </w:rPr>
      </w:pPr>
      <w:r w:rsidRPr="0051672A">
        <w:rPr>
          <w:szCs w:val="20"/>
        </w:rPr>
        <w:t>A certified pathologist would be responsible for conducting the test and reporting the results. Consistent with introduction of diagnostic tests associated with access to other targeted therapies, pathologist training and quality assurance programs would be developed with respect to delivery of diagnostic tests for access to treatments targeting the PD-1 pathway on the PBS.</w:t>
      </w:r>
      <w:r w:rsidR="00A63CC3" w:rsidRPr="0051672A">
        <w:rPr>
          <w:szCs w:val="20"/>
          <w:highlight w:val="yellow"/>
        </w:rPr>
        <w:t xml:space="preserve">  </w:t>
      </w:r>
    </w:p>
    <w:p w14:paraId="24C8C967" w14:textId="63948E2D" w:rsidR="00CE0DB5" w:rsidRPr="00CE0DB5" w:rsidRDefault="008013E8" w:rsidP="00732569">
      <w:pPr>
        <w:ind w:left="426"/>
      </w:pPr>
      <w:bookmarkStart w:id="13" w:name="_Hlk97882005"/>
      <w:r w:rsidRPr="0051672A">
        <w:rPr>
          <w:szCs w:val="20"/>
        </w:rPr>
        <w:t>The RCPA</w:t>
      </w:r>
      <w:r w:rsidR="0051672A">
        <w:rPr>
          <w:szCs w:val="20"/>
        </w:rPr>
        <w:t xml:space="preserve"> </w:t>
      </w:r>
      <w:r w:rsidRPr="0051672A">
        <w:rPr>
          <w:szCs w:val="20"/>
        </w:rPr>
        <w:t>QAP are providing Technical modules for PD-L1 IHC for NSCLC, HNSCC, and TNBC in 2022</w:t>
      </w:r>
      <w:bookmarkEnd w:id="13"/>
      <w:r w:rsidRPr="0051672A">
        <w:rPr>
          <w:szCs w:val="20"/>
        </w:rPr>
        <w:t>.</w:t>
      </w:r>
      <w:r w:rsidR="0020445E" w:rsidRPr="0051672A">
        <w:rPr>
          <w:szCs w:val="20"/>
        </w:rPr>
        <w:t xml:space="preserve"> It is expected that this will be expanded to cover additional indications a</w:t>
      </w:r>
      <w:r w:rsidRPr="0051672A">
        <w:rPr>
          <w:szCs w:val="20"/>
        </w:rPr>
        <w:t>s required.</w:t>
      </w:r>
      <w:bookmarkStart w:id="14" w:name="_Hlk97882051"/>
      <w:r w:rsidR="005944E2" w:rsidRPr="0051672A">
        <w:rPr>
          <w:szCs w:val="20"/>
        </w:rPr>
        <w:t xml:space="preserve"> </w:t>
      </w:r>
      <w:r w:rsidR="00F85449" w:rsidRPr="0051672A">
        <w:rPr>
          <w:szCs w:val="20"/>
        </w:rPr>
        <w:t>In addition, MSD facilitates</w:t>
      </w:r>
      <w:r w:rsidR="00825419" w:rsidRPr="0051672A">
        <w:rPr>
          <w:szCs w:val="20"/>
        </w:rPr>
        <w:t xml:space="preserve"> one day peer-to-peer workshops for Australian pathologists, with a training effectiveness </w:t>
      </w:r>
      <w:r w:rsidR="005944E2" w:rsidRPr="0051672A">
        <w:rPr>
          <w:szCs w:val="20"/>
        </w:rPr>
        <w:t>performed with those who participate.</w:t>
      </w:r>
      <w:r w:rsidR="00E02D8B" w:rsidRPr="0051672A">
        <w:rPr>
          <w:szCs w:val="20"/>
        </w:rPr>
        <w:t xml:space="preserve"> This results in pathologists having greater experience in performing the </w:t>
      </w:r>
      <w:r w:rsidR="0051672A" w:rsidRPr="0051672A">
        <w:rPr>
          <w:szCs w:val="20"/>
        </w:rPr>
        <w:t>test and applying the scoring methods.</w:t>
      </w:r>
      <w:r w:rsidR="0020445E" w:rsidRPr="00D04FB2">
        <w:t xml:space="preserve"> </w:t>
      </w:r>
      <w:bookmarkEnd w:id="14"/>
    </w:p>
    <w:p w14:paraId="1C468AD3" w14:textId="60569885" w:rsidR="005F3F07" w:rsidRDefault="00B902B6" w:rsidP="00B902B6">
      <w:pPr>
        <w:pStyle w:val="Heading2"/>
      </w:pPr>
      <w:r>
        <w:t xml:space="preserve"> </w:t>
      </w:r>
      <w:r w:rsidR="005C3AE7">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w:t>
      </w:r>
    </w:p>
    <w:p w14:paraId="3FCF3C7E" w14:textId="75262278" w:rsidR="00F57358" w:rsidRDefault="00F57358" w:rsidP="00F57358">
      <w:pPr>
        <w:spacing w:before="0" w:after="0"/>
        <w:ind w:left="426"/>
      </w:pPr>
      <w:r>
        <w:t>Laboratory</w:t>
      </w:r>
    </w:p>
    <w:p w14:paraId="1C468ADF" w14:textId="77777777" w:rsidR="003433D1" w:rsidRPr="005C3AE7" w:rsidRDefault="00E048ED" w:rsidP="00BB1C9F">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C468AE0" w14:textId="7DAB5E8E" w:rsidR="0073597B" w:rsidRDefault="00732569" w:rsidP="0073597B">
      <w:pPr>
        <w:ind w:left="426"/>
        <w:rPr>
          <w:b/>
          <w:szCs w:val="20"/>
        </w:rPr>
      </w:pPr>
      <w:r>
        <w:t>N/A</w:t>
      </w:r>
    </w:p>
    <w:p w14:paraId="1C468AE1" w14:textId="77777777" w:rsidR="003E30FB" w:rsidRDefault="003E30FB" w:rsidP="00530204">
      <w:pPr>
        <w:pStyle w:val="Heading2"/>
      </w:pPr>
      <w:r>
        <w:t xml:space="preserve">Is the </w:t>
      </w:r>
      <w:r w:rsidRPr="001B29A1">
        <w:t>proposed</w:t>
      </w:r>
      <w:r>
        <w:t xml:space="preserve"> medical service intended to be entirely rendered in Australia?</w:t>
      </w:r>
    </w:p>
    <w:p w14:paraId="1C468AE2" w14:textId="77777777" w:rsidR="000A478F" w:rsidRDefault="00B902B6" w:rsidP="00732569">
      <w:pPr>
        <w:pStyle w:val="Tickboxes"/>
      </w:pPr>
      <w:r>
        <w:fldChar w:fldCharType="begin">
          <w:ffData>
            <w:name w:val=""/>
            <w:enabled/>
            <w:calcOnExit w:val="0"/>
            <w:checkBox>
              <w:sizeAuto/>
              <w:default w:val="1"/>
            </w:checkBox>
          </w:ffData>
        </w:fldChar>
      </w:r>
      <w:r>
        <w:instrText xml:space="preserve"> FORMCHECKBOX </w:instrText>
      </w:r>
      <w:r w:rsidR="00625119">
        <w:fldChar w:fldCharType="separate"/>
      </w:r>
      <w:r>
        <w:fldChar w:fldCharType="end"/>
      </w:r>
      <w:r w:rsidR="000A478F">
        <w:t xml:space="preserve"> Yes</w:t>
      </w:r>
    </w:p>
    <w:p w14:paraId="1C468AE4" w14:textId="0E99A635" w:rsidR="000A478F" w:rsidRPr="00732569" w:rsidRDefault="000A478F" w:rsidP="00732569">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625119">
        <w:fldChar w:fldCharType="separate"/>
      </w:r>
      <w:r w:rsidRPr="00753C44">
        <w:fldChar w:fldCharType="end"/>
      </w:r>
      <w:r>
        <w:t xml:space="preserve"> No</w:t>
      </w:r>
    </w:p>
    <w:p w14:paraId="1C468AE5" w14:textId="77777777" w:rsidR="00E60529" w:rsidRPr="00881F93" w:rsidRDefault="005C3AE7" w:rsidP="00732569">
      <w:pPr>
        <w:pStyle w:val="Subtitle"/>
        <w:ind w:left="0"/>
      </w:pPr>
      <w:r>
        <w:t xml:space="preserve">PART 6c – </w:t>
      </w:r>
      <w:r w:rsidR="00E60529" w:rsidRPr="00881F93">
        <w:t>INFORMATION ABOUT THE COMPARATOR</w:t>
      </w:r>
      <w:r w:rsidR="00A83EC6" w:rsidRPr="00881F93">
        <w:t>(S)</w:t>
      </w:r>
    </w:p>
    <w:p w14:paraId="1C468AE6" w14:textId="43CEF81C" w:rsidR="00E60529" w:rsidRDefault="00A83EC6" w:rsidP="00530204">
      <w:pPr>
        <w:pStyle w:val="Heading2"/>
      </w:pPr>
      <w:r w:rsidRPr="00154B00">
        <w:t>Nominate the appropriate comparator(s) for the proposed medical service</w:t>
      </w:r>
      <w:r w:rsidR="00757232">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C468AE7" w14:textId="65D9770F" w:rsidR="00B902B6" w:rsidRPr="00B902B6" w:rsidRDefault="00B902B6" w:rsidP="007037AC">
      <w:pPr>
        <w:ind w:left="360"/>
      </w:pPr>
      <w:r w:rsidRPr="00470DF9">
        <w:t xml:space="preserve">The comparator is no PD-L1 testing and </w:t>
      </w:r>
      <w:r w:rsidR="007037AC" w:rsidRPr="00470DF9">
        <w:t xml:space="preserve">the </w:t>
      </w:r>
      <w:r w:rsidRPr="00470DF9">
        <w:t>current standard of care</w:t>
      </w:r>
      <w:r w:rsidR="005E4021">
        <w:t xml:space="preserve"> (</w:t>
      </w:r>
      <w:r w:rsidR="005E4021" w:rsidRPr="002815E5">
        <w:t>monotherapy</w:t>
      </w:r>
      <w:r w:rsidR="00F45ACB">
        <w:t xml:space="preserve"> or</w:t>
      </w:r>
      <w:r w:rsidR="005E4021" w:rsidRPr="002815E5">
        <w:t xml:space="preserve"> combination chemotherapy regimens containing </w:t>
      </w:r>
      <w:r w:rsidR="00E006BA" w:rsidRPr="002815E5">
        <w:t>anthr</w:t>
      </w:r>
      <w:r w:rsidR="00E006BA">
        <w:t>a</w:t>
      </w:r>
      <w:r w:rsidR="00E006BA" w:rsidRPr="002815E5">
        <w:t>cy</w:t>
      </w:r>
      <w:r w:rsidR="00E006BA">
        <w:t>c</w:t>
      </w:r>
      <w:r w:rsidR="00E006BA" w:rsidRPr="002815E5">
        <w:t>line</w:t>
      </w:r>
      <w:r w:rsidR="005E4021" w:rsidRPr="002815E5">
        <w:t xml:space="preserve">, </w:t>
      </w:r>
      <w:proofErr w:type="spellStart"/>
      <w:r w:rsidR="005E4021" w:rsidRPr="002815E5">
        <w:t>taxanes</w:t>
      </w:r>
      <w:proofErr w:type="spellEnd"/>
      <w:r w:rsidR="005E4021" w:rsidRPr="002815E5">
        <w:t xml:space="preserve">, </w:t>
      </w:r>
      <w:r w:rsidR="005E4021" w:rsidRPr="002815E5">
        <w:rPr>
          <w:lang w:val="de-DE"/>
        </w:rPr>
        <w:t xml:space="preserve">capecitabine, gemcitabine or </w:t>
      </w:r>
      <w:r w:rsidR="00A4651C" w:rsidRPr="002815E5">
        <w:rPr>
          <w:lang w:val="de-DE"/>
        </w:rPr>
        <w:t>carbo</w:t>
      </w:r>
      <w:r w:rsidR="00A4651C">
        <w:rPr>
          <w:lang w:val="de-DE"/>
        </w:rPr>
        <w:t>platin).</w:t>
      </w:r>
    </w:p>
    <w:p w14:paraId="1C468AE8" w14:textId="73A62F4E" w:rsidR="00757232" w:rsidRDefault="00AF5D1E" w:rsidP="00530204">
      <w:pPr>
        <w:pStyle w:val="Heading2"/>
      </w:pPr>
      <w:r w:rsidRPr="00154B00">
        <w:lastRenderedPageBreak/>
        <w:t xml:space="preserve">Does the </w:t>
      </w:r>
      <w:r w:rsidRPr="001B29A1">
        <w:t>medical</w:t>
      </w:r>
      <w:r w:rsidRPr="00154B00">
        <w:t xml:space="preserve"> service </w:t>
      </w:r>
      <w:r w:rsidR="00AB167D">
        <w:t>(</w:t>
      </w:r>
      <w:r w:rsidRPr="00154B00">
        <w:t>that has been nominated as the comparator</w:t>
      </w:r>
      <w:r w:rsidR="00AB167D">
        <w:t>)</w:t>
      </w:r>
      <w:r w:rsidR="000159B9" w:rsidRPr="00154B00">
        <w:t xml:space="preserve"> </w:t>
      </w:r>
      <w:r w:rsidRPr="00154B00">
        <w:t>have an existing MBS item number</w:t>
      </w:r>
      <w:r w:rsidR="00D30BDC">
        <w:t>(s)</w:t>
      </w:r>
      <w:r w:rsidR="00757232">
        <w:t>?</w:t>
      </w:r>
    </w:p>
    <w:p w14:paraId="1C468AE9" w14:textId="77777777" w:rsidR="006A1038" w:rsidRDefault="006A1038" w:rsidP="00732569">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625119">
        <w:fldChar w:fldCharType="separate"/>
      </w:r>
      <w:r w:rsidRPr="00753C44">
        <w:fldChar w:fldCharType="end"/>
      </w:r>
      <w:r>
        <w:t xml:space="preserve"> Yes (please provide all relevant MBS item numbers below)</w:t>
      </w:r>
    </w:p>
    <w:p w14:paraId="1C468AEA" w14:textId="77777777" w:rsidR="000159B9" w:rsidRDefault="00E73649" w:rsidP="00732569">
      <w:pPr>
        <w:pStyle w:val="Tickboxes"/>
      </w:pPr>
      <w:r>
        <w:fldChar w:fldCharType="begin">
          <w:ffData>
            <w:name w:val=""/>
            <w:enabled/>
            <w:calcOnExit w:val="0"/>
            <w:checkBox>
              <w:sizeAuto/>
              <w:default w:val="1"/>
            </w:checkBox>
          </w:ffData>
        </w:fldChar>
      </w:r>
      <w:r>
        <w:instrText xml:space="preserve"> FORMCHECKBOX </w:instrText>
      </w:r>
      <w:r w:rsidR="00625119">
        <w:fldChar w:fldCharType="separate"/>
      </w:r>
      <w:r>
        <w:fldChar w:fldCharType="end"/>
      </w:r>
      <w:r w:rsidR="006A1038">
        <w:t xml:space="preserve"> No  </w:t>
      </w:r>
    </w:p>
    <w:p w14:paraId="1C468AF1" w14:textId="112D5446" w:rsidR="00A83EC6" w:rsidRPr="00154B00" w:rsidRDefault="005C3AE7" w:rsidP="00732569">
      <w:pPr>
        <w:pStyle w:val="Heading2"/>
        <w:spacing w:after="0"/>
        <w:ind w:left="357" w:hanging="357"/>
      </w:pPr>
      <w:r>
        <w:t xml:space="preserve">(a) </w:t>
      </w:r>
      <w:r w:rsidR="00CD7A7D" w:rsidRPr="00154B00">
        <w:t xml:space="preserve">Will </w:t>
      </w:r>
      <w:r w:rsidR="00A83EC6" w:rsidRPr="00154B00">
        <w:t>the proposed medical service</w:t>
      </w:r>
      <w:r w:rsidR="00D4024B">
        <w:t>/technology</w:t>
      </w:r>
      <w:r w:rsidR="00A83EC6" w:rsidRPr="00154B00">
        <w:t xml:space="preserve"> be used in addition to, or instead of, the nominated </w:t>
      </w:r>
      <w:r w:rsidR="00A83EC6" w:rsidRPr="001B29A1">
        <w:t>comparator</w:t>
      </w:r>
      <w:r w:rsidR="00A83EC6" w:rsidRPr="00154B00">
        <w:t>(s)</w:t>
      </w:r>
      <w:r w:rsidR="00D30BDC">
        <w:t>?</w:t>
      </w:r>
    </w:p>
    <w:p w14:paraId="6610FDBB" w14:textId="6BB51A1A" w:rsidR="001A0535" w:rsidRDefault="002A5DE5" w:rsidP="001A0535">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119">
        <w:rPr>
          <w:szCs w:val="20"/>
        </w:rPr>
      </w:r>
      <w:r w:rsidR="00625119">
        <w:rPr>
          <w:szCs w:val="20"/>
        </w:rPr>
        <w:fldChar w:fldCharType="separate"/>
      </w:r>
      <w:r>
        <w:rPr>
          <w:szCs w:val="20"/>
        </w:rPr>
        <w:fldChar w:fldCharType="end"/>
      </w:r>
      <w:r w:rsidR="001A0535">
        <w:rPr>
          <w:szCs w:val="20"/>
        </w:rPr>
        <w:t xml:space="preserve"> In addition to (</w:t>
      </w:r>
      <w:proofErr w:type="gramStart"/>
      <w:r w:rsidR="001A0535">
        <w:rPr>
          <w:szCs w:val="20"/>
        </w:rPr>
        <w:t>i.e.</w:t>
      </w:r>
      <w:proofErr w:type="gramEnd"/>
      <w:r w:rsidR="001A0535">
        <w:rPr>
          <w:szCs w:val="20"/>
        </w:rPr>
        <w:t xml:space="preserve"> it is an add-on service) </w:t>
      </w:r>
    </w:p>
    <w:p w14:paraId="1C468AF4" w14:textId="0863B8FD" w:rsidR="00E73649" w:rsidRDefault="001A0535" w:rsidP="00732569">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5119">
        <w:rPr>
          <w:szCs w:val="20"/>
        </w:rPr>
      </w:r>
      <w:r w:rsidR="00625119">
        <w:rPr>
          <w:szCs w:val="20"/>
        </w:rPr>
        <w:fldChar w:fldCharType="separate"/>
      </w:r>
      <w:r w:rsidRPr="00753C44">
        <w:rPr>
          <w:szCs w:val="20"/>
        </w:rPr>
        <w:fldChar w:fldCharType="end"/>
      </w:r>
      <w:r>
        <w:rPr>
          <w:szCs w:val="20"/>
        </w:rPr>
        <w:t xml:space="preserve"> Instead of (</w:t>
      </w:r>
      <w:proofErr w:type="gramStart"/>
      <w:r>
        <w:rPr>
          <w:szCs w:val="20"/>
        </w:rPr>
        <w:t>i.e.</w:t>
      </w:r>
      <w:proofErr w:type="gramEnd"/>
      <w:r>
        <w:rPr>
          <w:szCs w:val="20"/>
        </w:rPr>
        <w:t xml:space="preserve"> it is a replacement or alternative)</w:t>
      </w:r>
    </w:p>
    <w:p w14:paraId="1C468AF5" w14:textId="77777777" w:rsidR="00E70D86" w:rsidRPr="00154B00" w:rsidRDefault="00E70D86" w:rsidP="00BB1C9F">
      <w:pPr>
        <w:pStyle w:val="Heading2"/>
        <w:numPr>
          <w:ilvl w:val="0"/>
          <w:numId w:val="9"/>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777A873C" w14:textId="3F10D419" w:rsidR="00B55D84" w:rsidRPr="001B29A1" w:rsidRDefault="00B55D84" w:rsidP="00732569">
      <w:pPr>
        <w:pStyle w:val="Subtitle"/>
        <w:ind w:left="0"/>
      </w:pPr>
      <w:r w:rsidRPr="00095B45">
        <w:t>PART 6c CONTINUED – INFORMATION ABOUT ALGORITHMS (CLINICAL MANAGEMENT PATHWAYS)</w:t>
      </w:r>
    </w:p>
    <w:p w14:paraId="44D90020" w14:textId="636D6889" w:rsidR="00DD1848" w:rsidRPr="00D9571E" w:rsidRDefault="00B8712D" w:rsidP="00B8712D">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etc.). </w:t>
      </w:r>
    </w:p>
    <w:p w14:paraId="53E6A623" w14:textId="68C0DA7C" w:rsidR="00DD1848" w:rsidRDefault="00DD1848" w:rsidP="00732569">
      <w:pPr>
        <w:ind w:left="360"/>
      </w:pPr>
      <w:r w:rsidRPr="00F22307">
        <w:t xml:space="preserve">Patients </w:t>
      </w:r>
      <w:r w:rsidR="00542732">
        <w:t>presenting</w:t>
      </w:r>
      <w:r w:rsidRPr="00F22307">
        <w:t xml:space="preserve"> to their healthcare provider (</w:t>
      </w:r>
      <w:proofErr w:type="gramStart"/>
      <w:r w:rsidRPr="00F22307">
        <w:t>e.g.</w:t>
      </w:r>
      <w:proofErr w:type="gramEnd"/>
      <w:r w:rsidRPr="00F22307">
        <w:t xml:space="preserve"> GP, ED) with symptoms of breast cancer (including breast discomfort, inverted nipple, lumps, or nipple discharge) or following identification of a mass via </w:t>
      </w:r>
      <w:proofErr w:type="spellStart"/>
      <w:r w:rsidR="00927026">
        <w:t>B</w:t>
      </w:r>
      <w:r w:rsidRPr="00F22307">
        <w:t>reast</w:t>
      </w:r>
      <w:r w:rsidR="00927026">
        <w:t>Screen</w:t>
      </w:r>
      <w:proofErr w:type="spellEnd"/>
      <w:r w:rsidR="00927026">
        <w:t xml:space="preserve"> Australia</w:t>
      </w:r>
      <w:r w:rsidRPr="00F22307">
        <w:t xml:space="preserve"> (e.g., mammogram) will have further investigations undertaken</w:t>
      </w:r>
      <w:r w:rsidR="000E2A1F">
        <w:t xml:space="preserve"> (refer to Q24</w:t>
      </w:r>
      <w:r w:rsidR="00F36F0E">
        <w:t xml:space="preserve"> for more information</w:t>
      </w:r>
      <w:r w:rsidR="000E2A1F">
        <w:t>)</w:t>
      </w:r>
      <w:r w:rsidRPr="00F22307">
        <w:t>.</w:t>
      </w:r>
    </w:p>
    <w:p w14:paraId="6EAE541B" w14:textId="7876FE07" w:rsidR="00B82F2A" w:rsidRDefault="00EC46A3" w:rsidP="00732569">
      <w:pPr>
        <w:ind w:left="360"/>
      </w:pPr>
      <w:r>
        <w:t xml:space="preserve">A core biopsy is one component of the standard diagnostic work-up, which allows breast cancer receptor profiles (ER, PR, HER2) to be determined. Following determination of breast cancer sub-type and staging, treatment planning will take place. As outlined </w:t>
      </w:r>
      <w:r w:rsidRPr="00EC46A3">
        <w:t>in</w:t>
      </w:r>
      <w:r>
        <w:t xml:space="preserve"> </w:t>
      </w:r>
      <w:r w:rsidRPr="00EC46A3">
        <w:fldChar w:fldCharType="begin"/>
      </w:r>
      <w:r w:rsidRPr="00EC46A3">
        <w:instrText xml:space="preserve"> REF _Ref97857162 \h  \* MERGEFORMAT </w:instrText>
      </w:r>
      <w:r w:rsidRPr="00EC46A3">
        <w:fldChar w:fldCharType="separate"/>
      </w:r>
      <w:r w:rsidRPr="00EC46A3">
        <w:t xml:space="preserve">Figure </w:t>
      </w:r>
      <w:r w:rsidRPr="00EC46A3">
        <w:rPr>
          <w:noProof/>
        </w:rPr>
        <w:t>1</w:t>
      </w:r>
      <w:r w:rsidRPr="00EC46A3">
        <w:fldChar w:fldCharType="end"/>
      </w:r>
      <w:r w:rsidRPr="00EC46A3">
        <w:t>,</w:t>
      </w:r>
      <w:r>
        <w:t xml:space="preserve"> </w:t>
      </w:r>
      <w:proofErr w:type="gramStart"/>
      <w:r>
        <w:t>the majority of</w:t>
      </w:r>
      <w:proofErr w:type="gramEnd"/>
      <w:r>
        <w:t xml:space="preserve"> patients with R/M TNBC,</w:t>
      </w:r>
      <w:r w:rsidR="000007B3">
        <w:t xml:space="preserve"> </w:t>
      </w:r>
      <w:r w:rsidR="002C594D">
        <w:t>are currently</w:t>
      </w:r>
      <w:r w:rsidR="00B82F2A" w:rsidRPr="00B82F2A">
        <w:t xml:space="preserve"> treated with either monotherapy or combination chemotherapy regimens containing anthracycline, </w:t>
      </w:r>
      <w:proofErr w:type="spellStart"/>
      <w:r w:rsidR="00B82F2A" w:rsidRPr="00B82F2A">
        <w:t>taxanes</w:t>
      </w:r>
      <w:proofErr w:type="spellEnd"/>
      <w:r w:rsidR="00B82F2A" w:rsidRPr="00B82F2A">
        <w:t>, capecitabine, gemcitabine or carboplatin. However, resistance develops rapidly upon disease recurrence. Thus, more effective treatments are needed.</w:t>
      </w:r>
    </w:p>
    <w:p w14:paraId="217758E9" w14:textId="236BB747" w:rsidR="005A3399" w:rsidRDefault="005A3399" w:rsidP="00732569">
      <w:pPr>
        <w:pStyle w:val="Caption"/>
        <w:keepNext/>
        <w:spacing w:after="0"/>
        <w:ind w:left="425"/>
        <w:jc w:val="both"/>
        <w:rPr>
          <w:b/>
          <w:bCs/>
          <w:i w:val="0"/>
          <w:iCs w:val="0"/>
          <w:color w:val="auto"/>
        </w:rPr>
      </w:pPr>
      <w:bookmarkStart w:id="15" w:name="_Ref97857162"/>
      <w:r w:rsidRPr="005A3399">
        <w:rPr>
          <w:b/>
          <w:bCs/>
          <w:i w:val="0"/>
          <w:iCs w:val="0"/>
          <w:color w:val="auto"/>
        </w:rPr>
        <w:t xml:space="preserve">Figure </w:t>
      </w:r>
      <w:r w:rsidRPr="005A3399">
        <w:rPr>
          <w:b/>
          <w:bCs/>
          <w:i w:val="0"/>
          <w:iCs w:val="0"/>
          <w:color w:val="auto"/>
        </w:rPr>
        <w:fldChar w:fldCharType="begin"/>
      </w:r>
      <w:r w:rsidRPr="005A3399">
        <w:rPr>
          <w:b/>
          <w:bCs/>
          <w:i w:val="0"/>
          <w:iCs w:val="0"/>
          <w:color w:val="auto"/>
        </w:rPr>
        <w:instrText xml:space="preserve"> SEQ Figure \* ARABIC </w:instrText>
      </w:r>
      <w:r w:rsidRPr="005A3399">
        <w:rPr>
          <w:b/>
          <w:bCs/>
          <w:i w:val="0"/>
          <w:iCs w:val="0"/>
          <w:color w:val="auto"/>
        </w:rPr>
        <w:fldChar w:fldCharType="separate"/>
      </w:r>
      <w:r w:rsidR="00B712D6">
        <w:rPr>
          <w:b/>
          <w:bCs/>
          <w:i w:val="0"/>
          <w:iCs w:val="0"/>
          <w:noProof/>
          <w:color w:val="auto"/>
        </w:rPr>
        <w:t>1</w:t>
      </w:r>
      <w:r w:rsidRPr="005A3399">
        <w:rPr>
          <w:b/>
          <w:bCs/>
          <w:i w:val="0"/>
          <w:iCs w:val="0"/>
          <w:color w:val="auto"/>
        </w:rPr>
        <w:fldChar w:fldCharType="end"/>
      </w:r>
      <w:bookmarkEnd w:id="15"/>
      <w:r w:rsidRPr="005A3399">
        <w:rPr>
          <w:b/>
          <w:bCs/>
          <w:i w:val="0"/>
          <w:iCs w:val="0"/>
          <w:color w:val="auto"/>
        </w:rPr>
        <w:t xml:space="preserve">: </w:t>
      </w:r>
      <w:r>
        <w:rPr>
          <w:b/>
          <w:bCs/>
          <w:i w:val="0"/>
          <w:iCs w:val="0"/>
          <w:color w:val="auto"/>
        </w:rPr>
        <w:t>Current clinical management algorithm</w:t>
      </w:r>
    </w:p>
    <w:p w14:paraId="7662E021" w14:textId="51334012" w:rsidR="000B469C" w:rsidRPr="000B469C" w:rsidRDefault="000B469C" w:rsidP="000B469C">
      <w:pPr>
        <w:ind w:left="426"/>
      </w:pPr>
      <w:r>
        <w:rPr>
          <w:noProof/>
        </w:rPr>
        <w:drawing>
          <wp:inline distT="0" distB="0" distL="0" distR="0" wp14:anchorId="362DD692" wp14:editId="62F07ED2">
            <wp:extent cx="5570889" cy="3964305"/>
            <wp:effectExtent l="19050" t="19050" r="10795" b="17145"/>
            <wp:docPr id="4" name="Picture 4" descr="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ow diagram"/>
                    <pic:cNvPicPr/>
                  </pic:nvPicPr>
                  <pic:blipFill>
                    <a:blip r:embed="rId16"/>
                    <a:stretch>
                      <a:fillRect/>
                    </a:stretch>
                  </pic:blipFill>
                  <pic:spPr>
                    <a:xfrm>
                      <a:off x="0" y="0"/>
                      <a:ext cx="5574816" cy="3967100"/>
                    </a:xfrm>
                    <a:prstGeom prst="rect">
                      <a:avLst/>
                    </a:prstGeom>
                    <a:ln>
                      <a:solidFill>
                        <a:schemeClr val="tx1"/>
                      </a:solidFill>
                    </a:ln>
                  </pic:spPr>
                </pic:pic>
              </a:graphicData>
            </a:graphic>
          </wp:inline>
        </w:drawing>
      </w:r>
    </w:p>
    <w:p w14:paraId="5CCE0BE1" w14:textId="11B86C39" w:rsidR="004634DB" w:rsidRDefault="004634DB" w:rsidP="00B82F2A">
      <w:pPr>
        <w:ind w:left="426"/>
        <w:jc w:val="both"/>
      </w:pPr>
    </w:p>
    <w:p w14:paraId="372CAB5C" w14:textId="1D1F01B8" w:rsidR="00323273" w:rsidRPr="00323273" w:rsidRDefault="00676C99" w:rsidP="00323273">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121AA959" w14:textId="171117CF" w:rsidR="002524F5" w:rsidRDefault="00B712D6" w:rsidP="00323273">
      <w:pPr>
        <w:ind w:left="426"/>
        <w:jc w:val="both"/>
      </w:pPr>
      <w:r>
        <w:t xml:space="preserve">As shown in </w:t>
      </w:r>
      <w:r w:rsidRPr="00B712D6">
        <w:fldChar w:fldCharType="begin"/>
      </w:r>
      <w:r w:rsidRPr="00B712D6">
        <w:instrText xml:space="preserve"> REF _Ref97857406 \h  \* MERGEFORMAT </w:instrText>
      </w:r>
      <w:r w:rsidRPr="00B712D6">
        <w:fldChar w:fldCharType="separate"/>
      </w:r>
      <w:r w:rsidRPr="00B712D6">
        <w:t xml:space="preserve">Figure </w:t>
      </w:r>
      <w:r w:rsidRPr="00B712D6">
        <w:rPr>
          <w:noProof/>
        </w:rPr>
        <w:t>2</w:t>
      </w:r>
      <w:r w:rsidRPr="00B712D6">
        <w:fldChar w:fldCharType="end"/>
      </w:r>
      <w:r>
        <w:t xml:space="preserve">, </w:t>
      </w:r>
      <w:r w:rsidR="00745062">
        <w:t xml:space="preserve">in the proposed clinical management algorithm, R/M TNBC patients </w:t>
      </w:r>
      <w:r w:rsidR="00323273">
        <w:t xml:space="preserve">who are ECOG stage 0 or 1 would </w:t>
      </w:r>
      <w:r w:rsidR="00CE1433">
        <w:t>be eligible for</w:t>
      </w:r>
      <w:r w:rsidR="00D81D6A">
        <w:t xml:space="preserve"> PD-L1</w:t>
      </w:r>
      <w:r w:rsidR="00323273">
        <w:t xml:space="preserve"> test</w:t>
      </w:r>
      <w:r w:rsidR="00D81D6A">
        <w:t>ing</w:t>
      </w:r>
      <w:r w:rsidR="00323273">
        <w:t>.</w:t>
      </w:r>
    </w:p>
    <w:p w14:paraId="5F9832BA" w14:textId="77777777" w:rsidR="002524F5" w:rsidRDefault="002524F5" w:rsidP="002524F5">
      <w:pPr>
        <w:ind w:left="426"/>
      </w:pPr>
      <w:r w:rsidRPr="00596FD1">
        <w:t>There are currently no biomarker tests reimbursed by MSAC for this purpose (</w:t>
      </w:r>
      <w:proofErr w:type="gramStart"/>
      <w:r w:rsidRPr="00596FD1">
        <w:t>i.e.</w:t>
      </w:r>
      <w:proofErr w:type="gramEnd"/>
      <w:r w:rsidRPr="00596FD1">
        <w:t xml:space="preserve"> access to Pembrolizumab) in this setting and therefore the proposed test will replace</w:t>
      </w:r>
      <w:r>
        <w:t xml:space="preserve"> no test plus</w:t>
      </w:r>
      <w:r w:rsidRPr="00596FD1">
        <w:t xml:space="preserve"> standard of care.</w:t>
      </w:r>
    </w:p>
    <w:p w14:paraId="740D615B" w14:textId="52216337" w:rsidR="008C76BC" w:rsidRDefault="002524F5" w:rsidP="00C67C34">
      <w:pPr>
        <w:ind w:left="426"/>
      </w:pPr>
      <w:r>
        <w:t xml:space="preserve">It is expected that PD-L1 testing and subsequent treatment with pembrolizumab will become the new standard of care over time; therefore, </w:t>
      </w:r>
      <w:proofErr w:type="gramStart"/>
      <w:r>
        <w:t>the majority of</w:t>
      </w:r>
      <w:proofErr w:type="gramEnd"/>
      <w:r>
        <w:t xml:space="preserve"> patients will receive PD-L1 testing as a routine part of their diagnostic work-up.</w:t>
      </w:r>
    </w:p>
    <w:p w14:paraId="16286C63" w14:textId="66B7E614" w:rsidR="008E59E2" w:rsidRDefault="008C76BC" w:rsidP="00732569">
      <w:pPr>
        <w:ind w:left="426"/>
        <w:jc w:val="both"/>
      </w:pPr>
      <w:r>
        <w:t>Patients who have</w:t>
      </w:r>
      <w:r w:rsidR="00DC38AA">
        <w:t xml:space="preserve"> a CPS</w:t>
      </w:r>
      <w:r w:rsidR="00DC38AA">
        <w:rPr>
          <w:rFonts w:ascii="Times New Roman" w:hAnsi="Times New Roman" w:cs="Times New Roman"/>
        </w:rPr>
        <w:t>≥</w:t>
      </w:r>
      <w:r w:rsidR="00DC38AA">
        <w:t>10</w:t>
      </w:r>
      <w:r w:rsidR="00323273" w:rsidRPr="00F22307">
        <w:t xml:space="preserve"> would be considered for </w:t>
      </w:r>
      <w:r w:rsidR="00323273">
        <w:t xml:space="preserve">treatment with </w:t>
      </w:r>
      <w:r w:rsidR="00323273" w:rsidRPr="00F22307">
        <w:t>pembrolizumab</w:t>
      </w:r>
      <w:r w:rsidR="00323273">
        <w:t xml:space="preserve"> in combination with chemotherapy</w:t>
      </w:r>
      <w:r w:rsidR="00323273" w:rsidRPr="00F22307">
        <w:t xml:space="preserve"> by their oncologist for </w:t>
      </w:r>
      <w:r w:rsidR="00323273">
        <w:t>first-</w:t>
      </w:r>
      <w:r w:rsidR="00323273" w:rsidRPr="00F22307">
        <w:t>line therapy</w:t>
      </w:r>
      <w:r w:rsidR="00E056FA">
        <w:t>.</w:t>
      </w:r>
      <w:r w:rsidR="00323273" w:rsidRPr="00F22307">
        <w:t xml:space="preserve"> </w:t>
      </w:r>
      <w:r w:rsidR="000538BF">
        <w:t xml:space="preserve">As outlined previously, it is anticipated </w:t>
      </w:r>
      <w:r w:rsidR="00924467">
        <w:t>testing would occur on newly or recently obtained tissue</w:t>
      </w:r>
      <w:r w:rsidR="0081299B">
        <w:t xml:space="preserve"> for the majority of patients</w:t>
      </w:r>
      <w:r w:rsidR="00924467">
        <w:t xml:space="preserve"> (</w:t>
      </w:r>
      <w:proofErr w:type="gramStart"/>
      <w:r w:rsidR="0081299B">
        <w:t>i.e.</w:t>
      </w:r>
      <w:proofErr w:type="gramEnd"/>
      <w:r w:rsidR="0081299B">
        <w:t xml:space="preserve"> </w:t>
      </w:r>
      <w:r w:rsidR="00924467">
        <w:t>the same tissue used for</w:t>
      </w:r>
      <w:r w:rsidR="0081299B">
        <w:t xml:space="preserve"> IHC testing of ER/PR/HER2 status). MSAC has previously advised </w:t>
      </w:r>
      <w:r w:rsidR="00EE1F40">
        <w:t xml:space="preserve">that PD-L1 should be undertaken on the most recent sample, </w:t>
      </w:r>
      <w:r w:rsidR="00EE1F40">
        <w:rPr>
          <w:szCs w:val="20"/>
        </w:rPr>
        <w:t>which could be archival if necessary (see Q28).</w:t>
      </w:r>
    </w:p>
    <w:p w14:paraId="58C70E5B" w14:textId="6B1C7B74" w:rsidR="00B712D6" w:rsidRDefault="00B712D6" w:rsidP="00B712D6">
      <w:pPr>
        <w:pStyle w:val="Caption"/>
        <w:keepNext/>
        <w:ind w:left="426"/>
        <w:jc w:val="both"/>
        <w:rPr>
          <w:b/>
          <w:bCs/>
          <w:i w:val="0"/>
          <w:iCs w:val="0"/>
          <w:color w:val="auto"/>
        </w:rPr>
      </w:pPr>
      <w:bookmarkStart w:id="16" w:name="_Ref97857406"/>
      <w:r w:rsidRPr="00B712D6">
        <w:rPr>
          <w:b/>
          <w:bCs/>
          <w:i w:val="0"/>
          <w:iCs w:val="0"/>
          <w:color w:val="auto"/>
        </w:rPr>
        <w:t xml:space="preserve">Figure </w:t>
      </w:r>
      <w:r w:rsidRPr="00B712D6">
        <w:rPr>
          <w:b/>
          <w:bCs/>
          <w:i w:val="0"/>
          <w:iCs w:val="0"/>
          <w:color w:val="auto"/>
        </w:rPr>
        <w:fldChar w:fldCharType="begin"/>
      </w:r>
      <w:r w:rsidRPr="00B712D6">
        <w:rPr>
          <w:b/>
          <w:bCs/>
          <w:i w:val="0"/>
          <w:iCs w:val="0"/>
          <w:color w:val="auto"/>
        </w:rPr>
        <w:instrText xml:space="preserve"> SEQ Figure \* ARABIC </w:instrText>
      </w:r>
      <w:r w:rsidRPr="00B712D6">
        <w:rPr>
          <w:b/>
          <w:bCs/>
          <w:i w:val="0"/>
          <w:iCs w:val="0"/>
          <w:color w:val="auto"/>
        </w:rPr>
        <w:fldChar w:fldCharType="separate"/>
      </w:r>
      <w:r w:rsidRPr="00B712D6">
        <w:rPr>
          <w:b/>
          <w:bCs/>
          <w:i w:val="0"/>
          <w:iCs w:val="0"/>
          <w:noProof/>
          <w:color w:val="auto"/>
        </w:rPr>
        <w:t>2</w:t>
      </w:r>
      <w:r w:rsidRPr="00B712D6">
        <w:rPr>
          <w:b/>
          <w:bCs/>
          <w:i w:val="0"/>
          <w:iCs w:val="0"/>
          <w:color w:val="auto"/>
        </w:rPr>
        <w:fldChar w:fldCharType="end"/>
      </w:r>
      <w:bookmarkEnd w:id="16"/>
      <w:r w:rsidRPr="00B712D6">
        <w:rPr>
          <w:b/>
          <w:bCs/>
          <w:i w:val="0"/>
          <w:iCs w:val="0"/>
          <w:color w:val="auto"/>
        </w:rPr>
        <w:t xml:space="preserve">: Proposed </w:t>
      </w:r>
      <w:r>
        <w:rPr>
          <w:b/>
          <w:bCs/>
          <w:i w:val="0"/>
          <w:iCs w:val="0"/>
          <w:color w:val="auto"/>
        </w:rPr>
        <w:t>clinical management algorithm</w:t>
      </w:r>
    </w:p>
    <w:p w14:paraId="7EBC9113" w14:textId="18433E40" w:rsidR="000B469C" w:rsidRPr="00323273" w:rsidRDefault="000B469C" w:rsidP="00732569">
      <w:pPr>
        <w:ind w:firstLine="284"/>
      </w:pPr>
      <w:r>
        <w:rPr>
          <w:noProof/>
        </w:rPr>
        <w:drawing>
          <wp:inline distT="0" distB="0" distL="0" distR="0" wp14:anchorId="4D477C03" wp14:editId="5D3CEDB7">
            <wp:extent cx="5731510" cy="4283075"/>
            <wp:effectExtent l="19050" t="19050" r="21590" b="22225"/>
            <wp:docPr id="5" name="Picture 5" descr="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ow diagram"/>
                    <pic:cNvPicPr/>
                  </pic:nvPicPr>
                  <pic:blipFill>
                    <a:blip r:embed="rId17"/>
                    <a:stretch>
                      <a:fillRect/>
                    </a:stretch>
                  </pic:blipFill>
                  <pic:spPr>
                    <a:xfrm>
                      <a:off x="0" y="0"/>
                      <a:ext cx="5731510" cy="4283075"/>
                    </a:xfrm>
                    <a:prstGeom prst="rect">
                      <a:avLst/>
                    </a:prstGeom>
                    <a:ln>
                      <a:solidFill>
                        <a:schemeClr val="tx1"/>
                      </a:solidFill>
                    </a:ln>
                  </pic:spPr>
                </pic:pic>
              </a:graphicData>
            </a:graphic>
          </wp:inline>
        </w:drawing>
      </w:r>
    </w:p>
    <w:p w14:paraId="43EBB704" w14:textId="5A643400" w:rsidR="00DD1848" w:rsidRDefault="00754C19" w:rsidP="00732569">
      <w:pPr>
        <w:pStyle w:val="Subtitle"/>
        <w:ind w:left="0"/>
      </w:pPr>
      <w:r>
        <w:t xml:space="preserve">PART 6d – </w:t>
      </w:r>
      <w:r w:rsidRPr="00881F93">
        <w:t>INFORMATION ABOUT CLINICAL OUTCOME</w:t>
      </w:r>
      <w:r w:rsidR="00ED4B7A">
        <w:t>S</w:t>
      </w:r>
    </w:p>
    <w:p w14:paraId="1C468AFB" w14:textId="27A018FF"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C468AFC" w14:textId="7AC71480" w:rsidR="00E73649" w:rsidRPr="00832EE2" w:rsidRDefault="00E73649" w:rsidP="00993F0A">
      <w:pPr>
        <w:ind w:left="360"/>
      </w:pPr>
      <w:r w:rsidRPr="00832EE2">
        <w:t>PD-L1 testing followed by treatment with pembrolizumab</w:t>
      </w:r>
      <w:r w:rsidR="005E1E89">
        <w:t xml:space="preserve"> </w:t>
      </w:r>
      <w:r w:rsidR="008E59E2">
        <w:t xml:space="preserve">plus </w:t>
      </w:r>
      <w:r w:rsidR="005E1E89">
        <w:t>chemotherapy</w:t>
      </w:r>
      <w:r w:rsidRPr="00832EE2">
        <w:t xml:space="preserve"> is associated with superior outcomes compared to no testing and </w:t>
      </w:r>
      <w:r w:rsidR="00993F0A" w:rsidRPr="00832EE2">
        <w:t xml:space="preserve">the </w:t>
      </w:r>
      <w:r w:rsidRPr="00832EE2">
        <w:t xml:space="preserve">current standard of care for patients with </w:t>
      </w:r>
      <w:r w:rsidR="00953B1E">
        <w:t>R/M</w:t>
      </w:r>
      <w:r w:rsidR="00993F0A" w:rsidRPr="00832EE2">
        <w:t xml:space="preserve"> </w:t>
      </w:r>
      <w:r w:rsidR="00832EE2" w:rsidRPr="00832EE2">
        <w:t>TNBC</w:t>
      </w:r>
      <w:r w:rsidRPr="00832EE2">
        <w:t xml:space="preserve">. </w:t>
      </w:r>
    </w:p>
    <w:p w14:paraId="526AA3C0" w14:textId="77777777" w:rsidR="00732569" w:rsidRDefault="00732569">
      <w:pPr>
        <w:spacing w:before="0" w:after="200" w:line="276" w:lineRule="auto"/>
      </w:pPr>
      <w:r>
        <w:br w:type="page"/>
      </w:r>
    </w:p>
    <w:p w14:paraId="1C468AFD" w14:textId="38027C63" w:rsidR="00E73649" w:rsidRPr="00832EE2" w:rsidRDefault="00E73649" w:rsidP="000567DE">
      <w:pPr>
        <w:ind w:left="360"/>
      </w:pPr>
      <w:r w:rsidRPr="00832EE2">
        <w:lastRenderedPageBreak/>
        <w:t>Hence, the clinical claim is driven by t</w:t>
      </w:r>
      <w:r w:rsidR="00AD3119" w:rsidRPr="00832EE2">
        <w:t>hree</w:t>
      </w:r>
      <w:r w:rsidRPr="00832EE2">
        <w:t xml:space="preserve"> factors:</w:t>
      </w:r>
    </w:p>
    <w:p w14:paraId="1C468AFE" w14:textId="77777777" w:rsidR="00E73649" w:rsidRPr="00832EE2" w:rsidRDefault="00E73649" w:rsidP="00732569">
      <w:pPr>
        <w:ind w:left="709" w:hanging="283"/>
      </w:pPr>
      <w:r w:rsidRPr="00832EE2">
        <w:t>1.</w:t>
      </w:r>
      <w:r w:rsidRPr="00832EE2">
        <w:tab/>
        <w:t>Acceptable safety and analytical performance of PD-L1 test. (To be assessed by MSAC.)</w:t>
      </w:r>
    </w:p>
    <w:p w14:paraId="1C468B00" w14:textId="60B5E7AE" w:rsidR="00E73649" w:rsidRPr="00832EE2" w:rsidRDefault="00E73649" w:rsidP="00732569">
      <w:pPr>
        <w:ind w:left="709" w:hanging="283"/>
      </w:pPr>
      <w:r w:rsidRPr="00832EE2">
        <w:t>2.</w:t>
      </w:r>
      <w:r w:rsidRPr="00832EE2">
        <w:tab/>
        <w:t>Superior effectiveness with acceptable safety of treating PD-L1 positive patients with pembrolizumab relative to standard of care without testing. (To be assessed by PBAC).</w:t>
      </w:r>
    </w:p>
    <w:p w14:paraId="1C468B01" w14:textId="4A828533" w:rsidR="00AD3119" w:rsidRPr="00101801" w:rsidRDefault="00AD3119" w:rsidP="00732569">
      <w:pPr>
        <w:ind w:left="709" w:hanging="283"/>
      </w:pPr>
      <w:r w:rsidRPr="00101801">
        <w:t xml:space="preserve">3.  </w:t>
      </w:r>
      <w:r w:rsidR="00732569">
        <w:t xml:space="preserve"> </w:t>
      </w:r>
      <w:r w:rsidRPr="00101801">
        <w:t>Clinical utility of the test + drug combination (To be assessed by MSAC/PBAC).</w:t>
      </w:r>
    </w:p>
    <w:p w14:paraId="1C468B02" w14:textId="7E352F0F" w:rsidR="005D7508" w:rsidRDefault="00832EE2" w:rsidP="00B45CB4">
      <w:pPr>
        <w:ind w:left="360"/>
      </w:pPr>
      <w:r w:rsidRPr="00101801">
        <w:t>Clinical efficacy and</w:t>
      </w:r>
      <w:r w:rsidR="005D026C" w:rsidRPr="00101801">
        <w:t xml:space="preserve"> utility </w:t>
      </w:r>
      <w:r w:rsidR="00B45CB4" w:rsidRPr="00101801">
        <w:t>claims</w:t>
      </w:r>
      <w:r w:rsidR="005D026C" w:rsidRPr="00101801">
        <w:t xml:space="preserve"> </w:t>
      </w:r>
      <w:r w:rsidR="00101801" w:rsidRPr="00101801">
        <w:t xml:space="preserve">plus safety outcomes </w:t>
      </w:r>
      <w:r w:rsidR="005D026C" w:rsidRPr="00101801">
        <w:t xml:space="preserve">will be based on </w:t>
      </w:r>
      <w:r w:rsidRPr="00101801">
        <w:t>KN-355</w:t>
      </w:r>
      <w:r w:rsidR="00D35C12" w:rsidRPr="00101801">
        <w:t>.</w:t>
      </w:r>
    </w:p>
    <w:p w14:paraId="7E1C59F7" w14:textId="4A0376B5" w:rsidR="005B7BF6" w:rsidRDefault="00D53F96" w:rsidP="003B5312">
      <w:pPr>
        <w:ind w:left="360"/>
      </w:pPr>
      <w:bookmarkStart w:id="17" w:name="_Hlk97882266"/>
      <w:r>
        <w:t xml:space="preserve">The co-dependent submission will present efficacy and safety data for patients with PD-L1 expression CPS≥10 and </w:t>
      </w:r>
      <w:r w:rsidR="007438D0">
        <w:t>the complement (</w:t>
      </w:r>
      <w:r>
        <w:t>CPS&lt;10</w:t>
      </w:r>
      <w:r w:rsidR="007438D0">
        <w:t>)</w:t>
      </w:r>
      <w:r>
        <w:t>.</w:t>
      </w:r>
      <w:r w:rsidR="007438D0">
        <w:t xml:space="preserve"> It is expected that PD-L1 testing will help to determine the most appropriate clinical pathway for individual patients</w:t>
      </w:r>
      <w:bookmarkEnd w:id="17"/>
      <w:r w:rsidR="007438D0">
        <w:t>.</w:t>
      </w:r>
    </w:p>
    <w:p w14:paraId="4327E185" w14:textId="01EDEB87" w:rsidR="003B5312" w:rsidRPr="00AA4BC4" w:rsidRDefault="003B5312" w:rsidP="003B5312">
      <w:pPr>
        <w:ind w:left="360"/>
      </w:pPr>
      <w:r>
        <w:t xml:space="preserve">By determining that a patient has a high PD-L1 expression rate (CPS ≥10), it will be possible to determine whether the patient is likely to respond well to pembrolizumab in comparison with the current standard of care. </w:t>
      </w:r>
    </w:p>
    <w:p w14:paraId="726C633C" w14:textId="5FB168A0" w:rsidR="003B5312" w:rsidRDefault="00874E77" w:rsidP="00874E77">
      <w:pPr>
        <w:pStyle w:val="Heading2"/>
      </w:pPr>
      <w:r>
        <w:t>Please state what the overall clinical claim is:</w:t>
      </w:r>
    </w:p>
    <w:p w14:paraId="1C468B04" w14:textId="77777777" w:rsidR="001B29A1" w:rsidRPr="001B29A1" w:rsidRDefault="00E73649"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119">
        <w:rPr>
          <w:szCs w:val="20"/>
        </w:rPr>
      </w:r>
      <w:r w:rsidR="00625119">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C468B05" w14:textId="77777777" w:rsidR="004E3CC7"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119">
        <w:rPr>
          <w:szCs w:val="20"/>
        </w:rPr>
      </w:r>
      <w:r w:rsidR="00625119">
        <w:rPr>
          <w:szCs w:val="20"/>
        </w:rPr>
        <w:fldChar w:fldCharType="separate"/>
      </w:r>
      <w:r w:rsidRPr="001B29A1">
        <w:rPr>
          <w:szCs w:val="20"/>
        </w:rPr>
        <w:fldChar w:fldCharType="end"/>
      </w:r>
      <w:r w:rsidRPr="001B29A1">
        <w:rPr>
          <w:szCs w:val="20"/>
        </w:rPr>
        <w:t xml:space="preserve"> Non-inferiority</w:t>
      </w:r>
      <w:r w:rsidRPr="001B29A1">
        <w:rPr>
          <w:szCs w:val="20"/>
        </w:rPr>
        <w:tab/>
      </w:r>
    </w:p>
    <w:p w14:paraId="1C468B06" w14:textId="77777777" w:rsidR="005D7508" w:rsidRPr="001B29A1" w:rsidRDefault="005D7508" w:rsidP="001B29A1">
      <w:pPr>
        <w:spacing w:before="0" w:after="0"/>
        <w:ind w:left="426"/>
        <w:rPr>
          <w:szCs w:val="20"/>
        </w:rPr>
      </w:pPr>
    </w:p>
    <w:p w14:paraId="670BCEE0" w14:textId="790BA9A4" w:rsidR="002629CF" w:rsidRDefault="000F0F14" w:rsidP="000F0F14">
      <w:pPr>
        <w:pStyle w:val="Heading2"/>
      </w:pPr>
      <w:r w:rsidRPr="000F0F14">
        <w:t>List the key health outcomes (major and minor – prioritising major key health outcomes first) that will need to be measured in assessing the clinical claim for the proposed medical service/technology (versus the comparator):</w:t>
      </w:r>
    </w:p>
    <w:p w14:paraId="6664384D" w14:textId="77777777" w:rsidR="00FE3135" w:rsidRPr="00FE3135" w:rsidRDefault="00FE3135" w:rsidP="00FE3135">
      <w:pPr>
        <w:ind w:left="284"/>
        <w:rPr>
          <w:b/>
          <w:bCs/>
        </w:rPr>
      </w:pPr>
      <w:r w:rsidRPr="00FE3135">
        <w:rPr>
          <w:b/>
          <w:bCs/>
        </w:rPr>
        <w:t>Clinical Effectiveness Outcomes</w:t>
      </w:r>
    </w:p>
    <w:p w14:paraId="2DD0DA3C" w14:textId="77777777" w:rsidR="00FE3135" w:rsidRDefault="00FE3135" w:rsidP="00FE3135">
      <w:pPr>
        <w:ind w:left="710" w:hanging="284"/>
      </w:pPr>
      <w:r>
        <w:t>•</w:t>
      </w:r>
      <w:r>
        <w:tab/>
        <w:t>Primary endpoints: Progression free survival (PFS) and Overall Survival (OS) with PD-L1 positive tumours who have a CPS ≥10.</w:t>
      </w:r>
    </w:p>
    <w:p w14:paraId="4050F7BA" w14:textId="77777777" w:rsidR="00FE3135" w:rsidRDefault="00FE3135" w:rsidP="00FE3135">
      <w:pPr>
        <w:ind w:left="710" w:hanging="284"/>
      </w:pPr>
      <w:r>
        <w:t>•</w:t>
      </w:r>
      <w:r>
        <w:tab/>
        <w:t>Secondary endpoints: Objective Response Rate (ORR), Duration of Response (DOR) and Disease Control Rate (DCR) in patients with PD-L1 positive tumours who have a CPS ≥10.</w:t>
      </w:r>
    </w:p>
    <w:p w14:paraId="7D3C82CB" w14:textId="77777777" w:rsidR="00FE3135" w:rsidRPr="00FE3135" w:rsidRDefault="00FE3135" w:rsidP="00FE3135">
      <w:pPr>
        <w:ind w:left="284"/>
        <w:rPr>
          <w:b/>
          <w:bCs/>
        </w:rPr>
      </w:pPr>
      <w:r w:rsidRPr="00FE3135">
        <w:rPr>
          <w:b/>
          <w:bCs/>
        </w:rPr>
        <w:t>Safety Outcomes</w:t>
      </w:r>
    </w:p>
    <w:p w14:paraId="157298FD" w14:textId="77777777" w:rsidR="00FE3135" w:rsidRDefault="00FE3135" w:rsidP="00FE3135">
      <w:pPr>
        <w:ind w:left="710" w:hanging="284"/>
      </w:pPr>
      <w:r>
        <w:t>•</w:t>
      </w:r>
      <w:r>
        <w:tab/>
        <w:t>Primary endpoint: Percentage of Participants Who Experience an Adverse Event (AE)</w:t>
      </w:r>
    </w:p>
    <w:p w14:paraId="4F77EA78" w14:textId="6863E378" w:rsidR="00FE3135" w:rsidRPr="00FE3135" w:rsidRDefault="00FE3135" w:rsidP="00FE3135">
      <w:pPr>
        <w:ind w:left="710" w:hanging="284"/>
      </w:pPr>
      <w:r>
        <w:t>•</w:t>
      </w:r>
      <w:r>
        <w:tab/>
        <w:t>Percentage of Participants Who Discontinue Study Drug Due to an AE</w:t>
      </w:r>
    </w:p>
    <w:p w14:paraId="1C468B1A"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1C468B1B"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tbl>
      <w:tblPr>
        <w:tblStyle w:val="TableGrid"/>
        <w:tblW w:w="8930" w:type="dxa"/>
        <w:tblInd w:w="279" w:type="dxa"/>
        <w:tblLook w:val="04A0" w:firstRow="1" w:lastRow="0" w:firstColumn="1" w:lastColumn="0" w:noHBand="0" w:noVBand="1"/>
      </w:tblPr>
      <w:tblGrid>
        <w:gridCol w:w="2473"/>
        <w:gridCol w:w="2061"/>
        <w:gridCol w:w="4396"/>
      </w:tblGrid>
      <w:tr w:rsidR="00C12150" w14:paraId="1C468B1D" w14:textId="1DE53818" w:rsidTr="00FE3135">
        <w:trPr>
          <w:trHeight w:val="297"/>
        </w:trPr>
        <w:tc>
          <w:tcPr>
            <w:tcW w:w="8930" w:type="dxa"/>
            <w:gridSpan w:val="3"/>
            <w:shd w:val="clear" w:color="auto" w:fill="F2F2F2" w:themeFill="background1" w:themeFillShade="F2"/>
          </w:tcPr>
          <w:p w14:paraId="7DA5BF17" w14:textId="269458A4" w:rsidR="00C12150" w:rsidRDefault="00C12150" w:rsidP="00723880">
            <w:pPr>
              <w:spacing w:before="0" w:after="0"/>
              <w:jc w:val="center"/>
              <w:rPr>
                <w:b/>
              </w:rPr>
            </w:pPr>
            <w:r>
              <w:rPr>
                <w:b/>
              </w:rPr>
              <w:t xml:space="preserve">EVALUATION VIA REPORTED </w:t>
            </w:r>
            <w:r w:rsidRPr="00520309">
              <w:rPr>
                <w:b/>
              </w:rPr>
              <w:t>INCIDENCE</w:t>
            </w:r>
          </w:p>
        </w:tc>
      </w:tr>
      <w:tr w:rsidR="0096421F" w14:paraId="1C468B20" w14:textId="7FEDD93D" w:rsidTr="00FE3135">
        <w:tc>
          <w:tcPr>
            <w:tcW w:w="2473" w:type="dxa"/>
          </w:tcPr>
          <w:p w14:paraId="1C468B1E" w14:textId="19361B20" w:rsidR="0096421F" w:rsidRPr="00821350" w:rsidRDefault="0096421F" w:rsidP="00723880">
            <w:pPr>
              <w:spacing w:before="0" w:after="0"/>
              <w:rPr>
                <w:rFonts w:ascii="Calibri" w:hAnsi="Calibri" w:cs="Calibri"/>
                <w:szCs w:val="20"/>
                <w:lang w:val="en-GB" w:eastAsia="ja-JP"/>
              </w:rPr>
            </w:pPr>
            <w:r w:rsidRPr="00821350">
              <w:rPr>
                <w:szCs w:val="20"/>
                <w:lang w:val="en-GB" w:eastAsia="ja-JP"/>
              </w:rPr>
              <w:t>Estimated no. of persons diagnosed</w:t>
            </w:r>
            <w:r>
              <w:rPr>
                <w:szCs w:val="20"/>
                <w:lang w:val="en-GB" w:eastAsia="ja-JP"/>
              </w:rPr>
              <w:t xml:space="preserve"> (incident)</w:t>
            </w:r>
            <w:r w:rsidRPr="00821350">
              <w:rPr>
                <w:szCs w:val="20"/>
                <w:lang w:val="en-GB" w:eastAsia="ja-JP"/>
              </w:rPr>
              <w:t xml:space="preserve"> with breast cancer (includes all stages) (20</w:t>
            </w:r>
            <w:r>
              <w:rPr>
                <w:szCs w:val="20"/>
                <w:lang w:val="en-GB" w:eastAsia="ja-JP"/>
              </w:rPr>
              <w:t>21</w:t>
            </w:r>
            <w:r w:rsidRPr="00821350">
              <w:rPr>
                <w:szCs w:val="20"/>
                <w:lang w:val="en-GB" w:eastAsia="ja-JP"/>
              </w:rPr>
              <w:t>)</w:t>
            </w:r>
          </w:p>
        </w:tc>
        <w:tc>
          <w:tcPr>
            <w:tcW w:w="2061" w:type="dxa"/>
            <w:vAlign w:val="center"/>
          </w:tcPr>
          <w:p w14:paraId="1C468B1F" w14:textId="76570CD9" w:rsidR="0096421F" w:rsidRPr="00C01331" w:rsidRDefault="0096421F" w:rsidP="00723880">
            <w:pPr>
              <w:spacing w:before="0" w:after="0"/>
              <w:rPr>
                <w:rFonts w:ascii="Calibri" w:hAnsi="Calibri" w:cs="Calibri"/>
                <w:szCs w:val="20"/>
                <w:highlight w:val="yellow"/>
                <w:lang w:val="en-GB" w:eastAsia="ja-JP"/>
              </w:rPr>
            </w:pPr>
            <w:r>
              <w:t>20,030</w:t>
            </w:r>
          </w:p>
        </w:tc>
        <w:tc>
          <w:tcPr>
            <w:tcW w:w="4396" w:type="dxa"/>
          </w:tcPr>
          <w:p w14:paraId="62B3E8E0" w14:textId="2068F814" w:rsidR="0096421F" w:rsidRDefault="0096421F" w:rsidP="00723880">
            <w:pPr>
              <w:spacing w:before="0" w:after="0"/>
            </w:pPr>
            <w:r w:rsidRPr="0096421F">
              <w:t xml:space="preserve">Cancer Australia. 2022. </w:t>
            </w:r>
            <w:r w:rsidRPr="00D212E0">
              <w:rPr>
                <w:i/>
                <w:iCs/>
              </w:rPr>
              <w:t xml:space="preserve">Breast cancer in Australia statistics. </w:t>
            </w:r>
            <w:r w:rsidRPr="0096421F">
              <w:t>Available at: &lt;https://www.canceraustralia.gov.au/cancer-types/breast-cancer/statistics&gt; [Accessed 9 March 2022].</w:t>
            </w:r>
          </w:p>
        </w:tc>
      </w:tr>
      <w:tr w:rsidR="0096421F" w14:paraId="1C468B24" w14:textId="5ADA3FB3" w:rsidTr="00FE3135">
        <w:tc>
          <w:tcPr>
            <w:tcW w:w="2473" w:type="dxa"/>
          </w:tcPr>
          <w:p w14:paraId="1C468B22" w14:textId="20965D9B" w:rsidR="0096421F" w:rsidRPr="000776CB" w:rsidRDefault="0096421F" w:rsidP="00723880">
            <w:pPr>
              <w:spacing w:before="0" w:after="0"/>
              <w:rPr>
                <w:szCs w:val="20"/>
                <w:lang w:val="en-GB" w:eastAsia="ja-JP"/>
              </w:rPr>
            </w:pPr>
            <w:r w:rsidRPr="002815E5">
              <w:rPr>
                <w:szCs w:val="20"/>
                <w:lang w:val="en-GB" w:eastAsia="ja-JP"/>
              </w:rPr>
              <w:t>Percentage of cases diagnosed with Stage IV (metastatic)</w:t>
            </w:r>
          </w:p>
        </w:tc>
        <w:tc>
          <w:tcPr>
            <w:tcW w:w="2061" w:type="dxa"/>
            <w:vAlign w:val="center"/>
          </w:tcPr>
          <w:p w14:paraId="1C468B23" w14:textId="15A51544" w:rsidR="0096421F" w:rsidRPr="003B143D" w:rsidRDefault="0096421F" w:rsidP="00723880">
            <w:pPr>
              <w:spacing w:before="0" w:after="0"/>
              <w:rPr>
                <w:szCs w:val="20"/>
                <w:lang w:val="en-GB" w:eastAsia="ja-JP"/>
              </w:rPr>
            </w:pPr>
            <w:r w:rsidRPr="003B143D">
              <w:rPr>
                <w:szCs w:val="20"/>
                <w:lang w:val="en-GB" w:eastAsia="ja-JP"/>
              </w:rPr>
              <w:t>~</w:t>
            </w:r>
            <w:r>
              <w:rPr>
                <w:szCs w:val="20"/>
                <w:lang w:val="en-GB" w:eastAsia="ja-JP"/>
              </w:rPr>
              <w:t>8</w:t>
            </w:r>
            <w:r w:rsidRPr="003B143D">
              <w:rPr>
                <w:szCs w:val="20"/>
                <w:lang w:val="en-GB" w:eastAsia="ja-JP"/>
              </w:rPr>
              <w:t>% (4</w:t>
            </w:r>
            <w:r>
              <w:rPr>
                <w:szCs w:val="20"/>
                <w:lang w:val="en-GB" w:eastAsia="ja-JP"/>
              </w:rPr>
              <w:t>.6</w:t>
            </w:r>
            <w:r w:rsidRPr="003B143D">
              <w:rPr>
                <w:szCs w:val="20"/>
                <w:lang w:val="en-GB" w:eastAsia="ja-JP"/>
              </w:rPr>
              <w:t>-10</w:t>
            </w:r>
            <w:r>
              <w:rPr>
                <w:szCs w:val="20"/>
                <w:lang w:val="en-GB" w:eastAsia="ja-JP"/>
              </w:rPr>
              <w:t>.1</w:t>
            </w:r>
            <w:r w:rsidRPr="003B143D">
              <w:rPr>
                <w:szCs w:val="20"/>
                <w:lang w:val="en-GB" w:eastAsia="ja-JP"/>
              </w:rPr>
              <w:t>%)</w:t>
            </w:r>
          </w:p>
        </w:tc>
        <w:tc>
          <w:tcPr>
            <w:tcW w:w="4396" w:type="dxa"/>
          </w:tcPr>
          <w:p w14:paraId="01CA89A7" w14:textId="37179632" w:rsidR="0096421F" w:rsidRPr="003B143D" w:rsidRDefault="00C12150" w:rsidP="00723880">
            <w:pPr>
              <w:spacing w:before="0" w:after="0"/>
              <w:rPr>
                <w:szCs w:val="20"/>
                <w:lang w:val="en-GB" w:eastAsia="ja-JP"/>
              </w:rPr>
            </w:pPr>
            <w:r w:rsidRPr="00C12150">
              <w:rPr>
                <w:szCs w:val="20"/>
                <w:lang w:val="en-GB" w:eastAsia="ja-JP"/>
              </w:rPr>
              <w:t>AIHW. 2022. Breast cancer in Australia: an overview. Data tables: Chapter 2 Incidence of breast cancer. Available at: &lt;https://www.aihw.gov.au/getmedia/3d93914e-6e3a-44f6-b13c-c7805b1d62b4/14225-chapter2_incidence.xls.aspx&gt;. [Accessed 9 March 2022].</w:t>
            </w:r>
          </w:p>
        </w:tc>
      </w:tr>
      <w:tr w:rsidR="0096421F" w14:paraId="1C468B29" w14:textId="09C3911D" w:rsidTr="00FE3135">
        <w:tc>
          <w:tcPr>
            <w:tcW w:w="2473" w:type="dxa"/>
          </w:tcPr>
          <w:p w14:paraId="1C468B26" w14:textId="7A115652" w:rsidR="0096421F" w:rsidRPr="00E92F98" w:rsidRDefault="0096421F" w:rsidP="00723880">
            <w:pPr>
              <w:spacing w:before="0" w:after="0"/>
              <w:rPr>
                <w:szCs w:val="20"/>
                <w:lang w:val="en-GB" w:eastAsia="ja-JP"/>
              </w:rPr>
            </w:pPr>
            <w:r w:rsidRPr="002815E5">
              <w:rPr>
                <w:szCs w:val="20"/>
                <w:lang w:val="en-GB" w:eastAsia="ja-JP"/>
              </w:rPr>
              <w:t xml:space="preserve">Total incident Stage IV (metastatic) patient population </w:t>
            </w:r>
          </w:p>
        </w:tc>
        <w:tc>
          <w:tcPr>
            <w:tcW w:w="2061" w:type="dxa"/>
            <w:vAlign w:val="center"/>
          </w:tcPr>
          <w:p w14:paraId="1C468B27" w14:textId="561A263F" w:rsidR="0096421F" w:rsidRPr="005C0E2D" w:rsidRDefault="0096421F" w:rsidP="00723880">
            <w:pPr>
              <w:spacing w:before="0" w:after="0"/>
              <w:rPr>
                <w:rFonts w:ascii="Calibri" w:hAnsi="Calibri" w:cs="Calibri"/>
                <w:szCs w:val="20"/>
                <w:vertAlign w:val="superscript"/>
                <w:lang w:val="en-GB" w:eastAsia="ja-JP"/>
              </w:rPr>
            </w:pPr>
            <w:r w:rsidRPr="003B143D">
              <w:rPr>
                <w:szCs w:val="20"/>
                <w:lang w:val="en-GB" w:eastAsia="ja-JP"/>
              </w:rPr>
              <w:t>~</w:t>
            </w:r>
            <w:r w:rsidRPr="003B143D">
              <w:rPr>
                <w:rFonts w:ascii="Calibri" w:hAnsi="Calibri" w:cs="Calibri"/>
                <w:szCs w:val="20"/>
                <w:lang w:val="en-GB" w:eastAsia="ja-JP"/>
              </w:rPr>
              <w:t>1</w:t>
            </w:r>
            <w:r>
              <w:rPr>
                <w:rFonts w:ascii="Calibri" w:hAnsi="Calibri" w:cs="Calibri"/>
                <w:szCs w:val="20"/>
                <w:lang w:val="en-GB" w:eastAsia="ja-JP"/>
              </w:rPr>
              <w:t>,602</w:t>
            </w:r>
          </w:p>
          <w:p w14:paraId="1C468B28" w14:textId="06DE1F14" w:rsidR="0096421F" w:rsidRPr="006F7074" w:rsidRDefault="0096421F" w:rsidP="00723880">
            <w:pPr>
              <w:spacing w:before="0" w:after="0"/>
              <w:rPr>
                <w:rFonts w:ascii="Calibri" w:hAnsi="Calibri" w:cs="Calibri"/>
                <w:i/>
                <w:szCs w:val="20"/>
                <w:lang w:val="en-GB" w:eastAsia="ja-JP"/>
              </w:rPr>
            </w:pPr>
            <w:r w:rsidRPr="006F7074">
              <w:rPr>
                <w:rFonts w:ascii="Calibri" w:hAnsi="Calibri" w:cs="Calibri"/>
                <w:i/>
                <w:szCs w:val="20"/>
                <w:lang w:val="en-GB" w:eastAsia="ja-JP"/>
              </w:rPr>
              <w:t>(=</w:t>
            </w:r>
            <w:r>
              <w:rPr>
                <w:rFonts w:ascii="Calibri" w:hAnsi="Calibri" w:cs="Calibri"/>
                <w:i/>
                <w:szCs w:val="20"/>
                <w:lang w:val="en-GB" w:eastAsia="ja-JP"/>
              </w:rPr>
              <w:t>20,030 x 8</w:t>
            </w:r>
            <w:r w:rsidRPr="006F7074">
              <w:rPr>
                <w:rFonts w:ascii="Calibri" w:hAnsi="Calibri" w:cs="Calibri"/>
                <w:i/>
                <w:szCs w:val="20"/>
                <w:lang w:val="en-GB" w:eastAsia="ja-JP"/>
              </w:rPr>
              <w:t>%)</w:t>
            </w:r>
          </w:p>
        </w:tc>
        <w:tc>
          <w:tcPr>
            <w:tcW w:w="4396" w:type="dxa"/>
          </w:tcPr>
          <w:p w14:paraId="2EA2B99D" w14:textId="177C2FDF" w:rsidR="0096421F" w:rsidRPr="003B143D" w:rsidRDefault="00E92F98" w:rsidP="00723880">
            <w:pPr>
              <w:spacing w:before="0" w:after="0"/>
              <w:rPr>
                <w:szCs w:val="20"/>
                <w:lang w:val="en-GB" w:eastAsia="ja-JP"/>
              </w:rPr>
            </w:pPr>
            <w:r>
              <w:rPr>
                <w:szCs w:val="20"/>
                <w:lang w:val="en-GB" w:eastAsia="ja-JP"/>
              </w:rPr>
              <w:t>Calculated</w:t>
            </w:r>
          </w:p>
        </w:tc>
      </w:tr>
      <w:tr w:rsidR="0096421F" w14:paraId="1C468B2C" w14:textId="1BC0B249" w:rsidTr="00FE3135">
        <w:tc>
          <w:tcPr>
            <w:tcW w:w="2473" w:type="dxa"/>
          </w:tcPr>
          <w:p w14:paraId="1C468B2A" w14:textId="77777777" w:rsidR="0096421F" w:rsidRPr="002815E5" w:rsidRDefault="0096421F" w:rsidP="00723880">
            <w:pPr>
              <w:spacing w:before="0" w:after="0"/>
              <w:rPr>
                <w:i/>
                <w:szCs w:val="20"/>
                <w:lang w:val="en-GB" w:eastAsia="ja-JP"/>
              </w:rPr>
            </w:pPr>
            <w:r w:rsidRPr="00821350">
              <w:rPr>
                <w:szCs w:val="20"/>
                <w:lang w:val="en-GB" w:eastAsia="ja-JP"/>
              </w:rPr>
              <w:t xml:space="preserve">Proportion patient population that is Triple Negative </w:t>
            </w:r>
          </w:p>
        </w:tc>
        <w:tc>
          <w:tcPr>
            <w:tcW w:w="2061" w:type="dxa"/>
            <w:vAlign w:val="center"/>
          </w:tcPr>
          <w:p w14:paraId="1C468B2B" w14:textId="6CEFA95F" w:rsidR="0096421F" w:rsidRPr="005C0E2D" w:rsidRDefault="0096421F" w:rsidP="00723880">
            <w:pPr>
              <w:spacing w:before="0" w:after="0"/>
              <w:rPr>
                <w:szCs w:val="20"/>
                <w:highlight w:val="yellow"/>
                <w:vertAlign w:val="superscript"/>
                <w:lang w:val="en-GB" w:eastAsia="ja-JP"/>
              </w:rPr>
            </w:pPr>
            <w:r>
              <w:rPr>
                <w:szCs w:val="20"/>
                <w:lang w:val="en-GB" w:eastAsia="ja-JP"/>
              </w:rPr>
              <w:t>~</w:t>
            </w:r>
            <w:r w:rsidRPr="00832EE2">
              <w:rPr>
                <w:szCs w:val="20"/>
                <w:lang w:val="en-GB" w:eastAsia="ja-JP"/>
              </w:rPr>
              <w:t>15%</w:t>
            </w:r>
          </w:p>
        </w:tc>
        <w:tc>
          <w:tcPr>
            <w:tcW w:w="4396" w:type="dxa"/>
          </w:tcPr>
          <w:p w14:paraId="4A844A19" w14:textId="203058EF" w:rsidR="0096421F" w:rsidRDefault="00E92F98" w:rsidP="00723880">
            <w:pPr>
              <w:spacing w:before="0" w:after="0"/>
              <w:rPr>
                <w:szCs w:val="20"/>
                <w:lang w:val="en-GB" w:eastAsia="ja-JP"/>
              </w:rPr>
            </w:pPr>
            <w:r w:rsidRPr="00E92F98">
              <w:rPr>
                <w:szCs w:val="20"/>
                <w:lang w:val="en-GB" w:eastAsia="ja-JP"/>
              </w:rPr>
              <w:t>Breast Cancer Network Australia. 2022. Triple negative early breast cancer. Available at: &lt;https://www.bcna.org.au/understanding-breast-cancer/what-is-breast-cancer/triple-negative-early-breast-cancer&gt;. [Accessed 22 February 2022].</w:t>
            </w:r>
          </w:p>
        </w:tc>
      </w:tr>
      <w:tr w:rsidR="0096421F" w14:paraId="1C468B30" w14:textId="395EAF0A" w:rsidTr="00FE3135">
        <w:trPr>
          <w:trHeight w:val="261"/>
        </w:trPr>
        <w:tc>
          <w:tcPr>
            <w:tcW w:w="2473" w:type="dxa"/>
          </w:tcPr>
          <w:p w14:paraId="1C468B2D" w14:textId="2E3465D8" w:rsidR="0096421F" w:rsidRPr="003B143D" w:rsidRDefault="0096421F" w:rsidP="00723880">
            <w:pPr>
              <w:spacing w:before="0" w:after="0"/>
              <w:rPr>
                <w:szCs w:val="20"/>
                <w:lang w:val="en-GB" w:eastAsia="ja-JP"/>
              </w:rPr>
            </w:pPr>
            <w:r w:rsidRPr="003B143D">
              <w:rPr>
                <w:szCs w:val="20"/>
                <w:lang w:val="en-GB" w:eastAsia="ja-JP"/>
              </w:rPr>
              <w:t>1L metastatic (stage IV) TNBC</w:t>
            </w:r>
          </w:p>
        </w:tc>
        <w:tc>
          <w:tcPr>
            <w:tcW w:w="2061" w:type="dxa"/>
            <w:vAlign w:val="center"/>
          </w:tcPr>
          <w:p w14:paraId="5E674BFD" w14:textId="19434DEA" w:rsidR="0096421F" w:rsidRPr="0003537B" w:rsidRDefault="0096421F" w:rsidP="00723880">
            <w:pPr>
              <w:spacing w:before="0" w:after="0"/>
              <w:rPr>
                <w:szCs w:val="20"/>
                <w:vertAlign w:val="superscript"/>
                <w:lang w:val="en-GB" w:eastAsia="ja-JP"/>
              </w:rPr>
            </w:pPr>
            <w:r>
              <w:rPr>
                <w:szCs w:val="20"/>
                <w:lang w:val="en-GB" w:eastAsia="ja-JP"/>
              </w:rPr>
              <w:t>~240</w:t>
            </w:r>
          </w:p>
          <w:p w14:paraId="1C468B2F" w14:textId="01CD7E9F" w:rsidR="0096421F" w:rsidRPr="003B143D" w:rsidRDefault="0096421F" w:rsidP="00723880">
            <w:pPr>
              <w:spacing w:before="0" w:after="0"/>
              <w:rPr>
                <w:szCs w:val="20"/>
                <w:lang w:val="en-GB" w:eastAsia="ja-JP"/>
              </w:rPr>
            </w:pPr>
            <w:r>
              <w:rPr>
                <w:i/>
                <w:szCs w:val="20"/>
                <w:lang w:val="en-GB" w:eastAsia="ja-JP"/>
              </w:rPr>
              <w:t>(=1,602 x 15%)</w:t>
            </w:r>
          </w:p>
        </w:tc>
        <w:tc>
          <w:tcPr>
            <w:tcW w:w="4396" w:type="dxa"/>
          </w:tcPr>
          <w:p w14:paraId="006DD5B3" w14:textId="04793C71" w:rsidR="0096421F" w:rsidRDefault="00E92F98" w:rsidP="00723880">
            <w:pPr>
              <w:spacing w:before="0" w:after="0"/>
              <w:rPr>
                <w:szCs w:val="20"/>
                <w:lang w:val="en-GB" w:eastAsia="ja-JP"/>
              </w:rPr>
            </w:pPr>
            <w:r>
              <w:rPr>
                <w:szCs w:val="20"/>
                <w:lang w:val="en-GB" w:eastAsia="ja-JP"/>
              </w:rPr>
              <w:t>Calculated</w:t>
            </w:r>
          </w:p>
        </w:tc>
      </w:tr>
    </w:tbl>
    <w:p w14:paraId="1C468B40" w14:textId="3087D753" w:rsidR="005164D7" w:rsidRPr="00C12150" w:rsidRDefault="00C12150" w:rsidP="00C12150">
      <w:pPr>
        <w:ind w:left="284"/>
        <w:rPr>
          <w:sz w:val="16"/>
          <w:szCs w:val="16"/>
        </w:rPr>
      </w:pPr>
      <w:r w:rsidRPr="00C12150">
        <w:rPr>
          <w:sz w:val="16"/>
          <w:szCs w:val="16"/>
        </w:rPr>
        <w:t>^ AIHW data indicates that 4.6% of breast cancer patients are diagnosed at Stage IV. This would increase to 10.1% if all cases where stage at diagnosis are unknown were assumed to be Stage IV. Given the aggressive nature of TNBC and the fact that many patients are younger and would not be part of population screening, it may be reasonable to assume that a higher proportion of TNBC patients may be diagnosed at Stage IV.</w:t>
      </w:r>
    </w:p>
    <w:p w14:paraId="1C468B41" w14:textId="2D6FD870"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0F0F14">
        <w:t>/technology</w:t>
      </w:r>
      <w:r w:rsidRPr="00154B00">
        <w:t xml:space="preserve"> would be </w:t>
      </w:r>
      <w:r w:rsidR="00AE1188">
        <w:t>delivered to a patient per year:</w:t>
      </w:r>
    </w:p>
    <w:p w14:paraId="1C468B42" w14:textId="74D481E4" w:rsidR="00382407" w:rsidRDefault="002F6185" w:rsidP="00463494">
      <w:pPr>
        <w:ind w:left="425"/>
        <w:rPr>
          <w:szCs w:val="20"/>
        </w:rPr>
      </w:pPr>
      <w:r>
        <w:rPr>
          <w:szCs w:val="20"/>
        </w:rPr>
        <w:t>Per the KN</w:t>
      </w:r>
      <w:r w:rsidR="00AD130B">
        <w:rPr>
          <w:szCs w:val="20"/>
        </w:rPr>
        <w:t>-</w:t>
      </w:r>
      <w:r>
        <w:rPr>
          <w:szCs w:val="20"/>
        </w:rPr>
        <w:t>355 protocol, o</w:t>
      </w:r>
      <w:r w:rsidR="00085BB1" w:rsidRPr="00821350">
        <w:rPr>
          <w:szCs w:val="20"/>
        </w:rPr>
        <w:t>ne</w:t>
      </w:r>
      <w:r w:rsidR="001825CA" w:rsidRPr="00821350">
        <w:rPr>
          <w:szCs w:val="20"/>
        </w:rPr>
        <w:t xml:space="preserve"> </w:t>
      </w:r>
      <w:r w:rsidR="009255CE" w:rsidRPr="00821350">
        <w:rPr>
          <w:szCs w:val="20"/>
        </w:rPr>
        <w:t xml:space="preserve">PD-L1 test </w:t>
      </w:r>
      <w:r w:rsidR="001825CA" w:rsidRPr="00821350">
        <w:rPr>
          <w:szCs w:val="20"/>
        </w:rPr>
        <w:t xml:space="preserve">would be </w:t>
      </w:r>
      <w:r w:rsidR="00085BB1" w:rsidRPr="00821350">
        <w:rPr>
          <w:szCs w:val="20"/>
        </w:rPr>
        <w:t>performed</w:t>
      </w:r>
      <w:r w:rsidR="00891CEF">
        <w:rPr>
          <w:szCs w:val="20"/>
        </w:rPr>
        <w:t xml:space="preserve"> following a</w:t>
      </w:r>
      <w:r w:rsidR="00085BB1" w:rsidRPr="00821350">
        <w:rPr>
          <w:szCs w:val="20"/>
        </w:rPr>
        <w:t xml:space="preserve"> diagnosis </w:t>
      </w:r>
      <w:r w:rsidR="00891CEF">
        <w:rPr>
          <w:szCs w:val="20"/>
        </w:rPr>
        <w:t>of</w:t>
      </w:r>
      <w:r w:rsidR="00085BB1" w:rsidRPr="00821350">
        <w:rPr>
          <w:szCs w:val="20"/>
        </w:rPr>
        <w:t xml:space="preserve"> </w:t>
      </w:r>
      <w:r w:rsidR="00891CEF">
        <w:rPr>
          <w:szCs w:val="20"/>
        </w:rPr>
        <w:t>R/M</w:t>
      </w:r>
      <w:r w:rsidR="002815E5">
        <w:rPr>
          <w:szCs w:val="20"/>
        </w:rPr>
        <w:t xml:space="preserve"> </w:t>
      </w:r>
      <w:r w:rsidR="002B620C">
        <w:rPr>
          <w:szCs w:val="20"/>
        </w:rPr>
        <w:t>TNBC</w:t>
      </w:r>
      <w:r w:rsidR="009255CE" w:rsidRPr="00821350">
        <w:rPr>
          <w:szCs w:val="20"/>
        </w:rPr>
        <w:t xml:space="preserve">. </w:t>
      </w:r>
      <w:r w:rsidRPr="000827EC">
        <w:rPr>
          <w:szCs w:val="20"/>
        </w:rPr>
        <w:t>The test would be undertaken prior to commencement of pembrolizumab</w:t>
      </w:r>
      <w:r>
        <w:rPr>
          <w:szCs w:val="20"/>
        </w:rPr>
        <w:t xml:space="preserve"> in combination with chemotherapy</w:t>
      </w:r>
      <w:r w:rsidRPr="000827EC">
        <w:rPr>
          <w:szCs w:val="20"/>
        </w:rPr>
        <w:t xml:space="preserve"> to enable identification of those patients most likely to benefit from treatment. There is currently no known role for PD-L1 testing in monitoring a patient’s response to pembrolizumab treatment</w:t>
      </w:r>
      <w:r w:rsidR="00193F8F">
        <w:rPr>
          <w:szCs w:val="20"/>
        </w:rPr>
        <w:t>, hence repeat testing is not required</w:t>
      </w:r>
      <w:r w:rsidRPr="000827EC">
        <w:rPr>
          <w:szCs w:val="20"/>
        </w:rPr>
        <w:t>.</w:t>
      </w:r>
    </w:p>
    <w:p w14:paraId="1C468B43" w14:textId="1CFC770E" w:rsidR="00382407" w:rsidRPr="00154B00" w:rsidRDefault="00382407" w:rsidP="00463494">
      <w:pPr>
        <w:pStyle w:val="Heading2"/>
        <w:ind w:left="357" w:hanging="357"/>
      </w:pPr>
      <w:r w:rsidRPr="00154B00">
        <w:t>How many years would the proposed medical service</w:t>
      </w:r>
      <w:r w:rsidR="00463494">
        <w:t>/technology</w:t>
      </w:r>
      <w:r w:rsidRPr="00154B00">
        <w:t xml:space="preserve"> be required for the patient?</w:t>
      </w:r>
    </w:p>
    <w:p w14:paraId="6730EB0F" w14:textId="2957B5FB" w:rsidR="00463494" w:rsidRPr="00463494" w:rsidRDefault="009255CE" w:rsidP="00463494">
      <w:pPr>
        <w:pStyle w:val="Heading2"/>
        <w:numPr>
          <w:ilvl w:val="0"/>
          <w:numId w:val="0"/>
        </w:numPr>
        <w:ind w:left="357"/>
        <w:contextualSpacing w:val="0"/>
        <w:rPr>
          <w:b w:val="0"/>
          <w:szCs w:val="22"/>
        </w:rPr>
      </w:pPr>
      <w:r w:rsidRPr="00821350">
        <w:rPr>
          <w:b w:val="0"/>
          <w:szCs w:val="22"/>
        </w:rPr>
        <w:t>It is presumed that only one PD-L1 test is required per patient through the course of disease.</w:t>
      </w:r>
    </w:p>
    <w:p w14:paraId="1C468B46" w14:textId="77777777" w:rsidR="002A6753" w:rsidRDefault="000E47E7" w:rsidP="00463494">
      <w:pPr>
        <w:pStyle w:val="Heading2"/>
        <w:spacing w:before="240"/>
        <w:ind w:left="357" w:hanging="357"/>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C468B47" w14:textId="629B561E" w:rsidR="009255CE" w:rsidRDefault="009255CE" w:rsidP="009255CE">
      <w:pPr>
        <w:ind w:left="360"/>
      </w:pPr>
      <w:r w:rsidRPr="00821350">
        <w:t>As presented in Item 4</w:t>
      </w:r>
      <w:r w:rsidR="002A10E6">
        <w:t>4</w:t>
      </w:r>
      <w:r w:rsidRPr="00821350">
        <w:t xml:space="preserve">, the estimated </w:t>
      </w:r>
      <w:r w:rsidR="00DE7AAB" w:rsidRPr="00821350">
        <w:t xml:space="preserve">number of </w:t>
      </w:r>
      <w:r w:rsidR="00085BB1" w:rsidRPr="00821350">
        <w:t xml:space="preserve">new </w:t>
      </w:r>
      <w:r w:rsidRPr="00821350">
        <w:t>patients who will utilise the PD-L1 test is approximately</w:t>
      </w:r>
      <w:r w:rsidR="004F51D3">
        <w:t xml:space="preserve"> 2</w:t>
      </w:r>
      <w:r w:rsidR="00FE74F6">
        <w:t>4</w:t>
      </w:r>
      <w:r w:rsidR="004F51D3">
        <w:t>0</w:t>
      </w:r>
      <w:r w:rsidRPr="00821350">
        <w:t xml:space="preserve"> </w:t>
      </w:r>
      <w:r w:rsidR="00DE7AAB" w:rsidRPr="00520309">
        <w:t>in</w:t>
      </w:r>
      <w:r w:rsidRPr="00520309">
        <w:t xml:space="preserve"> the first year.</w:t>
      </w:r>
      <w:r w:rsidRPr="00821350">
        <w:t xml:space="preserve"> Since the PD-L1 test is a one-off test</w:t>
      </w:r>
      <w:r w:rsidR="00DE1A41" w:rsidRPr="00821350">
        <w:t>,</w:t>
      </w:r>
      <w:r w:rsidRPr="00821350">
        <w:t xml:space="preserve"> which will only be performed </w:t>
      </w:r>
      <w:r w:rsidR="00085BB1" w:rsidRPr="00821350">
        <w:t>at diagnosis</w:t>
      </w:r>
      <w:r w:rsidR="00CA6A2B">
        <w:t xml:space="preserve"> of locally </w:t>
      </w:r>
      <w:r w:rsidR="00C76DF3">
        <w:t>recurrent inoperable</w:t>
      </w:r>
      <w:r w:rsidR="00CA6A2B">
        <w:t xml:space="preserve"> or metastatic TNBC</w:t>
      </w:r>
      <w:r w:rsidRPr="00821350">
        <w:t xml:space="preserve">, </w:t>
      </w:r>
      <w:r w:rsidR="004F51D3" w:rsidRPr="003B5DF4">
        <w:t>the</w:t>
      </w:r>
      <w:r w:rsidR="004F51D3" w:rsidRPr="00DE1A41">
        <w:t xml:space="preserve"> estimated number of patients who will be tested in the forthcoming years will include incident patients</w:t>
      </w:r>
      <w:r w:rsidR="004F51D3">
        <w:t xml:space="preserve"> only</w:t>
      </w:r>
      <w:r w:rsidR="004F51D3" w:rsidRPr="00DE1A41">
        <w:t>.</w:t>
      </w:r>
    </w:p>
    <w:p w14:paraId="301FAEA4" w14:textId="77777777" w:rsidR="00FE3135" w:rsidRDefault="00FE3135">
      <w:pPr>
        <w:spacing w:before="0" w:after="200" w:line="276" w:lineRule="auto"/>
        <w:rPr>
          <w:b/>
          <w:szCs w:val="20"/>
        </w:rPr>
      </w:pPr>
      <w:r>
        <w:br w:type="page"/>
      </w:r>
    </w:p>
    <w:p w14:paraId="1C468B48" w14:textId="37ED92A6" w:rsidR="00974D50" w:rsidRPr="007F6748" w:rsidRDefault="007F6748" w:rsidP="0076727A">
      <w:pPr>
        <w:pStyle w:val="Heading2"/>
        <w:keepNext/>
        <w:ind w:left="357" w:hanging="357"/>
        <w:rPr>
          <w:b w:val="0"/>
        </w:rPr>
      </w:pPr>
      <w:r>
        <w:lastRenderedPageBreak/>
        <w:t>Estimate the anticipated upt</w:t>
      </w:r>
      <w:r w:rsidRPr="00154B00">
        <w:t>ake of the proposed medical service</w:t>
      </w:r>
      <w:r>
        <w:t>/technology</w:t>
      </w:r>
      <w:r w:rsidRPr="00154B00">
        <w:t xml:space="preserve"> over the next three years</w:t>
      </w:r>
      <w:r>
        <w:t>,</w:t>
      </w:r>
      <w:r w:rsidRPr="00154B00">
        <w:t xml:space="preserve"> factoring in any constraints in the health system</w:t>
      </w:r>
      <w:r>
        <w:t xml:space="preserve"> </w:t>
      </w:r>
      <w:r w:rsidRPr="00154B00">
        <w:t>in meeting the needs of the proposed population (suc</w:t>
      </w:r>
      <w:r>
        <w:t>h as supply and demand factors),</w:t>
      </w:r>
      <w:r w:rsidRPr="00154B00">
        <w:t xml:space="preserve"> as well as provide commentary on risk of ‘leakage’ to populations not targeted by the service</w:t>
      </w:r>
      <w:r>
        <w:t>.</w:t>
      </w:r>
    </w:p>
    <w:p w14:paraId="1C468B49" w14:textId="2AC32543" w:rsidR="00E95B71" w:rsidRDefault="009255CE" w:rsidP="0076727A">
      <w:pPr>
        <w:keepNext/>
        <w:ind w:left="360"/>
      </w:pPr>
      <w:r w:rsidRPr="005E4021">
        <w:t>Currently,</w:t>
      </w:r>
      <w:r w:rsidR="00E94D00" w:rsidRPr="005E4021">
        <w:t xml:space="preserve"> </w:t>
      </w:r>
      <w:proofErr w:type="gramStart"/>
      <w:r w:rsidR="00AA3D27" w:rsidRPr="005E4021">
        <w:t>the majority of</w:t>
      </w:r>
      <w:proofErr w:type="gramEnd"/>
      <w:r w:rsidR="00AA3D27" w:rsidRPr="005E4021">
        <w:t xml:space="preserve"> </w:t>
      </w:r>
      <w:r w:rsidRPr="005E4021">
        <w:t xml:space="preserve">patients </w:t>
      </w:r>
      <w:r w:rsidR="00D05D30" w:rsidRPr="005E4021">
        <w:t xml:space="preserve">who are diagnosed </w:t>
      </w:r>
      <w:r w:rsidRPr="005E4021">
        <w:t>with</w:t>
      </w:r>
      <w:r w:rsidR="00662E1E">
        <w:t xml:space="preserve"> </w:t>
      </w:r>
      <w:r w:rsidR="006242A1">
        <w:t>R/M</w:t>
      </w:r>
      <w:r w:rsidRPr="005E4021">
        <w:t xml:space="preserve"> </w:t>
      </w:r>
      <w:r w:rsidR="004743A5" w:rsidRPr="005E4021">
        <w:t>TNBC</w:t>
      </w:r>
      <w:r w:rsidR="00DE7AAB" w:rsidRPr="005E4021">
        <w:t xml:space="preserve"> </w:t>
      </w:r>
      <w:r w:rsidR="00950F05" w:rsidRPr="005E4021">
        <w:t xml:space="preserve">will receive </w:t>
      </w:r>
      <w:r w:rsidR="005E4021" w:rsidRPr="005E4021">
        <w:t xml:space="preserve">monotherapy or </w:t>
      </w:r>
      <w:r w:rsidR="00950F05" w:rsidRPr="005E4021">
        <w:t xml:space="preserve">combination chemotherapy with </w:t>
      </w:r>
      <w:r w:rsidR="004525EB" w:rsidRPr="00B82F2A">
        <w:t xml:space="preserve">anthracycline, </w:t>
      </w:r>
      <w:proofErr w:type="spellStart"/>
      <w:r w:rsidR="004525EB" w:rsidRPr="00B82F2A">
        <w:t>taxanes</w:t>
      </w:r>
      <w:proofErr w:type="spellEnd"/>
      <w:r w:rsidR="004525EB" w:rsidRPr="00B82F2A">
        <w:t>, capecitabine, gemcitabine or carboplatin</w:t>
      </w:r>
      <w:r w:rsidR="004525EB">
        <w:t>.</w:t>
      </w:r>
    </w:p>
    <w:p w14:paraId="1C468B4A" w14:textId="37859309" w:rsidR="009255CE" w:rsidRPr="00A90670" w:rsidRDefault="004525EB" w:rsidP="00F97CF1">
      <w:pPr>
        <w:ind w:left="360"/>
        <w:rPr>
          <w:highlight w:val="yellow"/>
        </w:rPr>
      </w:pPr>
      <w:r>
        <w:t xml:space="preserve">Based on the results of </w:t>
      </w:r>
      <w:r w:rsidR="009255CE" w:rsidRPr="004743A5">
        <w:t>KN</w:t>
      </w:r>
      <w:r w:rsidR="003D6898" w:rsidRPr="004743A5">
        <w:t>-</w:t>
      </w:r>
      <w:r w:rsidR="004743A5" w:rsidRPr="004743A5">
        <w:t>355</w:t>
      </w:r>
      <w:r>
        <w:t xml:space="preserve">, </w:t>
      </w:r>
      <w:r w:rsidR="009255CE" w:rsidRPr="004743A5">
        <w:t xml:space="preserve">pembrolizumab </w:t>
      </w:r>
      <w:r w:rsidR="006D7ECF">
        <w:t xml:space="preserve">plus chemotherapy will </w:t>
      </w:r>
      <w:r w:rsidR="00E042E7">
        <w:t>become the new standard of care for first line R/M TNBC. Given the poor prognosis of R/M TNBC</w:t>
      </w:r>
      <w:r w:rsidR="00503AB2">
        <w:t xml:space="preserve"> (12</w:t>
      </w:r>
      <w:r w:rsidR="00A32654">
        <w:t>.2</w:t>
      </w:r>
      <w:r w:rsidR="00503AB2">
        <w:t>% five-year survival for patients diagnosed with Stage IV disease)</w:t>
      </w:r>
      <w:r w:rsidR="00A32654">
        <w:rPr>
          <w:rStyle w:val="FootnoteReference"/>
        </w:rPr>
        <w:footnoteReference w:id="7"/>
      </w:r>
      <w:r w:rsidR="00503AB2">
        <w:t xml:space="preserve">, </w:t>
      </w:r>
      <w:r w:rsidR="009255CE" w:rsidRPr="004743A5">
        <w:t xml:space="preserve">the uptake of </w:t>
      </w:r>
      <w:r w:rsidR="003D6898" w:rsidRPr="004743A5">
        <w:t xml:space="preserve">the </w:t>
      </w:r>
      <w:r w:rsidR="009255CE" w:rsidRPr="004743A5">
        <w:t>PD-L1 test</w:t>
      </w:r>
      <w:r w:rsidR="00A32654">
        <w:t>ing is assumed to be 100%.</w:t>
      </w:r>
      <w:r w:rsidR="005B30E3">
        <w:t xml:space="preserve"> As such, it is anticipated that </w:t>
      </w:r>
      <w:r w:rsidR="00F22AB2">
        <w:t>a</w:t>
      </w:r>
      <w:r w:rsidR="0003118B">
        <w:t xml:space="preserve">round </w:t>
      </w:r>
      <w:r w:rsidR="00F22AB2">
        <w:t>7</w:t>
      </w:r>
      <w:r w:rsidR="0003118B">
        <w:t>5</w:t>
      </w:r>
      <w:r w:rsidR="00F22AB2">
        <w:t xml:space="preserve">0 services would be </w:t>
      </w:r>
      <w:r w:rsidR="0003118B">
        <w:t>conducted over the next three years.</w:t>
      </w:r>
    </w:p>
    <w:p w14:paraId="1C468B4B" w14:textId="0664A79F" w:rsidR="003433D1" w:rsidRDefault="00616F99" w:rsidP="00F97CF1">
      <w:pPr>
        <w:ind w:left="360"/>
        <w:rPr>
          <w:b/>
          <w:sz w:val="32"/>
          <w:szCs w:val="32"/>
        </w:rPr>
      </w:pPr>
      <w:r w:rsidRPr="004743A5">
        <w:t>O</w:t>
      </w:r>
      <w:r w:rsidR="009255CE" w:rsidRPr="004743A5">
        <w:t>nly</w:t>
      </w:r>
      <w:r w:rsidR="00F62BD0" w:rsidRPr="004743A5">
        <w:t xml:space="preserve"> those</w:t>
      </w:r>
      <w:r w:rsidR="009255CE" w:rsidRPr="004743A5">
        <w:t xml:space="preserve"> patients with expression of PD</w:t>
      </w:r>
      <w:r w:rsidR="009255CE" w:rsidRPr="005A751C">
        <w:t xml:space="preserve">-L1 </w:t>
      </w:r>
      <w:r w:rsidR="00F62BD0" w:rsidRPr="005A751C">
        <w:t>(CPS</w:t>
      </w:r>
      <w:r w:rsidR="00F62BD0" w:rsidRPr="005A751C">
        <w:rPr>
          <w:u w:val="single"/>
        </w:rPr>
        <w:t>&gt;</w:t>
      </w:r>
      <w:r w:rsidR="005A751C" w:rsidRPr="005A751C">
        <w:t>1</w:t>
      </w:r>
      <w:r w:rsidR="00A15295">
        <w:t>0</w:t>
      </w:r>
      <w:r w:rsidR="00F62BD0" w:rsidRPr="005A751C">
        <w:t xml:space="preserve">) </w:t>
      </w:r>
      <w:r w:rsidR="009255CE" w:rsidRPr="005A751C">
        <w:t>are</w:t>
      </w:r>
      <w:r w:rsidR="009255CE" w:rsidRPr="004743A5">
        <w:t xml:space="preserve"> eligible for pembrolizumab. Therefore, </w:t>
      </w:r>
      <w:r w:rsidR="00EF6525">
        <w:t xml:space="preserve">the addition of pembrolizumab to chemotherapy </w:t>
      </w:r>
      <w:r w:rsidR="00DE7AAB" w:rsidRPr="004743A5">
        <w:t>will be r</w:t>
      </w:r>
      <w:r w:rsidR="009255CE" w:rsidRPr="004743A5">
        <w:t xml:space="preserve">estricted to those who have </w:t>
      </w:r>
      <w:r w:rsidR="00A15295">
        <w:t>high</w:t>
      </w:r>
      <w:r w:rsidR="009255CE" w:rsidRPr="004743A5">
        <w:t xml:space="preserve"> PD-L1 expression in tumour tissues. The risk of leakage for PD-L1 testing is minimal</w:t>
      </w:r>
      <w:r w:rsidR="00DE7AAB" w:rsidRPr="004743A5">
        <w:t>,</w:t>
      </w:r>
      <w:r w:rsidR="009255CE" w:rsidRPr="004743A5">
        <w:t xml:space="preserve"> as testing would be restricted to </w:t>
      </w:r>
      <w:r w:rsidR="00C250E9" w:rsidRPr="004743A5">
        <w:t xml:space="preserve">only </w:t>
      </w:r>
      <w:r w:rsidR="009255CE" w:rsidRPr="004743A5">
        <w:t xml:space="preserve">those patients </w:t>
      </w:r>
      <w:r w:rsidR="00DE7AAB" w:rsidRPr="004743A5">
        <w:t xml:space="preserve">who </w:t>
      </w:r>
      <w:r w:rsidR="008371FA" w:rsidRPr="004743A5">
        <w:t>would eventually be</w:t>
      </w:r>
      <w:r w:rsidR="009255CE" w:rsidRPr="004743A5">
        <w:t xml:space="preserve"> eligible for pembrolizumab.</w:t>
      </w:r>
      <w:r w:rsidR="003433D1" w:rsidRPr="009255CE">
        <w:br w:type="page"/>
      </w:r>
    </w:p>
    <w:p w14:paraId="1C468B4C"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0E250B6D" w14:textId="0825A855" w:rsidR="00002AB9" w:rsidRPr="00002AB9" w:rsidRDefault="006A649A" w:rsidP="00002AB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C468B4F" w14:textId="69DC7B37" w:rsidR="00DE1A41" w:rsidRPr="00002AB9" w:rsidRDefault="009255CE" w:rsidP="00002AB9">
      <w:pPr>
        <w:pStyle w:val="Heading2"/>
        <w:numPr>
          <w:ilvl w:val="0"/>
          <w:numId w:val="0"/>
        </w:numPr>
        <w:spacing w:before="240"/>
        <w:ind w:left="357"/>
        <w:contextualSpacing w:val="0"/>
        <w:rPr>
          <w:b w:val="0"/>
          <w:szCs w:val="22"/>
        </w:rPr>
      </w:pPr>
      <w:r w:rsidRPr="00832EE2">
        <w:rPr>
          <w:b w:val="0"/>
          <w:szCs w:val="22"/>
        </w:rPr>
        <w:t xml:space="preserve">The final fee request will be contingent on decisions made by </w:t>
      </w:r>
      <w:proofErr w:type="spellStart"/>
      <w:r w:rsidRPr="00832EE2">
        <w:rPr>
          <w:b w:val="0"/>
          <w:szCs w:val="22"/>
        </w:rPr>
        <w:t>D</w:t>
      </w:r>
      <w:r w:rsidR="00A92BF0" w:rsidRPr="00832EE2">
        <w:rPr>
          <w:b w:val="0"/>
          <w:szCs w:val="22"/>
        </w:rPr>
        <w:t>ako</w:t>
      </w:r>
      <w:proofErr w:type="spellEnd"/>
      <w:r w:rsidR="001F25B9" w:rsidRPr="00832EE2">
        <w:rPr>
          <w:b w:val="0"/>
          <w:szCs w:val="22"/>
        </w:rPr>
        <w:t>/Agilent</w:t>
      </w:r>
      <w:r w:rsidRPr="00832EE2">
        <w:rPr>
          <w:b w:val="0"/>
          <w:szCs w:val="22"/>
        </w:rPr>
        <w:t xml:space="preserve">. </w:t>
      </w:r>
      <w:r w:rsidR="00DD1F88">
        <w:rPr>
          <w:b w:val="0"/>
          <w:szCs w:val="22"/>
        </w:rPr>
        <w:t xml:space="preserve">MSD anticipates that the </w:t>
      </w:r>
      <w:r w:rsidRPr="00832EE2">
        <w:rPr>
          <w:b w:val="0"/>
          <w:szCs w:val="22"/>
        </w:rPr>
        <w:t xml:space="preserve">fee for the proposed service </w:t>
      </w:r>
      <w:r w:rsidR="00DD1F88">
        <w:rPr>
          <w:b w:val="0"/>
          <w:szCs w:val="22"/>
        </w:rPr>
        <w:t xml:space="preserve">would be </w:t>
      </w:r>
      <w:r w:rsidRPr="00832EE2">
        <w:rPr>
          <w:b w:val="0"/>
          <w:szCs w:val="22"/>
        </w:rPr>
        <w:t>consistent with other immunohistochemical tests</w:t>
      </w:r>
      <w:r w:rsidR="00C36D52" w:rsidRPr="00832EE2">
        <w:rPr>
          <w:b w:val="0"/>
          <w:szCs w:val="22"/>
        </w:rPr>
        <w:t xml:space="preserve"> currently available on the MBS</w:t>
      </w:r>
      <w:r w:rsidRPr="00832EE2">
        <w:rPr>
          <w:b w:val="0"/>
          <w:szCs w:val="22"/>
        </w:rPr>
        <w:t>.</w:t>
      </w:r>
    </w:p>
    <w:p w14:paraId="1C468B50" w14:textId="48EB1537" w:rsidR="00951933" w:rsidRPr="00154B00" w:rsidRDefault="00951933" w:rsidP="009255CE">
      <w:pPr>
        <w:pStyle w:val="Heading2"/>
      </w:pPr>
      <w:r w:rsidRPr="00154B00">
        <w:t xml:space="preserve">Specify how </w:t>
      </w:r>
      <w:r w:rsidRPr="00AE1188">
        <w:t>long</w:t>
      </w:r>
      <w:r w:rsidRPr="00154B00">
        <w:t xml:space="preserve"> the proposed medical ser</w:t>
      </w:r>
      <w:r w:rsidR="00AE1188">
        <w:t>vice</w:t>
      </w:r>
      <w:r w:rsidR="00002AB9">
        <w:t>/technology</w:t>
      </w:r>
      <w:r w:rsidR="00AE1188">
        <w:t xml:space="preserve"> typically takes to perform:</w:t>
      </w:r>
    </w:p>
    <w:p w14:paraId="1C468B51" w14:textId="77777777" w:rsidR="00951933" w:rsidRDefault="009255CE" w:rsidP="00AE1188">
      <w:pPr>
        <w:ind w:left="426"/>
        <w:rPr>
          <w:szCs w:val="20"/>
        </w:rPr>
      </w:pPr>
      <w:r w:rsidRPr="00832EE2">
        <w:rPr>
          <w:szCs w:val="20"/>
        </w:rPr>
        <w:t>The IHC service testing for PD-L1 expression can take between 2.5-4 hours depending on instrumentation and protocol used.</w:t>
      </w:r>
    </w:p>
    <w:p w14:paraId="1C468B54" w14:textId="2A64AD5D" w:rsidR="004067C3" w:rsidRPr="004067C3" w:rsidRDefault="00C859DC" w:rsidP="004067C3">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tbl>
      <w:tblPr>
        <w:tblStyle w:val="TableGrid1"/>
        <w:tblW w:w="0" w:type="auto"/>
        <w:tblInd w:w="392" w:type="dxa"/>
        <w:tblLook w:val="04A0" w:firstRow="1" w:lastRow="0" w:firstColumn="1" w:lastColumn="0" w:noHBand="0" w:noVBand="1"/>
      </w:tblPr>
      <w:tblGrid>
        <w:gridCol w:w="8624"/>
      </w:tblGrid>
      <w:tr w:rsidR="004067C3" w:rsidRPr="00031F6F" w14:paraId="1C468B56" w14:textId="77777777" w:rsidTr="00A92BF0">
        <w:trPr>
          <w:cantSplit/>
          <w:tblHeader/>
        </w:trPr>
        <w:tc>
          <w:tcPr>
            <w:tcW w:w="8850" w:type="dxa"/>
          </w:tcPr>
          <w:p w14:paraId="1C468B55" w14:textId="77777777" w:rsidR="004067C3" w:rsidRPr="00832EE2" w:rsidRDefault="004067C3" w:rsidP="004067C3">
            <w:pPr>
              <w:rPr>
                <w:rFonts w:asciiTheme="minorHAnsi" w:hAnsiTheme="minorHAnsi"/>
                <w:szCs w:val="20"/>
              </w:rPr>
            </w:pPr>
            <w:r w:rsidRPr="00832EE2">
              <w:rPr>
                <w:rFonts w:asciiTheme="minorHAnsi" w:hAnsiTheme="minorHAnsi"/>
                <w:szCs w:val="20"/>
              </w:rPr>
              <w:t>Category 6 – Pathology Services</w:t>
            </w:r>
          </w:p>
        </w:tc>
      </w:tr>
      <w:tr w:rsidR="004067C3" w:rsidRPr="00031F6F" w14:paraId="1C468B59" w14:textId="77777777" w:rsidTr="00A92BF0">
        <w:trPr>
          <w:cantSplit/>
          <w:tblHeader/>
        </w:trPr>
        <w:tc>
          <w:tcPr>
            <w:tcW w:w="8850" w:type="dxa"/>
          </w:tcPr>
          <w:p w14:paraId="5768D317" w14:textId="7C439B9B" w:rsidR="004666C3" w:rsidRDefault="004666C3" w:rsidP="00B43632">
            <w:pPr>
              <w:rPr>
                <w:rFonts w:asciiTheme="minorHAnsi" w:hAnsiTheme="minorHAnsi"/>
                <w:szCs w:val="20"/>
              </w:rPr>
            </w:pPr>
            <w:r w:rsidRPr="004666C3">
              <w:rPr>
                <w:rFonts w:asciiTheme="minorHAnsi" w:hAnsiTheme="minorHAnsi"/>
                <w:szCs w:val="20"/>
              </w:rPr>
              <w:t xml:space="preserve">Immunohistochemical examination by </w:t>
            </w:r>
            <w:proofErr w:type="spellStart"/>
            <w:r w:rsidRPr="004666C3">
              <w:rPr>
                <w:rFonts w:asciiTheme="minorHAnsi" w:hAnsiTheme="minorHAnsi"/>
                <w:szCs w:val="20"/>
              </w:rPr>
              <w:t>immunoperoxidase</w:t>
            </w:r>
            <w:proofErr w:type="spellEnd"/>
            <w:r w:rsidRPr="004666C3">
              <w:rPr>
                <w:rFonts w:asciiTheme="minorHAnsi" w:hAnsiTheme="minorHAnsi"/>
                <w:szCs w:val="20"/>
              </w:rPr>
              <w:t xml:space="preserve"> or other labelled antibody techniques using the programmed cell death ligand 1 (PD-L1) antibody of tumour material from a patient diagnosed with non-small cell lung cancer</w:t>
            </w:r>
            <w:r>
              <w:rPr>
                <w:rFonts w:asciiTheme="minorHAnsi" w:hAnsiTheme="minorHAnsi"/>
                <w:szCs w:val="20"/>
              </w:rPr>
              <w:t>,</w:t>
            </w:r>
            <w:r w:rsidRPr="004666C3">
              <w:rPr>
                <w:rFonts w:asciiTheme="minorHAnsi" w:hAnsiTheme="minorHAnsi"/>
                <w:szCs w:val="20"/>
              </w:rPr>
              <w:t xml:space="preserve"> recurrent or metastatic squamous cell carcinoma of the oral cavity, pharynx or larynx</w:t>
            </w:r>
            <w:r>
              <w:rPr>
                <w:rFonts w:asciiTheme="minorHAnsi" w:hAnsiTheme="minorHAnsi"/>
                <w:szCs w:val="20"/>
              </w:rPr>
              <w:t xml:space="preserve"> or </w:t>
            </w:r>
            <w:r w:rsidR="00546E2A" w:rsidRPr="00546E2A">
              <w:rPr>
                <w:rFonts w:asciiTheme="minorHAnsi" w:hAnsiTheme="minorHAnsi"/>
                <w:szCs w:val="20"/>
              </w:rPr>
              <w:t xml:space="preserve">locally recurrent unresectable </w:t>
            </w:r>
            <w:r w:rsidR="00546E2A" w:rsidRPr="0070296D">
              <w:rPr>
                <w:rFonts w:asciiTheme="minorHAnsi" w:hAnsiTheme="minorHAnsi"/>
                <w:b/>
                <w:bCs/>
                <w:i/>
                <w:iCs/>
                <w:szCs w:val="20"/>
                <w:u w:val="single"/>
              </w:rPr>
              <w:t xml:space="preserve">or </w:t>
            </w:r>
            <w:r w:rsidR="0070296D">
              <w:rPr>
                <w:rFonts w:asciiTheme="minorHAnsi" w:hAnsiTheme="minorHAnsi"/>
                <w:b/>
                <w:bCs/>
                <w:i/>
                <w:iCs/>
                <w:szCs w:val="20"/>
                <w:u w:val="single"/>
              </w:rPr>
              <w:t xml:space="preserve">locally </w:t>
            </w:r>
            <w:r w:rsidR="00C76DF3">
              <w:rPr>
                <w:rFonts w:asciiTheme="minorHAnsi" w:hAnsiTheme="minorHAnsi"/>
                <w:b/>
                <w:bCs/>
                <w:i/>
                <w:iCs/>
                <w:szCs w:val="20"/>
                <w:u w:val="single"/>
              </w:rPr>
              <w:t>recurrent</w:t>
            </w:r>
            <w:r w:rsidR="0070296D">
              <w:rPr>
                <w:rFonts w:asciiTheme="minorHAnsi" w:hAnsiTheme="minorHAnsi"/>
                <w:b/>
                <w:bCs/>
                <w:i/>
                <w:iCs/>
                <w:szCs w:val="20"/>
                <w:u w:val="single"/>
              </w:rPr>
              <w:t xml:space="preserve"> inoperable or </w:t>
            </w:r>
            <w:r w:rsidR="00546E2A" w:rsidRPr="0070296D">
              <w:rPr>
                <w:rFonts w:asciiTheme="minorHAnsi" w:hAnsiTheme="minorHAnsi"/>
                <w:b/>
                <w:bCs/>
                <w:i/>
                <w:iCs/>
                <w:szCs w:val="20"/>
                <w:u w:val="single"/>
              </w:rPr>
              <w:t>metastatic triple negative breast cancer</w:t>
            </w:r>
          </w:p>
          <w:p w14:paraId="1C468B58" w14:textId="2AFD6DC4" w:rsidR="004067C3" w:rsidRPr="00832EE2" w:rsidRDefault="004067C3" w:rsidP="00B43632">
            <w:pPr>
              <w:rPr>
                <w:rFonts w:asciiTheme="minorHAnsi" w:hAnsiTheme="minorHAnsi"/>
                <w:szCs w:val="20"/>
              </w:rPr>
            </w:pPr>
            <w:r w:rsidRPr="00832EE2">
              <w:rPr>
                <w:rFonts w:asciiTheme="minorHAnsi" w:hAnsiTheme="minorHAnsi"/>
                <w:szCs w:val="20"/>
              </w:rPr>
              <w:t xml:space="preserve">Fee:  </w:t>
            </w:r>
            <w:r w:rsidR="00B43632" w:rsidRPr="00832EE2">
              <w:rPr>
                <w:rFonts w:asciiTheme="minorHAnsi" w:hAnsiTheme="minorHAnsi"/>
                <w:szCs w:val="20"/>
              </w:rPr>
              <w:t>To</w:t>
            </w:r>
            <w:r w:rsidRPr="00832EE2">
              <w:rPr>
                <w:rFonts w:asciiTheme="minorHAnsi" w:hAnsiTheme="minorHAnsi"/>
                <w:szCs w:val="20"/>
              </w:rPr>
              <w:t xml:space="preserve"> be determined</w:t>
            </w:r>
            <w:r w:rsidR="00B43632" w:rsidRPr="00832EE2">
              <w:rPr>
                <w:rFonts w:asciiTheme="minorHAnsi" w:hAnsiTheme="minorHAnsi"/>
                <w:szCs w:val="20"/>
              </w:rPr>
              <w:t xml:space="preserve">             Benefit:  To be determined</w:t>
            </w:r>
          </w:p>
        </w:tc>
      </w:tr>
    </w:tbl>
    <w:p w14:paraId="04CDAE8C" w14:textId="19693748" w:rsidR="004231E5" w:rsidRDefault="002E4C8C" w:rsidP="009563F2">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p>
    <w:p w14:paraId="716C16C9" w14:textId="205050A6" w:rsidR="009563F2" w:rsidRPr="009563F2" w:rsidRDefault="009563F2" w:rsidP="009563F2">
      <w:pPr>
        <w:ind w:left="360"/>
      </w:pPr>
      <w:r>
        <w:t>N/A</w:t>
      </w:r>
    </w:p>
    <w:p w14:paraId="1C468B5A" w14:textId="480ADBD0" w:rsidR="00AE1188" w:rsidRDefault="00AE1188" w:rsidP="00CF7532">
      <w:pPr>
        <w:pStyle w:val="Heading2"/>
        <w:numPr>
          <w:ilvl w:val="0"/>
          <w:numId w:val="0"/>
        </w:numPr>
      </w:pPr>
    </w:p>
    <w:sectPr w:rsidR="00AE1188" w:rsidSect="00DE7AAB">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A2A2" w14:textId="77777777" w:rsidR="00732569" w:rsidRDefault="00732569" w:rsidP="00CF2DFA">
      <w:pPr>
        <w:spacing w:after="0"/>
      </w:pPr>
      <w:r>
        <w:separator/>
      </w:r>
    </w:p>
  </w:endnote>
  <w:endnote w:type="continuationSeparator" w:id="0">
    <w:p w14:paraId="36000AD3" w14:textId="77777777" w:rsidR="00732569" w:rsidRDefault="00732569" w:rsidP="00CF2DFA">
      <w:pPr>
        <w:spacing w:after="0"/>
      </w:pPr>
      <w:r>
        <w:continuationSeparator/>
      </w:r>
    </w:p>
  </w:endnote>
  <w:endnote w:type="continuationNotice" w:id="1">
    <w:p w14:paraId="7353D58D" w14:textId="77777777" w:rsidR="00732569" w:rsidRDefault="007325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C468B76" w14:textId="03A27E02" w:rsidR="00732569" w:rsidRDefault="0073256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364712">
          <w:rPr>
            <w:b/>
            <w:bCs/>
            <w:noProof/>
            <w:sz w:val="18"/>
            <w:szCs w:val="18"/>
          </w:rPr>
          <w:t>8</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1C468B77" w14:textId="77777777" w:rsidR="00732569" w:rsidRPr="003F7CB9" w:rsidRDefault="0073256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6DC2" w14:textId="77777777" w:rsidR="00732569" w:rsidRDefault="00732569" w:rsidP="00CF2DFA">
      <w:pPr>
        <w:spacing w:after="0"/>
      </w:pPr>
      <w:r>
        <w:separator/>
      </w:r>
    </w:p>
  </w:footnote>
  <w:footnote w:type="continuationSeparator" w:id="0">
    <w:p w14:paraId="1599BD4E" w14:textId="77777777" w:rsidR="00732569" w:rsidRDefault="00732569" w:rsidP="00CF2DFA">
      <w:pPr>
        <w:spacing w:after="0"/>
      </w:pPr>
      <w:r>
        <w:continuationSeparator/>
      </w:r>
    </w:p>
  </w:footnote>
  <w:footnote w:type="continuationNotice" w:id="1">
    <w:p w14:paraId="0EE66BF9" w14:textId="77777777" w:rsidR="00732569" w:rsidRDefault="00732569">
      <w:pPr>
        <w:spacing w:before="0" w:after="0"/>
      </w:pPr>
    </w:p>
  </w:footnote>
  <w:footnote w:id="2">
    <w:p w14:paraId="1C468B78" w14:textId="314EEF86" w:rsidR="00732569" w:rsidRPr="00907A3F" w:rsidRDefault="00732569">
      <w:pPr>
        <w:pStyle w:val="FootnoteText"/>
        <w:rPr>
          <w:rFonts w:cstheme="minorHAnsi"/>
          <w:sz w:val="16"/>
          <w:szCs w:val="16"/>
        </w:rPr>
      </w:pPr>
      <w:r w:rsidRPr="00907A3F">
        <w:rPr>
          <w:rStyle w:val="FootnoteReference"/>
          <w:rFonts w:cstheme="minorHAnsi"/>
          <w:sz w:val="16"/>
          <w:szCs w:val="16"/>
        </w:rPr>
        <w:footnoteRef/>
      </w:r>
      <w:r w:rsidRPr="00907A3F">
        <w:rPr>
          <w:rFonts w:cstheme="minorHAnsi"/>
          <w:sz w:val="16"/>
          <w:szCs w:val="16"/>
        </w:rPr>
        <w:t xml:space="preserve"> </w:t>
      </w:r>
      <w:r w:rsidRPr="00907A3F">
        <w:rPr>
          <w:rFonts w:cstheme="minorHAnsi"/>
          <w:color w:val="000000"/>
          <w:sz w:val="16"/>
          <w:szCs w:val="16"/>
          <w:shd w:val="clear" w:color="auto" w:fill="FFFFFF"/>
        </w:rPr>
        <w:t>Bcna.org.au. 2022. </w:t>
      </w:r>
      <w:r w:rsidRPr="00907A3F">
        <w:rPr>
          <w:rFonts w:cstheme="minorHAnsi"/>
          <w:i/>
          <w:iCs/>
          <w:color w:val="000000"/>
          <w:sz w:val="16"/>
          <w:szCs w:val="16"/>
          <w:shd w:val="clear" w:color="auto" w:fill="FFFFFF"/>
        </w:rPr>
        <w:t>Triple negative early breast cancer | Breast Cancer Network Australia | TCNM</w:t>
      </w:r>
      <w:r w:rsidRPr="00907A3F">
        <w:rPr>
          <w:rFonts w:cstheme="minorHAnsi"/>
          <w:color w:val="000000"/>
          <w:sz w:val="16"/>
          <w:szCs w:val="16"/>
          <w:shd w:val="clear" w:color="auto" w:fill="FFFFFF"/>
        </w:rPr>
        <w:t>. [online] Available at: &lt;https://www.bcna.org.au/understanding-breast-cancer/what-is-breast-cancer/triple-negative-early-breast-cancer/&gt; [Accessed 21 February 2022].</w:t>
      </w:r>
    </w:p>
  </w:footnote>
  <w:footnote w:id="3">
    <w:p w14:paraId="1C468B7A" w14:textId="6974BBEB" w:rsidR="00732569" w:rsidRPr="00907A3F" w:rsidRDefault="00732569" w:rsidP="007E1372">
      <w:pPr>
        <w:pStyle w:val="FootnoteText"/>
        <w:rPr>
          <w:rFonts w:cstheme="minorHAnsi"/>
          <w:sz w:val="16"/>
          <w:szCs w:val="16"/>
        </w:rPr>
      </w:pPr>
      <w:r w:rsidRPr="00907A3F">
        <w:rPr>
          <w:rStyle w:val="FootnoteReference"/>
          <w:rFonts w:cstheme="minorHAnsi"/>
          <w:sz w:val="16"/>
          <w:szCs w:val="16"/>
        </w:rPr>
        <w:footnoteRef/>
      </w:r>
      <w:r w:rsidRPr="00907A3F">
        <w:rPr>
          <w:rFonts w:cstheme="minorHAnsi"/>
          <w:sz w:val="16"/>
          <w:szCs w:val="16"/>
        </w:rPr>
        <w:t xml:space="preserve"> </w:t>
      </w:r>
      <w:r w:rsidRPr="00907A3F">
        <w:rPr>
          <w:rFonts w:cstheme="minorHAnsi"/>
          <w:color w:val="000000"/>
          <w:sz w:val="16"/>
          <w:szCs w:val="16"/>
          <w:shd w:val="clear" w:color="auto" w:fill="FFFFFF"/>
        </w:rPr>
        <w:t>Breastcancer.org. 2022. </w:t>
      </w:r>
      <w:r w:rsidRPr="00907A3F">
        <w:rPr>
          <w:rFonts w:cstheme="minorHAnsi"/>
          <w:i/>
          <w:iCs/>
          <w:color w:val="000000"/>
          <w:sz w:val="16"/>
          <w:szCs w:val="16"/>
          <w:shd w:val="clear" w:color="auto" w:fill="FFFFFF"/>
        </w:rPr>
        <w:t>Triple-Negative Breast Cancer: Overview, Treatment, and More</w:t>
      </w:r>
      <w:r w:rsidRPr="00907A3F">
        <w:rPr>
          <w:rFonts w:cstheme="minorHAnsi"/>
          <w:color w:val="000000"/>
          <w:sz w:val="16"/>
          <w:szCs w:val="16"/>
          <w:shd w:val="clear" w:color="auto" w:fill="FFFFFF"/>
        </w:rPr>
        <w:t>. [online] Available at: &lt;https://www.breastcancer.org/symptoms/types/triple-negative&gt; [Accessed 21 February 2022].</w:t>
      </w:r>
    </w:p>
  </w:footnote>
  <w:footnote w:id="4">
    <w:p w14:paraId="078093BF" w14:textId="6022B950" w:rsidR="00732569" w:rsidRDefault="00732569">
      <w:pPr>
        <w:pStyle w:val="FootnoteText"/>
      </w:pPr>
      <w:r>
        <w:rPr>
          <w:rStyle w:val="FootnoteReference"/>
        </w:rPr>
        <w:footnoteRef/>
      </w:r>
      <w:r>
        <w:t xml:space="preserve"> </w:t>
      </w:r>
      <w:r w:rsidRPr="00AF49BB">
        <w:rPr>
          <w:sz w:val="16"/>
          <w:szCs w:val="16"/>
        </w:rPr>
        <w:t>&lt;https://www.canceraustralia.gov.au/cancer-types/breast-cancer/statistics&gt;</w:t>
      </w:r>
      <w:r>
        <w:t xml:space="preserve"> </w:t>
      </w:r>
    </w:p>
  </w:footnote>
  <w:footnote w:id="5">
    <w:p w14:paraId="0E3A7906" w14:textId="0130CABD" w:rsidR="00732569" w:rsidRDefault="00732569">
      <w:pPr>
        <w:pStyle w:val="FootnoteText"/>
      </w:pPr>
      <w:r>
        <w:rPr>
          <w:rStyle w:val="FootnoteReference"/>
        </w:rPr>
        <w:footnoteRef/>
      </w:r>
      <w:r>
        <w:t xml:space="preserve"> </w:t>
      </w:r>
      <w:r>
        <w:rPr>
          <w:sz w:val="16"/>
          <w:szCs w:val="16"/>
        </w:rPr>
        <w:t>National Cancer Institute. 2022</w:t>
      </w:r>
      <w:r w:rsidRPr="00B80210">
        <w:t xml:space="preserve"> </w:t>
      </w:r>
      <w:r w:rsidRPr="00B80210">
        <w:rPr>
          <w:i/>
          <w:iCs/>
          <w:sz w:val="16"/>
          <w:szCs w:val="16"/>
        </w:rPr>
        <w:t>Cancer Stat Facts: Female Breast Cancer Subtypes</w:t>
      </w:r>
      <w:r>
        <w:rPr>
          <w:sz w:val="16"/>
          <w:szCs w:val="16"/>
        </w:rPr>
        <w:t>. [online] Available at: &lt;</w:t>
      </w:r>
      <w:r w:rsidRPr="00B80210">
        <w:rPr>
          <w:sz w:val="16"/>
          <w:szCs w:val="16"/>
        </w:rPr>
        <w:t>https://seer.cancer.gov/statfacts/html/breast-subtypes.html</w:t>
      </w:r>
      <w:r>
        <w:rPr>
          <w:sz w:val="16"/>
          <w:szCs w:val="16"/>
        </w:rPr>
        <w:t xml:space="preserve">&gt; [Accessed 8 March 2022].   </w:t>
      </w:r>
    </w:p>
  </w:footnote>
  <w:footnote w:id="6">
    <w:p w14:paraId="63CFCDC2" w14:textId="77777777" w:rsidR="00732569" w:rsidRDefault="00732569" w:rsidP="00672679">
      <w:pPr>
        <w:pStyle w:val="FootnoteText"/>
      </w:pPr>
      <w:r>
        <w:rPr>
          <w:rStyle w:val="FootnoteReference"/>
        </w:rPr>
        <w:footnoteRef/>
      </w:r>
      <w:r>
        <w:t xml:space="preserve"> </w:t>
      </w:r>
      <w:r w:rsidRPr="000B1B59">
        <w:t xml:space="preserve">Cancer Council Victoria and Department of Health Victoria 2021, Optimal care pathway for people with breast cancer, 2nd </w:t>
      </w:r>
      <w:r w:rsidRPr="000B1B59">
        <w:t>edn, Cancer Council Victoria, Melbourne.</w:t>
      </w:r>
    </w:p>
  </w:footnote>
  <w:footnote w:id="7">
    <w:p w14:paraId="52E7DC7F" w14:textId="22E14072" w:rsidR="00732569" w:rsidRDefault="00732569">
      <w:pPr>
        <w:pStyle w:val="FootnoteText"/>
      </w:pPr>
      <w:r>
        <w:rPr>
          <w:rStyle w:val="FootnoteReference"/>
        </w:rPr>
        <w:footnoteRef/>
      </w:r>
      <w:r>
        <w:t xml:space="preserve"> </w:t>
      </w:r>
      <w:r w:rsidRPr="00A32654">
        <w:t>National Cancer Institute. 2022 Cancer Stat Facts: Female Breast Cancer Subtypes. [online] Available at: &lt;https://seer.cancer.gov/statfacts/html/breast-subtypes.html&gt; [Accessed 8 March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4671C"/>
    <w:multiLevelType w:val="hybridMultilevel"/>
    <w:tmpl w:val="110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C057D2"/>
    <w:multiLevelType w:val="hybridMultilevel"/>
    <w:tmpl w:val="A61CF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0E3270"/>
    <w:multiLevelType w:val="hybridMultilevel"/>
    <w:tmpl w:val="68AE3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D07F66"/>
    <w:multiLevelType w:val="hybridMultilevel"/>
    <w:tmpl w:val="71C0361A"/>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6A1215D"/>
    <w:multiLevelType w:val="hybridMultilevel"/>
    <w:tmpl w:val="E8D4C35C"/>
    <w:lvl w:ilvl="0" w:tplc="A1F24582">
      <w:start w:val="2"/>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10139E"/>
    <w:multiLevelType w:val="hybridMultilevel"/>
    <w:tmpl w:val="7C4E2192"/>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5A5269"/>
    <w:multiLevelType w:val="hybridMultilevel"/>
    <w:tmpl w:val="9662BF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18"/>
  </w:num>
  <w:num w:numId="3">
    <w:abstractNumId w:val="1"/>
  </w:num>
  <w:num w:numId="4">
    <w:abstractNumId w:val="15"/>
  </w:num>
  <w:num w:numId="5">
    <w:abstractNumId w:val="4"/>
  </w:num>
  <w:num w:numId="6">
    <w:abstractNumId w:val="12"/>
  </w:num>
  <w:num w:numId="7">
    <w:abstractNumId w:val="9"/>
  </w:num>
  <w:num w:numId="8">
    <w:abstractNumId w:val="16"/>
  </w:num>
  <w:num w:numId="9">
    <w:abstractNumId w:val="3"/>
  </w:num>
  <w:num w:numId="10">
    <w:abstractNumId w:val="14"/>
  </w:num>
  <w:num w:numId="11">
    <w:abstractNumId w:val="6"/>
  </w:num>
  <w:num w:numId="12">
    <w:abstractNumId w:val="13"/>
  </w:num>
  <w:num w:numId="13">
    <w:abstractNumId w:val="5"/>
  </w:num>
  <w:num w:numId="14">
    <w:abstractNumId w:val="10"/>
  </w:num>
  <w:num w:numId="15">
    <w:abstractNumId w:val="0"/>
  </w:num>
  <w:num w:numId="16">
    <w:abstractNumId w:val="17"/>
  </w:num>
  <w:num w:numId="17">
    <w:abstractNumId w:val="7"/>
  </w:num>
  <w:num w:numId="18">
    <w:abstractNumId w:val="8"/>
  </w:num>
  <w:num w:numId="19">
    <w:abstractNumId w:val="2"/>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C5"/>
    <w:rsid w:val="000007B3"/>
    <w:rsid w:val="00002AB9"/>
    <w:rsid w:val="00006A5E"/>
    <w:rsid w:val="00007A5D"/>
    <w:rsid w:val="000110DC"/>
    <w:rsid w:val="00011761"/>
    <w:rsid w:val="0001293C"/>
    <w:rsid w:val="00014030"/>
    <w:rsid w:val="00014A24"/>
    <w:rsid w:val="000158AA"/>
    <w:rsid w:val="000159B9"/>
    <w:rsid w:val="00015DF0"/>
    <w:rsid w:val="00016B6E"/>
    <w:rsid w:val="00020A0C"/>
    <w:rsid w:val="00020F3C"/>
    <w:rsid w:val="00023E21"/>
    <w:rsid w:val="00025587"/>
    <w:rsid w:val="00025A34"/>
    <w:rsid w:val="00025ABC"/>
    <w:rsid w:val="00026412"/>
    <w:rsid w:val="00027449"/>
    <w:rsid w:val="00030379"/>
    <w:rsid w:val="00030D13"/>
    <w:rsid w:val="00030F89"/>
    <w:rsid w:val="0003118B"/>
    <w:rsid w:val="00031F6F"/>
    <w:rsid w:val="0003237A"/>
    <w:rsid w:val="00034D6E"/>
    <w:rsid w:val="0003537B"/>
    <w:rsid w:val="00037B20"/>
    <w:rsid w:val="00040052"/>
    <w:rsid w:val="0004065F"/>
    <w:rsid w:val="00040CD3"/>
    <w:rsid w:val="00042276"/>
    <w:rsid w:val="00042E45"/>
    <w:rsid w:val="0004576D"/>
    <w:rsid w:val="00046D51"/>
    <w:rsid w:val="0005009A"/>
    <w:rsid w:val="0005089D"/>
    <w:rsid w:val="00050C92"/>
    <w:rsid w:val="00051F04"/>
    <w:rsid w:val="000525BC"/>
    <w:rsid w:val="000538BF"/>
    <w:rsid w:val="00053D76"/>
    <w:rsid w:val="00055362"/>
    <w:rsid w:val="0005554B"/>
    <w:rsid w:val="00056150"/>
    <w:rsid w:val="000565E0"/>
    <w:rsid w:val="000567DE"/>
    <w:rsid w:val="0006050E"/>
    <w:rsid w:val="00061F35"/>
    <w:rsid w:val="000633C4"/>
    <w:rsid w:val="00064D7E"/>
    <w:rsid w:val="0006643A"/>
    <w:rsid w:val="00066C28"/>
    <w:rsid w:val="00073222"/>
    <w:rsid w:val="0007667F"/>
    <w:rsid w:val="00076C57"/>
    <w:rsid w:val="000770BA"/>
    <w:rsid w:val="000776CB"/>
    <w:rsid w:val="000805B9"/>
    <w:rsid w:val="00085BB1"/>
    <w:rsid w:val="00086587"/>
    <w:rsid w:val="0008675B"/>
    <w:rsid w:val="00086E9C"/>
    <w:rsid w:val="00087457"/>
    <w:rsid w:val="0008787B"/>
    <w:rsid w:val="00092580"/>
    <w:rsid w:val="00095141"/>
    <w:rsid w:val="000955E7"/>
    <w:rsid w:val="00095711"/>
    <w:rsid w:val="000968C0"/>
    <w:rsid w:val="000970F1"/>
    <w:rsid w:val="000A110D"/>
    <w:rsid w:val="000A17DF"/>
    <w:rsid w:val="000A478F"/>
    <w:rsid w:val="000A4F12"/>
    <w:rsid w:val="000A5444"/>
    <w:rsid w:val="000A562E"/>
    <w:rsid w:val="000A5B32"/>
    <w:rsid w:val="000A680F"/>
    <w:rsid w:val="000A6E84"/>
    <w:rsid w:val="000B1B59"/>
    <w:rsid w:val="000B3CD0"/>
    <w:rsid w:val="000B469C"/>
    <w:rsid w:val="000B5589"/>
    <w:rsid w:val="000B7351"/>
    <w:rsid w:val="000C3695"/>
    <w:rsid w:val="000C4AF5"/>
    <w:rsid w:val="000C6345"/>
    <w:rsid w:val="000C6AD7"/>
    <w:rsid w:val="000C7A64"/>
    <w:rsid w:val="000D066E"/>
    <w:rsid w:val="000D0831"/>
    <w:rsid w:val="000D0B54"/>
    <w:rsid w:val="000D0B96"/>
    <w:rsid w:val="000D1264"/>
    <w:rsid w:val="000D2A01"/>
    <w:rsid w:val="000D43B1"/>
    <w:rsid w:val="000D4856"/>
    <w:rsid w:val="000D6989"/>
    <w:rsid w:val="000E2390"/>
    <w:rsid w:val="000E2A1F"/>
    <w:rsid w:val="000E3DBE"/>
    <w:rsid w:val="000E47E2"/>
    <w:rsid w:val="000E47E7"/>
    <w:rsid w:val="000E5439"/>
    <w:rsid w:val="000F0F14"/>
    <w:rsid w:val="000F34D9"/>
    <w:rsid w:val="000F4C1C"/>
    <w:rsid w:val="000F72B3"/>
    <w:rsid w:val="0010010D"/>
    <w:rsid w:val="001002E7"/>
    <w:rsid w:val="001013E7"/>
    <w:rsid w:val="00101801"/>
    <w:rsid w:val="0010185D"/>
    <w:rsid w:val="00102686"/>
    <w:rsid w:val="0010748A"/>
    <w:rsid w:val="0011036E"/>
    <w:rsid w:val="00111F42"/>
    <w:rsid w:val="001124F2"/>
    <w:rsid w:val="001130B0"/>
    <w:rsid w:val="0011354F"/>
    <w:rsid w:val="0011369B"/>
    <w:rsid w:val="0011742E"/>
    <w:rsid w:val="0012110C"/>
    <w:rsid w:val="0012126F"/>
    <w:rsid w:val="001226F2"/>
    <w:rsid w:val="00123D10"/>
    <w:rsid w:val="0012421D"/>
    <w:rsid w:val="00124B00"/>
    <w:rsid w:val="00125216"/>
    <w:rsid w:val="00125BEB"/>
    <w:rsid w:val="00126B33"/>
    <w:rsid w:val="00130D9C"/>
    <w:rsid w:val="00132AF9"/>
    <w:rsid w:val="00134175"/>
    <w:rsid w:val="00134A80"/>
    <w:rsid w:val="001353C5"/>
    <w:rsid w:val="00136007"/>
    <w:rsid w:val="00141358"/>
    <w:rsid w:val="00144948"/>
    <w:rsid w:val="0014509C"/>
    <w:rsid w:val="001456F4"/>
    <w:rsid w:val="001468B5"/>
    <w:rsid w:val="0014788D"/>
    <w:rsid w:val="00147D24"/>
    <w:rsid w:val="001504E0"/>
    <w:rsid w:val="001507D0"/>
    <w:rsid w:val="00154B00"/>
    <w:rsid w:val="00161446"/>
    <w:rsid w:val="00163045"/>
    <w:rsid w:val="001644E9"/>
    <w:rsid w:val="00167029"/>
    <w:rsid w:val="001677F2"/>
    <w:rsid w:val="00170F08"/>
    <w:rsid w:val="0017665F"/>
    <w:rsid w:val="00176C27"/>
    <w:rsid w:val="0017764B"/>
    <w:rsid w:val="00180496"/>
    <w:rsid w:val="001818E5"/>
    <w:rsid w:val="001825CA"/>
    <w:rsid w:val="00182986"/>
    <w:rsid w:val="001843C8"/>
    <w:rsid w:val="001845D9"/>
    <w:rsid w:val="0018623E"/>
    <w:rsid w:val="0018630F"/>
    <w:rsid w:val="001906CD"/>
    <w:rsid w:val="00191B99"/>
    <w:rsid w:val="00191DFC"/>
    <w:rsid w:val="00192C2E"/>
    <w:rsid w:val="00193F8F"/>
    <w:rsid w:val="00195F7F"/>
    <w:rsid w:val="00196AC7"/>
    <w:rsid w:val="00197D29"/>
    <w:rsid w:val="001A02E3"/>
    <w:rsid w:val="001A0535"/>
    <w:rsid w:val="001A1ADF"/>
    <w:rsid w:val="001A1AE7"/>
    <w:rsid w:val="001A257F"/>
    <w:rsid w:val="001A2996"/>
    <w:rsid w:val="001A2B6A"/>
    <w:rsid w:val="001A359C"/>
    <w:rsid w:val="001A365C"/>
    <w:rsid w:val="001A40A3"/>
    <w:rsid w:val="001A6086"/>
    <w:rsid w:val="001A60E2"/>
    <w:rsid w:val="001A6996"/>
    <w:rsid w:val="001B171D"/>
    <w:rsid w:val="001B29A1"/>
    <w:rsid w:val="001B4CA1"/>
    <w:rsid w:val="001B5169"/>
    <w:rsid w:val="001B6164"/>
    <w:rsid w:val="001C32C5"/>
    <w:rsid w:val="001C34EC"/>
    <w:rsid w:val="001C78C9"/>
    <w:rsid w:val="001D0554"/>
    <w:rsid w:val="001D2935"/>
    <w:rsid w:val="001D475D"/>
    <w:rsid w:val="001D77ED"/>
    <w:rsid w:val="001E1180"/>
    <w:rsid w:val="001E13A7"/>
    <w:rsid w:val="001E192E"/>
    <w:rsid w:val="001E23EA"/>
    <w:rsid w:val="001E2E16"/>
    <w:rsid w:val="001E45BE"/>
    <w:rsid w:val="001E6919"/>
    <w:rsid w:val="001E6958"/>
    <w:rsid w:val="001E769C"/>
    <w:rsid w:val="001F004A"/>
    <w:rsid w:val="001F054F"/>
    <w:rsid w:val="001F160B"/>
    <w:rsid w:val="001F25B9"/>
    <w:rsid w:val="001F4FD7"/>
    <w:rsid w:val="00201924"/>
    <w:rsid w:val="00201A74"/>
    <w:rsid w:val="002022F4"/>
    <w:rsid w:val="00202473"/>
    <w:rsid w:val="00202A2A"/>
    <w:rsid w:val="00202D62"/>
    <w:rsid w:val="0020445E"/>
    <w:rsid w:val="002053F2"/>
    <w:rsid w:val="00205EF3"/>
    <w:rsid w:val="00206D63"/>
    <w:rsid w:val="0021185D"/>
    <w:rsid w:val="00212CF6"/>
    <w:rsid w:val="00213419"/>
    <w:rsid w:val="0021401E"/>
    <w:rsid w:val="00216AB4"/>
    <w:rsid w:val="0022155D"/>
    <w:rsid w:val="0022227C"/>
    <w:rsid w:val="00222860"/>
    <w:rsid w:val="00222BA6"/>
    <w:rsid w:val="00226777"/>
    <w:rsid w:val="00231619"/>
    <w:rsid w:val="00234140"/>
    <w:rsid w:val="00234752"/>
    <w:rsid w:val="00234C03"/>
    <w:rsid w:val="00235419"/>
    <w:rsid w:val="00235BD1"/>
    <w:rsid w:val="002362CF"/>
    <w:rsid w:val="002377D6"/>
    <w:rsid w:val="00242B0E"/>
    <w:rsid w:val="002436BD"/>
    <w:rsid w:val="00243E17"/>
    <w:rsid w:val="002441C2"/>
    <w:rsid w:val="002442A2"/>
    <w:rsid w:val="00244E81"/>
    <w:rsid w:val="00244FD0"/>
    <w:rsid w:val="002459FD"/>
    <w:rsid w:val="00245E97"/>
    <w:rsid w:val="00247D35"/>
    <w:rsid w:val="00247DF0"/>
    <w:rsid w:val="00250293"/>
    <w:rsid w:val="00251C71"/>
    <w:rsid w:val="002524F5"/>
    <w:rsid w:val="00252B0B"/>
    <w:rsid w:val="00253A19"/>
    <w:rsid w:val="00253D8E"/>
    <w:rsid w:val="00253F42"/>
    <w:rsid w:val="002546D1"/>
    <w:rsid w:val="00254813"/>
    <w:rsid w:val="0025544D"/>
    <w:rsid w:val="002556A9"/>
    <w:rsid w:val="00257CBF"/>
    <w:rsid w:val="00257FF2"/>
    <w:rsid w:val="002629CF"/>
    <w:rsid w:val="00262BA7"/>
    <w:rsid w:val="00265822"/>
    <w:rsid w:val="00267BF7"/>
    <w:rsid w:val="0027105F"/>
    <w:rsid w:val="002711FB"/>
    <w:rsid w:val="00271CEE"/>
    <w:rsid w:val="002726E9"/>
    <w:rsid w:val="00273C1D"/>
    <w:rsid w:val="00274AB2"/>
    <w:rsid w:val="00275D11"/>
    <w:rsid w:val="00277370"/>
    <w:rsid w:val="00277C7A"/>
    <w:rsid w:val="002803F8"/>
    <w:rsid w:val="002815E5"/>
    <w:rsid w:val="00283318"/>
    <w:rsid w:val="00283CF4"/>
    <w:rsid w:val="002842D1"/>
    <w:rsid w:val="00285525"/>
    <w:rsid w:val="00292B56"/>
    <w:rsid w:val="00294CD8"/>
    <w:rsid w:val="00294EF0"/>
    <w:rsid w:val="00295CCD"/>
    <w:rsid w:val="002A10E6"/>
    <w:rsid w:val="002A270B"/>
    <w:rsid w:val="002A40AE"/>
    <w:rsid w:val="002A50FD"/>
    <w:rsid w:val="002A5DE5"/>
    <w:rsid w:val="002A6753"/>
    <w:rsid w:val="002A7D15"/>
    <w:rsid w:val="002B28D7"/>
    <w:rsid w:val="002B620C"/>
    <w:rsid w:val="002B628E"/>
    <w:rsid w:val="002B68D2"/>
    <w:rsid w:val="002B7EB6"/>
    <w:rsid w:val="002C0B61"/>
    <w:rsid w:val="002C15E6"/>
    <w:rsid w:val="002C2269"/>
    <w:rsid w:val="002C247D"/>
    <w:rsid w:val="002C3345"/>
    <w:rsid w:val="002C3538"/>
    <w:rsid w:val="002C4802"/>
    <w:rsid w:val="002C594D"/>
    <w:rsid w:val="002C5A0F"/>
    <w:rsid w:val="002D030B"/>
    <w:rsid w:val="002D15BE"/>
    <w:rsid w:val="002D409A"/>
    <w:rsid w:val="002D4490"/>
    <w:rsid w:val="002D5474"/>
    <w:rsid w:val="002D6242"/>
    <w:rsid w:val="002E2927"/>
    <w:rsid w:val="002E4C8C"/>
    <w:rsid w:val="002F1476"/>
    <w:rsid w:val="002F30E7"/>
    <w:rsid w:val="002F373E"/>
    <w:rsid w:val="002F4880"/>
    <w:rsid w:val="002F55EF"/>
    <w:rsid w:val="002F6185"/>
    <w:rsid w:val="002F679E"/>
    <w:rsid w:val="002F6CB9"/>
    <w:rsid w:val="002F70D0"/>
    <w:rsid w:val="00300EEB"/>
    <w:rsid w:val="00300F6A"/>
    <w:rsid w:val="003013A9"/>
    <w:rsid w:val="003020B5"/>
    <w:rsid w:val="003027BB"/>
    <w:rsid w:val="003033E7"/>
    <w:rsid w:val="00303E9A"/>
    <w:rsid w:val="00304782"/>
    <w:rsid w:val="003052E2"/>
    <w:rsid w:val="00305D22"/>
    <w:rsid w:val="00305E77"/>
    <w:rsid w:val="003079EB"/>
    <w:rsid w:val="00307F47"/>
    <w:rsid w:val="00310A10"/>
    <w:rsid w:val="00312623"/>
    <w:rsid w:val="00315E5C"/>
    <w:rsid w:val="003175E2"/>
    <w:rsid w:val="003205B1"/>
    <w:rsid w:val="00323273"/>
    <w:rsid w:val="00323862"/>
    <w:rsid w:val="00323C25"/>
    <w:rsid w:val="0032431C"/>
    <w:rsid w:val="00324DEE"/>
    <w:rsid w:val="00326A46"/>
    <w:rsid w:val="003278E8"/>
    <w:rsid w:val="00327D25"/>
    <w:rsid w:val="003302A4"/>
    <w:rsid w:val="00330B45"/>
    <w:rsid w:val="003314F1"/>
    <w:rsid w:val="003319A7"/>
    <w:rsid w:val="00331DAE"/>
    <w:rsid w:val="0033409C"/>
    <w:rsid w:val="003347F0"/>
    <w:rsid w:val="00334901"/>
    <w:rsid w:val="00334CE1"/>
    <w:rsid w:val="00334FE3"/>
    <w:rsid w:val="00336624"/>
    <w:rsid w:val="00336BA4"/>
    <w:rsid w:val="003401DE"/>
    <w:rsid w:val="00340D01"/>
    <w:rsid w:val="003421AE"/>
    <w:rsid w:val="003433D1"/>
    <w:rsid w:val="00344B24"/>
    <w:rsid w:val="003456B9"/>
    <w:rsid w:val="00345834"/>
    <w:rsid w:val="00346273"/>
    <w:rsid w:val="00347E39"/>
    <w:rsid w:val="00350652"/>
    <w:rsid w:val="0035067D"/>
    <w:rsid w:val="00351038"/>
    <w:rsid w:val="00351153"/>
    <w:rsid w:val="00352047"/>
    <w:rsid w:val="00353A16"/>
    <w:rsid w:val="003570FD"/>
    <w:rsid w:val="0035776D"/>
    <w:rsid w:val="003578C8"/>
    <w:rsid w:val="00357F3F"/>
    <w:rsid w:val="003604EF"/>
    <w:rsid w:val="00360A3B"/>
    <w:rsid w:val="00362CA9"/>
    <w:rsid w:val="003636DE"/>
    <w:rsid w:val="00364712"/>
    <w:rsid w:val="00364AC3"/>
    <w:rsid w:val="00364FD9"/>
    <w:rsid w:val="00365FC9"/>
    <w:rsid w:val="00367085"/>
    <w:rsid w:val="00367C1B"/>
    <w:rsid w:val="0037507E"/>
    <w:rsid w:val="00376B61"/>
    <w:rsid w:val="003808EC"/>
    <w:rsid w:val="003808F7"/>
    <w:rsid w:val="0038216F"/>
    <w:rsid w:val="00382407"/>
    <w:rsid w:val="003826E8"/>
    <w:rsid w:val="00386A64"/>
    <w:rsid w:val="00386FA1"/>
    <w:rsid w:val="00390142"/>
    <w:rsid w:val="00390146"/>
    <w:rsid w:val="00392F00"/>
    <w:rsid w:val="003931A4"/>
    <w:rsid w:val="00394732"/>
    <w:rsid w:val="003963D0"/>
    <w:rsid w:val="003969D4"/>
    <w:rsid w:val="00397377"/>
    <w:rsid w:val="00397696"/>
    <w:rsid w:val="003A22DE"/>
    <w:rsid w:val="003A2860"/>
    <w:rsid w:val="003A29D4"/>
    <w:rsid w:val="003A33EC"/>
    <w:rsid w:val="003A3C35"/>
    <w:rsid w:val="003A544A"/>
    <w:rsid w:val="003A7D30"/>
    <w:rsid w:val="003B143D"/>
    <w:rsid w:val="003B3C5C"/>
    <w:rsid w:val="003B5312"/>
    <w:rsid w:val="003B6E98"/>
    <w:rsid w:val="003B7033"/>
    <w:rsid w:val="003B7660"/>
    <w:rsid w:val="003C1650"/>
    <w:rsid w:val="003C256E"/>
    <w:rsid w:val="003C26DF"/>
    <w:rsid w:val="003C2F92"/>
    <w:rsid w:val="003C4106"/>
    <w:rsid w:val="003C47CA"/>
    <w:rsid w:val="003C56E6"/>
    <w:rsid w:val="003C6B15"/>
    <w:rsid w:val="003C728A"/>
    <w:rsid w:val="003C7CDB"/>
    <w:rsid w:val="003D02B1"/>
    <w:rsid w:val="003D1016"/>
    <w:rsid w:val="003D1792"/>
    <w:rsid w:val="003D571C"/>
    <w:rsid w:val="003D600F"/>
    <w:rsid w:val="003D6898"/>
    <w:rsid w:val="003D6DE1"/>
    <w:rsid w:val="003D74EA"/>
    <w:rsid w:val="003D795C"/>
    <w:rsid w:val="003E25E8"/>
    <w:rsid w:val="003E30FB"/>
    <w:rsid w:val="003E33A2"/>
    <w:rsid w:val="003E5A9F"/>
    <w:rsid w:val="003E664F"/>
    <w:rsid w:val="003E7D4B"/>
    <w:rsid w:val="003F2711"/>
    <w:rsid w:val="003F5A15"/>
    <w:rsid w:val="003F6C70"/>
    <w:rsid w:val="003F6E17"/>
    <w:rsid w:val="003F7CB9"/>
    <w:rsid w:val="0040021E"/>
    <w:rsid w:val="00401002"/>
    <w:rsid w:val="00401F0C"/>
    <w:rsid w:val="004025EC"/>
    <w:rsid w:val="00402AD6"/>
    <w:rsid w:val="00403333"/>
    <w:rsid w:val="004036FD"/>
    <w:rsid w:val="00403C39"/>
    <w:rsid w:val="004060B2"/>
    <w:rsid w:val="004067C3"/>
    <w:rsid w:val="00411735"/>
    <w:rsid w:val="004214FA"/>
    <w:rsid w:val="00421820"/>
    <w:rsid w:val="004231E5"/>
    <w:rsid w:val="00424B98"/>
    <w:rsid w:val="00424D06"/>
    <w:rsid w:val="0043059E"/>
    <w:rsid w:val="00432B92"/>
    <w:rsid w:val="00435F20"/>
    <w:rsid w:val="0043654D"/>
    <w:rsid w:val="00437856"/>
    <w:rsid w:val="004408AB"/>
    <w:rsid w:val="00441328"/>
    <w:rsid w:val="00441D78"/>
    <w:rsid w:val="00444AD1"/>
    <w:rsid w:val="00446113"/>
    <w:rsid w:val="0044793C"/>
    <w:rsid w:val="00451840"/>
    <w:rsid w:val="00452047"/>
    <w:rsid w:val="004525EB"/>
    <w:rsid w:val="004528CA"/>
    <w:rsid w:val="00454856"/>
    <w:rsid w:val="00454DD7"/>
    <w:rsid w:val="00455998"/>
    <w:rsid w:val="00455E31"/>
    <w:rsid w:val="00456F6E"/>
    <w:rsid w:val="00457503"/>
    <w:rsid w:val="00457A2A"/>
    <w:rsid w:val="00457DE6"/>
    <w:rsid w:val="004607E2"/>
    <w:rsid w:val="00460C9A"/>
    <w:rsid w:val="00461080"/>
    <w:rsid w:val="0046320F"/>
    <w:rsid w:val="00463494"/>
    <w:rsid w:val="004634DB"/>
    <w:rsid w:val="00464028"/>
    <w:rsid w:val="004642A2"/>
    <w:rsid w:val="00464924"/>
    <w:rsid w:val="00465F33"/>
    <w:rsid w:val="004666C3"/>
    <w:rsid w:val="00466E4D"/>
    <w:rsid w:val="00466E79"/>
    <w:rsid w:val="00467CFB"/>
    <w:rsid w:val="00470DF9"/>
    <w:rsid w:val="0047104A"/>
    <w:rsid w:val="00473231"/>
    <w:rsid w:val="00473417"/>
    <w:rsid w:val="004743A5"/>
    <w:rsid w:val="0047460C"/>
    <w:rsid w:val="00474AC5"/>
    <w:rsid w:val="004753C8"/>
    <w:rsid w:val="00475632"/>
    <w:rsid w:val="0047581D"/>
    <w:rsid w:val="00480289"/>
    <w:rsid w:val="00480FDA"/>
    <w:rsid w:val="00481279"/>
    <w:rsid w:val="00481B35"/>
    <w:rsid w:val="00481FDF"/>
    <w:rsid w:val="00482545"/>
    <w:rsid w:val="004832FB"/>
    <w:rsid w:val="00483368"/>
    <w:rsid w:val="0048344E"/>
    <w:rsid w:val="00485BD9"/>
    <w:rsid w:val="00494011"/>
    <w:rsid w:val="004A07EF"/>
    <w:rsid w:val="004A0BF4"/>
    <w:rsid w:val="004A263B"/>
    <w:rsid w:val="004A3933"/>
    <w:rsid w:val="004A43E2"/>
    <w:rsid w:val="004A4A0B"/>
    <w:rsid w:val="004A68EF"/>
    <w:rsid w:val="004A73DA"/>
    <w:rsid w:val="004A7F3D"/>
    <w:rsid w:val="004B2A14"/>
    <w:rsid w:val="004B3317"/>
    <w:rsid w:val="004B3FAF"/>
    <w:rsid w:val="004B4B49"/>
    <w:rsid w:val="004B68AE"/>
    <w:rsid w:val="004C0831"/>
    <w:rsid w:val="004C35B0"/>
    <w:rsid w:val="004C37D7"/>
    <w:rsid w:val="004C42C5"/>
    <w:rsid w:val="004C461B"/>
    <w:rsid w:val="004C49B9"/>
    <w:rsid w:val="004C49EF"/>
    <w:rsid w:val="004C4A19"/>
    <w:rsid w:val="004C5329"/>
    <w:rsid w:val="004C5570"/>
    <w:rsid w:val="004C55D3"/>
    <w:rsid w:val="004C5C57"/>
    <w:rsid w:val="004C6596"/>
    <w:rsid w:val="004C6A57"/>
    <w:rsid w:val="004D00C9"/>
    <w:rsid w:val="004D1909"/>
    <w:rsid w:val="004D225B"/>
    <w:rsid w:val="004D4DE9"/>
    <w:rsid w:val="004D5A46"/>
    <w:rsid w:val="004D6A9B"/>
    <w:rsid w:val="004D7392"/>
    <w:rsid w:val="004E16F5"/>
    <w:rsid w:val="004E23D0"/>
    <w:rsid w:val="004E311B"/>
    <w:rsid w:val="004E3CC7"/>
    <w:rsid w:val="004E3E86"/>
    <w:rsid w:val="004E3F6F"/>
    <w:rsid w:val="004E4EFB"/>
    <w:rsid w:val="004E54FB"/>
    <w:rsid w:val="004E5B69"/>
    <w:rsid w:val="004F2A87"/>
    <w:rsid w:val="004F51D3"/>
    <w:rsid w:val="004F5BD7"/>
    <w:rsid w:val="004F5F9B"/>
    <w:rsid w:val="004F64E7"/>
    <w:rsid w:val="00500A5A"/>
    <w:rsid w:val="00501B8D"/>
    <w:rsid w:val="00502D69"/>
    <w:rsid w:val="00503AB2"/>
    <w:rsid w:val="0050517E"/>
    <w:rsid w:val="005059D7"/>
    <w:rsid w:val="00505C85"/>
    <w:rsid w:val="00507C56"/>
    <w:rsid w:val="00513624"/>
    <w:rsid w:val="00513C86"/>
    <w:rsid w:val="00513CAE"/>
    <w:rsid w:val="0051463E"/>
    <w:rsid w:val="00514AD6"/>
    <w:rsid w:val="005164D7"/>
    <w:rsid w:val="0051672A"/>
    <w:rsid w:val="00520309"/>
    <w:rsid w:val="005207E5"/>
    <w:rsid w:val="0052148F"/>
    <w:rsid w:val="0052344E"/>
    <w:rsid w:val="00526478"/>
    <w:rsid w:val="00526553"/>
    <w:rsid w:val="00530204"/>
    <w:rsid w:val="00531B9C"/>
    <w:rsid w:val="00531CB6"/>
    <w:rsid w:val="005331F5"/>
    <w:rsid w:val="00533E08"/>
    <w:rsid w:val="005343D5"/>
    <w:rsid w:val="00534C5F"/>
    <w:rsid w:val="00534C9A"/>
    <w:rsid w:val="00536713"/>
    <w:rsid w:val="00536D6F"/>
    <w:rsid w:val="00537913"/>
    <w:rsid w:val="00540257"/>
    <w:rsid w:val="00540DAE"/>
    <w:rsid w:val="0054192F"/>
    <w:rsid w:val="00542732"/>
    <w:rsid w:val="00544EB3"/>
    <w:rsid w:val="00544ED8"/>
    <w:rsid w:val="0054594B"/>
    <w:rsid w:val="00546E2A"/>
    <w:rsid w:val="0054749B"/>
    <w:rsid w:val="00550767"/>
    <w:rsid w:val="00551B73"/>
    <w:rsid w:val="00551CC6"/>
    <w:rsid w:val="0055220B"/>
    <w:rsid w:val="005524D8"/>
    <w:rsid w:val="00552627"/>
    <w:rsid w:val="005526AE"/>
    <w:rsid w:val="00553106"/>
    <w:rsid w:val="0055477A"/>
    <w:rsid w:val="00554934"/>
    <w:rsid w:val="00554B35"/>
    <w:rsid w:val="00556057"/>
    <w:rsid w:val="00560541"/>
    <w:rsid w:val="0056197D"/>
    <w:rsid w:val="00563065"/>
    <w:rsid w:val="00565239"/>
    <w:rsid w:val="005663FE"/>
    <w:rsid w:val="00566629"/>
    <w:rsid w:val="005672D0"/>
    <w:rsid w:val="00572CD3"/>
    <w:rsid w:val="00572CEB"/>
    <w:rsid w:val="00574391"/>
    <w:rsid w:val="005767D5"/>
    <w:rsid w:val="00576DA8"/>
    <w:rsid w:val="00577F76"/>
    <w:rsid w:val="005806CF"/>
    <w:rsid w:val="00581F22"/>
    <w:rsid w:val="00582917"/>
    <w:rsid w:val="00582A95"/>
    <w:rsid w:val="005834C9"/>
    <w:rsid w:val="0058361E"/>
    <w:rsid w:val="005838ED"/>
    <w:rsid w:val="00583F7C"/>
    <w:rsid w:val="00584A14"/>
    <w:rsid w:val="00585D6D"/>
    <w:rsid w:val="00591565"/>
    <w:rsid w:val="00591B2E"/>
    <w:rsid w:val="00591E66"/>
    <w:rsid w:val="005944E2"/>
    <w:rsid w:val="00596B80"/>
    <w:rsid w:val="00596FD1"/>
    <w:rsid w:val="005A03CC"/>
    <w:rsid w:val="005A1500"/>
    <w:rsid w:val="005A1F95"/>
    <w:rsid w:val="005A3399"/>
    <w:rsid w:val="005A52A8"/>
    <w:rsid w:val="005A58BA"/>
    <w:rsid w:val="005A5CA9"/>
    <w:rsid w:val="005A5D30"/>
    <w:rsid w:val="005A6AB9"/>
    <w:rsid w:val="005A6B15"/>
    <w:rsid w:val="005A751C"/>
    <w:rsid w:val="005B0536"/>
    <w:rsid w:val="005B0C44"/>
    <w:rsid w:val="005B22CE"/>
    <w:rsid w:val="005B30E3"/>
    <w:rsid w:val="005B6033"/>
    <w:rsid w:val="005B6266"/>
    <w:rsid w:val="005B64C9"/>
    <w:rsid w:val="005B699A"/>
    <w:rsid w:val="005B7599"/>
    <w:rsid w:val="005B7A80"/>
    <w:rsid w:val="005B7BF6"/>
    <w:rsid w:val="005C0C42"/>
    <w:rsid w:val="005C0E2D"/>
    <w:rsid w:val="005C1E14"/>
    <w:rsid w:val="005C1ED7"/>
    <w:rsid w:val="005C333E"/>
    <w:rsid w:val="005C3AE7"/>
    <w:rsid w:val="005C4BC8"/>
    <w:rsid w:val="005C4EBB"/>
    <w:rsid w:val="005C63CB"/>
    <w:rsid w:val="005D026C"/>
    <w:rsid w:val="005D0677"/>
    <w:rsid w:val="005D2BDB"/>
    <w:rsid w:val="005D2E7D"/>
    <w:rsid w:val="005D3C3B"/>
    <w:rsid w:val="005D4288"/>
    <w:rsid w:val="005D4651"/>
    <w:rsid w:val="005D4C74"/>
    <w:rsid w:val="005D5379"/>
    <w:rsid w:val="005D7508"/>
    <w:rsid w:val="005E1363"/>
    <w:rsid w:val="005E1E89"/>
    <w:rsid w:val="005E2433"/>
    <w:rsid w:val="005E251C"/>
    <w:rsid w:val="005E294C"/>
    <w:rsid w:val="005E2CE3"/>
    <w:rsid w:val="005E37F3"/>
    <w:rsid w:val="005E4021"/>
    <w:rsid w:val="005F1A28"/>
    <w:rsid w:val="005F2293"/>
    <w:rsid w:val="005F2A8F"/>
    <w:rsid w:val="005F3690"/>
    <w:rsid w:val="005F3F07"/>
    <w:rsid w:val="005F5C10"/>
    <w:rsid w:val="006024B5"/>
    <w:rsid w:val="006028B8"/>
    <w:rsid w:val="00603CD6"/>
    <w:rsid w:val="00603D04"/>
    <w:rsid w:val="00604E9E"/>
    <w:rsid w:val="00605199"/>
    <w:rsid w:val="00606857"/>
    <w:rsid w:val="006100B7"/>
    <w:rsid w:val="006112A8"/>
    <w:rsid w:val="006130F3"/>
    <w:rsid w:val="00614EB2"/>
    <w:rsid w:val="00615F42"/>
    <w:rsid w:val="00616E6E"/>
    <w:rsid w:val="00616F99"/>
    <w:rsid w:val="006179A4"/>
    <w:rsid w:val="00620176"/>
    <w:rsid w:val="0062105C"/>
    <w:rsid w:val="006233AD"/>
    <w:rsid w:val="006242A1"/>
    <w:rsid w:val="006242E2"/>
    <w:rsid w:val="00624989"/>
    <w:rsid w:val="006249AB"/>
    <w:rsid w:val="00624B8E"/>
    <w:rsid w:val="006251EA"/>
    <w:rsid w:val="006258C2"/>
    <w:rsid w:val="00625EF3"/>
    <w:rsid w:val="00626365"/>
    <w:rsid w:val="006302F7"/>
    <w:rsid w:val="00630E22"/>
    <w:rsid w:val="00632F0B"/>
    <w:rsid w:val="006339B2"/>
    <w:rsid w:val="00634135"/>
    <w:rsid w:val="00635173"/>
    <w:rsid w:val="006363E7"/>
    <w:rsid w:val="00636798"/>
    <w:rsid w:val="00636B5E"/>
    <w:rsid w:val="00637E7C"/>
    <w:rsid w:val="00640CB0"/>
    <w:rsid w:val="0064168C"/>
    <w:rsid w:val="00646271"/>
    <w:rsid w:val="006477E7"/>
    <w:rsid w:val="00650180"/>
    <w:rsid w:val="006503C4"/>
    <w:rsid w:val="0065134E"/>
    <w:rsid w:val="00652A2F"/>
    <w:rsid w:val="00653B6A"/>
    <w:rsid w:val="00654529"/>
    <w:rsid w:val="0065575A"/>
    <w:rsid w:val="006573AA"/>
    <w:rsid w:val="006574BE"/>
    <w:rsid w:val="00657B46"/>
    <w:rsid w:val="00662E1E"/>
    <w:rsid w:val="00665FEA"/>
    <w:rsid w:val="00666BE7"/>
    <w:rsid w:val="00672679"/>
    <w:rsid w:val="0067381B"/>
    <w:rsid w:val="0067398E"/>
    <w:rsid w:val="006751A9"/>
    <w:rsid w:val="00675676"/>
    <w:rsid w:val="0067607D"/>
    <w:rsid w:val="006764EC"/>
    <w:rsid w:val="00676C99"/>
    <w:rsid w:val="00682480"/>
    <w:rsid w:val="006831D9"/>
    <w:rsid w:val="00683409"/>
    <w:rsid w:val="006835FE"/>
    <w:rsid w:val="006858CC"/>
    <w:rsid w:val="00685DBB"/>
    <w:rsid w:val="00685FF7"/>
    <w:rsid w:val="0069092F"/>
    <w:rsid w:val="0069309C"/>
    <w:rsid w:val="00693BFD"/>
    <w:rsid w:val="00695065"/>
    <w:rsid w:val="00695FDA"/>
    <w:rsid w:val="006A0BB6"/>
    <w:rsid w:val="006A0BD6"/>
    <w:rsid w:val="006A1038"/>
    <w:rsid w:val="006A10DA"/>
    <w:rsid w:val="006A1A24"/>
    <w:rsid w:val="006A1D40"/>
    <w:rsid w:val="006A5DB7"/>
    <w:rsid w:val="006A649A"/>
    <w:rsid w:val="006B1B49"/>
    <w:rsid w:val="006B5D5A"/>
    <w:rsid w:val="006B638B"/>
    <w:rsid w:val="006B6390"/>
    <w:rsid w:val="006B70DB"/>
    <w:rsid w:val="006B7C81"/>
    <w:rsid w:val="006C0356"/>
    <w:rsid w:val="006C0843"/>
    <w:rsid w:val="006C24D1"/>
    <w:rsid w:val="006C5CAE"/>
    <w:rsid w:val="006C74B1"/>
    <w:rsid w:val="006C7ECC"/>
    <w:rsid w:val="006D040D"/>
    <w:rsid w:val="006D05B2"/>
    <w:rsid w:val="006D190F"/>
    <w:rsid w:val="006D20F7"/>
    <w:rsid w:val="006D7ECF"/>
    <w:rsid w:val="006E5053"/>
    <w:rsid w:val="006E57AA"/>
    <w:rsid w:val="006F04D5"/>
    <w:rsid w:val="006F0A7D"/>
    <w:rsid w:val="006F1CFD"/>
    <w:rsid w:val="006F20CF"/>
    <w:rsid w:val="006F360A"/>
    <w:rsid w:val="006F38ED"/>
    <w:rsid w:val="006F487A"/>
    <w:rsid w:val="006F7074"/>
    <w:rsid w:val="00701316"/>
    <w:rsid w:val="0070296D"/>
    <w:rsid w:val="00703417"/>
    <w:rsid w:val="007037AC"/>
    <w:rsid w:val="0070573B"/>
    <w:rsid w:val="00707457"/>
    <w:rsid w:val="0070767C"/>
    <w:rsid w:val="00707D4D"/>
    <w:rsid w:val="0071148B"/>
    <w:rsid w:val="0071395D"/>
    <w:rsid w:val="00713F06"/>
    <w:rsid w:val="00713F15"/>
    <w:rsid w:val="00714FC4"/>
    <w:rsid w:val="00715930"/>
    <w:rsid w:val="00723503"/>
    <w:rsid w:val="00723698"/>
    <w:rsid w:val="00723880"/>
    <w:rsid w:val="00723D60"/>
    <w:rsid w:val="00727CF8"/>
    <w:rsid w:val="00730155"/>
    <w:rsid w:val="00730C04"/>
    <w:rsid w:val="00731116"/>
    <w:rsid w:val="00731276"/>
    <w:rsid w:val="00732569"/>
    <w:rsid w:val="00732BA5"/>
    <w:rsid w:val="00732DC6"/>
    <w:rsid w:val="0073597B"/>
    <w:rsid w:val="007378F6"/>
    <w:rsid w:val="00743041"/>
    <w:rsid w:val="007438D0"/>
    <w:rsid w:val="00743C88"/>
    <w:rsid w:val="00745062"/>
    <w:rsid w:val="0074545D"/>
    <w:rsid w:val="00746018"/>
    <w:rsid w:val="00746516"/>
    <w:rsid w:val="007515D8"/>
    <w:rsid w:val="007522E3"/>
    <w:rsid w:val="00752F2E"/>
    <w:rsid w:val="0075335B"/>
    <w:rsid w:val="00753505"/>
    <w:rsid w:val="00753B0C"/>
    <w:rsid w:val="00753C44"/>
    <w:rsid w:val="00754383"/>
    <w:rsid w:val="0075457B"/>
    <w:rsid w:val="00754C19"/>
    <w:rsid w:val="007564D1"/>
    <w:rsid w:val="00756806"/>
    <w:rsid w:val="00757232"/>
    <w:rsid w:val="00760679"/>
    <w:rsid w:val="00762B50"/>
    <w:rsid w:val="00762E63"/>
    <w:rsid w:val="00763628"/>
    <w:rsid w:val="007650D8"/>
    <w:rsid w:val="00766F35"/>
    <w:rsid w:val="0076727A"/>
    <w:rsid w:val="007675E5"/>
    <w:rsid w:val="00767E99"/>
    <w:rsid w:val="007714B7"/>
    <w:rsid w:val="00772E62"/>
    <w:rsid w:val="0077789B"/>
    <w:rsid w:val="00780521"/>
    <w:rsid w:val="00780D29"/>
    <w:rsid w:val="00783265"/>
    <w:rsid w:val="00784A7E"/>
    <w:rsid w:val="0078664C"/>
    <w:rsid w:val="00791C8D"/>
    <w:rsid w:val="00794181"/>
    <w:rsid w:val="00794DBE"/>
    <w:rsid w:val="0079791F"/>
    <w:rsid w:val="00797A7A"/>
    <w:rsid w:val="007A069A"/>
    <w:rsid w:val="007A3DDF"/>
    <w:rsid w:val="007A5BD0"/>
    <w:rsid w:val="007A5EFC"/>
    <w:rsid w:val="007A653F"/>
    <w:rsid w:val="007A66A9"/>
    <w:rsid w:val="007A7F6F"/>
    <w:rsid w:val="007B2866"/>
    <w:rsid w:val="007B2981"/>
    <w:rsid w:val="007B4C76"/>
    <w:rsid w:val="007B60EE"/>
    <w:rsid w:val="007B6300"/>
    <w:rsid w:val="007B65DD"/>
    <w:rsid w:val="007C2260"/>
    <w:rsid w:val="007C3088"/>
    <w:rsid w:val="007C4225"/>
    <w:rsid w:val="007D1E52"/>
    <w:rsid w:val="007D2127"/>
    <w:rsid w:val="007D2358"/>
    <w:rsid w:val="007D34B4"/>
    <w:rsid w:val="007D53BD"/>
    <w:rsid w:val="007D5730"/>
    <w:rsid w:val="007D697D"/>
    <w:rsid w:val="007D6E33"/>
    <w:rsid w:val="007D729E"/>
    <w:rsid w:val="007D7837"/>
    <w:rsid w:val="007D7CAC"/>
    <w:rsid w:val="007E1372"/>
    <w:rsid w:val="007E2064"/>
    <w:rsid w:val="007E39E4"/>
    <w:rsid w:val="007E3E53"/>
    <w:rsid w:val="007E4ED1"/>
    <w:rsid w:val="007E58FB"/>
    <w:rsid w:val="007E61AC"/>
    <w:rsid w:val="007E64C9"/>
    <w:rsid w:val="007E67E0"/>
    <w:rsid w:val="007E6FB3"/>
    <w:rsid w:val="007F0BDC"/>
    <w:rsid w:val="007F0E34"/>
    <w:rsid w:val="007F21B4"/>
    <w:rsid w:val="007F33A1"/>
    <w:rsid w:val="007F52CD"/>
    <w:rsid w:val="007F6748"/>
    <w:rsid w:val="007F70BA"/>
    <w:rsid w:val="00800A81"/>
    <w:rsid w:val="008013E8"/>
    <w:rsid w:val="00802553"/>
    <w:rsid w:val="00803EAB"/>
    <w:rsid w:val="00804098"/>
    <w:rsid w:val="008046B5"/>
    <w:rsid w:val="00804F9E"/>
    <w:rsid w:val="00805DF5"/>
    <w:rsid w:val="00807A6D"/>
    <w:rsid w:val="008127C0"/>
    <w:rsid w:val="00812861"/>
    <w:rsid w:val="0081299B"/>
    <w:rsid w:val="00812BA9"/>
    <w:rsid w:val="00812EDD"/>
    <w:rsid w:val="008139C5"/>
    <w:rsid w:val="0081597E"/>
    <w:rsid w:val="00816419"/>
    <w:rsid w:val="0081650F"/>
    <w:rsid w:val="00820047"/>
    <w:rsid w:val="00820420"/>
    <w:rsid w:val="00821350"/>
    <w:rsid w:val="008226C8"/>
    <w:rsid w:val="0082433C"/>
    <w:rsid w:val="00825419"/>
    <w:rsid w:val="008265D6"/>
    <w:rsid w:val="0083027F"/>
    <w:rsid w:val="00830F66"/>
    <w:rsid w:val="008328A4"/>
    <w:rsid w:val="00832B31"/>
    <w:rsid w:val="00832EE2"/>
    <w:rsid w:val="008340F1"/>
    <w:rsid w:val="00834DC6"/>
    <w:rsid w:val="008371FA"/>
    <w:rsid w:val="008403E0"/>
    <w:rsid w:val="0084352B"/>
    <w:rsid w:val="00843F5C"/>
    <w:rsid w:val="00843FE3"/>
    <w:rsid w:val="0084657B"/>
    <w:rsid w:val="00850327"/>
    <w:rsid w:val="008507B5"/>
    <w:rsid w:val="008515B8"/>
    <w:rsid w:val="00855944"/>
    <w:rsid w:val="008631C5"/>
    <w:rsid w:val="00863DFD"/>
    <w:rsid w:val="00864A18"/>
    <w:rsid w:val="00867478"/>
    <w:rsid w:val="00867CCF"/>
    <w:rsid w:val="00870833"/>
    <w:rsid w:val="00871327"/>
    <w:rsid w:val="0087168D"/>
    <w:rsid w:val="00873B23"/>
    <w:rsid w:val="00874571"/>
    <w:rsid w:val="008746FF"/>
    <w:rsid w:val="00874E77"/>
    <w:rsid w:val="008752A1"/>
    <w:rsid w:val="00877FF5"/>
    <w:rsid w:val="00881874"/>
    <w:rsid w:val="00881F93"/>
    <w:rsid w:val="00882CB5"/>
    <w:rsid w:val="00883641"/>
    <w:rsid w:val="00884E69"/>
    <w:rsid w:val="008871C8"/>
    <w:rsid w:val="00890082"/>
    <w:rsid w:val="00891CEF"/>
    <w:rsid w:val="00893E8A"/>
    <w:rsid w:val="00894780"/>
    <w:rsid w:val="00895A10"/>
    <w:rsid w:val="008A396B"/>
    <w:rsid w:val="008A48D2"/>
    <w:rsid w:val="008A7122"/>
    <w:rsid w:val="008B0252"/>
    <w:rsid w:val="008B0B05"/>
    <w:rsid w:val="008B232F"/>
    <w:rsid w:val="008B2610"/>
    <w:rsid w:val="008B409E"/>
    <w:rsid w:val="008B4401"/>
    <w:rsid w:val="008B471D"/>
    <w:rsid w:val="008B49E4"/>
    <w:rsid w:val="008B4EEC"/>
    <w:rsid w:val="008B635A"/>
    <w:rsid w:val="008B729C"/>
    <w:rsid w:val="008B7BB2"/>
    <w:rsid w:val="008C1737"/>
    <w:rsid w:val="008C18A8"/>
    <w:rsid w:val="008C1B86"/>
    <w:rsid w:val="008C4A93"/>
    <w:rsid w:val="008C555C"/>
    <w:rsid w:val="008C621F"/>
    <w:rsid w:val="008C76BC"/>
    <w:rsid w:val="008C76F2"/>
    <w:rsid w:val="008C7E99"/>
    <w:rsid w:val="008D2067"/>
    <w:rsid w:val="008D21AA"/>
    <w:rsid w:val="008D21B4"/>
    <w:rsid w:val="008D2DFA"/>
    <w:rsid w:val="008D36DB"/>
    <w:rsid w:val="008D3730"/>
    <w:rsid w:val="008D46D9"/>
    <w:rsid w:val="008D54A0"/>
    <w:rsid w:val="008D70BF"/>
    <w:rsid w:val="008E029B"/>
    <w:rsid w:val="008E05E2"/>
    <w:rsid w:val="008E0E49"/>
    <w:rsid w:val="008E1312"/>
    <w:rsid w:val="008E35FD"/>
    <w:rsid w:val="008E59E2"/>
    <w:rsid w:val="008E5F9E"/>
    <w:rsid w:val="008E6227"/>
    <w:rsid w:val="008E7A81"/>
    <w:rsid w:val="008F03AA"/>
    <w:rsid w:val="008F3F13"/>
    <w:rsid w:val="008F4208"/>
    <w:rsid w:val="008F4ACC"/>
    <w:rsid w:val="008F4CD7"/>
    <w:rsid w:val="008F590B"/>
    <w:rsid w:val="008F5EFF"/>
    <w:rsid w:val="008F6325"/>
    <w:rsid w:val="0090064C"/>
    <w:rsid w:val="009043CE"/>
    <w:rsid w:val="00904E2A"/>
    <w:rsid w:val="0090543D"/>
    <w:rsid w:val="009056C5"/>
    <w:rsid w:val="009062F9"/>
    <w:rsid w:val="00907A3F"/>
    <w:rsid w:val="00912B91"/>
    <w:rsid w:val="00916A33"/>
    <w:rsid w:val="009179DE"/>
    <w:rsid w:val="00924467"/>
    <w:rsid w:val="009255CE"/>
    <w:rsid w:val="009262F2"/>
    <w:rsid w:val="00927026"/>
    <w:rsid w:val="00927533"/>
    <w:rsid w:val="009304E1"/>
    <w:rsid w:val="00931C7E"/>
    <w:rsid w:val="00937791"/>
    <w:rsid w:val="0093790F"/>
    <w:rsid w:val="0094299E"/>
    <w:rsid w:val="00944B85"/>
    <w:rsid w:val="009503D3"/>
    <w:rsid w:val="00950986"/>
    <w:rsid w:val="00950F05"/>
    <w:rsid w:val="00951933"/>
    <w:rsid w:val="00951BDF"/>
    <w:rsid w:val="00952280"/>
    <w:rsid w:val="00953B1E"/>
    <w:rsid w:val="00954343"/>
    <w:rsid w:val="00955271"/>
    <w:rsid w:val="009563F2"/>
    <w:rsid w:val="00956687"/>
    <w:rsid w:val="00963444"/>
    <w:rsid w:val="00963700"/>
    <w:rsid w:val="00963C9C"/>
    <w:rsid w:val="0096421F"/>
    <w:rsid w:val="00964A28"/>
    <w:rsid w:val="00965B6B"/>
    <w:rsid w:val="00966D4A"/>
    <w:rsid w:val="009672B2"/>
    <w:rsid w:val="00970BF2"/>
    <w:rsid w:val="00970F01"/>
    <w:rsid w:val="00971C53"/>
    <w:rsid w:val="00971EDB"/>
    <w:rsid w:val="0097305A"/>
    <w:rsid w:val="00973A71"/>
    <w:rsid w:val="00974D50"/>
    <w:rsid w:val="00976777"/>
    <w:rsid w:val="00980502"/>
    <w:rsid w:val="00980858"/>
    <w:rsid w:val="0098106E"/>
    <w:rsid w:val="00981310"/>
    <w:rsid w:val="00981614"/>
    <w:rsid w:val="00983C89"/>
    <w:rsid w:val="00984E34"/>
    <w:rsid w:val="00987ABE"/>
    <w:rsid w:val="00990B16"/>
    <w:rsid w:val="00990CC6"/>
    <w:rsid w:val="00990CE5"/>
    <w:rsid w:val="00990F40"/>
    <w:rsid w:val="00991111"/>
    <w:rsid w:val="00991EE4"/>
    <w:rsid w:val="00992D0C"/>
    <w:rsid w:val="009939DC"/>
    <w:rsid w:val="00993B9C"/>
    <w:rsid w:val="00993F0A"/>
    <w:rsid w:val="009949C6"/>
    <w:rsid w:val="009A19C6"/>
    <w:rsid w:val="009A371F"/>
    <w:rsid w:val="009A5C2F"/>
    <w:rsid w:val="009A5D27"/>
    <w:rsid w:val="009A7866"/>
    <w:rsid w:val="009A7D60"/>
    <w:rsid w:val="009B188C"/>
    <w:rsid w:val="009B1FAD"/>
    <w:rsid w:val="009B43FE"/>
    <w:rsid w:val="009B4E1E"/>
    <w:rsid w:val="009B51E4"/>
    <w:rsid w:val="009B672E"/>
    <w:rsid w:val="009B7D14"/>
    <w:rsid w:val="009C021E"/>
    <w:rsid w:val="009C03FB"/>
    <w:rsid w:val="009C1276"/>
    <w:rsid w:val="009C4B4F"/>
    <w:rsid w:val="009C55E7"/>
    <w:rsid w:val="009C7B7B"/>
    <w:rsid w:val="009C7F32"/>
    <w:rsid w:val="009D0C00"/>
    <w:rsid w:val="009D16DF"/>
    <w:rsid w:val="009D19D0"/>
    <w:rsid w:val="009D372C"/>
    <w:rsid w:val="009D66B9"/>
    <w:rsid w:val="009D75FA"/>
    <w:rsid w:val="009E1B67"/>
    <w:rsid w:val="009E2537"/>
    <w:rsid w:val="009E3736"/>
    <w:rsid w:val="009E6711"/>
    <w:rsid w:val="009F0C02"/>
    <w:rsid w:val="009F3228"/>
    <w:rsid w:val="009F5654"/>
    <w:rsid w:val="009F5758"/>
    <w:rsid w:val="009F6E2B"/>
    <w:rsid w:val="009F7330"/>
    <w:rsid w:val="009F78C5"/>
    <w:rsid w:val="009F7B8F"/>
    <w:rsid w:val="00A00A2D"/>
    <w:rsid w:val="00A0283F"/>
    <w:rsid w:val="00A04F4A"/>
    <w:rsid w:val="00A05F59"/>
    <w:rsid w:val="00A071C7"/>
    <w:rsid w:val="00A07D95"/>
    <w:rsid w:val="00A10F1B"/>
    <w:rsid w:val="00A111C6"/>
    <w:rsid w:val="00A11978"/>
    <w:rsid w:val="00A12DF6"/>
    <w:rsid w:val="00A14AA7"/>
    <w:rsid w:val="00A15295"/>
    <w:rsid w:val="00A15CF2"/>
    <w:rsid w:val="00A161E6"/>
    <w:rsid w:val="00A1652B"/>
    <w:rsid w:val="00A20A8B"/>
    <w:rsid w:val="00A234FF"/>
    <w:rsid w:val="00A256BB"/>
    <w:rsid w:val="00A26343"/>
    <w:rsid w:val="00A303F9"/>
    <w:rsid w:val="00A31B0E"/>
    <w:rsid w:val="00A320BC"/>
    <w:rsid w:val="00A32654"/>
    <w:rsid w:val="00A37260"/>
    <w:rsid w:val="00A40396"/>
    <w:rsid w:val="00A408B5"/>
    <w:rsid w:val="00A41CDA"/>
    <w:rsid w:val="00A4651C"/>
    <w:rsid w:val="00A474C2"/>
    <w:rsid w:val="00A5084D"/>
    <w:rsid w:val="00A50D65"/>
    <w:rsid w:val="00A51788"/>
    <w:rsid w:val="00A52527"/>
    <w:rsid w:val="00A529E2"/>
    <w:rsid w:val="00A539F8"/>
    <w:rsid w:val="00A5603B"/>
    <w:rsid w:val="00A6034C"/>
    <w:rsid w:val="00A60C03"/>
    <w:rsid w:val="00A63B70"/>
    <w:rsid w:val="00A63CC3"/>
    <w:rsid w:val="00A6491A"/>
    <w:rsid w:val="00A64FE2"/>
    <w:rsid w:val="00A65387"/>
    <w:rsid w:val="00A6594E"/>
    <w:rsid w:val="00A668B9"/>
    <w:rsid w:val="00A66BA3"/>
    <w:rsid w:val="00A6722C"/>
    <w:rsid w:val="00A727B6"/>
    <w:rsid w:val="00A73AA0"/>
    <w:rsid w:val="00A76AD6"/>
    <w:rsid w:val="00A7773C"/>
    <w:rsid w:val="00A81CC6"/>
    <w:rsid w:val="00A83EC6"/>
    <w:rsid w:val="00A84279"/>
    <w:rsid w:val="00A86F5D"/>
    <w:rsid w:val="00A8732C"/>
    <w:rsid w:val="00A87B0B"/>
    <w:rsid w:val="00A87EF3"/>
    <w:rsid w:val="00A9058E"/>
    <w:rsid w:val="00A9062D"/>
    <w:rsid w:val="00A90670"/>
    <w:rsid w:val="00A92BF0"/>
    <w:rsid w:val="00A92CE6"/>
    <w:rsid w:val="00A93F58"/>
    <w:rsid w:val="00A95646"/>
    <w:rsid w:val="00A9610E"/>
    <w:rsid w:val="00A96329"/>
    <w:rsid w:val="00A96741"/>
    <w:rsid w:val="00AA134B"/>
    <w:rsid w:val="00AA1A3C"/>
    <w:rsid w:val="00AA2CFE"/>
    <w:rsid w:val="00AA389F"/>
    <w:rsid w:val="00AA3D27"/>
    <w:rsid w:val="00AA41EF"/>
    <w:rsid w:val="00AA5FDA"/>
    <w:rsid w:val="00AA6291"/>
    <w:rsid w:val="00AA71F1"/>
    <w:rsid w:val="00AA7C6F"/>
    <w:rsid w:val="00AB167D"/>
    <w:rsid w:val="00AB1C0B"/>
    <w:rsid w:val="00AB7998"/>
    <w:rsid w:val="00AC0ACD"/>
    <w:rsid w:val="00AC0C91"/>
    <w:rsid w:val="00AC10A2"/>
    <w:rsid w:val="00AC206A"/>
    <w:rsid w:val="00AC7607"/>
    <w:rsid w:val="00AD130B"/>
    <w:rsid w:val="00AD181F"/>
    <w:rsid w:val="00AD28F3"/>
    <w:rsid w:val="00AD3119"/>
    <w:rsid w:val="00AD37D4"/>
    <w:rsid w:val="00AD3FDA"/>
    <w:rsid w:val="00AD40ED"/>
    <w:rsid w:val="00AD4269"/>
    <w:rsid w:val="00AD510E"/>
    <w:rsid w:val="00AD7986"/>
    <w:rsid w:val="00AE1188"/>
    <w:rsid w:val="00AE1479"/>
    <w:rsid w:val="00AE3C68"/>
    <w:rsid w:val="00AE3CB5"/>
    <w:rsid w:val="00AE49B4"/>
    <w:rsid w:val="00AE738C"/>
    <w:rsid w:val="00AF0D8C"/>
    <w:rsid w:val="00AF1046"/>
    <w:rsid w:val="00AF3CBC"/>
    <w:rsid w:val="00AF4091"/>
    <w:rsid w:val="00AF4466"/>
    <w:rsid w:val="00AF49BB"/>
    <w:rsid w:val="00AF5D1E"/>
    <w:rsid w:val="00AF63D9"/>
    <w:rsid w:val="00AF6D13"/>
    <w:rsid w:val="00B0079E"/>
    <w:rsid w:val="00B01113"/>
    <w:rsid w:val="00B01831"/>
    <w:rsid w:val="00B040A9"/>
    <w:rsid w:val="00B042EE"/>
    <w:rsid w:val="00B071B3"/>
    <w:rsid w:val="00B072E4"/>
    <w:rsid w:val="00B075B3"/>
    <w:rsid w:val="00B1173C"/>
    <w:rsid w:val="00B128B3"/>
    <w:rsid w:val="00B12A1F"/>
    <w:rsid w:val="00B144E7"/>
    <w:rsid w:val="00B1711E"/>
    <w:rsid w:val="00B17C30"/>
    <w:rsid w:val="00B17CBE"/>
    <w:rsid w:val="00B17E26"/>
    <w:rsid w:val="00B20EC8"/>
    <w:rsid w:val="00B21262"/>
    <w:rsid w:val="00B231A4"/>
    <w:rsid w:val="00B23BBA"/>
    <w:rsid w:val="00B241A4"/>
    <w:rsid w:val="00B25748"/>
    <w:rsid w:val="00B25D20"/>
    <w:rsid w:val="00B26E5E"/>
    <w:rsid w:val="00B31448"/>
    <w:rsid w:val="00B31C99"/>
    <w:rsid w:val="00B32128"/>
    <w:rsid w:val="00B3384F"/>
    <w:rsid w:val="00B3638A"/>
    <w:rsid w:val="00B364BC"/>
    <w:rsid w:val="00B366B4"/>
    <w:rsid w:val="00B373FD"/>
    <w:rsid w:val="00B416AF"/>
    <w:rsid w:val="00B416B3"/>
    <w:rsid w:val="00B421ED"/>
    <w:rsid w:val="00B4249F"/>
    <w:rsid w:val="00B43632"/>
    <w:rsid w:val="00B45CB4"/>
    <w:rsid w:val="00B469CC"/>
    <w:rsid w:val="00B50006"/>
    <w:rsid w:val="00B50687"/>
    <w:rsid w:val="00B510A0"/>
    <w:rsid w:val="00B53ACD"/>
    <w:rsid w:val="00B53BA6"/>
    <w:rsid w:val="00B53ED9"/>
    <w:rsid w:val="00B543DD"/>
    <w:rsid w:val="00B54B00"/>
    <w:rsid w:val="00B55D84"/>
    <w:rsid w:val="00B566E8"/>
    <w:rsid w:val="00B5731D"/>
    <w:rsid w:val="00B6378B"/>
    <w:rsid w:val="00B63E3A"/>
    <w:rsid w:val="00B6411D"/>
    <w:rsid w:val="00B64E14"/>
    <w:rsid w:val="00B64F37"/>
    <w:rsid w:val="00B65872"/>
    <w:rsid w:val="00B67175"/>
    <w:rsid w:val="00B679B0"/>
    <w:rsid w:val="00B712D6"/>
    <w:rsid w:val="00B71C91"/>
    <w:rsid w:val="00B72245"/>
    <w:rsid w:val="00B72812"/>
    <w:rsid w:val="00B729A3"/>
    <w:rsid w:val="00B74ACD"/>
    <w:rsid w:val="00B75965"/>
    <w:rsid w:val="00B75D64"/>
    <w:rsid w:val="00B771AD"/>
    <w:rsid w:val="00B80210"/>
    <w:rsid w:val="00B80911"/>
    <w:rsid w:val="00B80E47"/>
    <w:rsid w:val="00B814CB"/>
    <w:rsid w:val="00B82F2A"/>
    <w:rsid w:val="00B84417"/>
    <w:rsid w:val="00B8581F"/>
    <w:rsid w:val="00B8712D"/>
    <w:rsid w:val="00B902B6"/>
    <w:rsid w:val="00B920AE"/>
    <w:rsid w:val="00B92D5C"/>
    <w:rsid w:val="00B938FF"/>
    <w:rsid w:val="00B954D1"/>
    <w:rsid w:val="00B97695"/>
    <w:rsid w:val="00B977E6"/>
    <w:rsid w:val="00B97A7E"/>
    <w:rsid w:val="00BA0CF8"/>
    <w:rsid w:val="00BA1391"/>
    <w:rsid w:val="00BA1ADF"/>
    <w:rsid w:val="00BA488E"/>
    <w:rsid w:val="00BA51FC"/>
    <w:rsid w:val="00BA7BC1"/>
    <w:rsid w:val="00BB003A"/>
    <w:rsid w:val="00BB032E"/>
    <w:rsid w:val="00BB1232"/>
    <w:rsid w:val="00BB1C9F"/>
    <w:rsid w:val="00BB2A7D"/>
    <w:rsid w:val="00BB3358"/>
    <w:rsid w:val="00BB3382"/>
    <w:rsid w:val="00BB3643"/>
    <w:rsid w:val="00BB6B01"/>
    <w:rsid w:val="00BC10DC"/>
    <w:rsid w:val="00BC1D70"/>
    <w:rsid w:val="00BC2F18"/>
    <w:rsid w:val="00BC3C08"/>
    <w:rsid w:val="00BC3DA0"/>
    <w:rsid w:val="00BC4061"/>
    <w:rsid w:val="00BC424B"/>
    <w:rsid w:val="00BD34A6"/>
    <w:rsid w:val="00BD3C83"/>
    <w:rsid w:val="00BD4577"/>
    <w:rsid w:val="00BD7142"/>
    <w:rsid w:val="00BE0E21"/>
    <w:rsid w:val="00BE0FDE"/>
    <w:rsid w:val="00BE16EC"/>
    <w:rsid w:val="00BE43C1"/>
    <w:rsid w:val="00BE4F76"/>
    <w:rsid w:val="00BF04E2"/>
    <w:rsid w:val="00BF0EE6"/>
    <w:rsid w:val="00BF1BEB"/>
    <w:rsid w:val="00BF3433"/>
    <w:rsid w:val="00BF5D0B"/>
    <w:rsid w:val="00BF6AC5"/>
    <w:rsid w:val="00C004C3"/>
    <w:rsid w:val="00C01121"/>
    <w:rsid w:val="00C01331"/>
    <w:rsid w:val="00C01F70"/>
    <w:rsid w:val="00C02075"/>
    <w:rsid w:val="00C020F0"/>
    <w:rsid w:val="00C02860"/>
    <w:rsid w:val="00C030A5"/>
    <w:rsid w:val="00C03C0D"/>
    <w:rsid w:val="00C04EA4"/>
    <w:rsid w:val="00C05A45"/>
    <w:rsid w:val="00C05D06"/>
    <w:rsid w:val="00C0609D"/>
    <w:rsid w:val="00C069E3"/>
    <w:rsid w:val="00C0796F"/>
    <w:rsid w:val="00C10371"/>
    <w:rsid w:val="00C10957"/>
    <w:rsid w:val="00C11B34"/>
    <w:rsid w:val="00C12150"/>
    <w:rsid w:val="00C12C5C"/>
    <w:rsid w:val="00C13417"/>
    <w:rsid w:val="00C14C2A"/>
    <w:rsid w:val="00C164AE"/>
    <w:rsid w:val="00C16D03"/>
    <w:rsid w:val="00C171FB"/>
    <w:rsid w:val="00C209C2"/>
    <w:rsid w:val="00C2267F"/>
    <w:rsid w:val="00C22AD8"/>
    <w:rsid w:val="00C247E2"/>
    <w:rsid w:val="00C250E9"/>
    <w:rsid w:val="00C260F1"/>
    <w:rsid w:val="00C26450"/>
    <w:rsid w:val="00C26476"/>
    <w:rsid w:val="00C27165"/>
    <w:rsid w:val="00C32800"/>
    <w:rsid w:val="00C33EDD"/>
    <w:rsid w:val="00C34389"/>
    <w:rsid w:val="00C34BB5"/>
    <w:rsid w:val="00C34CE4"/>
    <w:rsid w:val="00C3557E"/>
    <w:rsid w:val="00C3594B"/>
    <w:rsid w:val="00C367DF"/>
    <w:rsid w:val="00C36D52"/>
    <w:rsid w:val="00C41716"/>
    <w:rsid w:val="00C41EA0"/>
    <w:rsid w:val="00C4289A"/>
    <w:rsid w:val="00C43102"/>
    <w:rsid w:val="00C45C68"/>
    <w:rsid w:val="00C4696B"/>
    <w:rsid w:val="00C50513"/>
    <w:rsid w:val="00C5177A"/>
    <w:rsid w:val="00C53899"/>
    <w:rsid w:val="00C54503"/>
    <w:rsid w:val="00C55DE0"/>
    <w:rsid w:val="00C60824"/>
    <w:rsid w:val="00C60A3F"/>
    <w:rsid w:val="00C6266B"/>
    <w:rsid w:val="00C62855"/>
    <w:rsid w:val="00C63055"/>
    <w:rsid w:val="00C649E4"/>
    <w:rsid w:val="00C67C34"/>
    <w:rsid w:val="00C72B78"/>
    <w:rsid w:val="00C72C3C"/>
    <w:rsid w:val="00C72D5F"/>
    <w:rsid w:val="00C73B62"/>
    <w:rsid w:val="00C76DF3"/>
    <w:rsid w:val="00C776B1"/>
    <w:rsid w:val="00C77A68"/>
    <w:rsid w:val="00C815FE"/>
    <w:rsid w:val="00C8213A"/>
    <w:rsid w:val="00C82BBD"/>
    <w:rsid w:val="00C847AE"/>
    <w:rsid w:val="00C84C0B"/>
    <w:rsid w:val="00C859DC"/>
    <w:rsid w:val="00C931CB"/>
    <w:rsid w:val="00CA0166"/>
    <w:rsid w:val="00CA0264"/>
    <w:rsid w:val="00CA04C6"/>
    <w:rsid w:val="00CA26DD"/>
    <w:rsid w:val="00CA36EE"/>
    <w:rsid w:val="00CA6A2B"/>
    <w:rsid w:val="00CA6F22"/>
    <w:rsid w:val="00CB0D8A"/>
    <w:rsid w:val="00CB12EC"/>
    <w:rsid w:val="00CB5265"/>
    <w:rsid w:val="00CC09D7"/>
    <w:rsid w:val="00CC12B8"/>
    <w:rsid w:val="00CC3A48"/>
    <w:rsid w:val="00CC3B44"/>
    <w:rsid w:val="00CC50EC"/>
    <w:rsid w:val="00CD17CC"/>
    <w:rsid w:val="00CD2102"/>
    <w:rsid w:val="00CD219E"/>
    <w:rsid w:val="00CD22E3"/>
    <w:rsid w:val="00CD2407"/>
    <w:rsid w:val="00CD3994"/>
    <w:rsid w:val="00CD4279"/>
    <w:rsid w:val="00CD4E44"/>
    <w:rsid w:val="00CD53F1"/>
    <w:rsid w:val="00CD5AE4"/>
    <w:rsid w:val="00CD7A7D"/>
    <w:rsid w:val="00CD7AD0"/>
    <w:rsid w:val="00CD7B1B"/>
    <w:rsid w:val="00CE0166"/>
    <w:rsid w:val="00CE0B6B"/>
    <w:rsid w:val="00CE0DB5"/>
    <w:rsid w:val="00CE0F33"/>
    <w:rsid w:val="00CE12CF"/>
    <w:rsid w:val="00CE1433"/>
    <w:rsid w:val="00CE7427"/>
    <w:rsid w:val="00CE7923"/>
    <w:rsid w:val="00CF22EF"/>
    <w:rsid w:val="00CF2D8E"/>
    <w:rsid w:val="00CF2DFA"/>
    <w:rsid w:val="00CF5382"/>
    <w:rsid w:val="00CF5AD8"/>
    <w:rsid w:val="00CF7532"/>
    <w:rsid w:val="00D00122"/>
    <w:rsid w:val="00D01D2A"/>
    <w:rsid w:val="00D04FB2"/>
    <w:rsid w:val="00D05D30"/>
    <w:rsid w:val="00D075B8"/>
    <w:rsid w:val="00D10B47"/>
    <w:rsid w:val="00D11EB1"/>
    <w:rsid w:val="00D13CC5"/>
    <w:rsid w:val="00D15336"/>
    <w:rsid w:val="00D15A7D"/>
    <w:rsid w:val="00D16A59"/>
    <w:rsid w:val="00D17000"/>
    <w:rsid w:val="00D17F17"/>
    <w:rsid w:val="00D212E0"/>
    <w:rsid w:val="00D22CFE"/>
    <w:rsid w:val="00D23597"/>
    <w:rsid w:val="00D24319"/>
    <w:rsid w:val="00D259F7"/>
    <w:rsid w:val="00D25A8F"/>
    <w:rsid w:val="00D26895"/>
    <w:rsid w:val="00D26F38"/>
    <w:rsid w:val="00D27A11"/>
    <w:rsid w:val="00D304D8"/>
    <w:rsid w:val="00D30AD7"/>
    <w:rsid w:val="00D30BDC"/>
    <w:rsid w:val="00D31A55"/>
    <w:rsid w:val="00D329EA"/>
    <w:rsid w:val="00D32D3D"/>
    <w:rsid w:val="00D3363B"/>
    <w:rsid w:val="00D35C12"/>
    <w:rsid w:val="00D37D52"/>
    <w:rsid w:val="00D37D72"/>
    <w:rsid w:val="00D4024B"/>
    <w:rsid w:val="00D40DA7"/>
    <w:rsid w:val="00D42297"/>
    <w:rsid w:val="00D446EC"/>
    <w:rsid w:val="00D4664D"/>
    <w:rsid w:val="00D526B9"/>
    <w:rsid w:val="00D53F96"/>
    <w:rsid w:val="00D54526"/>
    <w:rsid w:val="00D57882"/>
    <w:rsid w:val="00D57983"/>
    <w:rsid w:val="00D57984"/>
    <w:rsid w:val="00D57F88"/>
    <w:rsid w:val="00D61768"/>
    <w:rsid w:val="00D62BCB"/>
    <w:rsid w:val="00D633EC"/>
    <w:rsid w:val="00D656A8"/>
    <w:rsid w:val="00D65E3F"/>
    <w:rsid w:val="00D67836"/>
    <w:rsid w:val="00D7105C"/>
    <w:rsid w:val="00D71463"/>
    <w:rsid w:val="00D722D7"/>
    <w:rsid w:val="00D73646"/>
    <w:rsid w:val="00D73A3D"/>
    <w:rsid w:val="00D7415E"/>
    <w:rsid w:val="00D74EFB"/>
    <w:rsid w:val="00D753EE"/>
    <w:rsid w:val="00D76AC1"/>
    <w:rsid w:val="00D777B4"/>
    <w:rsid w:val="00D77A90"/>
    <w:rsid w:val="00D8189C"/>
    <w:rsid w:val="00D81D6A"/>
    <w:rsid w:val="00D82CF3"/>
    <w:rsid w:val="00D8360B"/>
    <w:rsid w:val="00D85676"/>
    <w:rsid w:val="00D86EEB"/>
    <w:rsid w:val="00D91318"/>
    <w:rsid w:val="00D94556"/>
    <w:rsid w:val="00D94B57"/>
    <w:rsid w:val="00D9571E"/>
    <w:rsid w:val="00D96ADA"/>
    <w:rsid w:val="00DA0654"/>
    <w:rsid w:val="00DA09D5"/>
    <w:rsid w:val="00DA2886"/>
    <w:rsid w:val="00DA3570"/>
    <w:rsid w:val="00DA5E50"/>
    <w:rsid w:val="00DA6C15"/>
    <w:rsid w:val="00DA6D6E"/>
    <w:rsid w:val="00DA71A4"/>
    <w:rsid w:val="00DA71C5"/>
    <w:rsid w:val="00DA7D0C"/>
    <w:rsid w:val="00DB0A7D"/>
    <w:rsid w:val="00DB1435"/>
    <w:rsid w:val="00DB311C"/>
    <w:rsid w:val="00DB3B31"/>
    <w:rsid w:val="00DB432D"/>
    <w:rsid w:val="00DB519B"/>
    <w:rsid w:val="00DB6E46"/>
    <w:rsid w:val="00DC1342"/>
    <w:rsid w:val="00DC14FB"/>
    <w:rsid w:val="00DC2714"/>
    <w:rsid w:val="00DC284D"/>
    <w:rsid w:val="00DC31EF"/>
    <w:rsid w:val="00DC38AA"/>
    <w:rsid w:val="00DC553A"/>
    <w:rsid w:val="00DC6081"/>
    <w:rsid w:val="00DC7694"/>
    <w:rsid w:val="00DC7FBE"/>
    <w:rsid w:val="00DD0E7C"/>
    <w:rsid w:val="00DD130E"/>
    <w:rsid w:val="00DD1358"/>
    <w:rsid w:val="00DD1848"/>
    <w:rsid w:val="00DD1F88"/>
    <w:rsid w:val="00DD308E"/>
    <w:rsid w:val="00DD3807"/>
    <w:rsid w:val="00DD3E0C"/>
    <w:rsid w:val="00DE0DE1"/>
    <w:rsid w:val="00DE1475"/>
    <w:rsid w:val="00DE17D4"/>
    <w:rsid w:val="00DE1A41"/>
    <w:rsid w:val="00DE35F6"/>
    <w:rsid w:val="00DE3DF4"/>
    <w:rsid w:val="00DE4333"/>
    <w:rsid w:val="00DE7AAB"/>
    <w:rsid w:val="00DE7FC0"/>
    <w:rsid w:val="00DF0B0C"/>
    <w:rsid w:val="00DF0C51"/>
    <w:rsid w:val="00DF0D47"/>
    <w:rsid w:val="00DF1652"/>
    <w:rsid w:val="00DF1E51"/>
    <w:rsid w:val="00DF2E68"/>
    <w:rsid w:val="00DF55FC"/>
    <w:rsid w:val="00DF6D37"/>
    <w:rsid w:val="00DF78B8"/>
    <w:rsid w:val="00E006AF"/>
    <w:rsid w:val="00E006BA"/>
    <w:rsid w:val="00E02D8B"/>
    <w:rsid w:val="00E042E7"/>
    <w:rsid w:val="00E048ED"/>
    <w:rsid w:val="00E04EB0"/>
    <w:rsid w:val="00E04FB3"/>
    <w:rsid w:val="00E056FA"/>
    <w:rsid w:val="00E058F2"/>
    <w:rsid w:val="00E05D9C"/>
    <w:rsid w:val="00E06102"/>
    <w:rsid w:val="00E108F8"/>
    <w:rsid w:val="00E12295"/>
    <w:rsid w:val="00E13580"/>
    <w:rsid w:val="00E14EE2"/>
    <w:rsid w:val="00E15F02"/>
    <w:rsid w:val="00E2005A"/>
    <w:rsid w:val="00E20CC8"/>
    <w:rsid w:val="00E229E2"/>
    <w:rsid w:val="00E23E71"/>
    <w:rsid w:val="00E26AE0"/>
    <w:rsid w:val="00E30336"/>
    <w:rsid w:val="00E30F19"/>
    <w:rsid w:val="00E315AB"/>
    <w:rsid w:val="00E33C4A"/>
    <w:rsid w:val="00E357B9"/>
    <w:rsid w:val="00E4321E"/>
    <w:rsid w:val="00E4360C"/>
    <w:rsid w:val="00E439A6"/>
    <w:rsid w:val="00E44B80"/>
    <w:rsid w:val="00E44E5C"/>
    <w:rsid w:val="00E47623"/>
    <w:rsid w:val="00E54775"/>
    <w:rsid w:val="00E54F5E"/>
    <w:rsid w:val="00E55009"/>
    <w:rsid w:val="00E5631B"/>
    <w:rsid w:val="00E56D2A"/>
    <w:rsid w:val="00E57B4B"/>
    <w:rsid w:val="00E60529"/>
    <w:rsid w:val="00E61D01"/>
    <w:rsid w:val="00E6242B"/>
    <w:rsid w:val="00E627E3"/>
    <w:rsid w:val="00E6363E"/>
    <w:rsid w:val="00E64C78"/>
    <w:rsid w:val="00E657B5"/>
    <w:rsid w:val="00E66F8E"/>
    <w:rsid w:val="00E70D86"/>
    <w:rsid w:val="00E71725"/>
    <w:rsid w:val="00E71AC9"/>
    <w:rsid w:val="00E71F7A"/>
    <w:rsid w:val="00E73649"/>
    <w:rsid w:val="00E73822"/>
    <w:rsid w:val="00E74842"/>
    <w:rsid w:val="00E7628E"/>
    <w:rsid w:val="00E76635"/>
    <w:rsid w:val="00E820D9"/>
    <w:rsid w:val="00E82F54"/>
    <w:rsid w:val="00E837EF"/>
    <w:rsid w:val="00E84705"/>
    <w:rsid w:val="00E85AB4"/>
    <w:rsid w:val="00E8649B"/>
    <w:rsid w:val="00E871CD"/>
    <w:rsid w:val="00E905A1"/>
    <w:rsid w:val="00E90990"/>
    <w:rsid w:val="00E91D81"/>
    <w:rsid w:val="00E91E19"/>
    <w:rsid w:val="00E92F98"/>
    <w:rsid w:val="00E936A5"/>
    <w:rsid w:val="00E94D00"/>
    <w:rsid w:val="00E95B71"/>
    <w:rsid w:val="00E95D3D"/>
    <w:rsid w:val="00EA0E25"/>
    <w:rsid w:val="00EA173C"/>
    <w:rsid w:val="00EA2431"/>
    <w:rsid w:val="00EA5FB4"/>
    <w:rsid w:val="00EA6409"/>
    <w:rsid w:val="00EA6771"/>
    <w:rsid w:val="00EA6988"/>
    <w:rsid w:val="00EB0182"/>
    <w:rsid w:val="00EB678A"/>
    <w:rsid w:val="00EB69C0"/>
    <w:rsid w:val="00EC127A"/>
    <w:rsid w:val="00EC1848"/>
    <w:rsid w:val="00EC1FF9"/>
    <w:rsid w:val="00EC2737"/>
    <w:rsid w:val="00EC46A3"/>
    <w:rsid w:val="00EC6D62"/>
    <w:rsid w:val="00EC7759"/>
    <w:rsid w:val="00ED1C44"/>
    <w:rsid w:val="00ED1E18"/>
    <w:rsid w:val="00ED2422"/>
    <w:rsid w:val="00ED3394"/>
    <w:rsid w:val="00ED3816"/>
    <w:rsid w:val="00ED4998"/>
    <w:rsid w:val="00ED4B7A"/>
    <w:rsid w:val="00ED5041"/>
    <w:rsid w:val="00ED60A6"/>
    <w:rsid w:val="00ED6A4D"/>
    <w:rsid w:val="00EE11DC"/>
    <w:rsid w:val="00EE1C4D"/>
    <w:rsid w:val="00EE1F40"/>
    <w:rsid w:val="00EE2716"/>
    <w:rsid w:val="00EE298E"/>
    <w:rsid w:val="00EE379C"/>
    <w:rsid w:val="00EE3C74"/>
    <w:rsid w:val="00EE6450"/>
    <w:rsid w:val="00EF0AC2"/>
    <w:rsid w:val="00EF2287"/>
    <w:rsid w:val="00EF2961"/>
    <w:rsid w:val="00EF6525"/>
    <w:rsid w:val="00F00E0E"/>
    <w:rsid w:val="00F00F7A"/>
    <w:rsid w:val="00F01C2C"/>
    <w:rsid w:val="00F03152"/>
    <w:rsid w:val="00F03D38"/>
    <w:rsid w:val="00F05976"/>
    <w:rsid w:val="00F06D81"/>
    <w:rsid w:val="00F07AD9"/>
    <w:rsid w:val="00F10D3E"/>
    <w:rsid w:val="00F10ED8"/>
    <w:rsid w:val="00F11DCB"/>
    <w:rsid w:val="00F13A9A"/>
    <w:rsid w:val="00F21165"/>
    <w:rsid w:val="00F222BE"/>
    <w:rsid w:val="00F22307"/>
    <w:rsid w:val="00F22AB2"/>
    <w:rsid w:val="00F23DB9"/>
    <w:rsid w:val="00F24179"/>
    <w:rsid w:val="00F301F1"/>
    <w:rsid w:val="00F30C22"/>
    <w:rsid w:val="00F3119F"/>
    <w:rsid w:val="00F33293"/>
    <w:rsid w:val="00F33F1A"/>
    <w:rsid w:val="00F34AEC"/>
    <w:rsid w:val="00F3526D"/>
    <w:rsid w:val="00F36F0E"/>
    <w:rsid w:val="00F372AB"/>
    <w:rsid w:val="00F40B02"/>
    <w:rsid w:val="00F410F3"/>
    <w:rsid w:val="00F44641"/>
    <w:rsid w:val="00F45ACB"/>
    <w:rsid w:val="00F4650E"/>
    <w:rsid w:val="00F50371"/>
    <w:rsid w:val="00F50B70"/>
    <w:rsid w:val="00F51387"/>
    <w:rsid w:val="00F523F3"/>
    <w:rsid w:val="00F52EA8"/>
    <w:rsid w:val="00F547F7"/>
    <w:rsid w:val="00F54CCF"/>
    <w:rsid w:val="00F555B5"/>
    <w:rsid w:val="00F57358"/>
    <w:rsid w:val="00F61D7A"/>
    <w:rsid w:val="00F62BD0"/>
    <w:rsid w:val="00F637B3"/>
    <w:rsid w:val="00F63A62"/>
    <w:rsid w:val="00F6499C"/>
    <w:rsid w:val="00F65BBE"/>
    <w:rsid w:val="00F66908"/>
    <w:rsid w:val="00F66CF7"/>
    <w:rsid w:val="00F66ED5"/>
    <w:rsid w:val="00F67BCB"/>
    <w:rsid w:val="00F719CD"/>
    <w:rsid w:val="00F73734"/>
    <w:rsid w:val="00F74EFE"/>
    <w:rsid w:val="00F77C57"/>
    <w:rsid w:val="00F813C7"/>
    <w:rsid w:val="00F8195C"/>
    <w:rsid w:val="00F8220C"/>
    <w:rsid w:val="00F82CCC"/>
    <w:rsid w:val="00F83566"/>
    <w:rsid w:val="00F83A9D"/>
    <w:rsid w:val="00F84E19"/>
    <w:rsid w:val="00F85449"/>
    <w:rsid w:val="00F87299"/>
    <w:rsid w:val="00F906B5"/>
    <w:rsid w:val="00F90DC8"/>
    <w:rsid w:val="00F93784"/>
    <w:rsid w:val="00F94103"/>
    <w:rsid w:val="00F9546A"/>
    <w:rsid w:val="00F971CC"/>
    <w:rsid w:val="00F97CF1"/>
    <w:rsid w:val="00FA1427"/>
    <w:rsid w:val="00FA2CAA"/>
    <w:rsid w:val="00FA3DA1"/>
    <w:rsid w:val="00FA646B"/>
    <w:rsid w:val="00FA64AC"/>
    <w:rsid w:val="00FA6554"/>
    <w:rsid w:val="00FA6BA0"/>
    <w:rsid w:val="00FB2A0A"/>
    <w:rsid w:val="00FB3169"/>
    <w:rsid w:val="00FC29A2"/>
    <w:rsid w:val="00FC3DAF"/>
    <w:rsid w:val="00FC5F2D"/>
    <w:rsid w:val="00FC5F42"/>
    <w:rsid w:val="00FC698D"/>
    <w:rsid w:val="00FD1591"/>
    <w:rsid w:val="00FD3189"/>
    <w:rsid w:val="00FD72F6"/>
    <w:rsid w:val="00FD7B7D"/>
    <w:rsid w:val="00FE0B8D"/>
    <w:rsid w:val="00FE16C1"/>
    <w:rsid w:val="00FE1821"/>
    <w:rsid w:val="00FE19FF"/>
    <w:rsid w:val="00FE23E5"/>
    <w:rsid w:val="00FE3135"/>
    <w:rsid w:val="00FE33A6"/>
    <w:rsid w:val="00FE4E5F"/>
    <w:rsid w:val="00FE5452"/>
    <w:rsid w:val="00FE5E88"/>
    <w:rsid w:val="00FE6BCC"/>
    <w:rsid w:val="00FE74F6"/>
    <w:rsid w:val="00FF0C55"/>
    <w:rsid w:val="00FF1A00"/>
    <w:rsid w:val="00FF216C"/>
    <w:rsid w:val="00FF35B8"/>
    <w:rsid w:val="00FF368B"/>
    <w:rsid w:val="00FF59A8"/>
    <w:rsid w:val="00FF60B2"/>
    <w:rsid w:val="00FF6A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6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48"/>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NormalWeb">
    <w:name w:val="Normal (Web)"/>
    <w:basedOn w:val="Normal"/>
    <w:uiPriority w:val="99"/>
    <w:unhideWhenUsed/>
    <w:rsid w:val="00AC10A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FF0C55"/>
  </w:style>
  <w:style w:type="character" w:customStyle="1" w:styleId="apple-converted-space">
    <w:name w:val="apple-converted-space"/>
    <w:basedOn w:val="DefaultParagraphFont"/>
    <w:rsid w:val="00FF0C55"/>
  </w:style>
  <w:style w:type="character" w:styleId="FootnoteReference">
    <w:name w:val="footnote reference"/>
    <w:rsid w:val="00C069E3"/>
    <w:rPr>
      <w:vertAlign w:val="superscript"/>
    </w:rPr>
  </w:style>
  <w:style w:type="paragraph" w:styleId="FootnoteText">
    <w:name w:val="footnote text"/>
    <w:basedOn w:val="Normal"/>
    <w:link w:val="FootnoteTextChar"/>
    <w:uiPriority w:val="99"/>
    <w:unhideWhenUsed/>
    <w:rsid w:val="001843C8"/>
    <w:pPr>
      <w:spacing w:before="0" w:after="0"/>
    </w:pPr>
    <w:rPr>
      <w:szCs w:val="20"/>
    </w:rPr>
  </w:style>
  <w:style w:type="character" w:customStyle="1" w:styleId="FootnoteTextChar">
    <w:name w:val="Footnote Text Char"/>
    <w:basedOn w:val="DefaultParagraphFont"/>
    <w:link w:val="FootnoteText"/>
    <w:uiPriority w:val="99"/>
    <w:rsid w:val="001843C8"/>
    <w:rPr>
      <w:sz w:val="20"/>
      <w:szCs w:val="20"/>
    </w:rPr>
  </w:style>
  <w:style w:type="character" w:styleId="FollowedHyperlink">
    <w:name w:val="FollowedHyperlink"/>
    <w:basedOn w:val="DefaultParagraphFont"/>
    <w:uiPriority w:val="99"/>
    <w:semiHidden/>
    <w:unhideWhenUsed/>
    <w:rsid w:val="00A50D65"/>
    <w:rPr>
      <w:color w:val="800080" w:themeColor="followedHyperlink"/>
      <w:u w:val="single"/>
    </w:rPr>
  </w:style>
  <w:style w:type="character" w:styleId="Emphasis">
    <w:name w:val="Emphasis"/>
    <w:basedOn w:val="DefaultParagraphFont"/>
    <w:uiPriority w:val="20"/>
    <w:qFormat/>
    <w:rsid w:val="00B45CB4"/>
    <w:rPr>
      <w:i/>
      <w:iCs/>
    </w:rPr>
  </w:style>
  <w:style w:type="paragraph" w:styleId="EndnoteText">
    <w:name w:val="endnote text"/>
    <w:basedOn w:val="Normal"/>
    <w:link w:val="EndnoteTextChar"/>
    <w:uiPriority w:val="99"/>
    <w:semiHidden/>
    <w:unhideWhenUsed/>
    <w:rsid w:val="00180496"/>
    <w:pPr>
      <w:spacing w:before="0" w:after="0"/>
    </w:pPr>
    <w:rPr>
      <w:szCs w:val="20"/>
    </w:rPr>
  </w:style>
  <w:style w:type="character" w:customStyle="1" w:styleId="EndnoteTextChar">
    <w:name w:val="Endnote Text Char"/>
    <w:basedOn w:val="DefaultParagraphFont"/>
    <w:link w:val="EndnoteText"/>
    <w:uiPriority w:val="99"/>
    <w:semiHidden/>
    <w:rsid w:val="00180496"/>
    <w:rPr>
      <w:sz w:val="20"/>
      <w:szCs w:val="20"/>
    </w:rPr>
  </w:style>
  <w:style w:type="character" w:styleId="EndnoteReference">
    <w:name w:val="endnote reference"/>
    <w:basedOn w:val="DefaultParagraphFont"/>
    <w:uiPriority w:val="99"/>
    <w:semiHidden/>
    <w:unhideWhenUsed/>
    <w:rsid w:val="00180496"/>
    <w:rPr>
      <w:vertAlign w:val="superscript"/>
    </w:rPr>
  </w:style>
  <w:style w:type="character" w:styleId="UnresolvedMention">
    <w:name w:val="Unresolved Mention"/>
    <w:basedOn w:val="DefaultParagraphFont"/>
    <w:uiPriority w:val="99"/>
    <w:unhideWhenUsed/>
    <w:rsid w:val="00457503"/>
    <w:rPr>
      <w:color w:val="605E5C"/>
      <w:shd w:val="clear" w:color="auto" w:fill="E1DFDD"/>
    </w:rPr>
  </w:style>
  <w:style w:type="character" w:styleId="Mention">
    <w:name w:val="Mention"/>
    <w:basedOn w:val="DefaultParagraphFont"/>
    <w:uiPriority w:val="99"/>
    <w:unhideWhenUsed/>
    <w:rsid w:val="003C2F92"/>
    <w:rPr>
      <w:color w:val="2B579A"/>
      <w:shd w:val="clear" w:color="auto" w:fill="E1DFDD"/>
    </w:rPr>
  </w:style>
  <w:style w:type="paragraph" w:styleId="Caption">
    <w:name w:val="caption"/>
    <w:basedOn w:val="Normal"/>
    <w:next w:val="Normal"/>
    <w:uiPriority w:val="35"/>
    <w:semiHidden/>
    <w:unhideWhenUsed/>
    <w:qFormat/>
    <w:rsid w:val="005A3399"/>
    <w:pPr>
      <w:spacing w:before="0" w:after="200"/>
    </w:pPr>
    <w:rPr>
      <w:i/>
      <w:iCs/>
      <w:color w:val="1F497D" w:themeColor="text2"/>
      <w:sz w:val="18"/>
      <w:szCs w:val="18"/>
    </w:rPr>
  </w:style>
  <w:style w:type="paragraph" w:customStyle="1" w:styleId="Tickboxes">
    <w:name w:val="Tick boxes"/>
    <w:basedOn w:val="Normal"/>
    <w:link w:val="TickboxesChar"/>
    <w:qFormat/>
    <w:rsid w:val="00CF7532"/>
    <w:pPr>
      <w:spacing w:before="0" w:after="0"/>
      <w:ind w:left="567" w:hanging="207"/>
    </w:pPr>
    <w:rPr>
      <w:bCs/>
      <w:szCs w:val="20"/>
    </w:rPr>
  </w:style>
  <w:style w:type="character" w:customStyle="1" w:styleId="TickboxesChar">
    <w:name w:val="Tick boxes Char"/>
    <w:basedOn w:val="DefaultParagraphFont"/>
    <w:link w:val="Tickboxes"/>
    <w:rsid w:val="00CF7532"/>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5965">
      <w:bodyDiv w:val="1"/>
      <w:marLeft w:val="0"/>
      <w:marRight w:val="0"/>
      <w:marTop w:val="0"/>
      <w:marBottom w:val="0"/>
      <w:divBdr>
        <w:top w:val="none" w:sz="0" w:space="0" w:color="auto"/>
        <w:left w:val="none" w:sz="0" w:space="0" w:color="auto"/>
        <w:bottom w:val="none" w:sz="0" w:space="0" w:color="auto"/>
        <w:right w:val="none" w:sz="0" w:space="0" w:color="auto"/>
      </w:divBdr>
    </w:div>
    <w:div w:id="89550455">
      <w:bodyDiv w:val="1"/>
      <w:marLeft w:val="0"/>
      <w:marRight w:val="0"/>
      <w:marTop w:val="0"/>
      <w:marBottom w:val="0"/>
      <w:divBdr>
        <w:top w:val="none" w:sz="0" w:space="0" w:color="auto"/>
        <w:left w:val="none" w:sz="0" w:space="0" w:color="auto"/>
        <w:bottom w:val="none" w:sz="0" w:space="0" w:color="auto"/>
        <w:right w:val="none" w:sz="0" w:space="0" w:color="auto"/>
      </w:divBdr>
    </w:div>
    <w:div w:id="225846784">
      <w:bodyDiv w:val="1"/>
      <w:marLeft w:val="0"/>
      <w:marRight w:val="0"/>
      <w:marTop w:val="0"/>
      <w:marBottom w:val="0"/>
      <w:divBdr>
        <w:top w:val="none" w:sz="0" w:space="0" w:color="auto"/>
        <w:left w:val="none" w:sz="0" w:space="0" w:color="auto"/>
        <w:bottom w:val="none" w:sz="0" w:space="0" w:color="auto"/>
        <w:right w:val="none" w:sz="0" w:space="0" w:color="auto"/>
      </w:divBdr>
    </w:div>
    <w:div w:id="243538855">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05892002">
      <w:bodyDiv w:val="1"/>
      <w:marLeft w:val="0"/>
      <w:marRight w:val="0"/>
      <w:marTop w:val="0"/>
      <w:marBottom w:val="0"/>
      <w:divBdr>
        <w:top w:val="none" w:sz="0" w:space="0" w:color="auto"/>
        <w:left w:val="none" w:sz="0" w:space="0" w:color="auto"/>
        <w:bottom w:val="none" w:sz="0" w:space="0" w:color="auto"/>
        <w:right w:val="none" w:sz="0" w:space="0" w:color="auto"/>
      </w:divBdr>
    </w:div>
    <w:div w:id="695691355">
      <w:bodyDiv w:val="1"/>
      <w:marLeft w:val="0"/>
      <w:marRight w:val="0"/>
      <w:marTop w:val="0"/>
      <w:marBottom w:val="0"/>
      <w:divBdr>
        <w:top w:val="none" w:sz="0" w:space="0" w:color="auto"/>
        <w:left w:val="none" w:sz="0" w:space="0" w:color="auto"/>
        <w:bottom w:val="none" w:sz="0" w:space="0" w:color="auto"/>
        <w:right w:val="none" w:sz="0" w:space="0" w:color="auto"/>
      </w:divBdr>
    </w:div>
    <w:div w:id="977302387">
      <w:bodyDiv w:val="1"/>
      <w:marLeft w:val="0"/>
      <w:marRight w:val="0"/>
      <w:marTop w:val="0"/>
      <w:marBottom w:val="0"/>
      <w:divBdr>
        <w:top w:val="none" w:sz="0" w:space="0" w:color="auto"/>
        <w:left w:val="none" w:sz="0" w:space="0" w:color="auto"/>
        <w:bottom w:val="none" w:sz="0" w:space="0" w:color="auto"/>
        <w:right w:val="none" w:sz="0" w:space="0" w:color="auto"/>
      </w:divBdr>
      <w:divsChild>
        <w:div w:id="653872201">
          <w:marLeft w:val="0"/>
          <w:marRight w:val="0"/>
          <w:marTop w:val="120"/>
          <w:marBottom w:val="0"/>
          <w:divBdr>
            <w:top w:val="none" w:sz="0" w:space="0" w:color="auto"/>
            <w:left w:val="none" w:sz="0" w:space="0" w:color="auto"/>
            <w:bottom w:val="none" w:sz="0" w:space="0" w:color="auto"/>
            <w:right w:val="none" w:sz="0" w:space="0" w:color="auto"/>
          </w:divBdr>
        </w:div>
        <w:div w:id="1009868421">
          <w:marLeft w:val="0"/>
          <w:marRight w:val="0"/>
          <w:marTop w:val="120"/>
          <w:marBottom w:val="0"/>
          <w:divBdr>
            <w:top w:val="none" w:sz="0" w:space="0" w:color="auto"/>
            <w:left w:val="none" w:sz="0" w:space="0" w:color="auto"/>
            <w:bottom w:val="none" w:sz="0" w:space="0" w:color="auto"/>
            <w:right w:val="none" w:sz="0" w:space="0" w:color="auto"/>
          </w:divBdr>
        </w:div>
      </w:divsChild>
    </w:div>
    <w:div w:id="995307031">
      <w:bodyDiv w:val="1"/>
      <w:marLeft w:val="0"/>
      <w:marRight w:val="0"/>
      <w:marTop w:val="0"/>
      <w:marBottom w:val="0"/>
      <w:divBdr>
        <w:top w:val="none" w:sz="0" w:space="0" w:color="auto"/>
        <w:left w:val="none" w:sz="0" w:space="0" w:color="auto"/>
        <w:bottom w:val="none" w:sz="0" w:space="0" w:color="auto"/>
        <w:right w:val="none" w:sz="0" w:space="0" w:color="auto"/>
      </w:divBdr>
    </w:div>
    <w:div w:id="1041250309">
      <w:bodyDiv w:val="1"/>
      <w:marLeft w:val="0"/>
      <w:marRight w:val="0"/>
      <w:marTop w:val="0"/>
      <w:marBottom w:val="0"/>
      <w:divBdr>
        <w:top w:val="none" w:sz="0" w:space="0" w:color="auto"/>
        <w:left w:val="none" w:sz="0" w:space="0" w:color="auto"/>
        <w:bottom w:val="none" w:sz="0" w:space="0" w:color="auto"/>
        <w:right w:val="none" w:sz="0" w:space="0" w:color="auto"/>
      </w:divBdr>
    </w:div>
    <w:div w:id="1227640564">
      <w:bodyDiv w:val="1"/>
      <w:marLeft w:val="0"/>
      <w:marRight w:val="0"/>
      <w:marTop w:val="0"/>
      <w:marBottom w:val="0"/>
      <w:divBdr>
        <w:top w:val="none" w:sz="0" w:space="0" w:color="auto"/>
        <w:left w:val="none" w:sz="0" w:space="0" w:color="auto"/>
        <w:bottom w:val="none" w:sz="0" w:space="0" w:color="auto"/>
        <w:right w:val="none" w:sz="0" w:space="0" w:color="auto"/>
      </w:divBdr>
    </w:div>
    <w:div w:id="1413161166">
      <w:bodyDiv w:val="1"/>
      <w:marLeft w:val="0"/>
      <w:marRight w:val="0"/>
      <w:marTop w:val="0"/>
      <w:marBottom w:val="0"/>
      <w:divBdr>
        <w:top w:val="none" w:sz="0" w:space="0" w:color="auto"/>
        <w:left w:val="none" w:sz="0" w:space="0" w:color="auto"/>
        <w:bottom w:val="none" w:sz="0" w:space="0" w:color="auto"/>
        <w:right w:val="none" w:sz="0" w:space="0" w:color="auto"/>
      </w:divBdr>
    </w:div>
    <w:div w:id="1494448971">
      <w:bodyDiv w:val="1"/>
      <w:marLeft w:val="0"/>
      <w:marRight w:val="0"/>
      <w:marTop w:val="0"/>
      <w:marBottom w:val="0"/>
      <w:divBdr>
        <w:top w:val="none" w:sz="0" w:space="0" w:color="auto"/>
        <w:left w:val="none" w:sz="0" w:space="0" w:color="auto"/>
        <w:bottom w:val="none" w:sz="0" w:space="0" w:color="auto"/>
        <w:right w:val="none" w:sz="0" w:space="0" w:color="auto"/>
      </w:divBdr>
    </w:div>
    <w:div w:id="1509101502">
      <w:bodyDiv w:val="1"/>
      <w:marLeft w:val="0"/>
      <w:marRight w:val="0"/>
      <w:marTop w:val="0"/>
      <w:marBottom w:val="0"/>
      <w:divBdr>
        <w:top w:val="none" w:sz="0" w:space="0" w:color="auto"/>
        <w:left w:val="none" w:sz="0" w:space="0" w:color="auto"/>
        <w:bottom w:val="none" w:sz="0" w:space="0" w:color="auto"/>
        <w:right w:val="none" w:sz="0" w:space="0" w:color="auto"/>
      </w:divBdr>
    </w:div>
    <w:div w:id="1542937351">
      <w:bodyDiv w:val="1"/>
      <w:marLeft w:val="0"/>
      <w:marRight w:val="0"/>
      <w:marTop w:val="0"/>
      <w:marBottom w:val="0"/>
      <w:divBdr>
        <w:top w:val="none" w:sz="0" w:space="0" w:color="auto"/>
        <w:left w:val="none" w:sz="0" w:space="0" w:color="auto"/>
        <w:bottom w:val="none" w:sz="0" w:space="0" w:color="auto"/>
        <w:right w:val="none" w:sz="0" w:space="0" w:color="auto"/>
      </w:divBdr>
    </w:div>
    <w:div w:id="1701779104">
      <w:bodyDiv w:val="1"/>
      <w:marLeft w:val="0"/>
      <w:marRight w:val="0"/>
      <w:marTop w:val="0"/>
      <w:marBottom w:val="0"/>
      <w:divBdr>
        <w:top w:val="none" w:sz="0" w:space="0" w:color="auto"/>
        <w:left w:val="none" w:sz="0" w:space="0" w:color="auto"/>
        <w:bottom w:val="none" w:sz="0" w:space="0" w:color="auto"/>
        <w:right w:val="none" w:sz="0" w:space="0" w:color="auto"/>
      </w:divBdr>
    </w:div>
    <w:div w:id="1707754568">
      <w:bodyDiv w:val="1"/>
      <w:marLeft w:val="0"/>
      <w:marRight w:val="0"/>
      <w:marTop w:val="0"/>
      <w:marBottom w:val="0"/>
      <w:divBdr>
        <w:top w:val="none" w:sz="0" w:space="0" w:color="auto"/>
        <w:left w:val="none" w:sz="0" w:space="0" w:color="auto"/>
        <w:bottom w:val="none" w:sz="0" w:space="0" w:color="auto"/>
        <w:right w:val="none" w:sz="0" w:space="0" w:color="auto"/>
      </w:divBdr>
    </w:div>
    <w:div w:id="1737052310">
      <w:bodyDiv w:val="1"/>
      <w:marLeft w:val="0"/>
      <w:marRight w:val="0"/>
      <w:marTop w:val="0"/>
      <w:marBottom w:val="0"/>
      <w:divBdr>
        <w:top w:val="none" w:sz="0" w:space="0" w:color="auto"/>
        <w:left w:val="none" w:sz="0" w:space="0" w:color="auto"/>
        <w:bottom w:val="none" w:sz="0" w:space="0" w:color="auto"/>
        <w:right w:val="none" w:sz="0" w:space="0" w:color="auto"/>
      </w:divBdr>
    </w:div>
    <w:div w:id="1909267283">
      <w:bodyDiv w:val="1"/>
      <w:marLeft w:val="0"/>
      <w:marRight w:val="0"/>
      <w:marTop w:val="0"/>
      <w:marBottom w:val="0"/>
      <w:divBdr>
        <w:top w:val="none" w:sz="0" w:space="0" w:color="auto"/>
        <w:left w:val="none" w:sz="0" w:space="0" w:color="auto"/>
        <w:bottom w:val="none" w:sz="0" w:space="0" w:color="auto"/>
        <w:right w:val="none" w:sz="0" w:space="0" w:color="auto"/>
      </w:divBdr>
    </w:div>
    <w:div w:id="1913587663">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98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a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ta@health.gov.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FB337AB3D25440806DF99E64959624" ma:contentTypeVersion="27" ma:contentTypeDescription="Create a new document." ma:contentTypeScope="" ma:versionID="9d19eefa52ade6415b0ae5f47c7bb19f">
  <xsd:schema xmlns:xsd="http://www.w3.org/2001/XMLSchema" xmlns:xs="http://www.w3.org/2001/XMLSchema" xmlns:p="http://schemas.microsoft.com/office/2006/metadata/properties" targetNamespace="http://schemas.microsoft.com/office/2006/metadata/properties" ma:root="true" ma:fieldsID="49a2cbcfaa5e15dedbfc12a8328e31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E346-807A-49F9-9D5F-123D7583427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AEB9619-72DE-482A-A6EC-3602DD1180F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A9D3193-2CDB-492D-8C8B-65891D1180DA}">
  <ds:schemaRefs>
    <ds:schemaRef ds:uri="http://schemas.openxmlformats.org/officeDocument/2006/bibliography"/>
  </ds:schemaRefs>
</ds:datastoreItem>
</file>

<file path=customXml/itemProps4.xml><?xml version="1.0" encoding="utf-8"?>
<ds:datastoreItem xmlns:ds="http://schemas.openxmlformats.org/officeDocument/2006/customXml" ds:itemID="{A32F7F89-66C7-4933-9DB2-79847518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F03BF66-0EA5-4ED4-8B73-7B4A11D7A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7001</Words>
  <Characters>39911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subject/>
  <dc:creator/>
  <cp:keywords/>
  <cp:lastModifiedBy/>
  <cp:revision>1</cp:revision>
  <dcterms:created xsi:type="dcterms:W3CDTF">2022-11-13T09:05:00Z</dcterms:created>
  <dcterms:modified xsi:type="dcterms:W3CDTF">2022-11-13T09:05:00Z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64e1f2d7-c373-45fb-af30-efba6a53ac6f</vt:lpwstr>
  </property>
  <property fmtid="{D5CDD505-2E9C-101B-9397-08002B2CF9AE}" pid="3" name="bjSaver">
    <vt:lpwstr>+fj4Y9yfgF4Oge35CfbQXd7hLtKtEC0Q</vt:lpwstr>
  </property>
  <property fmtid="{D5CDD505-2E9C-101B-9397-08002B2CF9AE}" pid="4" name="_AdHocReviewCycleID">
    <vt:i4>774463004</vt:i4>
  </property>
  <property fmtid="{D5CDD505-2E9C-101B-9397-08002B2CF9AE}" pid="5" name="_NewReviewCycle">
    <vt:lpwstr/>
  </property>
  <property fmtid="{D5CDD505-2E9C-101B-9397-08002B2CF9AE}" pid="6" name="_PreviousAdHocReviewCycleID">
    <vt:i4>-155176221</vt:i4>
  </property>
  <property fmtid="{D5CDD505-2E9C-101B-9397-08002B2CF9AE}" pid="7" name="ContentTypeId">
    <vt:lpwstr>0x010100F4FB337AB3D25440806DF99E64959624</vt:lpwstr>
  </property>
  <property fmtid="{D5CDD505-2E9C-101B-9397-08002B2CF9AE}" pid="8"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9" name="bjDocumentLabelXML-0">
    <vt:lpwstr>nternal/label"&gt;&lt;element uid="9920fcc9-9f43-4d43-9e3e-b98a219cfd55" value="" /&gt;&lt;/sisl&gt;</vt:lpwstr>
  </property>
  <property fmtid="{D5CDD505-2E9C-101B-9397-08002B2CF9AE}" pid="10" name="bjDocumentSecurityLabel">
    <vt:lpwstr>Not Classified</vt:lpwstr>
  </property>
  <property fmtid="{D5CDD505-2E9C-101B-9397-08002B2CF9AE}" pid="11" name="MSIP_Label_e81acc0d-dcc4-4dc9-a2c5-be70b05a2fe6_Enabled">
    <vt:lpwstr>true</vt:lpwstr>
  </property>
  <property fmtid="{D5CDD505-2E9C-101B-9397-08002B2CF9AE}" pid="12" name="MSIP_Label_e81acc0d-dcc4-4dc9-a2c5-be70b05a2fe6_SetDate">
    <vt:lpwstr>2022-03-10T20:26:12Z</vt:lpwstr>
  </property>
  <property fmtid="{D5CDD505-2E9C-101B-9397-08002B2CF9AE}" pid="13" name="MSIP_Label_e81acc0d-dcc4-4dc9-a2c5-be70b05a2fe6_Method">
    <vt:lpwstr>Privileged</vt:lpwstr>
  </property>
  <property fmtid="{D5CDD505-2E9C-101B-9397-08002B2CF9AE}" pid="14" name="MSIP_Label_e81acc0d-dcc4-4dc9-a2c5-be70b05a2fe6_Name">
    <vt:lpwstr>e81acc0d-dcc4-4dc9-a2c5-be70b05a2fe6</vt:lpwstr>
  </property>
  <property fmtid="{D5CDD505-2E9C-101B-9397-08002B2CF9AE}" pid="15" name="MSIP_Label_e81acc0d-dcc4-4dc9-a2c5-be70b05a2fe6_SiteId">
    <vt:lpwstr>a00de4ec-48a8-43a6-be74-e31274e2060d</vt:lpwstr>
  </property>
  <property fmtid="{D5CDD505-2E9C-101B-9397-08002B2CF9AE}" pid="16" name="MSIP_Label_e81acc0d-dcc4-4dc9-a2c5-be70b05a2fe6_ActionId">
    <vt:lpwstr>936fa5c0-1138-44aa-affc-98610f91757c</vt:lpwstr>
  </property>
  <property fmtid="{D5CDD505-2E9C-101B-9397-08002B2CF9AE}" pid="17" name="MSIP_Label_e81acc0d-dcc4-4dc9-a2c5-be70b05a2fe6_ContentBits">
    <vt:lpwstr>0</vt:lpwstr>
  </property>
  <property fmtid="{D5CDD505-2E9C-101B-9397-08002B2CF9AE}" pid="18" name="_ReviewingToolsShownOnce">
    <vt:lpwstr/>
  </property>
</Properties>
</file>