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3E266"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1440CC43" wp14:editId="14E8DE77">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7A214189"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68DC26D8" w14:textId="77777777" w:rsidR="00BC1364" w:rsidRPr="00F715D1" w:rsidRDefault="00BC1364" w:rsidP="00F715D1">
      <w:pPr>
        <w:pStyle w:val="Subtitle"/>
      </w:pPr>
      <w:r w:rsidRPr="00F715D1">
        <w:t xml:space="preserve">Application No. </w:t>
      </w:r>
      <w:r w:rsidR="00B35595" w:rsidRPr="00F715D1">
        <w:t>1</w:t>
      </w:r>
      <w:r w:rsidR="00D74533">
        <w:t>455</w:t>
      </w:r>
      <w:r w:rsidRPr="00F715D1">
        <w:t xml:space="preserve"> – </w:t>
      </w:r>
      <w:r w:rsidR="009D0DDE">
        <w:t>Proton Beam Therapy</w:t>
      </w:r>
      <w:r w:rsidR="00D74533">
        <w:t xml:space="preserve"> for patients supported under </w:t>
      </w:r>
      <w:r w:rsidR="009D0DDE">
        <w:t>the Medical Treatment Overseas P</w:t>
      </w:r>
      <w:r w:rsidR="00D74533">
        <w:t>rogram</w:t>
      </w:r>
    </w:p>
    <w:p w14:paraId="60CB12E5" w14:textId="77777777" w:rsidR="00BC1364" w:rsidRPr="00F715D1" w:rsidRDefault="00B35595" w:rsidP="00D64355">
      <w:pPr>
        <w:tabs>
          <w:tab w:val="left" w:pos="3686"/>
        </w:tabs>
        <w:spacing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651174">
        <w:rPr>
          <w:rFonts w:ascii="Arial" w:hAnsi="Arial" w:cs="Arial"/>
          <w:b/>
          <w:szCs w:val="24"/>
        </w:rPr>
        <w:t>Department of Health</w:t>
      </w:r>
    </w:p>
    <w:p w14:paraId="69A0C0A4"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E222F3">
        <w:rPr>
          <w:rFonts w:ascii="Arial" w:hAnsi="Arial" w:cs="Arial"/>
          <w:b/>
          <w:szCs w:val="24"/>
        </w:rPr>
        <w:t>MSAC 74</w:t>
      </w:r>
      <w:r w:rsidR="00E222F3" w:rsidRPr="00E222F3">
        <w:rPr>
          <w:rFonts w:ascii="Arial" w:hAnsi="Arial" w:cs="Arial"/>
          <w:b/>
          <w:szCs w:val="24"/>
          <w:vertAlign w:val="superscript"/>
        </w:rPr>
        <w:t>th</w:t>
      </w:r>
      <w:r w:rsidR="00E222F3">
        <w:rPr>
          <w:rFonts w:ascii="Arial" w:hAnsi="Arial" w:cs="Arial"/>
          <w:b/>
          <w:szCs w:val="24"/>
        </w:rPr>
        <w:t xml:space="preserve"> Meeting, 22-23 November 2018</w:t>
      </w:r>
    </w:p>
    <w:p w14:paraId="570B5188"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6843B535" w14:textId="77777777" w:rsidR="003D7F29" w:rsidRDefault="003D7F29" w:rsidP="00F715D1">
      <w:pPr>
        <w:pStyle w:val="Heading1"/>
      </w:pPr>
      <w:r w:rsidRPr="00F715D1">
        <w:t>Purpose of application</w:t>
      </w:r>
    </w:p>
    <w:p w14:paraId="088B9430" w14:textId="1EDE5BA3" w:rsidR="004F5F5E" w:rsidRDefault="009A3E9B" w:rsidP="00477590">
      <w:pPr>
        <w:spacing w:after="240"/>
      </w:pPr>
      <w:r>
        <w:t>T</w:t>
      </w:r>
      <w:r w:rsidR="004F5F5E">
        <w:t xml:space="preserve">he Minister of Health </w:t>
      </w:r>
      <w:r w:rsidR="00AD0494">
        <w:t>referred to</w:t>
      </w:r>
      <w:r w:rsidR="00E20D9E">
        <w:t xml:space="preserve"> MSAC</w:t>
      </w:r>
      <w:r w:rsidR="00AD0494">
        <w:t xml:space="preserve"> </w:t>
      </w:r>
      <w:r w:rsidR="00C8537E">
        <w:t xml:space="preserve">the question of public funding </w:t>
      </w:r>
      <w:r w:rsidR="00AD0494">
        <w:t xml:space="preserve">arrangements for </w:t>
      </w:r>
      <w:r w:rsidR="004F5F5E">
        <w:t>proton beam therapy</w:t>
      </w:r>
      <w:r w:rsidR="009910D5">
        <w:t xml:space="preserve"> (PBT)</w:t>
      </w:r>
      <w:r w:rsidR="004F5F5E">
        <w:t>, a type of particle therapy</w:t>
      </w:r>
      <w:r w:rsidR="00EA18EA">
        <w:t xml:space="preserve"> </w:t>
      </w:r>
      <w:r w:rsidR="00AD0494">
        <w:t xml:space="preserve">for the </w:t>
      </w:r>
      <w:r w:rsidR="00100A51">
        <w:t xml:space="preserve">limited </w:t>
      </w:r>
      <w:r w:rsidR="00AD0494">
        <w:t>clinical indications which are supported by the Medical Treatment Overseas Program (MTOP). The Minister note</w:t>
      </w:r>
      <w:r w:rsidR="00450098">
        <w:t>d</w:t>
      </w:r>
      <w:r w:rsidR="00AD0494">
        <w:t xml:space="preserve"> that this assessment may be </w:t>
      </w:r>
      <w:r w:rsidR="00EA18EA">
        <w:t xml:space="preserve">a </w:t>
      </w:r>
      <w:r w:rsidR="00AD0494">
        <w:t>precursor to broader MSAC assessment of PBT for other indications</w:t>
      </w:r>
      <w:r w:rsidR="004F5F5E">
        <w:t>.</w:t>
      </w:r>
      <w:r w:rsidR="00BE0747">
        <w:t xml:space="preserve"> To inform the MSAC advice, an assessment report was prepared through a contract managed by the Department of Health.</w:t>
      </w:r>
    </w:p>
    <w:p w14:paraId="6DC0B86C" w14:textId="77777777" w:rsidR="00E977EE" w:rsidRPr="00F715D1" w:rsidRDefault="00E977EE" w:rsidP="00F715D1">
      <w:pPr>
        <w:pStyle w:val="Heading1"/>
      </w:pPr>
      <w:r w:rsidRPr="00F715D1">
        <w:t>MSAC’s advice to the Minister</w:t>
      </w:r>
    </w:p>
    <w:p w14:paraId="156FEFEA" w14:textId="449DA1FA" w:rsidR="004F4590" w:rsidRPr="000D00F8" w:rsidRDefault="00062F9A" w:rsidP="000D00F8">
      <w:pPr>
        <w:spacing w:after="240"/>
        <w:rPr>
          <w:bCs/>
          <w:szCs w:val="24"/>
        </w:rPr>
      </w:pPr>
      <w:r w:rsidRPr="000D00F8">
        <w:rPr>
          <w:bCs/>
          <w:szCs w:val="24"/>
        </w:rPr>
        <w:t>After considering the strength of the available evidence in relation to comparative safety, clinical effectiveness and cost-effectiveness</w:t>
      </w:r>
      <w:r w:rsidR="004F4590" w:rsidRPr="000D00F8">
        <w:rPr>
          <w:bCs/>
          <w:szCs w:val="24"/>
        </w:rPr>
        <w:t xml:space="preserve"> in comparison with existing </w:t>
      </w:r>
      <w:r w:rsidR="00D271FF" w:rsidRPr="000D00F8">
        <w:rPr>
          <w:bCs/>
          <w:szCs w:val="24"/>
        </w:rPr>
        <w:t xml:space="preserve">radiation treatments (typically </w:t>
      </w:r>
      <w:r w:rsidR="004F4590" w:rsidRPr="000D00F8">
        <w:rPr>
          <w:bCs/>
          <w:szCs w:val="24"/>
        </w:rPr>
        <w:t>photon</w:t>
      </w:r>
      <w:r w:rsidR="00D271FF" w:rsidRPr="000D00F8">
        <w:rPr>
          <w:bCs/>
          <w:szCs w:val="24"/>
        </w:rPr>
        <w:t xml:space="preserve">s) or other </w:t>
      </w:r>
      <w:r w:rsidR="00D271FF" w:rsidRPr="000D00F8">
        <w:t>options</w:t>
      </w:r>
      <w:r w:rsidR="00A238E7" w:rsidRPr="000D00F8">
        <w:rPr>
          <w:bCs/>
          <w:szCs w:val="24"/>
        </w:rPr>
        <w:t>,</w:t>
      </w:r>
      <w:r w:rsidRPr="000D00F8">
        <w:rPr>
          <w:bCs/>
          <w:szCs w:val="24"/>
        </w:rPr>
        <w:t xml:space="preserve"> MSAC did not support </w:t>
      </w:r>
      <w:r w:rsidR="00D271FF" w:rsidRPr="000D00F8">
        <w:rPr>
          <w:bCs/>
          <w:szCs w:val="24"/>
        </w:rPr>
        <w:t xml:space="preserve">funding </w:t>
      </w:r>
      <w:r w:rsidR="00B13448">
        <w:rPr>
          <w:bCs/>
          <w:szCs w:val="24"/>
        </w:rPr>
        <w:t>of proton beam therapy</w:t>
      </w:r>
      <w:r w:rsidR="00A02816">
        <w:rPr>
          <w:bCs/>
          <w:szCs w:val="24"/>
        </w:rPr>
        <w:t xml:space="preserve"> for all indications</w:t>
      </w:r>
      <w:r w:rsidR="00FC607C">
        <w:rPr>
          <w:bCs/>
          <w:szCs w:val="24"/>
        </w:rPr>
        <w:t xml:space="preserve">. MSAC </w:t>
      </w:r>
      <w:r w:rsidR="00A02816">
        <w:rPr>
          <w:bCs/>
          <w:szCs w:val="24"/>
        </w:rPr>
        <w:t xml:space="preserve">also </w:t>
      </w:r>
      <w:r w:rsidR="00FC607C">
        <w:rPr>
          <w:bCs/>
          <w:szCs w:val="24"/>
        </w:rPr>
        <w:t xml:space="preserve">noted that </w:t>
      </w:r>
      <w:r w:rsidR="009A3E9B">
        <w:rPr>
          <w:bCs/>
          <w:szCs w:val="24"/>
        </w:rPr>
        <w:t xml:space="preserve">proton beam therapy </w:t>
      </w:r>
      <w:r w:rsidRPr="000D00F8">
        <w:rPr>
          <w:bCs/>
          <w:szCs w:val="24"/>
        </w:rPr>
        <w:t xml:space="preserve">is a highly specialised intervention </w:t>
      </w:r>
      <w:r w:rsidR="00FC607C">
        <w:rPr>
          <w:bCs/>
          <w:szCs w:val="24"/>
        </w:rPr>
        <w:t>which</w:t>
      </w:r>
      <w:r w:rsidR="00FC607C" w:rsidRPr="000D00F8">
        <w:rPr>
          <w:bCs/>
          <w:szCs w:val="24"/>
        </w:rPr>
        <w:t xml:space="preserve"> </w:t>
      </w:r>
      <w:r w:rsidRPr="000D00F8">
        <w:rPr>
          <w:bCs/>
          <w:szCs w:val="24"/>
        </w:rPr>
        <w:t>requires unique specialist infrastructure and workforce</w:t>
      </w:r>
      <w:r w:rsidR="009F1A45">
        <w:rPr>
          <w:bCs/>
          <w:szCs w:val="24"/>
        </w:rPr>
        <w:t>.</w:t>
      </w:r>
      <w:r w:rsidR="00AD0494">
        <w:rPr>
          <w:bCs/>
          <w:szCs w:val="24"/>
        </w:rPr>
        <w:t xml:space="preserve">  </w:t>
      </w:r>
    </w:p>
    <w:p w14:paraId="02538E0C" w14:textId="77777777" w:rsidR="00062F9A" w:rsidRPr="000D00F8" w:rsidRDefault="00062F9A" w:rsidP="000D00F8">
      <w:pPr>
        <w:spacing w:after="240"/>
        <w:rPr>
          <w:bCs/>
          <w:iCs/>
          <w:szCs w:val="24"/>
        </w:rPr>
      </w:pPr>
      <w:r w:rsidRPr="000D00F8">
        <w:rPr>
          <w:bCs/>
          <w:szCs w:val="24"/>
        </w:rPr>
        <w:t xml:space="preserve">MSAC considered the safety and effectiveness </w:t>
      </w:r>
      <w:r w:rsidR="00B13448">
        <w:rPr>
          <w:bCs/>
          <w:szCs w:val="24"/>
        </w:rPr>
        <w:t xml:space="preserve">of proton beam therapy </w:t>
      </w:r>
      <w:r w:rsidRPr="000D00F8">
        <w:rPr>
          <w:bCs/>
          <w:szCs w:val="24"/>
        </w:rPr>
        <w:t>in adult brain/spinal</w:t>
      </w:r>
      <w:r w:rsidR="007432E7" w:rsidRPr="000D00F8">
        <w:rPr>
          <w:bCs/>
          <w:szCs w:val="24"/>
        </w:rPr>
        <w:t>/paraspinal</w:t>
      </w:r>
      <w:r w:rsidRPr="000D00F8">
        <w:rPr>
          <w:bCs/>
          <w:szCs w:val="24"/>
        </w:rPr>
        <w:t xml:space="preserve"> tumours, ocular tumours, paediatric/</w:t>
      </w:r>
      <w:r w:rsidRPr="000D00F8">
        <w:t>adolescent</w:t>
      </w:r>
      <w:r w:rsidRPr="000D00F8">
        <w:rPr>
          <w:bCs/>
          <w:szCs w:val="24"/>
        </w:rPr>
        <w:t xml:space="preserve"> tumours and other tumours (</w:t>
      </w:r>
      <w:r w:rsidR="007432E7" w:rsidRPr="000D00F8">
        <w:rPr>
          <w:bCs/>
          <w:szCs w:val="24"/>
        </w:rPr>
        <w:t xml:space="preserve">specifically </w:t>
      </w:r>
      <w:r w:rsidRPr="000D00F8">
        <w:rPr>
          <w:bCs/>
          <w:szCs w:val="24"/>
        </w:rPr>
        <w:t>nephroblastoma and adenoid cystic carcinoma).</w:t>
      </w:r>
    </w:p>
    <w:p w14:paraId="5A7D1203" w14:textId="77777777" w:rsidR="00062F9A" w:rsidRPr="000D00F8" w:rsidRDefault="00062F9A" w:rsidP="000D00F8">
      <w:pPr>
        <w:spacing w:after="240"/>
        <w:rPr>
          <w:bCs/>
          <w:szCs w:val="24"/>
        </w:rPr>
      </w:pPr>
      <w:r w:rsidRPr="000D00F8">
        <w:rPr>
          <w:bCs/>
          <w:szCs w:val="24"/>
        </w:rPr>
        <w:t xml:space="preserve">MSAC considered that proton beam therapy has </w:t>
      </w:r>
      <w:r w:rsidR="007432E7" w:rsidRPr="000D00F8">
        <w:rPr>
          <w:bCs/>
          <w:szCs w:val="24"/>
        </w:rPr>
        <w:t xml:space="preserve">likely </w:t>
      </w:r>
      <w:r w:rsidRPr="000D00F8">
        <w:rPr>
          <w:bCs/>
          <w:szCs w:val="24"/>
        </w:rPr>
        <w:t>similar effectiveness to photon radiation therapy</w:t>
      </w:r>
      <w:r w:rsidR="007432E7" w:rsidRPr="000D00F8">
        <w:rPr>
          <w:bCs/>
          <w:szCs w:val="24"/>
        </w:rPr>
        <w:t xml:space="preserve"> overall</w:t>
      </w:r>
      <w:r w:rsidRPr="000D00F8">
        <w:rPr>
          <w:bCs/>
          <w:szCs w:val="24"/>
        </w:rPr>
        <w:t xml:space="preserve">, but </w:t>
      </w:r>
      <w:r w:rsidRPr="000D00F8">
        <w:t>evidence</w:t>
      </w:r>
      <w:r w:rsidRPr="000D00F8">
        <w:rPr>
          <w:bCs/>
          <w:szCs w:val="24"/>
        </w:rPr>
        <w:t xml:space="preserve"> of superior safety </w:t>
      </w:r>
      <w:r w:rsidR="00B13448">
        <w:rPr>
          <w:bCs/>
          <w:szCs w:val="24"/>
        </w:rPr>
        <w:t xml:space="preserve">over photon radiation therapy </w:t>
      </w:r>
      <w:r w:rsidRPr="000D00F8">
        <w:rPr>
          <w:bCs/>
          <w:szCs w:val="24"/>
        </w:rPr>
        <w:t xml:space="preserve">exists only in paediatric </w:t>
      </w:r>
      <w:r w:rsidR="007432E7" w:rsidRPr="000D00F8">
        <w:rPr>
          <w:bCs/>
          <w:szCs w:val="24"/>
        </w:rPr>
        <w:t>tumours</w:t>
      </w:r>
      <w:r w:rsidR="003A12D2">
        <w:rPr>
          <w:bCs/>
          <w:szCs w:val="24"/>
        </w:rPr>
        <w:t>, with the most persuasive case being for paediatric brain or spinal tumours,</w:t>
      </w:r>
      <w:r w:rsidR="007432E7" w:rsidRPr="000D00F8">
        <w:rPr>
          <w:bCs/>
          <w:szCs w:val="24"/>
        </w:rPr>
        <w:t xml:space="preserve"> </w:t>
      </w:r>
      <w:r w:rsidRPr="000D00F8">
        <w:rPr>
          <w:bCs/>
          <w:szCs w:val="24"/>
        </w:rPr>
        <w:t xml:space="preserve">and </w:t>
      </w:r>
      <w:r w:rsidR="00F82133" w:rsidRPr="000D00F8">
        <w:rPr>
          <w:bCs/>
          <w:szCs w:val="24"/>
        </w:rPr>
        <w:t xml:space="preserve">possibly a subset of </w:t>
      </w:r>
      <w:r w:rsidRPr="000D00F8">
        <w:rPr>
          <w:bCs/>
          <w:szCs w:val="24"/>
        </w:rPr>
        <w:t>adult brain</w:t>
      </w:r>
      <w:r w:rsidR="006C0823" w:rsidRPr="000D00F8">
        <w:rPr>
          <w:bCs/>
          <w:szCs w:val="24"/>
        </w:rPr>
        <w:t xml:space="preserve"> or </w:t>
      </w:r>
      <w:r w:rsidRPr="000D00F8">
        <w:rPr>
          <w:bCs/>
          <w:szCs w:val="24"/>
        </w:rPr>
        <w:t>spinal tumours.</w:t>
      </w:r>
    </w:p>
    <w:p w14:paraId="0B28EB04" w14:textId="77777777" w:rsidR="000D00F8" w:rsidRPr="000D00F8" w:rsidRDefault="00B13448" w:rsidP="000D00F8">
      <w:pPr>
        <w:spacing w:after="240"/>
      </w:pPr>
      <w:r>
        <w:t>MSAC considered that the economic evaluation did not support a conclusion that proton beam therapy would be acceptably cost-effective, but would welcome a more completely informed economic evaluation.</w:t>
      </w:r>
    </w:p>
    <w:p w14:paraId="3BCCAE7A" w14:textId="77777777" w:rsidR="00062F9A" w:rsidRPr="000D00F8" w:rsidRDefault="003A12D2" w:rsidP="000D00F8">
      <w:pPr>
        <w:spacing w:after="240"/>
        <w:rPr>
          <w:bCs/>
          <w:iCs/>
          <w:szCs w:val="24"/>
        </w:rPr>
      </w:pPr>
      <w:r>
        <w:rPr>
          <w:bCs/>
          <w:szCs w:val="24"/>
        </w:rPr>
        <w:t xml:space="preserve">In the context of raising these issues for resolution, </w:t>
      </w:r>
      <w:r w:rsidR="00062F9A" w:rsidRPr="000D00F8">
        <w:rPr>
          <w:bCs/>
          <w:szCs w:val="24"/>
        </w:rPr>
        <w:t>MSAC acknowledged that currently a small number of Australian patients have to travel overseas for this treatment</w:t>
      </w:r>
      <w:r w:rsidR="00652618" w:rsidRPr="000D00F8">
        <w:rPr>
          <w:bCs/>
          <w:szCs w:val="24"/>
        </w:rPr>
        <w:t xml:space="preserve"> under the </w:t>
      </w:r>
      <w:r w:rsidR="00652618" w:rsidRPr="000D00F8">
        <w:lastRenderedPageBreak/>
        <w:t>Medical</w:t>
      </w:r>
      <w:r w:rsidR="00652618" w:rsidRPr="000D00F8">
        <w:rPr>
          <w:bCs/>
          <w:szCs w:val="24"/>
        </w:rPr>
        <w:t xml:space="preserve"> Treatment Overseas Program (MTOP)</w:t>
      </w:r>
      <w:r w:rsidR="00062F9A" w:rsidRPr="000D00F8">
        <w:rPr>
          <w:bCs/>
          <w:szCs w:val="24"/>
        </w:rPr>
        <w:t>. MSAC noted that there was likely a dosimetric advantage for the treatment of some</w:t>
      </w:r>
      <w:r w:rsidR="00652618" w:rsidRPr="000D00F8">
        <w:rPr>
          <w:bCs/>
          <w:szCs w:val="24"/>
        </w:rPr>
        <w:t>, but not all</w:t>
      </w:r>
      <w:r w:rsidR="0015367D">
        <w:rPr>
          <w:bCs/>
          <w:szCs w:val="24"/>
        </w:rPr>
        <w:t>,</w:t>
      </w:r>
      <w:r w:rsidR="00652618" w:rsidRPr="000D00F8">
        <w:rPr>
          <w:bCs/>
          <w:szCs w:val="24"/>
        </w:rPr>
        <w:t xml:space="preserve"> types of </w:t>
      </w:r>
      <w:r w:rsidR="00062F9A" w:rsidRPr="000D00F8">
        <w:rPr>
          <w:bCs/>
          <w:szCs w:val="24"/>
        </w:rPr>
        <w:t>tumour with proton</w:t>
      </w:r>
      <w:r w:rsidR="00652618" w:rsidRPr="000D00F8">
        <w:rPr>
          <w:bCs/>
          <w:szCs w:val="24"/>
        </w:rPr>
        <w:t xml:space="preserve"> beam therapy </w:t>
      </w:r>
      <w:r w:rsidR="00062F9A" w:rsidRPr="000D00F8">
        <w:rPr>
          <w:bCs/>
          <w:szCs w:val="24"/>
        </w:rPr>
        <w:t xml:space="preserve">over conventional radiotherapy with photons. Given the </w:t>
      </w:r>
      <w:r w:rsidR="00F82133" w:rsidRPr="000D00F8">
        <w:rPr>
          <w:bCs/>
          <w:szCs w:val="24"/>
        </w:rPr>
        <w:t xml:space="preserve">last decade has seen </w:t>
      </w:r>
      <w:r w:rsidR="00062F9A" w:rsidRPr="000D00F8">
        <w:rPr>
          <w:bCs/>
          <w:szCs w:val="24"/>
        </w:rPr>
        <w:t xml:space="preserve">significant </w:t>
      </w:r>
      <w:r w:rsidR="00F82133" w:rsidRPr="000D00F8">
        <w:rPr>
          <w:bCs/>
          <w:szCs w:val="24"/>
        </w:rPr>
        <w:t xml:space="preserve">technical </w:t>
      </w:r>
      <w:r w:rsidR="00062F9A" w:rsidRPr="000D00F8">
        <w:rPr>
          <w:bCs/>
          <w:szCs w:val="24"/>
        </w:rPr>
        <w:t xml:space="preserve">improvements in </w:t>
      </w:r>
      <w:r w:rsidR="00F82133" w:rsidRPr="000D00F8">
        <w:rPr>
          <w:bCs/>
          <w:szCs w:val="24"/>
        </w:rPr>
        <w:t xml:space="preserve">the delivery of </w:t>
      </w:r>
      <w:r w:rsidR="00062F9A" w:rsidRPr="000D00F8">
        <w:rPr>
          <w:bCs/>
          <w:szCs w:val="24"/>
        </w:rPr>
        <w:t xml:space="preserve">conventional radiotherapy, MSAC considered it was important to provide justification </w:t>
      </w:r>
      <w:r w:rsidR="00F82133" w:rsidRPr="000D00F8">
        <w:rPr>
          <w:bCs/>
          <w:szCs w:val="24"/>
        </w:rPr>
        <w:t>for which tumours should be treated with p</w:t>
      </w:r>
      <w:r w:rsidR="00A238E7" w:rsidRPr="000D00F8">
        <w:rPr>
          <w:bCs/>
          <w:szCs w:val="24"/>
        </w:rPr>
        <w:t>r</w:t>
      </w:r>
      <w:r w:rsidR="00F82133" w:rsidRPr="000D00F8">
        <w:rPr>
          <w:bCs/>
          <w:szCs w:val="24"/>
        </w:rPr>
        <w:t xml:space="preserve">otons rather than </w:t>
      </w:r>
      <w:r w:rsidR="00A238E7" w:rsidRPr="000D00F8">
        <w:rPr>
          <w:bCs/>
          <w:szCs w:val="24"/>
        </w:rPr>
        <w:t xml:space="preserve">conventional </w:t>
      </w:r>
      <w:r w:rsidR="00F82133" w:rsidRPr="000D00F8">
        <w:rPr>
          <w:bCs/>
          <w:szCs w:val="24"/>
        </w:rPr>
        <w:t>modalities of radiation therapy using p</w:t>
      </w:r>
      <w:r w:rsidR="00A238E7" w:rsidRPr="000D00F8">
        <w:rPr>
          <w:bCs/>
          <w:szCs w:val="24"/>
        </w:rPr>
        <w:t>h</w:t>
      </w:r>
      <w:r w:rsidR="00F82133" w:rsidRPr="000D00F8">
        <w:rPr>
          <w:bCs/>
          <w:szCs w:val="24"/>
        </w:rPr>
        <w:t>otons.</w:t>
      </w:r>
    </w:p>
    <w:p w14:paraId="364E56BD" w14:textId="77777777" w:rsidR="00550354" w:rsidRPr="00F715D1" w:rsidRDefault="00550354" w:rsidP="00F715D1">
      <w:pPr>
        <w:pStyle w:val="Heading1"/>
      </w:pPr>
      <w:r w:rsidRPr="00F715D1">
        <w:t xml:space="preserve">Summary of consideration </w:t>
      </w:r>
      <w:r w:rsidR="00FA75D3">
        <w:t>and rationale for MSAC’s advice</w:t>
      </w:r>
    </w:p>
    <w:p w14:paraId="76625105" w14:textId="47124DB0" w:rsidR="00062F9A" w:rsidRDefault="00386D63" w:rsidP="00062F9A">
      <w:pPr>
        <w:spacing w:after="240"/>
      </w:pPr>
      <w:r>
        <w:t xml:space="preserve">MSAC noted that </w:t>
      </w:r>
      <w:r w:rsidR="009910D5">
        <w:t>proton beam therapy (</w:t>
      </w:r>
      <w:r w:rsidR="00062F9A">
        <w:t>PBT</w:t>
      </w:r>
      <w:r w:rsidR="009910D5">
        <w:t>)</w:t>
      </w:r>
      <w:r w:rsidR="00FC607C">
        <w:t xml:space="preserve"> is</w:t>
      </w:r>
      <w:r w:rsidR="00062F9A">
        <w:t xml:space="preserve"> a </w:t>
      </w:r>
      <w:r w:rsidR="00062F9A" w:rsidRPr="00821D58">
        <w:t>form of external beam radiation therapy that uses heavier particles (prot</w:t>
      </w:r>
      <w:r w:rsidR="00062F9A">
        <w:t>ons) instead of X-rays (photons</w:t>
      </w:r>
      <w:r w:rsidR="00062F9A" w:rsidRPr="00821D58">
        <w:t>, which are used in conventional radiotherapy</w:t>
      </w:r>
      <w:r w:rsidR="00062F9A">
        <w:t>)</w:t>
      </w:r>
      <w:r w:rsidR="00F13351">
        <w:t>.</w:t>
      </w:r>
    </w:p>
    <w:p w14:paraId="34CB2E25" w14:textId="187760FE" w:rsidR="00062F9A" w:rsidRDefault="00963DF9" w:rsidP="00062F9A">
      <w:pPr>
        <w:spacing w:after="240"/>
      </w:pPr>
      <w:r>
        <w:t>As proposed, t</w:t>
      </w:r>
      <w:r w:rsidR="00062F9A">
        <w:t xml:space="preserve">he service would be exclusively used in purpose-built proton beam facilities for the treatment of </w:t>
      </w:r>
      <w:r w:rsidR="00450098">
        <w:t xml:space="preserve">range of tumours including </w:t>
      </w:r>
      <w:r w:rsidR="00062F9A">
        <w:t xml:space="preserve">paediatric tumours, ocular tumours and craniospinal malignancies. The target population </w:t>
      </w:r>
      <w:r w:rsidR="006C0823">
        <w:t xml:space="preserve">would </w:t>
      </w:r>
      <w:r w:rsidR="00F82133">
        <w:t xml:space="preserve">include </w:t>
      </w:r>
      <w:r w:rsidR="00062F9A">
        <w:t xml:space="preserve">people with rare cancers who are </w:t>
      </w:r>
      <w:r w:rsidR="00386D63">
        <w:t xml:space="preserve">currently eligible </w:t>
      </w:r>
      <w:r w:rsidR="00450098">
        <w:t>for overseas PBT fund</w:t>
      </w:r>
      <w:r w:rsidR="00F63B61">
        <w:t>ing</w:t>
      </w:r>
      <w:r w:rsidR="00450098">
        <w:t xml:space="preserve"> through</w:t>
      </w:r>
      <w:r w:rsidR="00386D63">
        <w:t xml:space="preserve"> the </w:t>
      </w:r>
      <w:r w:rsidR="00062F9A">
        <w:t xml:space="preserve">MTOP. </w:t>
      </w:r>
      <w:r w:rsidR="00FC607C">
        <w:t>Use</w:t>
      </w:r>
      <w:r w:rsidR="00F82133">
        <w:t xml:space="preserve"> </w:t>
      </w:r>
      <w:r w:rsidR="00062F9A">
        <w:t xml:space="preserve">of the technology in the target population and setting would lead to </w:t>
      </w:r>
      <w:r>
        <w:t xml:space="preserve">some </w:t>
      </w:r>
      <w:r w:rsidR="00062F9A">
        <w:t xml:space="preserve">patients being able to access </w:t>
      </w:r>
      <w:r>
        <w:t xml:space="preserve">other </w:t>
      </w:r>
      <w:r w:rsidR="00062F9A">
        <w:t xml:space="preserve">funded services </w:t>
      </w:r>
      <w:r>
        <w:t xml:space="preserve">and products </w:t>
      </w:r>
      <w:r w:rsidR="00062F9A">
        <w:t>for the curative or salvage treatment of rare cancers in Australia.</w:t>
      </w:r>
      <w:r w:rsidR="00062F9A" w:rsidRPr="004D59FB">
        <w:t xml:space="preserve"> </w:t>
      </w:r>
      <w:r w:rsidR="00062F9A" w:rsidRPr="00821D58">
        <w:t xml:space="preserve">PBT </w:t>
      </w:r>
      <w:r w:rsidR="0052135B">
        <w:t xml:space="preserve">can be </w:t>
      </w:r>
      <w:r w:rsidR="00062F9A" w:rsidRPr="00821D58">
        <w:t xml:space="preserve">used </w:t>
      </w:r>
      <w:r w:rsidR="0052135B">
        <w:t xml:space="preserve">either </w:t>
      </w:r>
      <w:r w:rsidR="00062F9A" w:rsidRPr="00821D58">
        <w:t xml:space="preserve">as monotherapy, as a ‘boost’ mechanism to conventional </w:t>
      </w:r>
      <w:r w:rsidR="00510C52">
        <w:t xml:space="preserve">photon </w:t>
      </w:r>
      <w:r w:rsidR="00062F9A" w:rsidRPr="00821D58">
        <w:t>radiation therapy</w:t>
      </w:r>
      <w:r w:rsidR="00510C52">
        <w:t xml:space="preserve"> (PRT)</w:t>
      </w:r>
      <w:r w:rsidR="00062F9A" w:rsidRPr="00821D58">
        <w:t xml:space="preserve">, </w:t>
      </w:r>
      <w:r w:rsidR="0052135B">
        <w:t xml:space="preserve">or </w:t>
      </w:r>
      <w:r w:rsidR="00062F9A" w:rsidRPr="00821D58">
        <w:t>in combination with other modalities such as chemotherapy and surgery</w:t>
      </w:r>
      <w:r w:rsidR="00062F9A">
        <w:t>.</w:t>
      </w:r>
    </w:p>
    <w:p w14:paraId="71B608B2" w14:textId="77777777" w:rsidR="00062F9A" w:rsidRDefault="00062F9A" w:rsidP="00062F9A">
      <w:pPr>
        <w:spacing w:after="240"/>
      </w:pPr>
      <w:r>
        <w:t xml:space="preserve">The </w:t>
      </w:r>
      <w:r w:rsidR="003741D0">
        <w:t xml:space="preserve">claimed </w:t>
      </w:r>
      <w:r>
        <w:t xml:space="preserve">advantage of PBT over other forms of radiotherapy is in improved radiation distribution (Bragg peak) which </w:t>
      </w:r>
      <w:r w:rsidR="00F82133">
        <w:t>reduces the radiation</w:t>
      </w:r>
      <w:r>
        <w:t xml:space="preserve"> dosage </w:t>
      </w:r>
      <w:r w:rsidR="00F82133">
        <w:t xml:space="preserve">to </w:t>
      </w:r>
      <w:r>
        <w:t xml:space="preserve">nearby organs. The result is a higher dose of radiation to the </w:t>
      </w:r>
      <w:r w:rsidR="00F13351">
        <w:t>tumour with fewer side effects.</w:t>
      </w:r>
      <w:r w:rsidR="00117836">
        <w:t xml:space="preserve"> However, MSAC noted that this theoretical advantage was only acceptabl</w:t>
      </w:r>
      <w:r w:rsidR="002A5115">
        <w:t>y</w:t>
      </w:r>
      <w:r w:rsidR="00117836">
        <w:t xml:space="preserve"> supported by </w:t>
      </w:r>
      <w:r w:rsidR="002A5115">
        <w:t xml:space="preserve">the results of </w:t>
      </w:r>
      <w:r w:rsidR="00117836">
        <w:t>retrospective studies in</w:t>
      </w:r>
      <w:r w:rsidR="002A5115">
        <w:t>volving</w:t>
      </w:r>
      <w:r w:rsidR="00117836">
        <w:t xml:space="preserve"> </w:t>
      </w:r>
      <w:r w:rsidR="002A5115" w:rsidRPr="00117836">
        <w:rPr>
          <w:bCs/>
        </w:rPr>
        <w:t xml:space="preserve">paediatric </w:t>
      </w:r>
      <w:r w:rsidR="002A5115">
        <w:rPr>
          <w:bCs/>
        </w:rPr>
        <w:t xml:space="preserve">tumours </w:t>
      </w:r>
      <w:r w:rsidR="002A5115" w:rsidRPr="00117836">
        <w:rPr>
          <w:bCs/>
        </w:rPr>
        <w:t xml:space="preserve">and </w:t>
      </w:r>
      <w:r w:rsidR="00052B75">
        <w:rPr>
          <w:bCs/>
        </w:rPr>
        <w:t xml:space="preserve">possibly </w:t>
      </w:r>
      <w:r w:rsidR="002A5115" w:rsidRPr="00117836">
        <w:rPr>
          <w:bCs/>
        </w:rPr>
        <w:t>adult brain</w:t>
      </w:r>
      <w:r w:rsidR="009910D5">
        <w:rPr>
          <w:bCs/>
        </w:rPr>
        <w:t xml:space="preserve"> or </w:t>
      </w:r>
      <w:r w:rsidR="002A5115" w:rsidRPr="00117836">
        <w:rPr>
          <w:bCs/>
        </w:rPr>
        <w:t>spinal tumours</w:t>
      </w:r>
      <w:r w:rsidR="00052B75">
        <w:rPr>
          <w:bCs/>
        </w:rPr>
        <w:t>, and this supported advantage was limited to a comparative safety advantage of PBT for these tumour types</w:t>
      </w:r>
      <w:r w:rsidR="002A5115">
        <w:rPr>
          <w:bCs/>
        </w:rPr>
        <w:t>.</w:t>
      </w:r>
    </w:p>
    <w:p w14:paraId="6F788AE6" w14:textId="77777777" w:rsidR="00062F9A" w:rsidRDefault="00062F9A" w:rsidP="00062F9A">
      <w:pPr>
        <w:spacing w:after="240"/>
      </w:pPr>
      <w:r>
        <w:t xml:space="preserve">MSAC noted that, </w:t>
      </w:r>
      <w:r w:rsidRPr="00214372">
        <w:t xml:space="preserve">despite </w:t>
      </w:r>
      <w:r w:rsidR="00652618">
        <w:t xml:space="preserve">likely </w:t>
      </w:r>
      <w:r w:rsidRPr="00214372">
        <w:t>dosimetric benefits</w:t>
      </w:r>
      <w:r>
        <w:t xml:space="preserve">, </w:t>
      </w:r>
      <w:r w:rsidR="00652618">
        <w:t>e</w:t>
      </w:r>
      <w:r w:rsidRPr="00214372">
        <w:t>vidence of the comparative</w:t>
      </w:r>
      <w:r w:rsidR="00652618">
        <w:t xml:space="preserve"> clinical </w:t>
      </w:r>
      <w:r w:rsidRPr="00214372">
        <w:t>effectiveness of PBT is limited due to the small number of randomised controlled trials and the rarity of tumours usually treated by protons.</w:t>
      </w:r>
      <w:r>
        <w:t xml:space="preserve"> The </w:t>
      </w:r>
      <w:r w:rsidRPr="00214372">
        <w:t xml:space="preserve">available clinical data do not clearly demonstrate </w:t>
      </w:r>
      <w:r w:rsidR="00510C52">
        <w:t>a</w:t>
      </w:r>
      <w:r w:rsidRPr="00214372">
        <w:t xml:space="preserve"> comparative effectiveness</w:t>
      </w:r>
      <w:r w:rsidR="008A4CD7">
        <w:t xml:space="preserve"> advantage</w:t>
      </w:r>
      <w:r w:rsidRPr="00214372">
        <w:t xml:space="preserve"> of PBT for </w:t>
      </w:r>
      <w:r w:rsidR="00EC6676">
        <w:t>any</w:t>
      </w:r>
      <w:r w:rsidR="008A4CD7">
        <w:t xml:space="preserve"> </w:t>
      </w:r>
      <w:r w:rsidRPr="00214372">
        <w:t xml:space="preserve">tumour type. </w:t>
      </w:r>
      <w:r>
        <w:t xml:space="preserve">MSAC noted that there are currently phase </w:t>
      </w:r>
      <w:r w:rsidR="00DA4E4C">
        <w:t>II</w:t>
      </w:r>
      <w:r>
        <w:t xml:space="preserve"> and phase </w:t>
      </w:r>
      <w:r w:rsidR="00DA4E4C">
        <w:t>III</w:t>
      </w:r>
      <w:r>
        <w:t xml:space="preserve"> </w:t>
      </w:r>
      <w:r w:rsidR="00747D85">
        <w:t xml:space="preserve">randomised controlled </w:t>
      </w:r>
      <w:r>
        <w:t xml:space="preserve">trials underway; however, the first phase </w:t>
      </w:r>
      <w:r w:rsidR="00DA4E4C">
        <w:t>III</w:t>
      </w:r>
      <w:r>
        <w:t xml:space="preserve"> trial wi</w:t>
      </w:r>
      <w:r w:rsidR="00F13351">
        <w:t>ll not be completed until 2024.</w:t>
      </w:r>
    </w:p>
    <w:p w14:paraId="7E758BAB" w14:textId="77777777" w:rsidR="00924B99" w:rsidRDefault="00062F9A" w:rsidP="00830C04">
      <w:pPr>
        <w:pStyle w:val="paragraph"/>
        <w:spacing w:before="0" w:beforeAutospacing="0" w:after="240" w:afterAutospacing="0"/>
        <w:textAlignment w:val="baseline"/>
      </w:pPr>
      <w:r>
        <w:t xml:space="preserve">MSAC noted that </w:t>
      </w:r>
      <w:r>
        <w:rPr>
          <w:rStyle w:val="normaltextrun"/>
        </w:rPr>
        <w:t xml:space="preserve">a cost-consequence </w:t>
      </w:r>
      <w:r w:rsidR="00845E3E">
        <w:rPr>
          <w:rStyle w:val="normaltextrun"/>
        </w:rPr>
        <w:t xml:space="preserve">economic </w:t>
      </w:r>
      <w:r>
        <w:rPr>
          <w:rStyle w:val="normaltextrun"/>
        </w:rPr>
        <w:t>evaluation was used, due to translational issues and because of uncertainties in the quality and gaps in the evidence base. The comparator was photon radiation therapy (PRT).</w:t>
      </w:r>
      <w:r w:rsidR="00830C04">
        <w:rPr>
          <w:rStyle w:val="normaltextrun"/>
        </w:rPr>
        <w:t xml:space="preserve"> Some indicative health outcome consequences were quantified, but incremental costs were not compared to incremental health outcomes. Some healthcare resource consequences of differences in adverse event rates were estimated, but these estimated cost off-sets were small and uncertain.</w:t>
      </w:r>
    </w:p>
    <w:p w14:paraId="7E7C1188" w14:textId="77777777" w:rsidR="00062F9A" w:rsidRDefault="00845E3E" w:rsidP="009910D5">
      <w:pPr>
        <w:pStyle w:val="paragraph"/>
        <w:spacing w:before="0" w:beforeAutospacing="0" w:after="240" w:afterAutospacing="0"/>
        <w:textAlignment w:val="baseline"/>
        <w:rPr>
          <w:rStyle w:val="eop"/>
        </w:rPr>
      </w:pPr>
      <w:r>
        <w:rPr>
          <w:rStyle w:val="normaltextrun"/>
        </w:rPr>
        <w:t>The capital cost of PBT relative to conventional PRT wa</w:t>
      </w:r>
      <w:r w:rsidR="00924B99">
        <w:rPr>
          <w:rStyle w:val="normaltextrun"/>
        </w:rPr>
        <w:t xml:space="preserve">s not included in the modelling. </w:t>
      </w:r>
      <w:r w:rsidR="00AD2AB8" w:rsidRPr="00924B99">
        <w:rPr>
          <w:rStyle w:val="normaltextrun"/>
        </w:rPr>
        <w:t>T</w:t>
      </w:r>
      <w:r w:rsidRPr="00924B99">
        <w:rPr>
          <w:rStyle w:val="normaltextrun"/>
        </w:rPr>
        <w:t xml:space="preserve">he cost of </w:t>
      </w:r>
      <w:r w:rsidR="00AD2AB8" w:rsidRPr="00924B99">
        <w:rPr>
          <w:rStyle w:val="normaltextrun"/>
        </w:rPr>
        <w:t>a</w:t>
      </w:r>
      <w:r w:rsidRPr="00924B99">
        <w:rPr>
          <w:rStyle w:val="normaltextrun"/>
        </w:rPr>
        <w:t xml:space="preserve"> PBT facility</w:t>
      </w:r>
      <w:r w:rsidR="00FA75D3">
        <w:rPr>
          <w:rStyle w:val="normaltextrun"/>
        </w:rPr>
        <w:t xml:space="preserve"> was </w:t>
      </w:r>
      <w:r w:rsidR="00AD2AB8" w:rsidRPr="00924B99">
        <w:rPr>
          <w:rStyle w:val="normaltextrun"/>
        </w:rPr>
        <w:t xml:space="preserve">estimated in the 2017 HealthPact Report </w:t>
      </w:r>
      <w:r w:rsidR="00AD2AB8" w:rsidRPr="00924B99">
        <w:rPr>
          <w:rStyle w:val="eop"/>
        </w:rPr>
        <w:t>on Proton and Heavy Ion Therapy (equipment only) as being around AUD $34-260 million for a single to multi-room facility, with staffing costs of $10.4 million, and operational costs for a three room facility of $8.8 million annually as compared to a double room conventional PRT centre with $5 million publicly reported costs, staffing costs of $4.25 million annually, and operational costs of $4.51 million annually.</w:t>
      </w:r>
    </w:p>
    <w:p w14:paraId="78B99CB1" w14:textId="77777777" w:rsidR="00062F9A" w:rsidRPr="00214372" w:rsidRDefault="00062F9A" w:rsidP="00062F9A">
      <w:pPr>
        <w:spacing w:after="240"/>
      </w:pPr>
      <w:r>
        <w:lastRenderedPageBreak/>
        <w:t xml:space="preserve">MSAC noted that the </w:t>
      </w:r>
      <w:r w:rsidR="00A01B18">
        <w:t xml:space="preserve">cost of services provided using </w:t>
      </w:r>
      <w:r w:rsidRPr="00214372">
        <w:t xml:space="preserve">PBT </w:t>
      </w:r>
      <w:r w:rsidR="009910D5">
        <w:t>would be</w:t>
      </w:r>
      <w:r w:rsidRPr="00214372">
        <w:t xml:space="preserve"> roughly 1.5</w:t>
      </w:r>
      <w:r>
        <w:t>–</w:t>
      </w:r>
      <w:r w:rsidR="00FA75D3">
        <w:t xml:space="preserve">2.5 times </w:t>
      </w:r>
      <w:r w:rsidR="00B77F91">
        <w:t>more</w:t>
      </w:r>
      <w:r w:rsidR="00FA75D3">
        <w:t xml:space="preserve"> than PRT. </w:t>
      </w:r>
      <w:r w:rsidRPr="00214372">
        <w:t>This suggests that PBT w</w:t>
      </w:r>
      <w:r w:rsidR="009910D5">
        <w:t>ould</w:t>
      </w:r>
      <w:r w:rsidRPr="00214372">
        <w:t xml:space="preserve"> need to be priced higher than PRT </w:t>
      </w:r>
      <w:r>
        <w:t xml:space="preserve">to </w:t>
      </w:r>
      <w:r w:rsidR="009910D5">
        <w:t xml:space="preserve">recover </w:t>
      </w:r>
      <w:r w:rsidRPr="00214372">
        <w:t>cost</w:t>
      </w:r>
      <w:r w:rsidR="009910D5">
        <w:t>s of delivering the service</w:t>
      </w:r>
      <w:r w:rsidRPr="00214372">
        <w:t>.</w:t>
      </w:r>
      <w:r>
        <w:t xml:space="preserve"> MSAC noted that, even if the cost of </w:t>
      </w:r>
      <w:r w:rsidR="00A01B18">
        <w:t xml:space="preserve">delivering </w:t>
      </w:r>
      <w:r w:rsidR="009910D5">
        <w:t>PBT</w:t>
      </w:r>
      <w:r w:rsidR="00A01B18">
        <w:t xml:space="preserve"> </w:t>
      </w:r>
      <w:r>
        <w:t>reduces over time, there will always be a substantial staffing requirement, and operating costs will always be high.</w:t>
      </w:r>
    </w:p>
    <w:p w14:paraId="03BD301C" w14:textId="385D5EB9" w:rsidR="00062F9A" w:rsidRDefault="00062F9A" w:rsidP="00062F9A">
      <w:pPr>
        <w:spacing w:after="240"/>
      </w:pPr>
      <w:r>
        <w:rPr>
          <w:rStyle w:val="normaltextrun"/>
        </w:rPr>
        <w:t>MSAC noted issues with the financial/budgetary impacts provided and considered the</w:t>
      </w:r>
      <w:r w:rsidR="009910D5">
        <w:rPr>
          <w:rStyle w:val="normaltextrun"/>
        </w:rPr>
        <w:t xml:space="preserve"> </w:t>
      </w:r>
      <w:r w:rsidR="00830C04">
        <w:rPr>
          <w:rStyle w:val="normaltextrun"/>
        </w:rPr>
        <w:t xml:space="preserve">estimated </w:t>
      </w:r>
      <w:r>
        <w:rPr>
          <w:rStyle w:val="normaltextrun"/>
        </w:rPr>
        <w:t>numbers to be highly uncertain. The assessment report provided data from 2009 and extrapolated to estimate the population in 2016, rather than using more recent data.</w:t>
      </w:r>
      <w:r>
        <w:rPr>
          <w:rStyle w:val="eop"/>
        </w:rPr>
        <w:t xml:space="preserve"> The </w:t>
      </w:r>
      <w:r w:rsidR="00924B99">
        <w:rPr>
          <w:rStyle w:val="eop"/>
        </w:rPr>
        <w:t xml:space="preserve">annual </w:t>
      </w:r>
      <w:r>
        <w:rPr>
          <w:rStyle w:val="eop"/>
        </w:rPr>
        <w:t>c</w:t>
      </w:r>
      <w:r>
        <w:t xml:space="preserve">ost of the new service could be </w:t>
      </w:r>
      <w:r w:rsidR="00F63B61">
        <w:t xml:space="preserve">above </w:t>
      </w:r>
      <w:r>
        <w:t>$37million. The cost offsets are also uncertain</w:t>
      </w:r>
      <w:r w:rsidR="009F1A45">
        <w:t>.</w:t>
      </w:r>
    </w:p>
    <w:p w14:paraId="0BEB54C1" w14:textId="77777777" w:rsidR="00062F9A" w:rsidRDefault="00830C04" w:rsidP="00062F9A">
      <w:pPr>
        <w:spacing w:after="240"/>
      </w:pPr>
      <w:r>
        <w:t xml:space="preserve">In terms of service delivery, </w:t>
      </w:r>
      <w:r w:rsidR="00062F9A">
        <w:t xml:space="preserve">MSAC noted that there is currently limited expertise </w:t>
      </w:r>
      <w:r w:rsidR="008A4CD7">
        <w:t xml:space="preserve">with </w:t>
      </w:r>
      <w:r w:rsidR="00062F9A">
        <w:t xml:space="preserve">PBT in Australia, and therefore a significant amount of training is required before a new centre can deliver results to the same high standard as established centres. There is a </w:t>
      </w:r>
      <w:r w:rsidR="00062F9A" w:rsidRPr="00214372">
        <w:t>requirement for multidisciplinary integrated team care</w:t>
      </w:r>
      <w:r w:rsidR="00062F9A">
        <w:t xml:space="preserve">. </w:t>
      </w:r>
      <w:r w:rsidR="00062F9A" w:rsidRPr="00214372">
        <w:t xml:space="preserve">Accreditation, certification </w:t>
      </w:r>
      <w:r w:rsidR="00062F9A">
        <w:t>and</w:t>
      </w:r>
      <w:r w:rsidR="00062F9A" w:rsidRPr="00214372">
        <w:t xml:space="preserve"> compliance with dosimetric standards</w:t>
      </w:r>
      <w:r w:rsidR="00062F9A">
        <w:t xml:space="preserve"> </w:t>
      </w:r>
      <w:r w:rsidR="008A4CD7">
        <w:t xml:space="preserve">are </w:t>
      </w:r>
      <w:r w:rsidR="00062F9A">
        <w:t xml:space="preserve">also required. In particular, medical physicists are needed </w:t>
      </w:r>
      <w:r w:rsidR="00A238E7" w:rsidRPr="00A238E7">
        <w:t>for quality assurance of the proton beam, given the close proximity of the planned tumour volume and the organs at risk (vital normal structures) for most clinical indications for PBT</w:t>
      </w:r>
      <w:r w:rsidR="00062F9A">
        <w:t>. MSAC noted that there is already a shortage of medical physicists</w:t>
      </w:r>
      <w:r w:rsidR="00062F9A" w:rsidRPr="00102694">
        <w:t xml:space="preserve"> </w:t>
      </w:r>
      <w:r w:rsidR="00062F9A">
        <w:t>in Australia.</w:t>
      </w:r>
    </w:p>
    <w:p w14:paraId="5E1F1487" w14:textId="77777777" w:rsidR="00062F9A" w:rsidRDefault="00062F9A" w:rsidP="00062F9A">
      <w:pPr>
        <w:spacing w:after="240"/>
      </w:pPr>
      <w:r>
        <w:rPr>
          <w:rStyle w:val="normaltextrun"/>
          <w:bdr w:val="none" w:sz="0" w:space="0" w:color="auto" w:frame="1"/>
        </w:rPr>
        <w:t xml:space="preserve">MSAC noted that there have been 66 approved applications for PBT in 20 years of the MTOP running; the number of eligible patients is therefore small. </w:t>
      </w:r>
      <w:r>
        <w:t xml:space="preserve">MSAC acknowledged that, at the individual level, patients who need PBT currently have to travel overseas at great personal cost to themselves and their carers. However, MSAC also noted that MTOP has been the most cost-efficient way to provide PBT to Australians, and the program </w:t>
      </w:r>
      <w:r w:rsidR="008A4CD7">
        <w:t xml:space="preserve">would </w:t>
      </w:r>
      <w:r>
        <w:t>continue until a PBT facili</w:t>
      </w:r>
      <w:r w:rsidR="00F13351">
        <w:t>ty is operational in Australia.</w:t>
      </w:r>
    </w:p>
    <w:p w14:paraId="69636385" w14:textId="77777777" w:rsidR="00BC1364" w:rsidRPr="00F715D1" w:rsidRDefault="00BC1364" w:rsidP="00F715D1">
      <w:pPr>
        <w:pStyle w:val="Heading1"/>
      </w:pPr>
      <w:r w:rsidRPr="00F715D1">
        <w:t>Background</w:t>
      </w:r>
    </w:p>
    <w:p w14:paraId="24EDD569" w14:textId="77777777" w:rsidR="00646A1A" w:rsidRDefault="00646A1A" w:rsidP="00132164">
      <w:r w:rsidRPr="00A27B23">
        <w:t>There are currently no PBT facilities in Australia. There is no mechanism for private or public funding of PBT, except for patients who have been funded to travel overseas for PBT</w:t>
      </w:r>
      <w:r>
        <w:t xml:space="preserve"> through the </w:t>
      </w:r>
      <w:r w:rsidR="00477590">
        <w:t>MTOP</w:t>
      </w:r>
      <w:r>
        <w:t>.</w:t>
      </w:r>
      <w:r w:rsidR="007E5E8B">
        <w:t xml:space="preserve"> </w:t>
      </w:r>
      <w:r w:rsidRPr="006957B5">
        <w:t>The MTOP criteria are:</w:t>
      </w:r>
    </w:p>
    <w:p w14:paraId="5320ECCB" w14:textId="77777777" w:rsidR="00646A1A" w:rsidRPr="006957B5" w:rsidRDefault="00646A1A" w:rsidP="00132164">
      <w:pPr>
        <w:pStyle w:val="ListParagraph"/>
        <w:widowControl w:val="0"/>
        <w:numPr>
          <w:ilvl w:val="0"/>
          <w:numId w:val="26"/>
        </w:numPr>
        <w:ind w:left="851" w:hanging="284"/>
      </w:pPr>
      <w:r w:rsidRPr="006957B5">
        <w:t>the proposed overseas treatment or an effective alternative treatment must not be available in Australia in time to benefit the applicant;</w:t>
      </w:r>
    </w:p>
    <w:p w14:paraId="312904CF" w14:textId="77777777" w:rsidR="00646A1A" w:rsidRPr="006957B5" w:rsidRDefault="00646A1A" w:rsidP="00132164">
      <w:pPr>
        <w:pStyle w:val="ListParagraph"/>
        <w:widowControl w:val="0"/>
        <w:numPr>
          <w:ilvl w:val="0"/>
          <w:numId w:val="26"/>
        </w:numPr>
        <w:ind w:left="851" w:hanging="284"/>
      </w:pPr>
      <w:r w:rsidRPr="006957B5">
        <w:t>the treatment must be significantly life extending and potentially curative;</w:t>
      </w:r>
    </w:p>
    <w:p w14:paraId="0DAA439B" w14:textId="77777777" w:rsidR="00646A1A" w:rsidRPr="006957B5" w:rsidRDefault="00646A1A" w:rsidP="00132164">
      <w:pPr>
        <w:pStyle w:val="ListParagraph"/>
        <w:widowControl w:val="0"/>
        <w:numPr>
          <w:ilvl w:val="0"/>
          <w:numId w:val="26"/>
        </w:numPr>
        <w:ind w:left="851" w:hanging="284"/>
      </w:pPr>
      <w:r w:rsidRPr="006957B5">
        <w:t>there must be a real prospect of success for the applicant; and</w:t>
      </w:r>
    </w:p>
    <w:p w14:paraId="57F052F2" w14:textId="77777777" w:rsidR="00646A1A" w:rsidRDefault="00646A1A" w:rsidP="00C8537E">
      <w:pPr>
        <w:pStyle w:val="ListParagraph"/>
        <w:widowControl w:val="0"/>
        <w:numPr>
          <w:ilvl w:val="0"/>
          <w:numId w:val="26"/>
        </w:numPr>
        <w:spacing w:after="240"/>
        <w:ind w:left="851" w:hanging="284"/>
      </w:pPr>
      <w:r w:rsidRPr="006957B5">
        <w:t>the treatment must be accepted by the Australian medical profession as a standard form of treatmen</w:t>
      </w:r>
      <w:r>
        <w:t>t for the applicant’s condition.</w:t>
      </w:r>
    </w:p>
    <w:p w14:paraId="39AAEC40" w14:textId="77777777" w:rsidR="007E5E8B" w:rsidRPr="00646A1A" w:rsidRDefault="007E5E8B" w:rsidP="007E5E8B">
      <w:pPr>
        <w:widowControl w:val="0"/>
        <w:spacing w:after="240"/>
      </w:pPr>
      <w:r>
        <w:t>To qualify for the MTOP</w:t>
      </w:r>
      <w:r w:rsidR="00477590">
        <w:t>,</w:t>
      </w:r>
      <w:r>
        <w:t xml:space="preserve"> </w:t>
      </w:r>
      <w:r w:rsidRPr="00244961">
        <w:t>the applicant must be an Australian citizen or be an Australian resident eligible to receive Medicare Benefits</w:t>
      </w:r>
      <w:r>
        <w:t>.</w:t>
      </w:r>
    </w:p>
    <w:p w14:paraId="6D362106" w14:textId="77777777" w:rsidR="00BC1364" w:rsidRPr="00F715D1" w:rsidRDefault="00BC1364" w:rsidP="00F715D1">
      <w:pPr>
        <w:pStyle w:val="Heading1"/>
      </w:pPr>
      <w:r w:rsidRPr="00F715D1">
        <w:t>Prerequisites to implementation of any funding advice</w:t>
      </w:r>
    </w:p>
    <w:p w14:paraId="6B1B9190" w14:textId="502325A4" w:rsidR="00EA18EA" w:rsidRPr="004E0DCA" w:rsidRDefault="00764489" w:rsidP="004E0DCA">
      <w:pPr>
        <w:spacing w:after="240"/>
      </w:pPr>
      <w:r>
        <w:t>The devices</w:t>
      </w:r>
      <w:r w:rsidR="00924B99">
        <w:t xml:space="preserve"> listed in Table 1 are</w:t>
      </w:r>
      <w:r>
        <w:t xml:space="preserve"> included on the Australian Register of Therapeutic Goods (ARTG)</w:t>
      </w:r>
      <w:r w:rsidR="00924B99">
        <w:t>.</w:t>
      </w:r>
      <w:bookmarkStart w:id="0" w:name="_Ref492646836"/>
      <w:bookmarkStart w:id="1" w:name="_Toc522176472"/>
      <w:r w:rsidR="00EA18EA">
        <w:rPr>
          <w:rFonts w:ascii="Arial Narrow" w:hAnsi="Arial Narrow"/>
          <w:b/>
          <w:bCs/>
          <w:sz w:val="20"/>
        </w:rPr>
        <w:br w:type="page"/>
      </w:r>
    </w:p>
    <w:p w14:paraId="5188569C" w14:textId="67315876" w:rsidR="00764489" w:rsidRPr="00244961" w:rsidRDefault="00764489" w:rsidP="00764489">
      <w:pPr>
        <w:keepNext/>
        <w:spacing w:after="120"/>
        <w:rPr>
          <w:rFonts w:ascii="Arial Narrow" w:hAnsi="Arial Narrow"/>
          <w:b/>
          <w:bCs/>
          <w:sz w:val="20"/>
        </w:rPr>
      </w:pPr>
      <w:r w:rsidRPr="00244961">
        <w:rPr>
          <w:rFonts w:ascii="Arial Narrow" w:hAnsi="Arial Narrow"/>
          <w:b/>
          <w:bCs/>
          <w:sz w:val="20"/>
        </w:rPr>
        <w:lastRenderedPageBreak/>
        <w:t xml:space="preserve">Table </w:t>
      </w:r>
      <w:r w:rsidRPr="00244961">
        <w:rPr>
          <w:rFonts w:ascii="Arial Narrow" w:hAnsi="Arial Narrow"/>
          <w:b/>
          <w:bCs/>
          <w:sz w:val="20"/>
        </w:rPr>
        <w:fldChar w:fldCharType="begin"/>
      </w:r>
      <w:r w:rsidRPr="00244961">
        <w:rPr>
          <w:rFonts w:ascii="Arial Narrow" w:hAnsi="Arial Narrow"/>
          <w:b/>
          <w:bCs/>
          <w:sz w:val="20"/>
        </w:rPr>
        <w:instrText xml:space="preserve"> SEQ Table \* ARABIC </w:instrText>
      </w:r>
      <w:r w:rsidRPr="00244961">
        <w:rPr>
          <w:rFonts w:ascii="Arial Narrow" w:hAnsi="Arial Narrow"/>
          <w:b/>
          <w:bCs/>
          <w:sz w:val="20"/>
        </w:rPr>
        <w:fldChar w:fldCharType="separate"/>
      </w:r>
      <w:r>
        <w:rPr>
          <w:rFonts w:ascii="Arial Narrow" w:hAnsi="Arial Narrow"/>
          <w:b/>
          <w:bCs/>
          <w:noProof/>
          <w:sz w:val="20"/>
        </w:rPr>
        <w:t>1</w:t>
      </w:r>
      <w:r w:rsidRPr="00244961">
        <w:rPr>
          <w:rFonts w:ascii="Arial Narrow" w:hAnsi="Arial Narrow"/>
          <w:b/>
          <w:bCs/>
          <w:sz w:val="20"/>
        </w:rPr>
        <w:fldChar w:fldCharType="end"/>
      </w:r>
      <w:bookmarkEnd w:id="0"/>
      <w:r w:rsidR="0077342B">
        <w:rPr>
          <w:rFonts w:ascii="Arial Narrow" w:hAnsi="Arial Narrow"/>
          <w:b/>
          <w:bCs/>
          <w:sz w:val="20"/>
        </w:rPr>
        <w:tab/>
      </w:r>
      <w:r w:rsidRPr="00244961">
        <w:rPr>
          <w:rFonts w:ascii="Arial Narrow" w:hAnsi="Arial Narrow"/>
          <w:b/>
          <w:bCs/>
          <w:sz w:val="20"/>
        </w:rPr>
        <w:t xml:space="preserve">Proton </w:t>
      </w:r>
      <w:r w:rsidR="009910D5">
        <w:rPr>
          <w:rFonts w:ascii="Arial Narrow" w:hAnsi="Arial Narrow"/>
          <w:b/>
          <w:bCs/>
          <w:sz w:val="20"/>
        </w:rPr>
        <w:t xml:space="preserve">beam </w:t>
      </w:r>
      <w:r w:rsidR="00924B99">
        <w:rPr>
          <w:rFonts w:ascii="Arial Narrow" w:hAnsi="Arial Narrow"/>
          <w:b/>
          <w:bCs/>
          <w:sz w:val="20"/>
        </w:rPr>
        <w:t>t</w:t>
      </w:r>
      <w:r w:rsidRPr="00244961">
        <w:rPr>
          <w:rFonts w:ascii="Arial Narrow" w:hAnsi="Arial Narrow"/>
          <w:b/>
          <w:bCs/>
          <w:sz w:val="20"/>
        </w:rPr>
        <w:t>herapy devices included on the ARTG</w:t>
      </w:r>
      <w:bookmarkEnd w:id="1"/>
    </w:p>
    <w:tbl>
      <w:tblPr>
        <w:tblStyle w:val="TableGrid11"/>
        <w:tblW w:w="0" w:type="auto"/>
        <w:tblLook w:val="04A0" w:firstRow="1" w:lastRow="0" w:firstColumn="1" w:lastColumn="0" w:noHBand="0" w:noVBand="1"/>
        <w:tblCaption w:val="Proton Beam Therapy devices included on the ARTG"/>
        <w:tblDescription w:val="This table provides the registry number, product number, product description, product category and sponsor for products that relate to the technology being assessed and that are currently registered on the Australian Register of Therapeutic Goods."/>
      </w:tblPr>
      <w:tblGrid>
        <w:gridCol w:w="1386"/>
        <w:gridCol w:w="1380"/>
        <w:gridCol w:w="3307"/>
        <w:gridCol w:w="900"/>
        <w:gridCol w:w="2043"/>
      </w:tblGrid>
      <w:tr w:rsidR="00764489" w:rsidRPr="00244961" w14:paraId="751C12CB" w14:textId="77777777" w:rsidTr="002F2867">
        <w:trPr>
          <w:tblHeader/>
        </w:trPr>
        <w:tc>
          <w:tcPr>
            <w:tcW w:w="1386" w:type="dxa"/>
          </w:tcPr>
          <w:p w14:paraId="766F8446" w14:textId="77777777" w:rsidR="00764489" w:rsidRPr="00244961" w:rsidRDefault="00764489" w:rsidP="004849A9">
            <w:pPr>
              <w:keepNext/>
              <w:spacing w:before="40" w:after="40"/>
              <w:rPr>
                <w:rFonts w:ascii="Arial Narrow" w:hAnsi="Arial Narrow"/>
                <w:b/>
                <w:sz w:val="20"/>
              </w:rPr>
            </w:pPr>
            <w:r w:rsidRPr="00244961">
              <w:rPr>
                <w:rFonts w:ascii="Arial Narrow" w:hAnsi="Arial Narrow"/>
                <w:b/>
                <w:sz w:val="20"/>
              </w:rPr>
              <w:t>ARTG n</w:t>
            </w:r>
            <w:r w:rsidR="004849A9">
              <w:rPr>
                <w:rFonts w:ascii="Arial Narrow" w:hAnsi="Arial Narrow"/>
                <w:b/>
                <w:sz w:val="20"/>
              </w:rPr>
              <w:t>umber</w:t>
            </w:r>
          </w:p>
        </w:tc>
        <w:tc>
          <w:tcPr>
            <w:tcW w:w="1380" w:type="dxa"/>
          </w:tcPr>
          <w:p w14:paraId="2F3256F5" w14:textId="77777777" w:rsidR="00764489" w:rsidRPr="00244961" w:rsidRDefault="00764489" w:rsidP="004849A9">
            <w:pPr>
              <w:keepNext/>
              <w:spacing w:before="40" w:after="40"/>
              <w:rPr>
                <w:rFonts w:ascii="Arial Narrow" w:hAnsi="Arial Narrow"/>
                <w:b/>
                <w:sz w:val="20"/>
              </w:rPr>
            </w:pPr>
            <w:r w:rsidRPr="00244961">
              <w:rPr>
                <w:rFonts w:ascii="Arial Narrow" w:hAnsi="Arial Narrow"/>
                <w:b/>
                <w:sz w:val="20"/>
              </w:rPr>
              <w:t>Product n</w:t>
            </w:r>
            <w:r w:rsidR="004849A9">
              <w:rPr>
                <w:rFonts w:ascii="Arial Narrow" w:hAnsi="Arial Narrow"/>
                <w:b/>
                <w:sz w:val="20"/>
              </w:rPr>
              <w:t>umber</w:t>
            </w:r>
          </w:p>
        </w:tc>
        <w:tc>
          <w:tcPr>
            <w:tcW w:w="3307" w:type="dxa"/>
          </w:tcPr>
          <w:p w14:paraId="393ED3A4" w14:textId="77777777" w:rsidR="00764489" w:rsidRPr="00244961" w:rsidRDefault="00764489" w:rsidP="00F6759C">
            <w:pPr>
              <w:keepNext/>
              <w:spacing w:before="40" w:after="40"/>
              <w:rPr>
                <w:rFonts w:ascii="Arial Narrow" w:hAnsi="Arial Narrow"/>
                <w:b/>
                <w:sz w:val="20"/>
              </w:rPr>
            </w:pPr>
            <w:r w:rsidRPr="00244961">
              <w:rPr>
                <w:rFonts w:ascii="Arial Narrow" w:hAnsi="Arial Narrow"/>
                <w:b/>
                <w:sz w:val="20"/>
              </w:rPr>
              <w:t>Product description</w:t>
            </w:r>
          </w:p>
        </w:tc>
        <w:tc>
          <w:tcPr>
            <w:tcW w:w="900" w:type="dxa"/>
          </w:tcPr>
          <w:p w14:paraId="3A49FDDD" w14:textId="77777777" w:rsidR="00764489" w:rsidRPr="00244961" w:rsidRDefault="00764489" w:rsidP="00F6759C">
            <w:pPr>
              <w:keepNext/>
              <w:spacing w:before="40" w:after="40"/>
              <w:rPr>
                <w:rFonts w:ascii="Arial Narrow" w:hAnsi="Arial Narrow"/>
                <w:b/>
                <w:sz w:val="20"/>
              </w:rPr>
            </w:pPr>
            <w:r w:rsidRPr="00244961">
              <w:rPr>
                <w:rFonts w:ascii="Arial Narrow" w:hAnsi="Arial Narrow"/>
                <w:b/>
                <w:sz w:val="20"/>
              </w:rPr>
              <w:t>Product category</w:t>
            </w:r>
          </w:p>
        </w:tc>
        <w:tc>
          <w:tcPr>
            <w:tcW w:w="2043" w:type="dxa"/>
          </w:tcPr>
          <w:p w14:paraId="439CE578" w14:textId="77777777" w:rsidR="00764489" w:rsidRPr="00244961" w:rsidRDefault="00764489" w:rsidP="00F6759C">
            <w:pPr>
              <w:keepNext/>
              <w:spacing w:before="40" w:after="40"/>
              <w:rPr>
                <w:rFonts w:ascii="Arial Narrow" w:hAnsi="Arial Narrow"/>
                <w:b/>
                <w:sz w:val="20"/>
              </w:rPr>
            </w:pPr>
            <w:r w:rsidRPr="00244961">
              <w:rPr>
                <w:rFonts w:ascii="Arial Narrow" w:hAnsi="Arial Narrow"/>
                <w:b/>
                <w:sz w:val="20"/>
              </w:rPr>
              <w:t>Sponsor</w:t>
            </w:r>
          </w:p>
        </w:tc>
      </w:tr>
      <w:tr w:rsidR="00764489" w:rsidRPr="00244961" w14:paraId="4339ACBB" w14:textId="77777777" w:rsidTr="002F2867">
        <w:tc>
          <w:tcPr>
            <w:tcW w:w="1386" w:type="dxa"/>
          </w:tcPr>
          <w:p w14:paraId="5109ECA8" w14:textId="77777777" w:rsidR="00764489" w:rsidRPr="00244961" w:rsidRDefault="00764489" w:rsidP="00F6759C">
            <w:pPr>
              <w:spacing w:before="40" w:after="40"/>
              <w:rPr>
                <w:rFonts w:ascii="Arial Narrow" w:hAnsi="Arial Narrow"/>
                <w:sz w:val="20"/>
              </w:rPr>
            </w:pPr>
            <w:r w:rsidRPr="00244961">
              <w:rPr>
                <w:rFonts w:ascii="Arial Narrow" w:hAnsi="Arial Narrow"/>
                <w:sz w:val="20"/>
              </w:rPr>
              <w:t>147516</w:t>
            </w:r>
          </w:p>
          <w:p w14:paraId="04C8CD11" w14:textId="77777777" w:rsidR="00764489" w:rsidRPr="00244961" w:rsidRDefault="00764489" w:rsidP="00F6759C">
            <w:pPr>
              <w:spacing w:before="40" w:after="40"/>
              <w:rPr>
                <w:rFonts w:ascii="Arial Narrow" w:hAnsi="Arial Narrow"/>
                <w:sz w:val="20"/>
              </w:rPr>
            </w:pPr>
            <w:r w:rsidRPr="00244961">
              <w:rPr>
                <w:rFonts w:ascii="Arial Narrow" w:hAnsi="Arial Narrow"/>
                <w:sz w:val="20"/>
              </w:rPr>
              <w:t>(ARTG start date 21/1/2007)</w:t>
            </w:r>
          </w:p>
        </w:tc>
        <w:tc>
          <w:tcPr>
            <w:tcW w:w="1380" w:type="dxa"/>
          </w:tcPr>
          <w:p w14:paraId="266FA519" w14:textId="77777777" w:rsidR="00764489" w:rsidRPr="00244961" w:rsidRDefault="00764489" w:rsidP="00F6759C">
            <w:pPr>
              <w:spacing w:before="40" w:after="40"/>
              <w:rPr>
                <w:rFonts w:ascii="Arial Narrow" w:hAnsi="Arial Narrow"/>
                <w:sz w:val="20"/>
              </w:rPr>
            </w:pPr>
            <w:r w:rsidRPr="00244961">
              <w:rPr>
                <w:rFonts w:ascii="Arial Narrow" w:hAnsi="Arial Narrow"/>
                <w:sz w:val="20"/>
              </w:rPr>
              <w:t>47069 Proton therapy system</w:t>
            </w:r>
          </w:p>
        </w:tc>
        <w:tc>
          <w:tcPr>
            <w:tcW w:w="3307" w:type="dxa"/>
          </w:tcPr>
          <w:p w14:paraId="241D7219" w14:textId="77777777" w:rsidR="00764489" w:rsidRPr="00244961" w:rsidRDefault="00764489" w:rsidP="00F6759C">
            <w:pPr>
              <w:spacing w:before="40" w:after="40"/>
              <w:rPr>
                <w:rFonts w:ascii="Arial Narrow" w:hAnsi="Arial Narrow"/>
                <w:sz w:val="20"/>
              </w:rPr>
            </w:pPr>
            <w:r w:rsidRPr="00244961">
              <w:rPr>
                <w:rFonts w:ascii="Arial Narrow" w:hAnsi="Arial Narrow"/>
                <w:sz w:val="20"/>
              </w:rPr>
              <w:t>Proton therapy system. An assembly of devices used to produce and deliver a transverse and longitudinal dose proton beam to treat localised tumours and other conditions susceptible to treatment by radiation.</w:t>
            </w:r>
          </w:p>
        </w:tc>
        <w:tc>
          <w:tcPr>
            <w:tcW w:w="900" w:type="dxa"/>
          </w:tcPr>
          <w:p w14:paraId="18AEDD89" w14:textId="77777777" w:rsidR="00764489" w:rsidRPr="00244961" w:rsidRDefault="00764489" w:rsidP="00F6759C">
            <w:pPr>
              <w:spacing w:before="40" w:after="40"/>
              <w:rPr>
                <w:rFonts w:ascii="Arial Narrow" w:hAnsi="Arial Narrow"/>
                <w:sz w:val="20"/>
              </w:rPr>
            </w:pPr>
            <w:r w:rsidRPr="00244961">
              <w:rPr>
                <w:rFonts w:ascii="Arial Narrow" w:hAnsi="Arial Narrow"/>
                <w:sz w:val="20"/>
              </w:rPr>
              <w:t>Medical Device Class IIb</w:t>
            </w:r>
          </w:p>
        </w:tc>
        <w:tc>
          <w:tcPr>
            <w:tcW w:w="2043" w:type="dxa"/>
          </w:tcPr>
          <w:p w14:paraId="077589F2" w14:textId="77777777" w:rsidR="00764489" w:rsidRPr="00244961" w:rsidRDefault="0042185A" w:rsidP="004F5F5E">
            <w:pPr>
              <w:spacing w:before="40" w:after="40"/>
              <w:rPr>
                <w:rFonts w:ascii="Arial Narrow" w:hAnsi="Arial Narrow"/>
                <w:sz w:val="20"/>
              </w:rPr>
            </w:pPr>
            <w:hyperlink r:id="rId10" w:history="1">
              <w:r w:rsidR="00764489" w:rsidRPr="00244961">
                <w:rPr>
                  <w:rFonts w:ascii="Arial Narrow" w:hAnsi="Arial Narrow"/>
                  <w:sz w:val="20"/>
                  <w:u w:val="single"/>
                </w:rPr>
                <w:t>Proton Therapy Australia Pty Ltd.</w:t>
              </w:r>
            </w:hyperlink>
          </w:p>
        </w:tc>
      </w:tr>
      <w:tr w:rsidR="00764489" w:rsidRPr="00244961" w14:paraId="1D06308E" w14:textId="77777777" w:rsidTr="002F2867">
        <w:tc>
          <w:tcPr>
            <w:tcW w:w="1386" w:type="dxa"/>
          </w:tcPr>
          <w:p w14:paraId="16A45508" w14:textId="77777777" w:rsidR="00764489" w:rsidRPr="00244961" w:rsidRDefault="00764489" w:rsidP="00F6759C">
            <w:pPr>
              <w:spacing w:before="40" w:after="40"/>
              <w:rPr>
                <w:rFonts w:ascii="Arial Narrow" w:hAnsi="Arial Narrow"/>
                <w:sz w:val="20"/>
              </w:rPr>
            </w:pPr>
            <w:r w:rsidRPr="00244961">
              <w:rPr>
                <w:rFonts w:ascii="Arial Narrow" w:hAnsi="Arial Narrow"/>
                <w:sz w:val="20"/>
              </w:rPr>
              <w:t>288732</w:t>
            </w:r>
          </w:p>
          <w:p w14:paraId="395ED83E" w14:textId="77777777" w:rsidR="00764489" w:rsidRPr="00244961" w:rsidRDefault="00764489" w:rsidP="00F6759C">
            <w:pPr>
              <w:spacing w:before="40" w:after="40"/>
              <w:rPr>
                <w:rFonts w:ascii="Arial Narrow" w:hAnsi="Arial Narrow"/>
                <w:sz w:val="20"/>
              </w:rPr>
            </w:pPr>
            <w:r w:rsidRPr="00244961">
              <w:rPr>
                <w:rFonts w:ascii="Arial Narrow" w:hAnsi="Arial Narrow"/>
                <w:sz w:val="20"/>
              </w:rPr>
              <w:t>(ARTG start date 9/5/2017)</w:t>
            </w:r>
          </w:p>
        </w:tc>
        <w:tc>
          <w:tcPr>
            <w:tcW w:w="1380" w:type="dxa"/>
          </w:tcPr>
          <w:p w14:paraId="069A8F2E" w14:textId="77777777" w:rsidR="00764489" w:rsidRPr="00244961" w:rsidRDefault="00764489" w:rsidP="00F6759C">
            <w:pPr>
              <w:spacing w:before="40" w:after="40"/>
              <w:rPr>
                <w:rFonts w:ascii="Arial Narrow" w:hAnsi="Arial Narrow"/>
                <w:sz w:val="20"/>
              </w:rPr>
            </w:pPr>
            <w:r w:rsidRPr="00244961">
              <w:rPr>
                <w:rFonts w:ascii="Arial Narrow" w:hAnsi="Arial Narrow"/>
                <w:sz w:val="20"/>
              </w:rPr>
              <w:t>45064 Digital imager, radiation therapy</w:t>
            </w:r>
          </w:p>
        </w:tc>
        <w:tc>
          <w:tcPr>
            <w:tcW w:w="3307" w:type="dxa"/>
          </w:tcPr>
          <w:p w14:paraId="72738437" w14:textId="77777777" w:rsidR="00764489" w:rsidRPr="00244961" w:rsidRDefault="00764489" w:rsidP="00F6759C">
            <w:pPr>
              <w:spacing w:before="40" w:after="40"/>
              <w:rPr>
                <w:rFonts w:ascii="Arial Narrow" w:hAnsi="Arial Narrow"/>
                <w:sz w:val="20"/>
              </w:rPr>
            </w:pPr>
            <w:r w:rsidRPr="00244961">
              <w:rPr>
                <w:rFonts w:ascii="Arial Narrow" w:hAnsi="Arial Narrow"/>
                <w:sz w:val="20"/>
              </w:rPr>
              <w:t>Digital imager, radiation therapy. For use with a charged particle or photon radiation therapy system for localisation of the patient position with respect to the therapy equipment and to provide correction feedback t</w:t>
            </w:r>
            <w:r w:rsidR="004849A9">
              <w:rPr>
                <w:rFonts w:ascii="Arial Narrow" w:hAnsi="Arial Narrow"/>
                <w:sz w:val="20"/>
              </w:rPr>
              <w:t>o the radiation therapy device.</w:t>
            </w:r>
          </w:p>
        </w:tc>
        <w:tc>
          <w:tcPr>
            <w:tcW w:w="900" w:type="dxa"/>
          </w:tcPr>
          <w:p w14:paraId="54A42E23" w14:textId="77777777" w:rsidR="00764489" w:rsidRPr="00244961" w:rsidRDefault="00764489" w:rsidP="00F6759C">
            <w:pPr>
              <w:spacing w:before="40" w:after="40"/>
              <w:rPr>
                <w:rFonts w:ascii="Arial Narrow" w:hAnsi="Arial Narrow"/>
                <w:sz w:val="20"/>
              </w:rPr>
            </w:pPr>
            <w:r w:rsidRPr="00244961">
              <w:rPr>
                <w:rFonts w:ascii="Arial Narrow" w:hAnsi="Arial Narrow"/>
                <w:sz w:val="20"/>
              </w:rPr>
              <w:t>Medical Device Class IIb</w:t>
            </w:r>
          </w:p>
        </w:tc>
        <w:tc>
          <w:tcPr>
            <w:tcW w:w="2043" w:type="dxa"/>
          </w:tcPr>
          <w:p w14:paraId="398ACDCE" w14:textId="77777777" w:rsidR="00764489" w:rsidRPr="00244961" w:rsidRDefault="0042185A" w:rsidP="004F5F5E">
            <w:pPr>
              <w:spacing w:before="40" w:after="40"/>
              <w:rPr>
                <w:rFonts w:ascii="Arial Narrow" w:hAnsi="Arial Narrow"/>
                <w:sz w:val="20"/>
              </w:rPr>
            </w:pPr>
            <w:hyperlink r:id="rId11" w:history="1">
              <w:r w:rsidR="00764489" w:rsidRPr="00244961">
                <w:rPr>
                  <w:rFonts w:ascii="Arial Narrow" w:hAnsi="Arial Narrow"/>
                  <w:sz w:val="20"/>
                  <w:u w:val="single"/>
                </w:rPr>
                <w:t>Proton Therapy Australia Pty Ltd.</w:t>
              </w:r>
            </w:hyperlink>
          </w:p>
        </w:tc>
      </w:tr>
      <w:tr w:rsidR="00764489" w:rsidRPr="00244961" w14:paraId="4A5B81C0" w14:textId="77777777" w:rsidTr="002F2867">
        <w:tc>
          <w:tcPr>
            <w:tcW w:w="1386" w:type="dxa"/>
          </w:tcPr>
          <w:p w14:paraId="11816D76" w14:textId="77777777" w:rsidR="00764489" w:rsidRPr="00244961" w:rsidRDefault="00764489" w:rsidP="00F6759C">
            <w:pPr>
              <w:spacing w:before="40" w:after="40"/>
              <w:rPr>
                <w:rFonts w:ascii="Arial Narrow" w:hAnsi="Arial Narrow"/>
                <w:sz w:val="20"/>
              </w:rPr>
            </w:pPr>
            <w:r w:rsidRPr="00244961">
              <w:rPr>
                <w:rFonts w:ascii="Arial Narrow" w:hAnsi="Arial Narrow"/>
                <w:sz w:val="20"/>
              </w:rPr>
              <w:t>211837</w:t>
            </w:r>
          </w:p>
          <w:p w14:paraId="2D511259" w14:textId="77777777" w:rsidR="00764489" w:rsidRPr="00244961" w:rsidRDefault="00764489" w:rsidP="00F6759C">
            <w:pPr>
              <w:spacing w:before="40" w:after="40"/>
              <w:rPr>
                <w:rFonts w:ascii="Arial Narrow" w:hAnsi="Arial Narrow"/>
                <w:sz w:val="20"/>
              </w:rPr>
            </w:pPr>
            <w:r w:rsidRPr="00244961">
              <w:rPr>
                <w:rFonts w:ascii="Arial Narrow" w:hAnsi="Arial Narrow"/>
                <w:sz w:val="20"/>
              </w:rPr>
              <w:t>(ARTG start date 5/7/2013)</w:t>
            </w:r>
          </w:p>
        </w:tc>
        <w:tc>
          <w:tcPr>
            <w:tcW w:w="1380" w:type="dxa"/>
          </w:tcPr>
          <w:p w14:paraId="1A39A8F1" w14:textId="77777777" w:rsidR="00764489" w:rsidRPr="00244961" w:rsidRDefault="00764489" w:rsidP="00F6759C">
            <w:pPr>
              <w:spacing w:before="40" w:after="40"/>
              <w:rPr>
                <w:rFonts w:ascii="Arial Narrow" w:hAnsi="Arial Narrow"/>
                <w:sz w:val="20"/>
              </w:rPr>
            </w:pPr>
            <w:r w:rsidRPr="00244961">
              <w:rPr>
                <w:rFonts w:ascii="Arial Narrow" w:hAnsi="Arial Narrow"/>
                <w:sz w:val="20"/>
              </w:rPr>
              <w:t>47069 Proton therapy system</w:t>
            </w:r>
          </w:p>
        </w:tc>
        <w:tc>
          <w:tcPr>
            <w:tcW w:w="3307" w:type="dxa"/>
          </w:tcPr>
          <w:p w14:paraId="3112D967" w14:textId="77777777" w:rsidR="00764489" w:rsidRPr="00244961" w:rsidRDefault="00764489" w:rsidP="00F6759C">
            <w:pPr>
              <w:spacing w:before="40" w:after="40"/>
              <w:rPr>
                <w:rFonts w:ascii="Arial Narrow" w:hAnsi="Arial Narrow"/>
                <w:sz w:val="20"/>
              </w:rPr>
            </w:pPr>
            <w:r w:rsidRPr="00244961">
              <w:rPr>
                <w:rFonts w:ascii="Arial Narrow" w:hAnsi="Arial Narrow"/>
                <w:sz w:val="20"/>
              </w:rPr>
              <w:t>Proton therapy system. Production and delivery of a transverse and longitudinal dose proton beam to treat localised tumours and other conditions susceptible to treatment by radiation.</w:t>
            </w:r>
          </w:p>
        </w:tc>
        <w:tc>
          <w:tcPr>
            <w:tcW w:w="900" w:type="dxa"/>
          </w:tcPr>
          <w:p w14:paraId="3B2B1292" w14:textId="77777777" w:rsidR="00764489" w:rsidRPr="00244961" w:rsidRDefault="00764489" w:rsidP="00F6759C">
            <w:pPr>
              <w:spacing w:before="40" w:after="40"/>
              <w:rPr>
                <w:rFonts w:ascii="Arial Narrow" w:hAnsi="Arial Narrow"/>
                <w:sz w:val="20"/>
              </w:rPr>
            </w:pPr>
            <w:r w:rsidRPr="00244961">
              <w:rPr>
                <w:rFonts w:ascii="Arial Narrow" w:hAnsi="Arial Narrow"/>
                <w:sz w:val="20"/>
              </w:rPr>
              <w:t>Medical Device Class IIb</w:t>
            </w:r>
          </w:p>
        </w:tc>
        <w:tc>
          <w:tcPr>
            <w:tcW w:w="2043" w:type="dxa"/>
          </w:tcPr>
          <w:p w14:paraId="7E742FD2" w14:textId="77777777" w:rsidR="00764489" w:rsidRPr="00244961" w:rsidRDefault="0042185A" w:rsidP="00F6759C">
            <w:pPr>
              <w:spacing w:before="40" w:after="40"/>
              <w:rPr>
                <w:rFonts w:ascii="Arial Narrow" w:hAnsi="Arial Narrow"/>
                <w:sz w:val="20"/>
              </w:rPr>
            </w:pPr>
            <w:hyperlink r:id="rId12" w:history="1">
              <w:r w:rsidR="00764489" w:rsidRPr="00244961">
                <w:rPr>
                  <w:rFonts w:ascii="Arial Narrow" w:hAnsi="Arial Narrow"/>
                  <w:sz w:val="20"/>
                  <w:u w:val="single"/>
                </w:rPr>
                <w:t>Varian Medical Systems Australasia Pty Ltd.</w:t>
              </w:r>
            </w:hyperlink>
          </w:p>
        </w:tc>
      </w:tr>
    </w:tbl>
    <w:p w14:paraId="338D8355" w14:textId="77777777" w:rsidR="00764489" w:rsidRPr="00244961" w:rsidRDefault="00764489" w:rsidP="00764489">
      <w:pPr>
        <w:contextualSpacing/>
        <w:rPr>
          <w:rFonts w:ascii="Arial Narrow" w:hAnsi="Arial Narrow"/>
          <w:sz w:val="18"/>
          <w:szCs w:val="18"/>
          <w:u w:val="single"/>
        </w:rPr>
      </w:pPr>
      <w:r w:rsidRPr="00244961">
        <w:rPr>
          <w:rFonts w:ascii="Arial Narrow" w:hAnsi="Arial Narrow"/>
          <w:sz w:val="18"/>
          <w:szCs w:val="18"/>
        </w:rPr>
        <w:t>Source: Therapeutic Goods Administration, accessed 20 July 2017</w:t>
      </w:r>
      <w:r w:rsidR="00F13351">
        <w:rPr>
          <w:rFonts w:ascii="Arial Narrow" w:hAnsi="Arial Narrow"/>
          <w:sz w:val="18"/>
          <w:szCs w:val="18"/>
        </w:rPr>
        <w:t>.</w:t>
      </w:r>
      <w:r w:rsidRPr="00244961">
        <w:rPr>
          <w:rFonts w:ascii="Arial Narrow" w:hAnsi="Arial Narrow"/>
          <w:sz w:val="18"/>
          <w:szCs w:val="18"/>
        </w:rPr>
        <w:t xml:space="preserve"> </w:t>
      </w:r>
      <w:hyperlink r:id="rId13" w:history="1">
        <w:r w:rsidRPr="00244961">
          <w:rPr>
            <w:rFonts w:ascii="Arial Narrow" w:hAnsi="Arial Narrow"/>
            <w:sz w:val="18"/>
            <w:szCs w:val="18"/>
            <w:u w:val="single"/>
          </w:rPr>
          <w:t>Link to TGA.gov.au</w:t>
        </w:r>
      </w:hyperlink>
    </w:p>
    <w:p w14:paraId="56F432E3" w14:textId="77777777" w:rsidR="00764489" w:rsidRPr="00D457C3" w:rsidRDefault="00764489" w:rsidP="00B057B0">
      <w:pPr>
        <w:pStyle w:val="TFAbbrevs18"/>
        <w:spacing w:after="240"/>
        <w:rPr>
          <w:color w:val="auto"/>
        </w:rPr>
      </w:pPr>
      <w:r w:rsidRPr="00244961">
        <w:rPr>
          <w:color w:val="auto"/>
        </w:rPr>
        <w:t>Abbreviations: ARTG, Australian Register of Therapeutic Goods</w:t>
      </w:r>
      <w:r w:rsidR="00F13351">
        <w:rPr>
          <w:color w:val="auto"/>
        </w:rPr>
        <w:t>.</w:t>
      </w:r>
    </w:p>
    <w:p w14:paraId="71511497" w14:textId="77777777" w:rsidR="00BC1364" w:rsidRPr="00F715D1" w:rsidRDefault="00BC1364" w:rsidP="00F715D1">
      <w:pPr>
        <w:pStyle w:val="Heading1"/>
      </w:pPr>
      <w:r w:rsidRPr="00F715D1">
        <w:t>Proposal for public funding</w:t>
      </w:r>
    </w:p>
    <w:p w14:paraId="4E8FD4CC" w14:textId="77777777" w:rsidR="008927D9" w:rsidRDefault="007B3A18" w:rsidP="00BA3BE6">
      <w:r w:rsidRPr="007B3A18">
        <w:t xml:space="preserve">The proposed clinical management algorithm included in the PICO Confirmation assumes that PBT will </w:t>
      </w:r>
      <w:r w:rsidR="00C16C7C">
        <w:t>have public funding</w:t>
      </w:r>
      <w:r w:rsidRPr="007B3A18">
        <w:t xml:space="preserve"> after facilities become operational in Australia, and will provide patients with an alternative to the existing treatments available in Australia.</w:t>
      </w:r>
    </w:p>
    <w:p w14:paraId="7EE37E55" w14:textId="77777777" w:rsidR="00BC1364" w:rsidRPr="00F715D1" w:rsidRDefault="00BC1364" w:rsidP="00F715D1">
      <w:pPr>
        <w:pStyle w:val="Heading1"/>
      </w:pPr>
      <w:r w:rsidRPr="00F715D1">
        <w:t xml:space="preserve">Summary of </w:t>
      </w:r>
      <w:r w:rsidR="00F13351" w:rsidRPr="00F715D1">
        <w:t>public consultation feedback/consumer issues</w:t>
      </w:r>
    </w:p>
    <w:p w14:paraId="7872761E" w14:textId="77777777" w:rsidR="00764489" w:rsidRDefault="00386D63" w:rsidP="00764489">
      <w:r>
        <w:t>F</w:t>
      </w:r>
      <w:r w:rsidR="00BA1634" w:rsidRPr="00BA1634">
        <w:t xml:space="preserve">ourteen responses were received by the Department during the consumer consultation process. </w:t>
      </w:r>
      <w:r w:rsidR="00764489">
        <w:t>The following summarises the consumer issues and policy impacts id</w:t>
      </w:r>
      <w:r w:rsidR="00BA1634">
        <w:t>entified:</w:t>
      </w:r>
    </w:p>
    <w:p w14:paraId="5A2A44D3" w14:textId="77777777" w:rsidR="00764489" w:rsidRDefault="00764489" w:rsidP="00764489">
      <w:pPr>
        <w:pStyle w:val="ListParagraph"/>
        <w:numPr>
          <w:ilvl w:val="0"/>
          <w:numId w:val="28"/>
        </w:numPr>
      </w:pPr>
      <w:r w:rsidRPr="00764489">
        <w:t>Proposed population:</w:t>
      </w:r>
      <w:r>
        <w:rPr>
          <w:b/>
        </w:rPr>
        <w:t xml:space="preserve"> </w:t>
      </w:r>
      <w:r>
        <w:t xml:space="preserve">There is a risk that patients currently eligible for financial assistance under MTOP will no longer meet MTOP eligibility criteria. Patients may need to pay the entire cost of the PBT treatment by themselves, which may cause issues of affordability and inequitable access to treatment. If a PBT facility is established in Australia, </w:t>
      </w:r>
      <w:r w:rsidR="00CA0CEF">
        <w:t xml:space="preserve">patient out of pocket expenses may also arise due to inter-state travel costs. Further, </w:t>
      </w:r>
      <w:r>
        <w:t>domestic demand for PBT will be highly dependent on the clinical ind</w:t>
      </w:r>
      <w:r w:rsidR="00FA75D3">
        <w:t xml:space="preserve">ications that receive funding. </w:t>
      </w:r>
      <w:r>
        <w:t>If MBS funding is not limited to appropriate circumstances, there is a risk for PBT technology to be used to treat conditions for which there is no ev</w:t>
      </w:r>
      <w:r w:rsidR="003C5E6C">
        <w:t>idence of comparative advantage;</w:t>
      </w:r>
    </w:p>
    <w:p w14:paraId="229F2A19" w14:textId="77777777" w:rsidR="00764489" w:rsidRDefault="00764489" w:rsidP="00764489">
      <w:pPr>
        <w:pStyle w:val="ListParagraph"/>
        <w:numPr>
          <w:ilvl w:val="0"/>
          <w:numId w:val="28"/>
        </w:numPr>
      </w:pPr>
      <w:r w:rsidRPr="00764489">
        <w:t>Proposed intervention and outcomes:</w:t>
      </w:r>
      <w:r>
        <w:t xml:space="preserve"> The physical characteristics of protons offer potential benefits over PRT, however, the potential benefits have not been clinically proven for most malignancies. The availability of PBT technologies in Australia will create opportunities for medical research and clinical trials. The potential benefits of PBT are a consequence of a reduced radiation dose to normal tissues around the target resulting in fewer side effects compared with other forms of radiation therapy and a reduction in the risk of radi</w:t>
      </w:r>
      <w:r w:rsidR="003C5E6C">
        <w:t>ation-related secondary tumours;</w:t>
      </w:r>
    </w:p>
    <w:p w14:paraId="4F1EB395" w14:textId="77777777" w:rsidR="00764489" w:rsidRDefault="00764489" w:rsidP="00764489">
      <w:pPr>
        <w:pStyle w:val="ListParagraph"/>
        <w:numPr>
          <w:ilvl w:val="0"/>
          <w:numId w:val="28"/>
        </w:numPr>
      </w:pPr>
      <w:r w:rsidRPr="00764489">
        <w:t>Proposed comparator:</w:t>
      </w:r>
      <w:r>
        <w:t xml:space="preserve"> PBT treatment planning and delivery have advanced over time, but so too have other approaches to </w:t>
      </w:r>
      <w:r w:rsidR="00117836">
        <w:t>PRT</w:t>
      </w:r>
      <w:r>
        <w:t xml:space="preserve"> supported by MSAC, including </w:t>
      </w:r>
      <w:r w:rsidR="00117836" w:rsidRPr="00D23539">
        <w:t>intensity modulated radiation therapy (</w:t>
      </w:r>
      <w:r>
        <w:t>IMRT</w:t>
      </w:r>
      <w:r w:rsidR="00117836">
        <w:t>)</w:t>
      </w:r>
      <w:r>
        <w:t xml:space="preserve">. Evidence of </w:t>
      </w:r>
      <w:r w:rsidR="009D3D45">
        <w:t xml:space="preserve">the comparative </w:t>
      </w:r>
      <w:r>
        <w:t>effectiveness of PBT is difficult to access due to the limited number of RCTs</w:t>
      </w:r>
      <w:r w:rsidR="00FA75D3">
        <w:t>;</w:t>
      </w:r>
    </w:p>
    <w:p w14:paraId="67DC454D" w14:textId="77777777" w:rsidR="00764489" w:rsidRDefault="00764489" w:rsidP="00764489">
      <w:pPr>
        <w:pStyle w:val="ListParagraph"/>
        <w:numPr>
          <w:ilvl w:val="0"/>
          <w:numId w:val="28"/>
        </w:numPr>
      </w:pPr>
      <w:r w:rsidRPr="00764489">
        <w:lastRenderedPageBreak/>
        <w:t>Proposed economic analysis:</w:t>
      </w:r>
      <w:r>
        <w:t xml:space="preserve"> PBT will require additional operational planning of increased paediatrics, anaesthetics and post treatment services i.e. occupational therapists and speech pathologists. Demand for PBT is difficult to</w:t>
      </w:r>
      <w:r w:rsidR="003C5E6C">
        <w:t xml:space="preserve"> estimate and project; and</w:t>
      </w:r>
    </w:p>
    <w:p w14:paraId="085B8394" w14:textId="77777777" w:rsidR="00137444" w:rsidRDefault="00764489" w:rsidP="00137444">
      <w:pPr>
        <w:pStyle w:val="ListParagraph"/>
        <w:numPr>
          <w:ilvl w:val="0"/>
          <w:numId w:val="28"/>
        </w:numPr>
      </w:pPr>
      <w:r w:rsidRPr="00764489">
        <w:t>Clinical management:</w:t>
      </w:r>
      <w:r>
        <w:t xml:space="preserve"> There is currently limited clinical expertise </w:t>
      </w:r>
      <w:r w:rsidR="009D3D45">
        <w:t xml:space="preserve">with </w:t>
      </w:r>
      <w:r>
        <w:t>PBT in Australia. There will be a requirement for formal particle therapy training and credentialing for radiation oncologists, medical physicists and radiation therapists from engagement of international experts.</w:t>
      </w:r>
    </w:p>
    <w:p w14:paraId="39D367C2" w14:textId="77777777" w:rsidR="00BC1364" w:rsidRPr="00F715D1" w:rsidRDefault="00BC1364" w:rsidP="00F715D1">
      <w:pPr>
        <w:pStyle w:val="Heading1"/>
      </w:pPr>
      <w:r w:rsidRPr="00F715D1">
        <w:t>Proposed intervention’s place in clinical management</w:t>
      </w:r>
    </w:p>
    <w:p w14:paraId="7E4050A5" w14:textId="77777777" w:rsidR="00764489" w:rsidRDefault="00764489" w:rsidP="00894134">
      <w:pPr>
        <w:spacing w:after="240"/>
      </w:pPr>
      <w:r w:rsidRPr="00244961">
        <w:t xml:space="preserve">PBT is of particular interest in treating tumours deriving from craniospinal and ocular locations where conventional </w:t>
      </w:r>
      <w:r w:rsidR="00B51A99" w:rsidRPr="00D23539">
        <w:t xml:space="preserve">photon radiation therapy </w:t>
      </w:r>
      <w:r w:rsidR="00B51A99">
        <w:t>(</w:t>
      </w:r>
      <w:r w:rsidRPr="00244961">
        <w:t>PRT</w:t>
      </w:r>
      <w:r w:rsidR="00B51A99">
        <w:t>)</w:t>
      </w:r>
      <w:r w:rsidRPr="00244961">
        <w:t xml:space="preserve"> would impose a high risk of damage to surrounding critical organs to an unacceptable level. PBT may also be the only viable curative modality available to selected paediatric and young adult cancers, where there is </w:t>
      </w:r>
      <w:r w:rsidR="009D3D45">
        <w:t xml:space="preserve">a </w:t>
      </w:r>
      <w:r w:rsidRPr="00244961">
        <w:t>critical requirement to reduce overall radiation toxicity and potential induction of secondary tumours. Case management is complex because of rarity of the cancer types, tumour location and the specialist requirements for paediatrics. The clinical case management is likely to vary based on the cancer type, disease staging, tumour location, patient prognosis and whether the treatment intent is curative or salvage treatment.</w:t>
      </w:r>
    </w:p>
    <w:p w14:paraId="0462BB9D" w14:textId="77777777" w:rsidR="00764489" w:rsidRPr="00477590" w:rsidRDefault="00764489" w:rsidP="00477590">
      <w:r w:rsidRPr="00244961">
        <w:t>Based on the current clinical management algorithm</w:t>
      </w:r>
      <w:r>
        <w:t xml:space="preserve"> (</w:t>
      </w:r>
      <w:r>
        <w:fldChar w:fldCharType="begin"/>
      </w:r>
      <w:r>
        <w:instrText xml:space="preserve"> REF _Ref496002405 \h </w:instrText>
      </w:r>
      <w:r>
        <w:fldChar w:fldCharType="separate"/>
      </w:r>
      <w:r w:rsidRPr="008927D9">
        <w:t xml:space="preserve">Figure </w:t>
      </w:r>
      <w:r>
        <w:rPr>
          <w:noProof/>
        </w:rPr>
        <w:t>1</w:t>
      </w:r>
      <w:r>
        <w:fldChar w:fldCharType="end"/>
      </w:r>
      <w:r>
        <w:t>)</w:t>
      </w:r>
      <w:r w:rsidRPr="00244961">
        <w:t xml:space="preserve">, patients </w:t>
      </w:r>
      <w:r>
        <w:t xml:space="preserve">who receive PBT </w:t>
      </w:r>
      <w:r w:rsidRPr="00244961">
        <w:t>may receive financial assistance to travel overseas via MTO</w:t>
      </w:r>
      <w:r>
        <w:t>P.</w:t>
      </w:r>
      <w:r w:rsidR="00D457C3">
        <w:t xml:space="preserve"> </w:t>
      </w:r>
      <w:r w:rsidR="00D457C3" w:rsidRPr="00D457C3">
        <w:t>In practice, treatment of the cancers of interest may be multi-modal (e.g. radiation therapy may be used in combination with surgery).</w:t>
      </w:r>
    </w:p>
    <w:p w14:paraId="5AC41847" w14:textId="77777777" w:rsidR="00764489" w:rsidRPr="008927D9" w:rsidRDefault="00764489" w:rsidP="009D0DDE">
      <w:pPr>
        <w:pStyle w:val="TableHeading"/>
        <w:spacing w:before="240"/>
      </w:pPr>
      <w:bookmarkStart w:id="2" w:name="_Ref496002405"/>
      <w:bookmarkStart w:id="3" w:name="_Toc522176526"/>
      <w:r w:rsidRPr="008927D9">
        <w:lastRenderedPageBreak/>
        <w:t xml:space="preserve">Figure </w:t>
      </w:r>
      <w:r w:rsidR="00667BEF">
        <w:rPr>
          <w:b w:val="0"/>
          <w:noProof/>
        </w:rPr>
        <w:fldChar w:fldCharType="begin"/>
      </w:r>
      <w:r w:rsidR="00667BEF">
        <w:rPr>
          <w:noProof/>
        </w:rPr>
        <w:instrText xml:space="preserve"> SEQ Figure \* ARABIC </w:instrText>
      </w:r>
      <w:r w:rsidR="00667BEF">
        <w:rPr>
          <w:b w:val="0"/>
          <w:noProof/>
        </w:rPr>
        <w:fldChar w:fldCharType="separate"/>
      </w:r>
      <w:r>
        <w:rPr>
          <w:noProof/>
        </w:rPr>
        <w:t>1</w:t>
      </w:r>
      <w:r w:rsidR="00667BEF">
        <w:rPr>
          <w:b w:val="0"/>
          <w:noProof/>
        </w:rPr>
        <w:fldChar w:fldCharType="end"/>
      </w:r>
      <w:bookmarkEnd w:id="2"/>
      <w:r w:rsidRPr="008927D9">
        <w:tab/>
        <w:t>Current clinical management algorithm for PBT with curative intent (generalised representation)</w:t>
      </w:r>
      <w:bookmarkEnd w:id="3"/>
    </w:p>
    <w:p w14:paraId="2FE43602" w14:textId="77777777" w:rsidR="00764489" w:rsidRPr="00244961" w:rsidRDefault="00764489" w:rsidP="00764489">
      <w:pPr>
        <w:keepNext/>
        <w:keepLines/>
        <w:widowControl w:val="0"/>
      </w:pPr>
      <w:r w:rsidRPr="00244961">
        <w:rPr>
          <w:noProof/>
        </w:rPr>
        <w:drawing>
          <wp:inline distT="0" distB="0" distL="0" distR="0" wp14:anchorId="44AB3094" wp14:editId="76738431">
            <wp:extent cx="5731510" cy="5114925"/>
            <wp:effectExtent l="19050" t="19050" r="21590" b="28575"/>
            <wp:docPr id="4" name="Picture 4" descr="This figure presents the current clinical management algorithm for PBT with curative intent (generalised representation) " title="Current clinical management algorithm for PBT with curative intent (generalised repres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BT treatment algorithm_Current_20Dec2016.tif"/>
                    <pic:cNvPicPr/>
                  </pic:nvPicPr>
                  <pic:blipFill>
                    <a:blip r:embed="rId14">
                      <a:extLst>
                        <a:ext uri="{28A0092B-C50C-407E-A947-70E740481C1C}">
                          <a14:useLocalDpi xmlns:a14="http://schemas.microsoft.com/office/drawing/2010/main" val="0"/>
                        </a:ext>
                      </a:extLst>
                    </a:blip>
                    <a:stretch>
                      <a:fillRect/>
                    </a:stretch>
                  </pic:blipFill>
                  <pic:spPr>
                    <a:xfrm>
                      <a:off x="0" y="0"/>
                      <a:ext cx="5731510" cy="5114925"/>
                    </a:xfrm>
                    <a:prstGeom prst="rect">
                      <a:avLst/>
                    </a:prstGeom>
                    <a:ln>
                      <a:solidFill>
                        <a:schemeClr val="tx1"/>
                      </a:solidFill>
                    </a:ln>
                  </pic:spPr>
                </pic:pic>
              </a:graphicData>
            </a:graphic>
          </wp:inline>
        </w:drawing>
      </w:r>
    </w:p>
    <w:p w14:paraId="60F8B8E0" w14:textId="77777777" w:rsidR="00764489" w:rsidRPr="00244961" w:rsidRDefault="00764489" w:rsidP="00764489">
      <w:pPr>
        <w:keepNext/>
        <w:keepLines/>
        <w:widowControl w:val="0"/>
        <w:shd w:val="clear" w:color="auto" w:fill="FFFFFF"/>
        <w:rPr>
          <w:rFonts w:ascii="Arial Narrow" w:hAnsi="Arial Narrow"/>
          <w:sz w:val="18"/>
          <w:szCs w:val="18"/>
        </w:rPr>
      </w:pPr>
      <w:r w:rsidRPr="00244961">
        <w:rPr>
          <w:rFonts w:ascii="Arial Narrow" w:hAnsi="Arial Narrow"/>
          <w:sz w:val="18"/>
          <w:szCs w:val="18"/>
        </w:rPr>
        <w:t>Source: Application 1455: Proton Beam Therapy (PBT) PICO Confirmation</w:t>
      </w:r>
      <w:r w:rsidR="00652384">
        <w:rPr>
          <w:rFonts w:ascii="Arial Narrow" w:hAnsi="Arial Narrow"/>
          <w:sz w:val="18"/>
          <w:szCs w:val="18"/>
        </w:rPr>
        <w:t>, listing the PICO-relevant cancers</w:t>
      </w:r>
      <w:r w:rsidR="00F13351">
        <w:rPr>
          <w:rFonts w:ascii="Arial Narrow" w:hAnsi="Arial Narrow"/>
          <w:sz w:val="18"/>
          <w:szCs w:val="18"/>
        </w:rPr>
        <w:t>.</w:t>
      </w:r>
    </w:p>
    <w:p w14:paraId="40D95486" w14:textId="77777777" w:rsidR="00764489" w:rsidRDefault="00764489" w:rsidP="009D0DDE">
      <w:pPr>
        <w:pStyle w:val="TFAbbrevs18"/>
        <w:widowControl w:val="0"/>
        <w:spacing w:after="240"/>
        <w:rPr>
          <w:color w:val="auto"/>
        </w:rPr>
      </w:pPr>
      <w:r w:rsidRPr="00244961">
        <w:rPr>
          <w:color w:val="auto"/>
        </w:rPr>
        <w:t xml:space="preserve">Abbreviations: PBT, proton beam therapy; CNS, </w:t>
      </w:r>
      <w:r w:rsidR="00F13351">
        <w:rPr>
          <w:color w:val="auto"/>
        </w:rPr>
        <w:t>c</w:t>
      </w:r>
      <w:r w:rsidRPr="00244961">
        <w:rPr>
          <w:bCs/>
          <w:color w:val="auto"/>
          <w:shd w:val="clear" w:color="auto" w:fill="FFFFFF"/>
        </w:rPr>
        <w:t xml:space="preserve">entral </w:t>
      </w:r>
      <w:r w:rsidR="00F13351">
        <w:rPr>
          <w:bCs/>
          <w:color w:val="auto"/>
          <w:shd w:val="clear" w:color="auto" w:fill="FFFFFF"/>
        </w:rPr>
        <w:t>n</w:t>
      </w:r>
      <w:r w:rsidRPr="00244961">
        <w:rPr>
          <w:bCs/>
          <w:color w:val="auto"/>
          <w:shd w:val="clear" w:color="auto" w:fill="FFFFFF"/>
        </w:rPr>
        <w:t xml:space="preserve">ervous </w:t>
      </w:r>
      <w:r w:rsidR="00F13351">
        <w:rPr>
          <w:bCs/>
          <w:color w:val="auto"/>
          <w:shd w:val="clear" w:color="auto" w:fill="FFFFFF"/>
        </w:rPr>
        <w:t>s</w:t>
      </w:r>
      <w:r w:rsidRPr="00244961">
        <w:rPr>
          <w:bCs/>
          <w:color w:val="auto"/>
          <w:shd w:val="clear" w:color="auto" w:fill="FFFFFF"/>
        </w:rPr>
        <w:t xml:space="preserve">ystem; </w:t>
      </w:r>
      <w:r w:rsidRPr="00244961">
        <w:rPr>
          <w:color w:val="auto"/>
        </w:rPr>
        <w:t xml:space="preserve">IMRT, intensity modulated radiation therapy; SBRT, </w:t>
      </w:r>
      <w:r w:rsidR="00F13351">
        <w:rPr>
          <w:color w:val="auto"/>
        </w:rPr>
        <w:t>s</w:t>
      </w:r>
      <w:r w:rsidRPr="00244961">
        <w:rPr>
          <w:color w:val="auto"/>
        </w:rPr>
        <w:t xml:space="preserve">tereotactic </w:t>
      </w:r>
      <w:r w:rsidR="00F13351">
        <w:rPr>
          <w:color w:val="auto"/>
        </w:rPr>
        <w:t>b</w:t>
      </w:r>
      <w:r w:rsidRPr="00244961">
        <w:rPr>
          <w:color w:val="auto"/>
        </w:rPr>
        <w:t xml:space="preserve">ody </w:t>
      </w:r>
      <w:r w:rsidR="00F13351">
        <w:rPr>
          <w:color w:val="auto"/>
        </w:rPr>
        <w:t>r</w:t>
      </w:r>
      <w:r w:rsidRPr="00244961">
        <w:rPr>
          <w:color w:val="auto"/>
        </w:rPr>
        <w:t xml:space="preserve">adiation </w:t>
      </w:r>
      <w:r w:rsidR="00F13351">
        <w:rPr>
          <w:color w:val="auto"/>
        </w:rPr>
        <w:t>t</w:t>
      </w:r>
      <w:r w:rsidRPr="00244961">
        <w:rPr>
          <w:color w:val="auto"/>
        </w:rPr>
        <w:t>herapy; MTO, Medical Treatment Overseas.</w:t>
      </w:r>
    </w:p>
    <w:p w14:paraId="6C8C68C7" w14:textId="77777777" w:rsidR="00764489" w:rsidRDefault="00764489" w:rsidP="00764489">
      <w:r w:rsidRPr="008927D9">
        <w:t xml:space="preserve">The proposed clinical management algorithm </w:t>
      </w:r>
      <w:r>
        <w:t>(</w:t>
      </w:r>
      <w:r>
        <w:fldChar w:fldCharType="begin"/>
      </w:r>
      <w:r>
        <w:instrText xml:space="preserve"> REF _Ref496003722 \h </w:instrText>
      </w:r>
      <w:r>
        <w:fldChar w:fldCharType="separate"/>
      </w:r>
      <w:r w:rsidRPr="008927D9">
        <w:t xml:space="preserve">Figure </w:t>
      </w:r>
      <w:r>
        <w:rPr>
          <w:noProof/>
        </w:rPr>
        <w:t>2</w:t>
      </w:r>
      <w:r>
        <w:fldChar w:fldCharType="end"/>
      </w:r>
      <w:r>
        <w:t xml:space="preserve">) </w:t>
      </w:r>
      <w:r w:rsidRPr="008927D9">
        <w:t xml:space="preserve">assumes that PBT will </w:t>
      </w:r>
      <w:r w:rsidR="00E53B0E">
        <w:t>have public funding</w:t>
      </w:r>
      <w:r w:rsidRPr="008927D9">
        <w:t xml:space="preserve"> after facilities become operational in Australia, and will provide patients with an alternative to the existing treatments available in Australia. PBT is a new technology and therefore will require the development of standard protocols, training programs and credentialing processes</w:t>
      </w:r>
      <w:r w:rsidR="00B51A99">
        <w:t>.</w:t>
      </w:r>
    </w:p>
    <w:p w14:paraId="619C7ACD" w14:textId="77777777" w:rsidR="00764489" w:rsidRPr="008927D9" w:rsidRDefault="00764489" w:rsidP="009D0DDE">
      <w:pPr>
        <w:pStyle w:val="TableHeading"/>
        <w:spacing w:before="240"/>
      </w:pPr>
      <w:bookmarkStart w:id="4" w:name="_Ref496003722"/>
      <w:bookmarkStart w:id="5" w:name="_Toc522176527"/>
      <w:r w:rsidRPr="008927D9">
        <w:lastRenderedPageBreak/>
        <w:t xml:space="preserve">Figure </w:t>
      </w:r>
      <w:r w:rsidR="00667BEF">
        <w:rPr>
          <w:b w:val="0"/>
          <w:noProof/>
        </w:rPr>
        <w:fldChar w:fldCharType="begin"/>
      </w:r>
      <w:r w:rsidR="00667BEF">
        <w:rPr>
          <w:noProof/>
        </w:rPr>
        <w:instrText xml:space="preserve"> SEQ Figure \* ARABIC </w:instrText>
      </w:r>
      <w:r w:rsidR="00667BEF">
        <w:rPr>
          <w:b w:val="0"/>
          <w:noProof/>
        </w:rPr>
        <w:fldChar w:fldCharType="separate"/>
      </w:r>
      <w:r>
        <w:rPr>
          <w:noProof/>
        </w:rPr>
        <w:t>2</w:t>
      </w:r>
      <w:r w:rsidR="00667BEF">
        <w:rPr>
          <w:b w:val="0"/>
          <w:noProof/>
        </w:rPr>
        <w:fldChar w:fldCharType="end"/>
      </w:r>
      <w:bookmarkEnd w:id="4"/>
      <w:r w:rsidRPr="008927D9">
        <w:tab/>
        <w:t>Proposed clinical management algorithm for PBT with curative intent (generalised representation)</w:t>
      </w:r>
      <w:bookmarkEnd w:id="5"/>
    </w:p>
    <w:p w14:paraId="4B1FE283" w14:textId="77777777" w:rsidR="00764489" w:rsidRPr="00244961" w:rsidRDefault="00764489" w:rsidP="00764489">
      <w:pPr>
        <w:pBdr>
          <w:top w:val="single" w:sz="4" w:space="4" w:color="auto"/>
          <w:left w:val="single" w:sz="4" w:space="0" w:color="auto"/>
          <w:bottom w:val="single" w:sz="4" w:space="4" w:color="auto"/>
          <w:right w:val="single" w:sz="4" w:space="0" w:color="auto"/>
        </w:pBdr>
        <w:jc w:val="center"/>
        <w:rPr>
          <w:rFonts w:ascii="Cambria" w:eastAsia="Calibri" w:hAnsi="Cambria"/>
          <w:szCs w:val="24"/>
        </w:rPr>
      </w:pPr>
      <w:r w:rsidRPr="00244961">
        <w:rPr>
          <w:rFonts w:ascii="Cambria" w:eastAsia="Calibri" w:hAnsi="Cambria"/>
          <w:noProof/>
          <w:szCs w:val="24"/>
        </w:rPr>
        <w:drawing>
          <wp:inline distT="0" distB="0" distL="0" distR="0" wp14:anchorId="48A33141" wp14:editId="37A5625B">
            <wp:extent cx="5731510" cy="4436110"/>
            <wp:effectExtent l="0" t="0" r="2540" b="2540"/>
            <wp:docPr id="6" name="Picture 6" descr="Presents the proposed clinical management algorithm for PBT with curative intent (generalised representation)" title="This figure presents the clinical management algorithm for PBT with curative intent (generalised repres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BT treatment algorithm_Proposed_20Dec2016.tif"/>
                    <pic:cNvPicPr/>
                  </pic:nvPicPr>
                  <pic:blipFill>
                    <a:blip r:embed="rId15">
                      <a:extLst>
                        <a:ext uri="{28A0092B-C50C-407E-A947-70E740481C1C}">
                          <a14:useLocalDpi xmlns:a14="http://schemas.microsoft.com/office/drawing/2010/main" val="0"/>
                        </a:ext>
                      </a:extLst>
                    </a:blip>
                    <a:stretch>
                      <a:fillRect/>
                    </a:stretch>
                  </pic:blipFill>
                  <pic:spPr>
                    <a:xfrm>
                      <a:off x="0" y="0"/>
                      <a:ext cx="5731510" cy="4436110"/>
                    </a:xfrm>
                    <a:prstGeom prst="rect">
                      <a:avLst/>
                    </a:prstGeom>
                  </pic:spPr>
                </pic:pic>
              </a:graphicData>
            </a:graphic>
          </wp:inline>
        </w:drawing>
      </w:r>
    </w:p>
    <w:p w14:paraId="2141A5D7" w14:textId="77777777" w:rsidR="00764489" w:rsidRPr="00244961" w:rsidRDefault="00764489" w:rsidP="00764489">
      <w:pPr>
        <w:shd w:val="clear" w:color="auto" w:fill="FFFFFF"/>
        <w:rPr>
          <w:rFonts w:ascii="Arial Narrow" w:hAnsi="Arial Narrow"/>
          <w:sz w:val="18"/>
          <w:szCs w:val="18"/>
        </w:rPr>
      </w:pPr>
      <w:r w:rsidRPr="00244961">
        <w:rPr>
          <w:rFonts w:ascii="Arial Narrow" w:hAnsi="Arial Narrow"/>
          <w:sz w:val="18"/>
          <w:szCs w:val="18"/>
        </w:rPr>
        <w:t>Source: Application 1455: Proton Beam Therapy (PBT) PICO Confirmation</w:t>
      </w:r>
      <w:r w:rsidR="00652384">
        <w:rPr>
          <w:rFonts w:ascii="Arial Narrow" w:hAnsi="Arial Narrow"/>
          <w:sz w:val="18"/>
          <w:szCs w:val="18"/>
        </w:rPr>
        <w:t>, listing the PICO-relevant cancers</w:t>
      </w:r>
      <w:r w:rsidR="00F13351">
        <w:rPr>
          <w:rFonts w:ascii="Arial Narrow" w:hAnsi="Arial Narrow"/>
          <w:sz w:val="18"/>
          <w:szCs w:val="18"/>
        </w:rPr>
        <w:t>.</w:t>
      </w:r>
    </w:p>
    <w:p w14:paraId="6E83F24F" w14:textId="77777777" w:rsidR="00764489" w:rsidRPr="00764489" w:rsidRDefault="00764489" w:rsidP="00764489">
      <w:pPr>
        <w:pStyle w:val="TFAbbrevs18"/>
        <w:rPr>
          <w:color w:val="auto"/>
        </w:rPr>
      </w:pPr>
      <w:r w:rsidRPr="00244961">
        <w:rPr>
          <w:color w:val="auto"/>
        </w:rPr>
        <w:t xml:space="preserve">Abbreviations: PBT, proton beam therapy; IMRT, intensity modulated radiation therapy; SBRT, </w:t>
      </w:r>
      <w:r w:rsidR="00F13351">
        <w:rPr>
          <w:color w:val="auto"/>
        </w:rPr>
        <w:t>s</w:t>
      </w:r>
      <w:r w:rsidRPr="00244961">
        <w:rPr>
          <w:rFonts w:cs="Arial"/>
          <w:color w:val="auto"/>
        </w:rPr>
        <w:t xml:space="preserve">tereotactic </w:t>
      </w:r>
      <w:r w:rsidR="00F13351">
        <w:rPr>
          <w:rFonts w:cs="Arial"/>
          <w:color w:val="auto"/>
        </w:rPr>
        <w:t>b</w:t>
      </w:r>
      <w:r w:rsidRPr="00244961">
        <w:rPr>
          <w:rFonts w:cs="Arial"/>
          <w:color w:val="auto"/>
        </w:rPr>
        <w:t xml:space="preserve">ody </w:t>
      </w:r>
      <w:r w:rsidR="00F13351">
        <w:rPr>
          <w:rFonts w:cs="Arial"/>
          <w:color w:val="auto"/>
        </w:rPr>
        <w:t>r</w:t>
      </w:r>
      <w:r w:rsidRPr="00244961">
        <w:rPr>
          <w:rFonts w:cs="Arial"/>
          <w:color w:val="auto"/>
        </w:rPr>
        <w:t xml:space="preserve">adiation </w:t>
      </w:r>
      <w:r w:rsidR="00F13351">
        <w:rPr>
          <w:rFonts w:cs="Arial"/>
          <w:color w:val="auto"/>
        </w:rPr>
        <w:t>t</w:t>
      </w:r>
      <w:r w:rsidRPr="00244961">
        <w:rPr>
          <w:rFonts w:cs="Arial"/>
          <w:color w:val="auto"/>
        </w:rPr>
        <w:t>herapy.</w:t>
      </w:r>
    </w:p>
    <w:p w14:paraId="56F3AC4C" w14:textId="77777777" w:rsidR="00BC1364" w:rsidRPr="00F715D1" w:rsidRDefault="00F13351" w:rsidP="00F715D1">
      <w:pPr>
        <w:pStyle w:val="Heading1"/>
      </w:pPr>
      <w:r>
        <w:t>Comparator</w:t>
      </w:r>
    </w:p>
    <w:p w14:paraId="5D25B327" w14:textId="77777777" w:rsidR="00866DCB" w:rsidRDefault="00D23539" w:rsidP="00D23539">
      <w:r w:rsidRPr="00D23539">
        <w:t xml:space="preserve">Potential comparators include conventional </w:t>
      </w:r>
      <w:r w:rsidR="00B51A99">
        <w:t>PRT</w:t>
      </w:r>
      <w:r w:rsidRPr="00D23539">
        <w:t xml:space="preserve"> including intensity modulated radiation therapy (IMRT), and stereotactic radiosurgery (SRS). Alternate external beam therapies, such as carbon ion therapy (CIT), are also relevant comparators based on the location to key organs. Other treatment options specific to the clinical condition (e.g. surgery, chemotherapy, other devices such as laser therapy for ocular tumours) are relevant comparators.</w:t>
      </w:r>
    </w:p>
    <w:p w14:paraId="0A56CD51" w14:textId="77777777" w:rsidR="00BC1364" w:rsidRPr="00F715D1" w:rsidRDefault="00BC1364" w:rsidP="00F715D1">
      <w:pPr>
        <w:pStyle w:val="Heading1"/>
      </w:pPr>
      <w:r w:rsidRPr="00F715D1">
        <w:t>Comparative safety</w:t>
      </w:r>
    </w:p>
    <w:p w14:paraId="3F0F505A" w14:textId="0FC8FAC1" w:rsidR="008C5258" w:rsidRDefault="002B3FE2" w:rsidP="00894134">
      <w:pPr>
        <w:spacing w:after="240"/>
      </w:pPr>
      <w:r>
        <w:t xml:space="preserve">Five systematic reviews, </w:t>
      </w:r>
      <w:r w:rsidRPr="002B3FE2">
        <w:t xml:space="preserve">two previous </w:t>
      </w:r>
      <w:r w:rsidR="00F13351">
        <w:t>h</w:t>
      </w:r>
      <w:r w:rsidRPr="002B3FE2">
        <w:t xml:space="preserve">ealth </w:t>
      </w:r>
      <w:r w:rsidR="00F13351">
        <w:t>t</w:t>
      </w:r>
      <w:r w:rsidRPr="002B3FE2">
        <w:t xml:space="preserve">echnology </w:t>
      </w:r>
      <w:r w:rsidR="00F13351">
        <w:t>a</w:t>
      </w:r>
      <w:r w:rsidRPr="002B3FE2">
        <w:t>ssessment reports, and 17</w:t>
      </w:r>
      <w:r w:rsidR="0046771D">
        <w:t> </w:t>
      </w:r>
      <w:r w:rsidRPr="002B3FE2">
        <w:t xml:space="preserve">comparative cohort studies were collected and comprised the evidence base for </w:t>
      </w:r>
      <w:r w:rsidR="00F13351">
        <w:t xml:space="preserve">the </w:t>
      </w:r>
      <w:r w:rsidRPr="002B3FE2">
        <w:t>clinical evaluation of PBT</w:t>
      </w:r>
      <w:r w:rsidR="008A438A">
        <w:t>.</w:t>
      </w:r>
    </w:p>
    <w:p w14:paraId="498A61D0" w14:textId="77777777" w:rsidR="002B3FE2" w:rsidRDefault="008C5258" w:rsidP="002B3FE2">
      <w:r w:rsidRPr="008C5258">
        <w:t>The evidence base for the clinical evaluation of th</w:t>
      </w:r>
      <w:r w:rsidR="00BE0747">
        <w:t>e</w:t>
      </w:r>
      <w:r w:rsidRPr="008C5258">
        <w:t xml:space="preserve"> assessment report largely comprised retrospective primary studies, with a focus on comparative effectiveness studies. There is a high risk of bias associated with the design of retrospective studies, particularly in having no control over the allocation concealment of patients into treatment arms and/or blinding of patients and researchers of allocations. There were also confounding factors in some studies, for instance, the use of unmatched mixture of tumour sizes between study arms exposed to similar radiotherapy doses, or with the variable number and/or mode of primary treatment prior to study participation.</w:t>
      </w:r>
    </w:p>
    <w:p w14:paraId="5CD74F96" w14:textId="77777777" w:rsidR="009C07AE" w:rsidRDefault="002B3FE2" w:rsidP="00894134">
      <w:pPr>
        <w:spacing w:after="240"/>
      </w:pPr>
      <w:r w:rsidRPr="00667CB4">
        <w:lastRenderedPageBreak/>
        <w:t xml:space="preserve">Based on clinical findings from recently published comparative studies, PBT did not offer major safety advantages over other cancer therapies for </w:t>
      </w:r>
      <w:r w:rsidR="00667CB4">
        <w:t>soft tissue cancers</w:t>
      </w:r>
      <w:r w:rsidRPr="00667CB4">
        <w:t xml:space="preserve">, and ocular </w:t>
      </w:r>
      <w:r w:rsidR="00667CB4">
        <w:t>cancers or other PICO-relevant cancers</w:t>
      </w:r>
      <w:r w:rsidRPr="00667CB4">
        <w:t xml:space="preserve">. Conversely, PBT was found to be superior </w:t>
      </w:r>
      <w:r w:rsidR="00667CB4">
        <w:t xml:space="preserve">in terms of safety </w:t>
      </w:r>
      <w:r w:rsidRPr="00667CB4">
        <w:t xml:space="preserve">over </w:t>
      </w:r>
      <w:r w:rsidR="004F5F5E" w:rsidRPr="00667CB4">
        <w:t>PRT</w:t>
      </w:r>
      <w:r w:rsidRPr="00667CB4">
        <w:t xml:space="preserve"> alternatives for paediatric cases of cancer, specifically in sparing in-field organs at risk</w:t>
      </w:r>
      <w:r w:rsidR="00232BB6" w:rsidRPr="00667CB4">
        <w:t>,</w:t>
      </w:r>
      <w:r w:rsidRPr="00667CB4">
        <w:t xml:space="preserve"> and in lower incidence rates of haematological radiation-induced side effects and secondary malignancies</w:t>
      </w:r>
      <w:r w:rsidR="00667CB4">
        <w:t xml:space="preserve">, and possibly </w:t>
      </w:r>
      <w:r w:rsidR="00667CB4" w:rsidRPr="00667CB4">
        <w:t xml:space="preserve">superior </w:t>
      </w:r>
      <w:r w:rsidR="00667CB4">
        <w:t xml:space="preserve">in terms of safety </w:t>
      </w:r>
      <w:r w:rsidR="00667CB4" w:rsidRPr="00667CB4">
        <w:t>over PRT alternatives for</w:t>
      </w:r>
      <w:r w:rsidR="00667CB4">
        <w:t xml:space="preserve"> a subset of adult brain or spinal tumours</w:t>
      </w:r>
      <w:r w:rsidRPr="00667CB4">
        <w:t>.</w:t>
      </w:r>
    </w:p>
    <w:p w14:paraId="4B152454" w14:textId="77777777" w:rsidR="009C07AE" w:rsidRPr="00244961" w:rsidRDefault="009C07AE" w:rsidP="009C07AE">
      <w:pPr>
        <w:pStyle w:val="Caption"/>
      </w:pPr>
      <w:bookmarkStart w:id="6" w:name="_Ref496797914"/>
      <w:bookmarkStart w:id="7" w:name="_Ref497126107"/>
      <w:bookmarkStart w:id="8" w:name="_Toc497138786"/>
      <w:bookmarkStart w:id="9" w:name="_Toc522176478"/>
      <w:r w:rsidRPr="00244961">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bookmarkEnd w:id="6"/>
      <w:r w:rsidRPr="00244961">
        <w:rPr>
          <w:noProof/>
        </w:rPr>
        <w:tab/>
      </w:r>
      <w:r w:rsidRPr="00244961">
        <w:rPr>
          <w:snapToGrid w:val="0"/>
        </w:rPr>
        <w:t>Results of key safety outcomes from systematic reviews and comparative cohort studies</w:t>
      </w:r>
      <w:bookmarkEnd w:id="7"/>
      <w:bookmarkEnd w:id="8"/>
      <w:bookmarkEnd w:id="9"/>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5"/>
        <w:tblDescription w:val="Table 15 presents Results of key safety outcomes from systematic reviews and comparative cohort studies"/>
      </w:tblPr>
      <w:tblGrid>
        <w:gridCol w:w="1447"/>
        <w:gridCol w:w="1868"/>
        <w:gridCol w:w="1467"/>
        <w:gridCol w:w="1469"/>
        <w:gridCol w:w="1469"/>
        <w:gridCol w:w="1465"/>
      </w:tblGrid>
      <w:tr w:rsidR="009C07AE" w:rsidRPr="00244961" w14:paraId="3B139211" w14:textId="77777777" w:rsidTr="009C07AE">
        <w:trPr>
          <w:tblHeader/>
        </w:trPr>
        <w:tc>
          <w:tcPr>
            <w:tcW w:w="760" w:type="pct"/>
            <w:tcBorders>
              <w:bottom w:val="single" w:sz="4" w:space="0" w:color="auto"/>
            </w:tcBorders>
            <w:shd w:val="clear" w:color="auto" w:fill="auto"/>
          </w:tcPr>
          <w:p w14:paraId="051F8781" w14:textId="77777777" w:rsidR="009C07AE" w:rsidRPr="00244961" w:rsidRDefault="009C07AE" w:rsidP="009C07AE">
            <w:pPr>
              <w:spacing w:before="40" w:after="40"/>
              <w:rPr>
                <w:rFonts w:ascii="Arial Narrow" w:hAnsi="Arial Narrow"/>
                <w:b/>
                <w:snapToGrid w:val="0"/>
                <w:sz w:val="20"/>
              </w:rPr>
            </w:pPr>
            <w:bookmarkStart w:id="10" w:name="_Ref360617011"/>
            <w:bookmarkStart w:id="11" w:name="_GoBack" w:colFirst="0" w:colLast="6"/>
            <w:r w:rsidRPr="00244961">
              <w:rPr>
                <w:rFonts w:ascii="Arial Narrow" w:hAnsi="Arial Narrow"/>
                <w:b/>
                <w:snapToGrid w:val="0"/>
                <w:sz w:val="20"/>
              </w:rPr>
              <w:t>Study</w:t>
            </w:r>
          </w:p>
        </w:tc>
        <w:tc>
          <w:tcPr>
            <w:tcW w:w="1023" w:type="pct"/>
            <w:tcBorders>
              <w:bottom w:val="single" w:sz="4" w:space="0" w:color="auto"/>
            </w:tcBorders>
            <w:shd w:val="clear" w:color="auto" w:fill="auto"/>
          </w:tcPr>
          <w:p w14:paraId="259E234D" w14:textId="77777777" w:rsidR="009C07AE" w:rsidRPr="00244961" w:rsidRDefault="009C07AE" w:rsidP="009C07AE">
            <w:pPr>
              <w:spacing w:before="40" w:after="40"/>
              <w:rPr>
                <w:rFonts w:ascii="Arial Narrow" w:hAnsi="Arial Narrow"/>
                <w:b/>
                <w:snapToGrid w:val="0"/>
                <w:sz w:val="20"/>
              </w:rPr>
            </w:pPr>
            <w:r w:rsidRPr="00244961">
              <w:rPr>
                <w:rFonts w:ascii="Arial Narrow" w:hAnsi="Arial Narrow"/>
                <w:b/>
                <w:snapToGrid w:val="0"/>
                <w:sz w:val="20"/>
              </w:rPr>
              <w:t>Outcome</w:t>
            </w:r>
          </w:p>
        </w:tc>
        <w:tc>
          <w:tcPr>
            <w:tcW w:w="804" w:type="pct"/>
            <w:tcBorders>
              <w:bottom w:val="single" w:sz="4" w:space="0" w:color="auto"/>
            </w:tcBorders>
            <w:shd w:val="clear" w:color="auto" w:fill="auto"/>
          </w:tcPr>
          <w:p w14:paraId="3EBD06BB" w14:textId="77777777" w:rsidR="009C07AE" w:rsidRPr="00244961" w:rsidRDefault="009C07AE" w:rsidP="009C07AE">
            <w:pPr>
              <w:spacing w:before="40" w:after="40"/>
              <w:rPr>
                <w:rFonts w:ascii="Arial Narrow" w:hAnsi="Arial Narrow"/>
                <w:b/>
                <w:snapToGrid w:val="0"/>
                <w:sz w:val="20"/>
              </w:rPr>
            </w:pPr>
            <w:r w:rsidRPr="00244961">
              <w:rPr>
                <w:rFonts w:ascii="Arial Narrow" w:hAnsi="Arial Narrow"/>
                <w:b/>
                <w:snapToGrid w:val="0"/>
                <w:sz w:val="20"/>
              </w:rPr>
              <w:t>Intervention</w:t>
            </w:r>
          </w:p>
          <w:p w14:paraId="74B811E4" w14:textId="77777777" w:rsidR="009C07AE" w:rsidRPr="00244961" w:rsidRDefault="009C07AE" w:rsidP="009C07AE">
            <w:pPr>
              <w:spacing w:before="40" w:after="40"/>
              <w:rPr>
                <w:rFonts w:ascii="Arial Narrow" w:hAnsi="Arial Narrow"/>
                <w:b/>
                <w:snapToGrid w:val="0"/>
                <w:sz w:val="20"/>
              </w:rPr>
            </w:pPr>
            <w:r w:rsidRPr="00244961">
              <w:rPr>
                <w:rFonts w:ascii="Arial Narrow" w:hAnsi="Arial Narrow"/>
                <w:b/>
                <w:snapToGrid w:val="0"/>
                <w:sz w:val="20"/>
              </w:rPr>
              <w:t>n with event/N (%)</w:t>
            </w:r>
          </w:p>
        </w:tc>
        <w:tc>
          <w:tcPr>
            <w:tcW w:w="805" w:type="pct"/>
            <w:tcBorders>
              <w:bottom w:val="single" w:sz="4" w:space="0" w:color="auto"/>
            </w:tcBorders>
            <w:shd w:val="clear" w:color="auto" w:fill="auto"/>
          </w:tcPr>
          <w:p w14:paraId="54934F7D" w14:textId="77777777" w:rsidR="009C07AE" w:rsidRPr="00244961" w:rsidRDefault="009C07AE" w:rsidP="009C07AE">
            <w:pPr>
              <w:spacing w:before="40" w:after="40"/>
              <w:rPr>
                <w:rFonts w:ascii="Arial Narrow" w:hAnsi="Arial Narrow"/>
                <w:b/>
                <w:snapToGrid w:val="0"/>
                <w:sz w:val="20"/>
              </w:rPr>
            </w:pPr>
            <w:r w:rsidRPr="00244961">
              <w:rPr>
                <w:rFonts w:ascii="Arial Narrow" w:hAnsi="Arial Narrow"/>
                <w:b/>
                <w:snapToGrid w:val="0"/>
                <w:sz w:val="20"/>
              </w:rPr>
              <w:t>Comparator</w:t>
            </w:r>
          </w:p>
          <w:p w14:paraId="325D4B66" w14:textId="77777777" w:rsidR="009C07AE" w:rsidRPr="00244961" w:rsidRDefault="009C07AE" w:rsidP="009C07AE">
            <w:pPr>
              <w:spacing w:before="40" w:after="40"/>
              <w:rPr>
                <w:rFonts w:ascii="Arial Narrow" w:hAnsi="Arial Narrow"/>
                <w:b/>
                <w:snapToGrid w:val="0"/>
                <w:sz w:val="20"/>
              </w:rPr>
            </w:pPr>
            <w:r w:rsidRPr="00244961">
              <w:rPr>
                <w:rFonts w:ascii="Arial Narrow" w:hAnsi="Arial Narrow"/>
                <w:b/>
                <w:snapToGrid w:val="0"/>
                <w:sz w:val="20"/>
              </w:rPr>
              <w:t>n with event/N (%)</w:t>
            </w:r>
          </w:p>
        </w:tc>
        <w:tc>
          <w:tcPr>
            <w:tcW w:w="805" w:type="pct"/>
            <w:tcBorders>
              <w:bottom w:val="single" w:sz="4" w:space="0" w:color="auto"/>
            </w:tcBorders>
            <w:shd w:val="clear" w:color="auto" w:fill="auto"/>
          </w:tcPr>
          <w:p w14:paraId="40224B7E" w14:textId="77777777" w:rsidR="009C07AE" w:rsidRPr="00244961" w:rsidRDefault="009C07AE" w:rsidP="009C07AE">
            <w:pPr>
              <w:spacing w:before="40" w:after="40"/>
              <w:rPr>
                <w:rFonts w:ascii="Arial Narrow" w:hAnsi="Arial Narrow"/>
                <w:b/>
                <w:snapToGrid w:val="0"/>
                <w:sz w:val="20"/>
              </w:rPr>
            </w:pPr>
            <w:r w:rsidRPr="00244961">
              <w:rPr>
                <w:rFonts w:ascii="Arial Narrow" w:hAnsi="Arial Narrow"/>
                <w:b/>
                <w:snapToGrid w:val="0"/>
                <w:sz w:val="20"/>
              </w:rPr>
              <w:t>Absolute difference</w:t>
            </w:r>
          </w:p>
          <w:p w14:paraId="7EB6E687" w14:textId="77777777" w:rsidR="009C07AE" w:rsidRPr="00244961" w:rsidRDefault="009C07AE" w:rsidP="009C07AE">
            <w:pPr>
              <w:spacing w:before="40" w:after="40"/>
              <w:rPr>
                <w:rFonts w:ascii="Arial Narrow" w:hAnsi="Arial Narrow"/>
                <w:b/>
                <w:snapToGrid w:val="0"/>
                <w:sz w:val="20"/>
              </w:rPr>
            </w:pPr>
            <w:r w:rsidRPr="00244961">
              <w:rPr>
                <w:rFonts w:ascii="Arial Narrow" w:hAnsi="Arial Narrow"/>
                <w:b/>
                <w:snapToGrid w:val="0"/>
                <w:sz w:val="20"/>
              </w:rPr>
              <w:t>(risk difference, number needed to harm)</w:t>
            </w:r>
          </w:p>
        </w:tc>
        <w:tc>
          <w:tcPr>
            <w:tcW w:w="803" w:type="pct"/>
            <w:tcBorders>
              <w:bottom w:val="single" w:sz="4" w:space="0" w:color="auto"/>
            </w:tcBorders>
            <w:shd w:val="clear" w:color="auto" w:fill="auto"/>
          </w:tcPr>
          <w:p w14:paraId="49B6CD5E" w14:textId="77777777" w:rsidR="009C07AE" w:rsidRPr="00244961" w:rsidRDefault="009C07AE" w:rsidP="009C07AE">
            <w:pPr>
              <w:spacing w:before="40" w:after="40"/>
              <w:rPr>
                <w:rFonts w:ascii="Arial Narrow" w:hAnsi="Arial Narrow"/>
                <w:b/>
                <w:snapToGrid w:val="0"/>
                <w:sz w:val="20"/>
              </w:rPr>
            </w:pPr>
            <w:r w:rsidRPr="00244961">
              <w:rPr>
                <w:rFonts w:ascii="Arial Narrow" w:hAnsi="Arial Narrow"/>
                <w:b/>
                <w:snapToGrid w:val="0"/>
                <w:sz w:val="20"/>
              </w:rPr>
              <w:t>Relative difference</w:t>
            </w:r>
          </w:p>
          <w:p w14:paraId="04F16099" w14:textId="77777777" w:rsidR="009C07AE" w:rsidRPr="00244961" w:rsidRDefault="009C07AE" w:rsidP="009C07AE">
            <w:pPr>
              <w:spacing w:before="40" w:after="40"/>
              <w:rPr>
                <w:rFonts w:ascii="Arial Narrow" w:hAnsi="Arial Narrow"/>
                <w:b/>
                <w:snapToGrid w:val="0"/>
                <w:sz w:val="20"/>
              </w:rPr>
            </w:pPr>
            <w:r w:rsidRPr="00244961">
              <w:rPr>
                <w:rFonts w:ascii="Arial Narrow" w:hAnsi="Arial Narrow"/>
                <w:b/>
                <w:snapToGrid w:val="0"/>
                <w:sz w:val="20"/>
              </w:rPr>
              <w:t>(relative risk,</w:t>
            </w:r>
            <w:r>
              <w:rPr>
                <w:rFonts w:ascii="Arial Narrow" w:hAnsi="Arial Narrow"/>
                <w:b/>
                <w:snapToGrid w:val="0"/>
                <w:sz w:val="20"/>
              </w:rPr>
              <w:t xml:space="preserve"> </w:t>
            </w:r>
            <w:r w:rsidRPr="00244961">
              <w:rPr>
                <w:rFonts w:ascii="Arial Narrow" w:hAnsi="Arial Narrow"/>
                <w:b/>
                <w:snapToGrid w:val="0"/>
                <w:sz w:val="20"/>
              </w:rPr>
              <w:t>results of statistical test)</w:t>
            </w:r>
          </w:p>
        </w:tc>
      </w:tr>
      <w:tr w:rsidR="009C07AE" w:rsidRPr="00244961" w14:paraId="7C0DD9D4" w14:textId="77777777" w:rsidTr="009C07AE">
        <w:tc>
          <w:tcPr>
            <w:tcW w:w="5000" w:type="pct"/>
            <w:gridSpan w:val="6"/>
            <w:shd w:val="clear" w:color="auto" w:fill="auto"/>
            <w:vAlign w:val="center"/>
          </w:tcPr>
          <w:p w14:paraId="78D770C3" w14:textId="77777777" w:rsidR="009C07AE" w:rsidRPr="00244961" w:rsidRDefault="009C07AE" w:rsidP="009C07AE">
            <w:pPr>
              <w:spacing w:before="40" w:after="40"/>
              <w:rPr>
                <w:rFonts w:ascii="Arial Narrow" w:hAnsi="Arial Narrow"/>
                <w:b/>
                <w:snapToGrid w:val="0"/>
                <w:sz w:val="20"/>
              </w:rPr>
            </w:pPr>
            <w:r w:rsidRPr="00244961">
              <w:rPr>
                <w:rFonts w:ascii="Arial Narrow" w:hAnsi="Arial Narrow"/>
                <w:b/>
                <w:snapToGrid w:val="0"/>
                <w:sz w:val="20"/>
              </w:rPr>
              <w:t>PICO 1: Brain, spinal and soft tissue cancers</w:t>
            </w:r>
          </w:p>
        </w:tc>
      </w:tr>
      <w:tr w:rsidR="002328F3" w:rsidRPr="00244961" w14:paraId="1DC52F77" w14:textId="77777777" w:rsidTr="00E20D9E">
        <w:tc>
          <w:tcPr>
            <w:tcW w:w="760" w:type="pct"/>
            <w:vMerge w:val="restart"/>
            <w:shd w:val="clear" w:color="auto" w:fill="auto"/>
            <w:vAlign w:val="center"/>
          </w:tcPr>
          <w:p w14:paraId="3A6A96EC" w14:textId="77777777" w:rsidR="002328F3" w:rsidRPr="00244961" w:rsidRDefault="002328F3" w:rsidP="002328F3">
            <w:pPr>
              <w:spacing w:before="40" w:after="40"/>
              <w:rPr>
                <w:rFonts w:ascii="Arial Narrow" w:hAnsi="Arial Narrow"/>
                <w:snapToGrid w:val="0"/>
                <w:sz w:val="20"/>
                <w:highlight w:val="cyan"/>
              </w:rPr>
            </w:pPr>
            <w:r w:rsidRPr="002328F3">
              <w:rPr>
                <w:rFonts w:ascii="Arial Narrow" w:hAnsi="Arial Narrow"/>
                <w:snapToGrid w:val="0"/>
                <w:sz w:val="20"/>
              </w:rPr>
              <w:t>ICER (2014), Brown et al. (2013)</w:t>
            </w:r>
            <w:r w:rsidR="00667CB4">
              <w:rPr>
                <w:rFonts w:ascii="Arial Narrow" w:hAnsi="Arial Narrow"/>
                <w:snapToGrid w:val="0"/>
                <w:sz w:val="20"/>
              </w:rPr>
              <w:t xml:space="preserve"> medulloblastoma</w:t>
            </w:r>
            <w:r w:rsidR="003741D0" w:rsidRPr="003741D0">
              <w:rPr>
                <w:rFonts w:ascii="Arial Narrow" w:hAnsi="Arial Narrow"/>
                <w:snapToGrid w:val="0"/>
                <w:sz w:val="20"/>
                <w:vertAlign w:val="superscript"/>
              </w:rPr>
              <w:t>a</w:t>
            </w:r>
            <w:r>
              <w:rPr>
                <w:rFonts w:ascii="Arial Narrow" w:hAnsi="Arial Narrow"/>
                <w:snapToGrid w:val="0"/>
                <w:sz w:val="20"/>
              </w:rPr>
              <w:t>d</w:t>
            </w:r>
          </w:p>
        </w:tc>
        <w:tc>
          <w:tcPr>
            <w:tcW w:w="1023" w:type="pct"/>
            <w:tcBorders>
              <w:left w:val="single" w:sz="4" w:space="0" w:color="auto"/>
              <w:bottom w:val="single" w:sz="4" w:space="0" w:color="auto"/>
            </w:tcBorders>
            <w:shd w:val="clear" w:color="auto" w:fill="auto"/>
            <w:vAlign w:val="center"/>
          </w:tcPr>
          <w:p w14:paraId="262CADC8" w14:textId="77777777" w:rsidR="002328F3" w:rsidRPr="002328F3" w:rsidRDefault="002328F3" w:rsidP="002328F3">
            <w:pPr>
              <w:spacing w:before="40" w:after="40"/>
              <w:rPr>
                <w:rFonts w:ascii="Arial Narrow" w:hAnsi="Arial Narrow"/>
                <w:snapToGrid w:val="0"/>
                <w:sz w:val="20"/>
              </w:rPr>
            </w:pPr>
            <w:r w:rsidRPr="002328F3">
              <w:rPr>
                <w:rFonts w:ascii="Arial Narrow" w:hAnsi="Arial Narrow"/>
                <w:snapToGrid w:val="0"/>
                <w:sz w:val="20"/>
              </w:rPr>
              <w:t>median weight loss (median % of baseline)</w:t>
            </w:r>
          </w:p>
        </w:tc>
        <w:tc>
          <w:tcPr>
            <w:tcW w:w="804" w:type="pct"/>
            <w:tcBorders>
              <w:bottom w:val="single" w:sz="4" w:space="0" w:color="auto"/>
            </w:tcBorders>
            <w:shd w:val="clear" w:color="auto" w:fill="auto"/>
            <w:vAlign w:val="center"/>
          </w:tcPr>
          <w:p w14:paraId="1B13A787" w14:textId="77777777" w:rsidR="002328F3" w:rsidRPr="002328F3" w:rsidRDefault="002328F3" w:rsidP="002328F3">
            <w:pPr>
              <w:spacing w:before="40" w:after="40"/>
              <w:rPr>
                <w:rFonts w:ascii="Arial Narrow" w:hAnsi="Arial Narrow"/>
                <w:snapToGrid w:val="0"/>
                <w:sz w:val="20"/>
              </w:rPr>
            </w:pPr>
            <w:r w:rsidRPr="002328F3">
              <w:rPr>
                <w:rFonts w:ascii="Arial Narrow" w:hAnsi="Arial Narrow"/>
                <w:snapToGrid w:val="0"/>
                <w:sz w:val="20"/>
              </w:rPr>
              <w:t>PBT</w:t>
            </w:r>
          </w:p>
          <w:p w14:paraId="5C0E9FA9" w14:textId="77777777" w:rsidR="002328F3" w:rsidRPr="002328F3" w:rsidRDefault="002328F3" w:rsidP="002328F3">
            <w:pPr>
              <w:spacing w:before="40" w:after="40"/>
              <w:rPr>
                <w:rFonts w:ascii="Arial Narrow" w:hAnsi="Arial Narrow"/>
                <w:snapToGrid w:val="0"/>
                <w:sz w:val="20"/>
              </w:rPr>
            </w:pPr>
            <w:r w:rsidRPr="002328F3">
              <w:rPr>
                <w:rFonts w:ascii="Arial Narrow" w:hAnsi="Arial Narrow"/>
                <w:snapToGrid w:val="0"/>
                <w:sz w:val="20"/>
              </w:rPr>
              <w:t>-1.2%</w:t>
            </w:r>
          </w:p>
        </w:tc>
        <w:tc>
          <w:tcPr>
            <w:tcW w:w="805" w:type="pct"/>
            <w:tcBorders>
              <w:bottom w:val="single" w:sz="4" w:space="0" w:color="auto"/>
            </w:tcBorders>
            <w:shd w:val="clear" w:color="auto" w:fill="auto"/>
            <w:vAlign w:val="center"/>
          </w:tcPr>
          <w:p w14:paraId="38100A62" w14:textId="77777777" w:rsidR="002328F3" w:rsidRPr="002328F3" w:rsidRDefault="002328F3" w:rsidP="002328F3">
            <w:pPr>
              <w:spacing w:before="40" w:after="40"/>
              <w:rPr>
                <w:rFonts w:ascii="Arial Narrow" w:hAnsi="Arial Narrow"/>
                <w:snapToGrid w:val="0"/>
                <w:sz w:val="20"/>
              </w:rPr>
            </w:pPr>
            <w:r w:rsidRPr="002328F3">
              <w:rPr>
                <w:rFonts w:ascii="Arial Narrow" w:hAnsi="Arial Narrow"/>
                <w:snapToGrid w:val="0"/>
                <w:sz w:val="20"/>
              </w:rPr>
              <w:t>PRT</w:t>
            </w:r>
          </w:p>
          <w:p w14:paraId="5A6B3255" w14:textId="77777777" w:rsidR="002328F3" w:rsidRPr="002328F3" w:rsidRDefault="002328F3" w:rsidP="002328F3">
            <w:pPr>
              <w:spacing w:before="40" w:after="40"/>
              <w:rPr>
                <w:rFonts w:ascii="Arial Narrow" w:hAnsi="Arial Narrow"/>
                <w:snapToGrid w:val="0"/>
                <w:sz w:val="20"/>
              </w:rPr>
            </w:pPr>
            <w:r w:rsidRPr="002328F3">
              <w:rPr>
                <w:rFonts w:ascii="Arial Narrow" w:hAnsi="Arial Narrow"/>
                <w:snapToGrid w:val="0"/>
                <w:sz w:val="20"/>
              </w:rPr>
              <w:t>-5.8%</w:t>
            </w:r>
          </w:p>
        </w:tc>
        <w:tc>
          <w:tcPr>
            <w:tcW w:w="805" w:type="pct"/>
            <w:tcBorders>
              <w:bottom w:val="single" w:sz="4" w:space="0" w:color="auto"/>
            </w:tcBorders>
            <w:shd w:val="clear" w:color="auto" w:fill="auto"/>
            <w:vAlign w:val="center"/>
          </w:tcPr>
          <w:p w14:paraId="5D76D3D3" w14:textId="77777777" w:rsidR="002328F3" w:rsidRPr="002328F3" w:rsidRDefault="00667CB4" w:rsidP="002328F3">
            <w:pPr>
              <w:spacing w:before="40" w:after="40"/>
              <w:rPr>
                <w:rFonts w:ascii="Arial Narrow" w:hAnsi="Arial Narrow"/>
                <w:snapToGrid w:val="0"/>
                <w:sz w:val="20"/>
              </w:rPr>
            </w:pPr>
            <w:r>
              <w:rPr>
                <w:rFonts w:ascii="Arial Narrow" w:hAnsi="Arial Narrow"/>
                <w:snapToGrid w:val="0"/>
                <w:sz w:val="20"/>
              </w:rPr>
              <w:t>4.6%, 21.7</w:t>
            </w:r>
          </w:p>
        </w:tc>
        <w:tc>
          <w:tcPr>
            <w:tcW w:w="803" w:type="pct"/>
            <w:tcBorders>
              <w:bottom w:val="single" w:sz="4" w:space="0" w:color="auto"/>
            </w:tcBorders>
            <w:shd w:val="clear" w:color="auto" w:fill="auto"/>
            <w:vAlign w:val="center"/>
          </w:tcPr>
          <w:p w14:paraId="32A9238A" w14:textId="77777777" w:rsidR="002328F3" w:rsidRPr="002328F3" w:rsidRDefault="002328F3" w:rsidP="002328F3">
            <w:pPr>
              <w:spacing w:before="40" w:after="40"/>
              <w:rPr>
                <w:rFonts w:ascii="Arial Narrow" w:hAnsi="Arial Narrow"/>
                <w:snapToGrid w:val="0"/>
                <w:sz w:val="20"/>
              </w:rPr>
            </w:pPr>
            <w:r w:rsidRPr="002328F3">
              <w:rPr>
                <w:rFonts w:ascii="Arial Narrow" w:hAnsi="Arial Narrow"/>
                <w:snapToGrid w:val="0"/>
                <w:sz w:val="20"/>
              </w:rPr>
              <w:t>NR, p=0.004</w:t>
            </w:r>
          </w:p>
        </w:tc>
      </w:tr>
      <w:tr w:rsidR="002328F3" w:rsidRPr="00244961" w14:paraId="3010935F" w14:textId="77777777" w:rsidTr="00E20D9E">
        <w:tc>
          <w:tcPr>
            <w:tcW w:w="760" w:type="pct"/>
            <w:vMerge/>
            <w:shd w:val="clear" w:color="auto" w:fill="auto"/>
            <w:vAlign w:val="center"/>
          </w:tcPr>
          <w:p w14:paraId="30BAA2E7" w14:textId="77777777" w:rsidR="002328F3" w:rsidRDefault="002328F3" w:rsidP="002328F3">
            <w:pPr>
              <w:spacing w:before="40" w:after="40"/>
              <w:rPr>
                <w:rFonts w:ascii="Arial Narrow" w:hAnsi="Arial Narrow"/>
                <w:snapToGrid w:val="0"/>
                <w:sz w:val="20"/>
              </w:rPr>
            </w:pPr>
          </w:p>
        </w:tc>
        <w:tc>
          <w:tcPr>
            <w:tcW w:w="1023" w:type="pct"/>
            <w:tcBorders>
              <w:left w:val="single" w:sz="4" w:space="0" w:color="auto"/>
              <w:bottom w:val="single" w:sz="4" w:space="0" w:color="auto"/>
            </w:tcBorders>
            <w:shd w:val="clear" w:color="auto" w:fill="auto"/>
            <w:vAlign w:val="center"/>
          </w:tcPr>
          <w:p w14:paraId="03083404" w14:textId="77777777" w:rsidR="002328F3" w:rsidRPr="002328F3" w:rsidRDefault="002328F3" w:rsidP="002328F3">
            <w:pPr>
              <w:spacing w:before="40" w:after="40"/>
              <w:rPr>
                <w:rFonts w:ascii="Arial Narrow" w:hAnsi="Arial Narrow"/>
                <w:snapToGrid w:val="0"/>
                <w:sz w:val="20"/>
              </w:rPr>
            </w:pPr>
            <w:r w:rsidRPr="002328F3">
              <w:rPr>
                <w:rFonts w:ascii="Arial Narrow" w:hAnsi="Arial Narrow"/>
                <w:snapToGrid w:val="0"/>
                <w:sz w:val="20"/>
              </w:rPr>
              <w:t>medical management of esophagitis</w:t>
            </w:r>
          </w:p>
        </w:tc>
        <w:tc>
          <w:tcPr>
            <w:tcW w:w="804" w:type="pct"/>
            <w:tcBorders>
              <w:bottom w:val="single" w:sz="4" w:space="0" w:color="auto"/>
            </w:tcBorders>
            <w:shd w:val="clear" w:color="auto" w:fill="auto"/>
            <w:vAlign w:val="center"/>
          </w:tcPr>
          <w:p w14:paraId="6CC0247D" w14:textId="77777777" w:rsidR="002328F3" w:rsidRPr="002328F3" w:rsidRDefault="002328F3" w:rsidP="002328F3">
            <w:pPr>
              <w:spacing w:before="40" w:after="40"/>
              <w:rPr>
                <w:rFonts w:ascii="Arial Narrow" w:hAnsi="Arial Narrow"/>
                <w:snapToGrid w:val="0"/>
                <w:sz w:val="20"/>
              </w:rPr>
            </w:pPr>
            <w:r w:rsidRPr="002328F3">
              <w:rPr>
                <w:rFonts w:ascii="Arial Narrow" w:hAnsi="Arial Narrow"/>
                <w:snapToGrid w:val="0"/>
                <w:sz w:val="20"/>
              </w:rPr>
              <w:t>PBT</w:t>
            </w:r>
          </w:p>
          <w:p w14:paraId="2244C19B" w14:textId="77777777" w:rsidR="002328F3" w:rsidRPr="002328F3" w:rsidRDefault="002328F3" w:rsidP="002328F3">
            <w:pPr>
              <w:spacing w:before="40" w:after="40"/>
              <w:rPr>
                <w:rFonts w:ascii="Arial Narrow" w:hAnsi="Arial Narrow"/>
                <w:snapToGrid w:val="0"/>
                <w:sz w:val="20"/>
              </w:rPr>
            </w:pPr>
            <w:r w:rsidRPr="002328F3">
              <w:rPr>
                <w:rFonts w:ascii="Arial Narrow" w:hAnsi="Arial Narrow"/>
                <w:snapToGrid w:val="0"/>
                <w:sz w:val="20"/>
              </w:rPr>
              <w:t>5%</w:t>
            </w:r>
          </w:p>
        </w:tc>
        <w:tc>
          <w:tcPr>
            <w:tcW w:w="805" w:type="pct"/>
            <w:tcBorders>
              <w:bottom w:val="single" w:sz="4" w:space="0" w:color="auto"/>
            </w:tcBorders>
            <w:shd w:val="clear" w:color="auto" w:fill="auto"/>
            <w:vAlign w:val="center"/>
          </w:tcPr>
          <w:p w14:paraId="42C41AF8" w14:textId="77777777" w:rsidR="002328F3" w:rsidRPr="002328F3" w:rsidRDefault="002328F3" w:rsidP="002328F3">
            <w:pPr>
              <w:spacing w:before="40" w:after="40"/>
              <w:rPr>
                <w:rFonts w:ascii="Arial Narrow" w:hAnsi="Arial Narrow"/>
                <w:snapToGrid w:val="0"/>
                <w:sz w:val="20"/>
              </w:rPr>
            </w:pPr>
            <w:r w:rsidRPr="002328F3">
              <w:rPr>
                <w:rFonts w:ascii="Arial Narrow" w:hAnsi="Arial Narrow"/>
                <w:snapToGrid w:val="0"/>
                <w:sz w:val="20"/>
              </w:rPr>
              <w:t>PRT</w:t>
            </w:r>
          </w:p>
          <w:p w14:paraId="784B76C1" w14:textId="77777777" w:rsidR="002328F3" w:rsidRPr="002328F3" w:rsidRDefault="002328F3" w:rsidP="002328F3">
            <w:pPr>
              <w:spacing w:before="40" w:after="40"/>
              <w:rPr>
                <w:rFonts w:ascii="Arial Narrow" w:hAnsi="Arial Narrow"/>
                <w:snapToGrid w:val="0"/>
                <w:sz w:val="20"/>
              </w:rPr>
            </w:pPr>
            <w:r w:rsidRPr="002328F3">
              <w:rPr>
                <w:rFonts w:ascii="Arial Narrow" w:hAnsi="Arial Narrow"/>
                <w:snapToGrid w:val="0"/>
                <w:sz w:val="20"/>
              </w:rPr>
              <w:t>57%</w:t>
            </w:r>
          </w:p>
        </w:tc>
        <w:tc>
          <w:tcPr>
            <w:tcW w:w="805" w:type="pct"/>
            <w:tcBorders>
              <w:bottom w:val="single" w:sz="4" w:space="0" w:color="auto"/>
            </w:tcBorders>
            <w:shd w:val="clear" w:color="auto" w:fill="auto"/>
            <w:vAlign w:val="center"/>
          </w:tcPr>
          <w:p w14:paraId="0217C214" w14:textId="77777777" w:rsidR="002328F3" w:rsidRPr="002328F3" w:rsidRDefault="00667CB4" w:rsidP="002328F3">
            <w:pPr>
              <w:spacing w:before="40" w:after="40"/>
              <w:rPr>
                <w:rFonts w:ascii="Arial Narrow" w:hAnsi="Arial Narrow"/>
                <w:snapToGrid w:val="0"/>
                <w:sz w:val="20"/>
              </w:rPr>
            </w:pPr>
            <w:r>
              <w:rPr>
                <w:rFonts w:ascii="Arial Narrow" w:hAnsi="Arial Narrow"/>
                <w:snapToGrid w:val="0"/>
                <w:sz w:val="20"/>
              </w:rPr>
              <w:t>52%, 1.9</w:t>
            </w:r>
          </w:p>
        </w:tc>
        <w:tc>
          <w:tcPr>
            <w:tcW w:w="803" w:type="pct"/>
            <w:tcBorders>
              <w:bottom w:val="single" w:sz="4" w:space="0" w:color="auto"/>
            </w:tcBorders>
            <w:shd w:val="clear" w:color="auto" w:fill="auto"/>
            <w:vAlign w:val="center"/>
          </w:tcPr>
          <w:p w14:paraId="647D2566" w14:textId="77777777" w:rsidR="002328F3" w:rsidRPr="002328F3" w:rsidRDefault="002328F3" w:rsidP="002328F3">
            <w:pPr>
              <w:spacing w:before="40" w:after="40"/>
              <w:rPr>
                <w:rFonts w:ascii="Arial Narrow" w:hAnsi="Arial Narrow"/>
                <w:snapToGrid w:val="0"/>
                <w:sz w:val="20"/>
              </w:rPr>
            </w:pPr>
            <w:r w:rsidRPr="002328F3">
              <w:rPr>
                <w:rFonts w:ascii="Arial Narrow" w:hAnsi="Arial Narrow"/>
                <w:snapToGrid w:val="0"/>
                <w:sz w:val="20"/>
              </w:rPr>
              <w:t>NR, p&lt;0.001</w:t>
            </w:r>
          </w:p>
        </w:tc>
      </w:tr>
      <w:tr w:rsidR="002328F3" w:rsidRPr="00244961" w14:paraId="20694FBD" w14:textId="77777777" w:rsidTr="009C07AE">
        <w:tc>
          <w:tcPr>
            <w:tcW w:w="5000" w:type="pct"/>
            <w:gridSpan w:val="6"/>
            <w:shd w:val="clear" w:color="auto" w:fill="auto"/>
            <w:vAlign w:val="center"/>
          </w:tcPr>
          <w:p w14:paraId="06F281C6" w14:textId="77777777" w:rsidR="002328F3" w:rsidRPr="00244961" w:rsidRDefault="002328F3" w:rsidP="002328F3">
            <w:pPr>
              <w:spacing w:before="40" w:after="40"/>
              <w:rPr>
                <w:rFonts w:ascii="Arial Narrow" w:hAnsi="Arial Narrow"/>
                <w:b/>
                <w:snapToGrid w:val="0"/>
                <w:sz w:val="20"/>
              </w:rPr>
            </w:pPr>
            <w:r w:rsidRPr="00244961">
              <w:rPr>
                <w:rFonts w:ascii="Arial Narrow" w:hAnsi="Arial Narrow"/>
                <w:b/>
                <w:snapToGrid w:val="0"/>
                <w:sz w:val="20"/>
              </w:rPr>
              <w:t>PICO 2: Ocular cancers</w:t>
            </w:r>
          </w:p>
        </w:tc>
      </w:tr>
      <w:tr w:rsidR="002328F3" w:rsidRPr="00244961" w14:paraId="01FCE265" w14:textId="77777777" w:rsidTr="009C07AE">
        <w:tc>
          <w:tcPr>
            <w:tcW w:w="760" w:type="pct"/>
            <w:vMerge w:val="restart"/>
            <w:shd w:val="clear" w:color="auto" w:fill="auto"/>
            <w:vAlign w:val="center"/>
          </w:tcPr>
          <w:p w14:paraId="0324D217"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Sikuade M.et al. (2015)</w:t>
            </w:r>
          </w:p>
        </w:tc>
        <w:tc>
          <w:tcPr>
            <w:tcW w:w="1023" w:type="pct"/>
            <w:shd w:val="clear" w:color="auto" w:fill="auto"/>
            <w:vAlign w:val="center"/>
          </w:tcPr>
          <w:p w14:paraId="369C7A52"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retinopathy</w:t>
            </w:r>
          </w:p>
        </w:tc>
        <w:tc>
          <w:tcPr>
            <w:tcW w:w="804" w:type="pct"/>
            <w:shd w:val="clear" w:color="auto" w:fill="auto"/>
            <w:vAlign w:val="center"/>
          </w:tcPr>
          <w:p w14:paraId="2C0D7DF3"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PBT</w:t>
            </w:r>
          </w:p>
          <w:p w14:paraId="1CA59BCF"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31/106 (29%)</w:t>
            </w:r>
          </w:p>
        </w:tc>
        <w:tc>
          <w:tcPr>
            <w:tcW w:w="805" w:type="pct"/>
            <w:shd w:val="clear" w:color="auto" w:fill="auto"/>
            <w:vAlign w:val="center"/>
          </w:tcPr>
          <w:p w14:paraId="18572773"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SRS</w:t>
            </w:r>
          </w:p>
          <w:p w14:paraId="629112AF"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20/85 (24%)</w:t>
            </w:r>
          </w:p>
        </w:tc>
        <w:tc>
          <w:tcPr>
            <w:tcW w:w="805" w:type="pct"/>
            <w:shd w:val="clear" w:color="auto" w:fill="auto"/>
            <w:vAlign w:val="center"/>
          </w:tcPr>
          <w:p w14:paraId="7286AE58"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5.7</w:t>
            </w:r>
            <w:r>
              <w:rPr>
                <w:rFonts w:ascii="Arial Narrow" w:hAnsi="Arial Narrow"/>
                <w:snapToGrid w:val="0"/>
                <w:sz w:val="20"/>
              </w:rPr>
              <w:t>%</w:t>
            </w:r>
            <w:r w:rsidRPr="00244961">
              <w:rPr>
                <w:rFonts w:ascii="Arial Narrow" w:hAnsi="Arial Narrow"/>
                <w:snapToGrid w:val="0"/>
                <w:sz w:val="20"/>
              </w:rPr>
              <w:t>, 17.5</w:t>
            </w:r>
          </w:p>
        </w:tc>
        <w:tc>
          <w:tcPr>
            <w:tcW w:w="803" w:type="pct"/>
            <w:shd w:val="clear" w:color="auto" w:fill="auto"/>
            <w:vAlign w:val="center"/>
          </w:tcPr>
          <w:p w14:paraId="33DB5FF4"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1.2, NR</w:t>
            </w:r>
          </w:p>
        </w:tc>
      </w:tr>
      <w:tr w:rsidR="002328F3" w:rsidRPr="00244961" w14:paraId="1CA81776" w14:textId="77777777" w:rsidTr="009C07AE">
        <w:tc>
          <w:tcPr>
            <w:tcW w:w="760" w:type="pct"/>
            <w:vMerge/>
            <w:shd w:val="clear" w:color="auto" w:fill="auto"/>
          </w:tcPr>
          <w:p w14:paraId="5D85EC7F" w14:textId="77777777" w:rsidR="002328F3" w:rsidRPr="00244961" w:rsidRDefault="002328F3" w:rsidP="002328F3">
            <w:pPr>
              <w:spacing w:before="40" w:after="40"/>
              <w:rPr>
                <w:rFonts w:ascii="Arial Narrow" w:hAnsi="Arial Narrow"/>
                <w:snapToGrid w:val="0"/>
                <w:sz w:val="20"/>
              </w:rPr>
            </w:pPr>
          </w:p>
        </w:tc>
        <w:tc>
          <w:tcPr>
            <w:tcW w:w="1023" w:type="pct"/>
            <w:shd w:val="clear" w:color="auto" w:fill="auto"/>
            <w:vAlign w:val="center"/>
          </w:tcPr>
          <w:p w14:paraId="75CE99A1"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optic neuropathy</w:t>
            </w:r>
          </w:p>
        </w:tc>
        <w:tc>
          <w:tcPr>
            <w:tcW w:w="804" w:type="pct"/>
            <w:shd w:val="clear" w:color="auto" w:fill="auto"/>
            <w:vAlign w:val="center"/>
          </w:tcPr>
          <w:p w14:paraId="11E8B000"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PBT</w:t>
            </w:r>
          </w:p>
          <w:p w14:paraId="26B4A2E1"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14/106 (13%)</w:t>
            </w:r>
          </w:p>
        </w:tc>
        <w:tc>
          <w:tcPr>
            <w:tcW w:w="805" w:type="pct"/>
            <w:shd w:val="clear" w:color="auto" w:fill="auto"/>
            <w:vAlign w:val="center"/>
          </w:tcPr>
          <w:p w14:paraId="7AD95206"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SRS</w:t>
            </w:r>
          </w:p>
          <w:p w14:paraId="7E2CAA89"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23/85 (27%)</w:t>
            </w:r>
          </w:p>
        </w:tc>
        <w:tc>
          <w:tcPr>
            <w:tcW w:w="805" w:type="pct"/>
            <w:shd w:val="clear" w:color="auto" w:fill="auto"/>
            <w:vAlign w:val="center"/>
          </w:tcPr>
          <w:p w14:paraId="12973B70"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13.9</w:t>
            </w:r>
            <w:r>
              <w:rPr>
                <w:rFonts w:ascii="Arial Narrow" w:hAnsi="Arial Narrow"/>
                <w:snapToGrid w:val="0"/>
                <w:sz w:val="20"/>
              </w:rPr>
              <w:t>%</w:t>
            </w:r>
            <w:r w:rsidRPr="00244961">
              <w:rPr>
                <w:rFonts w:ascii="Arial Narrow" w:hAnsi="Arial Narrow"/>
                <w:snapToGrid w:val="0"/>
                <w:sz w:val="20"/>
              </w:rPr>
              <w:t>, 7.2</w:t>
            </w:r>
          </w:p>
        </w:tc>
        <w:tc>
          <w:tcPr>
            <w:tcW w:w="803" w:type="pct"/>
            <w:shd w:val="clear" w:color="auto" w:fill="auto"/>
            <w:vAlign w:val="center"/>
          </w:tcPr>
          <w:p w14:paraId="4ED0004B"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0.5, NR</w:t>
            </w:r>
          </w:p>
        </w:tc>
      </w:tr>
      <w:tr w:rsidR="002328F3" w:rsidRPr="00244961" w14:paraId="57D008F9" w14:textId="77777777" w:rsidTr="009C07AE">
        <w:tc>
          <w:tcPr>
            <w:tcW w:w="760" w:type="pct"/>
            <w:vMerge/>
            <w:tcBorders>
              <w:bottom w:val="single" w:sz="4" w:space="0" w:color="auto"/>
            </w:tcBorders>
            <w:shd w:val="clear" w:color="auto" w:fill="auto"/>
          </w:tcPr>
          <w:p w14:paraId="7798D804" w14:textId="77777777" w:rsidR="002328F3" w:rsidRPr="00244961" w:rsidRDefault="002328F3" w:rsidP="002328F3">
            <w:pPr>
              <w:spacing w:before="40" w:after="40"/>
              <w:rPr>
                <w:rFonts w:ascii="Arial Narrow" w:hAnsi="Arial Narrow"/>
                <w:snapToGrid w:val="0"/>
                <w:sz w:val="20"/>
              </w:rPr>
            </w:pPr>
          </w:p>
        </w:tc>
        <w:tc>
          <w:tcPr>
            <w:tcW w:w="1023" w:type="pct"/>
            <w:tcBorders>
              <w:bottom w:val="single" w:sz="4" w:space="0" w:color="auto"/>
            </w:tcBorders>
            <w:shd w:val="clear" w:color="auto" w:fill="auto"/>
            <w:vAlign w:val="center"/>
          </w:tcPr>
          <w:p w14:paraId="3DA3FC9A"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glaucoma</w:t>
            </w:r>
          </w:p>
        </w:tc>
        <w:tc>
          <w:tcPr>
            <w:tcW w:w="804" w:type="pct"/>
            <w:tcBorders>
              <w:bottom w:val="single" w:sz="4" w:space="0" w:color="auto"/>
            </w:tcBorders>
            <w:shd w:val="clear" w:color="auto" w:fill="auto"/>
            <w:vAlign w:val="center"/>
          </w:tcPr>
          <w:p w14:paraId="571E7031"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PBT</w:t>
            </w:r>
          </w:p>
          <w:p w14:paraId="45C2F63F"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5/106 (5%)</w:t>
            </w:r>
          </w:p>
        </w:tc>
        <w:tc>
          <w:tcPr>
            <w:tcW w:w="805" w:type="pct"/>
            <w:tcBorders>
              <w:bottom w:val="single" w:sz="4" w:space="0" w:color="auto"/>
            </w:tcBorders>
            <w:shd w:val="clear" w:color="auto" w:fill="auto"/>
            <w:vAlign w:val="center"/>
          </w:tcPr>
          <w:p w14:paraId="636D9EAF"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SRS</w:t>
            </w:r>
          </w:p>
          <w:p w14:paraId="7F6D8A91"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9/85 (11%)</w:t>
            </w:r>
          </w:p>
        </w:tc>
        <w:tc>
          <w:tcPr>
            <w:tcW w:w="805" w:type="pct"/>
            <w:tcBorders>
              <w:bottom w:val="single" w:sz="4" w:space="0" w:color="auto"/>
            </w:tcBorders>
            <w:shd w:val="clear" w:color="auto" w:fill="auto"/>
            <w:vAlign w:val="center"/>
          </w:tcPr>
          <w:p w14:paraId="2869EB91"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5.9</w:t>
            </w:r>
            <w:r>
              <w:rPr>
                <w:rFonts w:ascii="Arial Narrow" w:hAnsi="Arial Narrow"/>
                <w:snapToGrid w:val="0"/>
                <w:sz w:val="20"/>
              </w:rPr>
              <w:t>%</w:t>
            </w:r>
            <w:r w:rsidRPr="00244961">
              <w:rPr>
                <w:rFonts w:ascii="Arial Narrow" w:hAnsi="Arial Narrow"/>
                <w:snapToGrid w:val="0"/>
                <w:sz w:val="20"/>
              </w:rPr>
              <w:t>, 17.0</w:t>
            </w:r>
          </w:p>
        </w:tc>
        <w:tc>
          <w:tcPr>
            <w:tcW w:w="803" w:type="pct"/>
            <w:tcBorders>
              <w:bottom w:val="single" w:sz="4" w:space="0" w:color="auto"/>
            </w:tcBorders>
            <w:shd w:val="clear" w:color="auto" w:fill="auto"/>
            <w:vAlign w:val="center"/>
          </w:tcPr>
          <w:p w14:paraId="027EDC24"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0.4, NR</w:t>
            </w:r>
          </w:p>
        </w:tc>
      </w:tr>
      <w:tr w:rsidR="002328F3" w:rsidRPr="00244961" w14:paraId="71B174EA" w14:textId="77777777" w:rsidTr="009C07AE">
        <w:tc>
          <w:tcPr>
            <w:tcW w:w="5000" w:type="pct"/>
            <w:gridSpan w:val="6"/>
            <w:shd w:val="clear" w:color="auto" w:fill="auto"/>
            <w:vAlign w:val="center"/>
          </w:tcPr>
          <w:p w14:paraId="62F525A1" w14:textId="77777777" w:rsidR="002328F3" w:rsidRPr="009C07AE" w:rsidRDefault="002328F3" w:rsidP="002328F3">
            <w:pPr>
              <w:spacing w:before="40" w:after="40"/>
              <w:rPr>
                <w:rFonts w:ascii="Arial Narrow" w:hAnsi="Arial Narrow"/>
                <w:b/>
                <w:snapToGrid w:val="0"/>
                <w:sz w:val="20"/>
              </w:rPr>
            </w:pPr>
            <w:r w:rsidRPr="009C07AE">
              <w:rPr>
                <w:rFonts w:ascii="Arial Narrow" w:hAnsi="Arial Narrow"/>
                <w:b/>
                <w:snapToGrid w:val="0"/>
                <w:sz w:val="20"/>
              </w:rPr>
              <w:t>PICO 3: Paediatric and adolescent cancers</w:t>
            </w:r>
          </w:p>
        </w:tc>
      </w:tr>
      <w:tr w:rsidR="002328F3" w:rsidRPr="00244961" w14:paraId="7480599B" w14:textId="77777777" w:rsidTr="009C07AE">
        <w:tc>
          <w:tcPr>
            <w:tcW w:w="760" w:type="pct"/>
            <w:shd w:val="clear" w:color="auto" w:fill="auto"/>
            <w:vAlign w:val="center"/>
          </w:tcPr>
          <w:p w14:paraId="3FDF36A2"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Sethi R. et al. (2014)</w:t>
            </w:r>
          </w:p>
        </w:tc>
        <w:tc>
          <w:tcPr>
            <w:tcW w:w="1023" w:type="pct"/>
            <w:shd w:val="clear" w:color="auto" w:fill="auto"/>
            <w:vAlign w:val="center"/>
          </w:tcPr>
          <w:p w14:paraId="713FC7FB"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local or in-field secondary malignancies</w:t>
            </w:r>
          </w:p>
        </w:tc>
        <w:tc>
          <w:tcPr>
            <w:tcW w:w="804" w:type="pct"/>
            <w:shd w:val="clear" w:color="auto" w:fill="auto"/>
            <w:vAlign w:val="center"/>
          </w:tcPr>
          <w:p w14:paraId="36E7CDF0"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PBT</w:t>
            </w:r>
          </w:p>
          <w:p w14:paraId="75D43D70"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0/55 (0%)</w:t>
            </w:r>
          </w:p>
        </w:tc>
        <w:tc>
          <w:tcPr>
            <w:tcW w:w="805" w:type="pct"/>
            <w:shd w:val="clear" w:color="auto" w:fill="auto"/>
            <w:vAlign w:val="center"/>
          </w:tcPr>
          <w:p w14:paraId="6A45D5F0"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PRT</w:t>
            </w:r>
          </w:p>
          <w:p w14:paraId="142D59E4"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4/31 (12.9%)</w:t>
            </w:r>
          </w:p>
        </w:tc>
        <w:tc>
          <w:tcPr>
            <w:tcW w:w="805" w:type="pct"/>
            <w:shd w:val="clear" w:color="auto" w:fill="auto"/>
            <w:vAlign w:val="center"/>
          </w:tcPr>
          <w:p w14:paraId="2ADE436A"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12.9</w:t>
            </w:r>
            <w:r>
              <w:rPr>
                <w:rFonts w:ascii="Arial Narrow" w:hAnsi="Arial Narrow"/>
                <w:snapToGrid w:val="0"/>
                <w:sz w:val="20"/>
              </w:rPr>
              <w:t>%</w:t>
            </w:r>
            <w:r w:rsidRPr="00244961">
              <w:rPr>
                <w:rFonts w:ascii="Arial Narrow" w:hAnsi="Arial Narrow"/>
                <w:snapToGrid w:val="0"/>
                <w:sz w:val="20"/>
              </w:rPr>
              <w:t>, 7.75</w:t>
            </w:r>
          </w:p>
        </w:tc>
        <w:tc>
          <w:tcPr>
            <w:tcW w:w="803" w:type="pct"/>
            <w:shd w:val="clear" w:color="auto" w:fill="auto"/>
            <w:vAlign w:val="center"/>
          </w:tcPr>
          <w:p w14:paraId="2BCD0D34"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0, p=0.015</w:t>
            </w:r>
          </w:p>
        </w:tc>
      </w:tr>
      <w:tr w:rsidR="002328F3" w:rsidRPr="00244961" w14:paraId="7F058828" w14:textId="77777777" w:rsidTr="009C07AE">
        <w:tc>
          <w:tcPr>
            <w:tcW w:w="760" w:type="pct"/>
            <w:vMerge w:val="restart"/>
            <w:shd w:val="clear" w:color="auto" w:fill="auto"/>
            <w:vAlign w:val="center"/>
          </w:tcPr>
          <w:p w14:paraId="7AFA87B7"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CADTH (2017),</w:t>
            </w:r>
          </w:p>
          <w:p w14:paraId="783573C9"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Leroy R. et al. (2016), Bishop A.J. et al. (2014)</w:t>
            </w:r>
          </w:p>
        </w:tc>
        <w:tc>
          <w:tcPr>
            <w:tcW w:w="1023" w:type="pct"/>
            <w:shd w:val="clear" w:color="auto" w:fill="auto"/>
            <w:vAlign w:val="center"/>
          </w:tcPr>
          <w:p w14:paraId="35A7CD0C"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vascular injury</w:t>
            </w:r>
          </w:p>
        </w:tc>
        <w:tc>
          <w:tcPr>
            <w:tcW w:w="804" w:type="pct"/>
            <w:shd w:val="clear" w:color="auto" w:fill="auto"/>
            <w:vAlign w:val="center"/>
          </w:tcPr>
          <w:p w14:paraId="017215E9"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PBT</w:t>
            </w:r>
          </w:p>
          <w:p w14:paraId="10BF493D"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2/21 (10%)</w:t>
            </w:r>
          </w:p>
        </w:tc>
        <w:tc>
          <w:tcPr>
            <w:tcW w:w="805" w:type="pct"/>
            <w:shd w:val="clear" w:color="auto" w:fill="auto"/>
            <w:vAlign w:val="center"/>
          </w:tcPr>
          <w:p w14:paraId="1569687B"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IMRT</w:t>
            </w:r>
          </w:p>
          <w:p w14:paraId="07D9E1F5"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3/31 (10%)</w:t>
            </w:r>
          </w:p>
        </w:tc>
        <w:tc>
          <w:tcPr>
            <w:tcW w:w="805" w:type="pct"/>
            <w:shd w:val="clear" w:color="auto" w:fill="auto"/>
            <w:vAlign w:val="center"/>
          </w:tcPr>
          <w:p w14:paraId="4CBE36BA"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0</w:t>
            </w:r>
            <w:r>
              <w:rPr>
                <w:rFonts w:ascii="Arial Narrow" w:hAnsi="Arial Narrow"/>
                <w:snapToGrid w:val="0"/>
                <w:sz w:val="20"/>
              </w:rPr>
              <w:t>%</w:t>
            </w:r>
            <w:r w:rsidRPr="00244961">
              <w:rPr>
                <w:rFonts w:ascii="Arial Narrow" w:hAnsi="Arial Narrow"/>
                <w:snapToGrid w:val="0"/>
                <w:sz w:val="20"/>
              </w:rPr>
              <w:t>, NA</w:t>
            </w:r>
          </w:p>
        </w:tc>
        <w:tc>
          <w:tcPr>
            <w:tcW w:w="803" w:type="pct"/>
            <w:shd w:val="clear" w:color="auto" w:fill="auto"/>
            <w:vAlign w:val="center"/>
          </w:tcPr>
          <w:p w14:paraId="3846610A"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1, NS</w:t>
            </w:r>
          </w:p>
        </w:tc>
      </w:tr>
      <w:tr w:rsidR="002328F3" w:rsidRPr="00244961" w14:paraId="5235C3E0" w14:textId="77777777" w:rsidTr="009C07AE">
        <w:tc>
          <w:tcPr>
            <w:tcW w:w="760" w:type="pct"/>
            <w:vMerge/>
            <w:shd w:val="clear" w:color="auto" w:fill="auto"/>
            <w:vAlign w:val="center"/>
          </w:tcPr>
          <w:p w14:paraId="12456A55" w14:textId="77777777" w:rsidR="002328F3" w:rsidRPr="00244961" w:rsidRDefault="002328F3" w:rsidP="002328F3">
            <w:pPr>
              <w:spacing w:before="40" w:after="40"/>
              <w:rPr>
                <w:rFonts w:ascii="Arial Narrow" w:hAnsi="Arial Narrow"/>
                <w:snapToGrid w:val="0"/>
                <w:sz w:val="20"/>
                <w:highlight w:val="cyan"/>
              </w:rPr>
            </w:pPr>
          </w:p>
        </w:tc>
        <w:tc>
          <w:tcPr>
            <w:tcW w:w="1023" w:type="pct"/>
            <w:shd w:val="clear" w:color="auto" w:fill="auto"/>
            <w:vAlign w:val="center"/>
          </w:tcPr>
          <w:p w14:paraId="0C0D05D7"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visual dysfunction</w:t>
            </w:r>
          </w:p>
        </w:tc>
        <w:tc>
          <w:tcPr>
            <w:tcW w:w="804" w:type="pct"/>
            <w:shd w:val="clear" w:color="auto" w:fill="auto"/>
            <w:vAlign w:val="center"/>
          </w:tcPr>
          <w:p w14:paraId="6AA5BD1A"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PBT</w:t>
            </w:r>
          </w:p>
          <w:p w14:paraId="735490E5"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1/21 (5%)</w:t>
            </w:r>
          </w:p>
        </w:tc>
        <w:tc>
          <w:tcPr>
            <w:tcW w:w="805" w:type="pct"/>
            <w:shd w:val="clear" w:color="auto" w:fill="auto"/>
            <w:vAlign w:val="center"/>
          </w:tcPr>
          <w:p w14:paraId="0E47841A"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IMRT</w:t>
            </w:r>
          </w:p>
          <w:p w14:paraId="68A383ED"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4/31 (13%)</w:t>
            </w:r>
          </w:p>
        </w:tc>
        <w:tc>
          <w:tcPr>
            <w:tcW w:w="805" w:type="pct"/>
            <w:shd w:val="clear" w:color="auto" w:fill="auto"/>
            <w:vAlign w:val="center"/>
          </w:tcPr>
          <w:p w14:paraId="64091AEC"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8</w:t>
            </w:r>
            <w:r>
              <w:rPr>
                <w:rFonts w:ascii="Arial Narrow" w:hAnsi="Arial Narrow"/>
                <w:snapToGrid w:val="0"/>
                <w:sz w:val="20"/>
              </w:rPr>
              <w:t>%</w:t>
            </w:r>
            <w:r w:rsidRPr="00244961">
              <w:rPr>
                <w:rFonts w:ascii="Arial Narrow" w:hAnsi="Arial Narrow"/>
                <w:snapToGrid w:val="0"/>
                <w:sz w:val="20"/>
              </w:rPr>
              <w:t>, 12.5</w:t>
            </w:r>
          </w:p>
        </w:tc>
        <w:tc>
          <w:tcPr>
            <w:tcW w:w="803" w:type="pct"/>
            <w:shd w:val="clear" w:color="auto" w:fill="auto"/>
            <w:vAlign w:val="center"/>
          </w:tcPr>
          <w:p w14:paraId="4C5ACB4A"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0.38, NS</w:t>
            </w:r>
          </w:p>
        </w:tc>
      </w:tr>
      <w:tr w:rsidR="002328F3" w:rsidRPr="00244961" w14:paraId="62C9A667" w14:textId="77777777" w:rsidTr="009C07AE">
        <w:tc>
          <w:tcPr>
            <w:tcW w:w="760" w:type="pct"/>
            <w:vMerge/>
            <w:shd w:val="clear" w:color="auto" w:fill="auto"/>
            <w:vAlign w:val="center"/>
          </w:tcPr>
          <w:p w14:paraId="73A85B16" w14:textId="77777777" w:rsidR="002328F3" w:rsidRPr="00244961" w:rsidRDefault="002328F3" w:rsidP="002328F3">
            <w:pPr>
              <w:spacing w:before="40" w:after="40"/>
              <w:rPr>
                <w:rFonts w:ascii="Arial Narrow" w:hAnsi="Arial Narrow"/>
                <w:snapToGrid w:val="0"/>
                <w:sz w:val="20"/>
                <w:highlight w:val="cyan"/>
              </w:rPr>
            </w:pPr>
          </w:p>
        </w:tc>
        <w:tc>
          <w:tcPr>
            <w:tcW w:w="1023" w:type="pct"/>
            <w:shd w:val="clear" w:color="auto" w:fill="auto"/>
            <w:vAlign w:val="center"/>
          </w:tcPr>
          <w:p w14:paraId="1CBB5EB8"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hypothalamic obesity</w:t>
            </w:r>
          </w:p>
        </w:tc>
        <w:tc>
          <w:tcPr>
            <w:tcW w:w="804" w:type="pct"/>
            <w:shd w:val="clear" w:color="auto" w:fill="auto"/>
            <w:vAlign w:val="center"/>
          </w:tcPr>
          <w:p w14:paraId="5B2D78E8"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PBT</w:t>
            </w:r>
          </w:p>
          <w:p w14:paraId="7A8441BB"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4/21 (19%)</w:t>
            </w:r>
          </w:p>
        </w:tc>
        <w:tc>
          <w:tcPr>
            <w:tcW w:w="805" w:type="pct"/>
            <w:shd w:val="clear" w:color="auto" w:fill="auto"/>
            <w:vAlign w:val="center"/>
          </w:tcPr>
          <w:p w14:paraId="3EDAA0E3"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IMRT</w:t>
            </w:r>
          </w:p>
          <w:p w14:paraId="645B0B57"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9/31 (29%)</w:t>
            </w:r>
          </w:p>
        </w:tc>
        <w:tc>
          <w:tcPr>
            <w:tcW w:w="805" w:type="pct"/>
            <w:shd w:val="clear" w:color="auto" w:fill="auto"/>
            <w:vAlign w:val="center"/>
          </w:tcPr>
          <w:p w14:paraId="13CEF182"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10</w:t>
            </w:r>
            <w:r>
              <w:rPr>
                <w:rFonts w:ascii="Arial Narrow" w:hAnsi="Arial Narrow"/>
                <w:snapToGrid w:val="0"/>
                <w:sz w:val="20"/>
              </w:rPr>
              <w:t>%</w:t>
            </w:r>
            <w:r w:rsidRPr="00244961">
              <w:rPr>
                <w:rFonts w:ascii="Arial Narrow" w:hAnsi="Arial Narrow"/>
                <w:snapToGrid w:val="0"/>
                <w:sz w:val="20"/>
              </w:rPr>
              <w:t>, 10</w:t>
            </w:r>
          </w:p>
        </w:tc>
        <w:tc>
          <w:tcPr>
            <w:tcW w:w="803" w:type="pct"/>
            <w:shd w:val="clear" w:color="auto" w:fill="auto"/>
            <w:vAlign w:val="center"/>
          </w:tcPr>
          <w:p w14:paraId="0513C718"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0.66, NS</w:t>
            </w:r>
          </w:p>
        </w:tc>
      </w:tr>
      <w:tr w:rsidR="002328F3" w:rsidRPr="00244961" w14:paraId="5AAA3F81" w14:textId="77777777" w:rsidTr="009C07AE">
        <w:tc>
          <w:tcPr>
            <w:tcW w:w="760" w:type="pct"/>
            <w:vMerge/>
            <w:shd w:val="clear" w:color="auto" w:fill="auto"/>
            <w:vAlign w:val="center"/>
          </w:tcPr>
          <w:p w14:paraId="6D01B095" w14:textId="77777777" w:rsidR="002328F3" w:rsidRPr="00244961" w:rsidRDefault="002328F3" w:rsidP="002328F3">
            <w:pPr>
              <w:spacing w:before="40" w:after="40"/>
              <w:rPr>
                <w:rFonts w:ascii="Arial Narrow" w:hAnsi="Arial Narrow"/>
                <w:snapToGrid w:val="0"/>
                <w:sz w:val="20"/>
                <w:highlight w:val="cyan"/>
              </w:rPr>
            </w:pPr>
          </w:p>
        </w:tc>
        <w:tc>
          <w:tcPr>
            <w:tcW w:w="1023" w:type="pct"/>
            <w:shd w:val="clear" w:color="auto" w:fill="auto"/>
            <w:vAlign w:val="center"/>
          </w:tcPr>
          <w:p w14:paraId="74E024EF"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panhypopituitarism</w:t>
            </w:r>
          </w:p>
        </w:tc>
        <w:tc>
          <w:tcPr>
            <w:tcW w:w="804" w:type="pct"/>
            <w:shd w:val="clear" w:color="auto" w:fill="auto"/>
            <w:vAlign w:val="center"/>
          </w:tcPr>
          <w:p w14:paraId="55F5D8BD"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PBT</w:t>
            </w:r>
          </w:p>
          <w:p w14:paraId="5388A480"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7/21 (33%)</w:t>
            </w:r>
          </w:p>
        </w:tc>
        <w:tc>
          <w:tcPr>
            <w:tcW w:w="805" w:type="pct"/>
            <w:shd w:val="clear" w:color="auto" w:fill="auto"/>
            <w:vAlign w:val="center"/>
          </w:tcPr>
          <w:p w14:paraId="3C1B942C"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IMRT</w:t>
            </w:r>
          </w:p>
          <w:p w14:paraId="09103561"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17/31 (55%)</w:t>
            </w:r>
          </w:p>
        </w:tc>
        <w:tc>
          <w:tcPr>
            <w:tcW w:w="805" w:type="pct"/>
            <w:shd w:val="clear" w:color="auto" w:fill="auto"/>
            <w:vAlign w:val="center"/>
          </w:tcPr>
          <w:p w14:paraId="4DDC721A"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22</w:t>
            </w:r>
            <w:r>
              <w:rPr>
                <w:rFonts w:ascii="Arial Narrow" w:hAnsi="Arial Narrow"/>
                <w:snapToGrid w:val="0"/>
                <w:sz w:val="20"/>
              </w:rPr>
              <w:t>%</w:t>
            </w:r>
            <w:r w:rsidRPr="00244961">
              <w:rPr>
                <w:rFonts w:ascii="Arial Narrow" w:hAnsi="Arial Narrow"/>
                <w:snapToGrid w:val="0"/>
                <w:sz w:val="20"/>
              </w:rPr>
              <w:t>, 4.5</w:t>
            </w:r>
          </w:p>
        </w:tc>
        <w:tc>
          <w:tcPr>
            <w:tcW w:w="803" w:type="pct"/>
            <w:shd w:val="clear" w:color="auto" w:fill="auto"/>
            <w:vAlign w:val="center"/>
          </w:tcPr>
          <w:p w14:paraId="1D121B33"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0.6, NS</w:t>
            </w:r>
          </w:p>
        </w:tc>
      </w:tr>
      <w:tr w:rsidR="002328F3" w:rsidRPr="00244961" w14:paraId="58B7AA24" w14:textId="77777777" w:rsidTr="009C07AE">
        <w:tc>
          <w:tcPr>
            <w:tcW w:w="760" w:type="pct"/>
            <w:vMerge/>
            <w:shd w:val="clear" w:color="auto" w:fill="auto"/>
            <w:vAlign w:val="center"/>
          </w:tcPr>
          <w:p w14:paraId="505318BF" w14:textId="77777777" w:rsidR="002328F3" w:rsidRPr="00244961" w:rsidRDefault="002328F3" w:rsidP="002328F3">
            <w:pPr>
              <w:spacing w:before="40" w:after="40"/>
              <w:rPr>
                <w:rFonts w:ascii="Arial Narrow" w:hAnsi="Arial Narrow"/>
                <w:snapToGrid w:val="0"/>
                <w:sz w:val="20"/>
                <w:highlight w:val="cyan"/>
              </w:rPr>
            </w:pPr>
          </w:p>
        </w:tc>
        <w:tc>
          <w:tcPr>
            <w:tcW w:w="1023" w:type="pct"/>
            <w:shd w:val="clear" w:color="auto" w:fill="auto"/>
            <w:vAlign w:val="center"/>
          </w:tcPr>
          <w:p w14:paraId="1EE92BE8"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endocrinopathies (growth or sexual hormone deficiency, hypothyroidism, adrenal insufficiency)</w:t>
            </w:r>
          </w:p>
        </w:tc>
        <w:tc>
          <w:tcPr>
            <w:tcW w:w="804" w:type="pct"/>
            <w:shd w:val="clear" w:color="auto" w:fill="auto"/>
            <w:vAlign w:val="center"/>
          </w:tcPr>
          <w:p w14:paraId="724638EC"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PBT</w:t>
            </w:r>
          </w:p>
          <w:p w14:paraId="0B02A72E"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9/21 (43%)</w:t>
            </w:r>
          </w:p>
        </w:tc>
        <w:tc>
          <w:tcPr>
            <w:tcW w:w="805" w:type="pct"/>
            <w:shd w:val="clear" w:color="auto" w:fill="auto"/>
            <w:vAlign w:val="center"/>
          </w:tcPr>
          <w:p w14:paraId="7FD4437C"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IMRT</w:t>
            </w:r>
          </w:p>
          <w:p w14:paraId="0D2DD998"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7/31 (23%)</w:t>
            </w:r>
          </w:p>
        </w:tc>
        <w:tc>
          <w:tcPr>
            <w:tcW w:w="805" w:type="pct"/>
            <w:shd w:val="clear" w:color="auto" w:fill="auto"/>
            <w:vAlign w:val="center"/>
          </w:tcPr>
          <w:p w14:paraId="33016546"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20</w:t>
            </w:r>
            <w:r>
              <w:rPr>
                <w:rFonts w:ascii="Arial Narrow" w:hAnsi="Arial Narrow"/>
                <w:snapToGrid w:val="0"/>
                <w:sz w:val="20"/>
              </w:rPr>
              <w:t>%</w:t>
            </w:r>
            <w:r w:rsidRPr="00244961">
              <w:rPr>
                <w:rFonts w:ascii="Arial Narrow" w:hAnsi="Arial Narrow"/>
                <w:snapToGrid w:val="0"/>
                <w:sz w:val="20"/>
              </w:rPr>
              <w:t>, 5</w:t>
            </w:r>
          </w:p>
        </w:tc>
        <w:tc>
          <w:tcPr>
            <w:tcW w:w="803" w:type="pct"/>
            <w:shd w:val="clear" w:color="auto" w:fill="auto"/>
            <w:vAlign w:val="center"/>
          </w:tcPr>
          <w:p w14:paraId="57970C17"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1.9, NS</w:t>
            </w:r>
          </w:p>
        </w:tc>
      </w:tr>
      <w:tr w:rsidR="002328F3" w:rsidRPr="00244961" w14:paraId="31A1E974" w14:textId="77777777" w:rsidTr="009C07AE">
        <w:tc>
          <w:tcPr>
            <w:tcW w:w="760" w:type="pct"/>
            <w:vMerge w:val="restart"/>
            <w:shd w:val="clear" w:color="auto" w:fill="auto"/>
            <w:vAlign w:val="center"/>
          </w:tcPr>
          <w:p w14:paraId="1907147A"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Song S. et al. (2014)</w:t>
            </w:r>
          </w:p>
        </w:tc>
        <w:tc>
          <w:tcPr>
            <w:tcW w:w="1023" w:type="pct"/>
            <w:shd w:val="clear" w:color="auto" w:fill="auto"/>
            <w:vAlign w:val="center"/>
          </w:tcPr>
          <w:p w14:paraId="3FA9474A"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grade 3 or 4 acute leukopenia</w:t>
            </w:r>
          </w:p>
        </w:tc>
        <w:tc>
          <w:tcPr>
            <w:tcW w:w="804" w:type="pct"/>
            <w:shd w:val="clear" w:color="auto" w:fill="auto"/>
            <w:vAlign w:val="center"/>
          </w:tcPr>
          <w:p w14:paraId="5C20B9D9"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PBT +/- chemotherapy</w:t>
            </w:r>
          </w:p>
          <w:p w14:paraId="6E869D1C"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16/30 (53.3%)</w:t>
            </w:r>
          </w:p>
        </w:tc>
        <w:tc>
          <w:tcPr>
            <w:tcW w:w="805" w:type="pct"/>
            <w:shd w:val="clear" w:color="auto" w:fill="auto"/>
            <w:vAlign w:val="center"/>
          </w:tcPr>
          <w:p w14:paraId="3D462EDD"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PRT +/- chemotherapy</w:t>
            </w:r>
          </w:p>
          <w:p w14:paraId="48809925"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10/13 (76.9%)</w:t>
            </w:r>
          </w:p>
        </w:tc>
        <w:tc>
          <w:tcPr>
            <w:tcW w:w="805" w:type="pct"/>
            <w:shd w:val="clear" w:color="auto" w:fill="auto"/>
            <w:vAlign w:val="center"/>
          </w:tcPr>
          <w:p w14:paraId="087FF783"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23.6</w:t>
            </w:r>
            <w:r>
              <w:rPr>
                <w:rFonts w:ascii="Arial Narrow" w:hAnsi="Arial Narrow"/>
                <w:snapToGrid w:val="0"/>
                <w:sz w:val="20"/>
              </w:rPr>
              <w:t>%</w:t>
            </w:r>
            <w:r w:rsidRPr="00244961">
              <w:rPr>
                <w:rFonts w:ascii="Arial Narrow" w:hAnsi="Arial Narrow"/>
                <w:snapToGrid w:val="0"/>
                <w:sz w:val="20"/>
              </w:rPr>
              <w:t>, 4.2</w:t>
            </w:r>
          </w:p>
        </w:tc>
        <w:tc>
          <w:tcPr>
            <w:tcW w:w="803" w:type="pct"/>
            <w:shd w:val="clear" w:color="auto" w:fill="auto"/>
            <w:vAlign w:val="center"/>
          </w:tcPr>
          <w:p w14:paraId="3047129D"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0.7, NS</w:t>
            </w:r>
          </w:p>
        </w:tc>
      </w:tr>
      <w:tr w:rsidR="002328F3" w:rsidRPr="00244961" w14:paraId="03F5B6E5" w14:textId="77777777" w:rsidTr="009C07AE">
        <w:tc>
          <w:tcPr>
            <w:tcW w:w="760" w:type="pct"/>
            <w:vMerge/>
            <w:shd w:val="clear" w:color="auto" w:fill="auto"/>
            <w:vAlign w:val="center"/>
          </w:tcPr>
          <w:p w14:paraId="2B85C781" w14:textId="77777777" w:rsidR="002328F3" w:rsidRPr="00244961" w:rsidRDefault="002328F3" w:rsidP="002328F3">
            <w:pPr>
              <w:spacing w:before="40" w:after="40"/>
              <w:rPr>
                <w:rFonts w:ascii="Arial Narrow" w:hAnsi="Arial Narrow"/>
                <w:snapToGrid w:val="0"/>
                <w:sz w:val="20"/>
              </w:rPr>
            </w:pPr>
          </w:p>
        </w:tc>
        <w:tc>
          <w:tcPr>
            <w:tcW w:w="1023" w:type="pct"/>
            <w:shd w:val="clear" w:color="auto" w:fill="auto"/>
            <w:vAlign w:val="center"/>
          </w:tcPr>
          <w:p w14:paraId="46437AD3"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grade 3 or 4 acute thrombocytopenia</w:t>
            </w:r>
          </w:p>
        </w:tc>
        <w:tc>
          <w:tcPr>
            <w:tcW w:w="804" w:type="pct"/>
            <w:shd w:val="clear" w:color="auto" w:fill="auto"/>
            <w:vAlign w:val="center"/>
          </w:tcPr>
          <w:p w14:paraId="25CBDE20"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PBT +/- chemotherapy</w:t>
            </w:r>
          </w:p>
          <w:p w14:paraId="19153391"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7/30 (23.3%)</w:t>
            </w:r>
          </w:p>
        </w:tc>
        <w:tc>
          <w:tcPr>
            <w:tcW w:w="805" w:type="pct"/>
            <w:shd w:val="clear" w:color="auto" w:fill="auto"/>
            <w:vAlign w:val="center"/>
          </w:tcPr>
          <w:p w14:paraId="5D67EF28"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PRT +/- chemotherapy</w:t>
            </w:r>
          </w:p>
          <w:p w14:paraId="774EB52F"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7/13 (53.8%)</w:t>
            </w:r>
          </w:p>
        </w:tc>
        <w:tc>
          <w:tcPr>
            <w:tcW w:w="805" w:type="pct"/>
            <w:shd w:val="clear" w:color="auto" w:fill="auto"/>
            <w:vAlign w:val="center"/>
          </w:tcPr>
          <w:p w14:paraId="2189BC3E"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30.5</w:t>
            </w:r>
            <w:r>
              <w:rPr>
                <w:rFonts w:ascii="Arial Narrow" w:hAnsi="Arial Narrow"/>
                <w:snapToGrid w:val="0"/>
                <w:sz w:val="20"/>
              </w:rPr>
              <w:t>%</w:t>
            </w:r>
            <w:r w:rsidRPr="00244961">
              <w:rPr>
                <w:rFonts w:ascii="Arial Narrow" w:hAnsi="Arial Narrow"/>
                <w:snapToGrid w:val="0"/>
                <w:sz w:val="20"/>
              </w:rPr>
              <w:t>, 3.3</w:t>
            </w:r>
          </w:p>
        </w:tc>
        <w:tc>
          <w:tcPr>
            <w:tcW w:w="803" w:type="pct"/>
            <w:shd w:val="clear" w:color="auto" w:fill="auto"/>
            <w:vAlign w:val="center"/>
          </w:tcPr>
          <w:p w14:paraId="3C076D37"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0.43, p=0.012</w:t>
            </w:r>
          </w:p>
        </w:tc>
      </w:tr>
      <w:tr w:rsidR="002328F3" w:rsidRPr="00244961" w14:paraId="0D950A29" w14:textId="77777777" w:rsidTr="009C07AE">
        <w:tc>
          <w:tcPr>
            <w:tcW w:w="760" w:type="pct"/>
            <w:vMerge/>
            <w:shd w:val="clear" w:color="auto" w:fill="auto"/>
            <w:vAlign w:val="center"/>
          </w:tcPr>
          <w:p w14:paraId="04760F7D" w14:textId="77777777" w:rsidR="002328F3" w:rsidRPr="00244961" w:rsidRDefault="002328F3" w:rsidP="002328F3">
            <w:pPr>
              <w:spacing w:before="40" w:after="40"/>
              <w:rPr>
                <w:rFonts w:ascii="Arial Narrow" w:hAnsi="Arial Narrow"/>
                <w:snapToGrid w:val="0"/>
                <w:sz w:val="20"/>
              </w:rPr>
            </w:pPr>
          </w:p>
        </w:tc>
        <w:tc>
          <w:tcPr>
            <w:tcW w:w="1023" w:type="pct"/>
            <w:shd w:val="clear" w:color="auto" w:fill="auto"/>
            <w:vAlign w:val="center"/>
          </w:tcPr>
          <w:p w14:paraId="403CECE7"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grade 3 or 4 acute dysphagia</w:t>
            </w:r>
          </w:p>
        </w:tc>
        <w:tc>
          <w:tcPr>
            <w:tcW w:w="804" w:type="pct"/>
            <w:shd w:val="clear" w:color="auto" w:fill="auto"/>
            <w:vAlign w:val="center"/>
          </w:tcPr>
          <w:p w14:paraId="7C59201F"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PBT +/- chemotherapy</w:t>
            </w:r>
          </w:p>
          <w:p w14:paraId="02324D09"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14/30 (46.7%)</w:t>
            </w:r>
          </w:p>
        </w:tc>
        <w:tc>
          <w:tcPr>
            <w:tcW w:w="805" w:type="pct"/>
            <w:shd w:val="clear" w:color="auto" w:fill="auto"/>
            <w:vAlign w:val="center"/>
          </w:tcPr>
          <w:p w14:paraId="5EC20AD7"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PRT +/- chemotherapy</w:t>
            </w:r>
          </w:p>
          <w:p w14:paraId="5526B944"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2/13 (15.4%)</w:t>
            </w:r>
          </w:p>
        </w:tc>
        <w:tc>
          <w:tcPr>
            <w:tcW w:w="805" w:type="pct"/>
            <w:shd w:val="clear" w:color="auto" w:fill="auto"/>
            <w:vAlign w:val="center"/>
          </w:tcPr>
          <w:p w14:paraId="499E4A68"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31.3</w:t>
            </w:r>
            <w:r>
              <w:rPr>
                <w:rFonts w:ascii="Arial Narrow" w:hAnsi="Arial Narrow"/>
                <w:snapToGrid w:val="0"/>
                <w:sz w:val="20"/>
              </w:rPr>
              <w:t>%</w:t>
            </w:r>
            <w:r w:rsidRPr="00244961">
              <w:rPr>
                <w:rFonts w:ascii="Arial Narrow" w:hAnsi="Arial Narrow"/>
                <w:snapToGrid w:val="0"/>
                <w:sz w:val="20"/>
              </w:rPr>
              <w:t>, 3.2</w:t>
            </w:r>
          </w:p>
        </w:tc>
        <w:tc>
          <w:tcPr>
            <w:tcW w:w="803" w:type="pct"/>
            <w:shd w:val="clear" w:color="auto" w:fill="auto"/>
            <w:vAlign w:val="center"/>
          </w:tcPr>
          <w:p w14:paraId="5899566A"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3, NS</w:t>
            </w:r>
          </w:p>
        </w:tc>
      </w:tr>
      <w:tr w:rsidR="002328F3" w:rsidRPr="00244961" w14:paraId="2B8A42A6" w14:textId="77777777" w:rsidTr="009C07AE">
        <w:tc>
          <w:tcPr>
            <w:tcW w:w="760" w:type="pct"/>
            <w:vMerge/>
            <w:shd w:val="clear" w:color="auto" w:fill="auto"/>
            <w:vAlign w:val="center"/>
          </w:tcPr>
          <w:p w14:paraId="29B37EB8" w14:textId="77777777" w:rsidR="002328F3" w:rsidRPr="00244961" w:rsidRDefault="002328F3" w:rsidP="002328F3">
            <w:pPr>
              <w:spacing w:before="40" w:after="40"/>
              <w:rPr>
                <w:rFonts w:ascii="Arial Narrow" w:hAnsi="Arial Narrow"/>
                <w:snapToGrid w:val="0"/>
                <w:sz w:val="20"/>
              </w:rPr>
            </w:pPr>
          </w:p>
        </w:tc>
        <w:tc>
          <w:tcPr>
            <w:tcW w:w="1023" w:type="pct"/>
            <w:shd w:val="clear" w:color="auto" w:fill="auto"/>
            <w:vAlign w:val="center"/>
          </w:tcPr>
          <w:p w14:paraId="661118AE"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acute neurological disorders</w:t>
            </w:r>
          </w:p>
        </w:tc>
        <w:tc>
          <w:tcPr>
            <w:tcW w:w="804" w:type="pct"/>
            <w:shd w:val="clear" w:color="auto" w:fill="auto"/>
            <w:vAlign w:val="center"/>
          </w:tcPr>
          <w:p w14:paraId="38ECC21F"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PBT +/- chemotherapy</w:t>
            </w:r>
          </w:p>
          <w:p w14:paraId="6DE00337"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4/30 (13.3%)</w:t>
            </w:r>
          </w:p>
        </w:tc>
        <w:tc>
          <w:tcPr>
            <w:tcW w:w="805" w:type="pct"/>
            <w:shd w:val="clear" w:color="auto" w:fill="auto"/>
            <w:vAlign w:val="center"/>
          </w:tcPr>
          <w:p w14:paraId="45E83AA8"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PRT +/- chemotherapy</w:t>
            </w:r>
          </w:p>
          <w:p w14:paraId="791F2B99"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3/13 (23%)</w:t>
            </w:r>
          </w:p>
        </w:tc>
        <w:tc>
          <w:tcPr>
            <w:tcW w:w="805" w:type="pct"/>
            <w:shd w:val="clear" w:color="auto" w:fill="auto"/>
            <w:vAlign w:val="center"/>
          </w:tcPr>
          <w:p w14:paraId="3BD8945A"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9.7</w:t>
            </w:r>
            <w:r>
              <w:rPr>
                <w:rFonts w:ascii="Arial Narrow" w:hAnsi="Arial Narrow"/>
                <w:snapToGrid w:val="0"/>
                <w:sz w:val="20"/>
              </w:rPr>
              <w:t>%</w:t>
            </w:r>
            <w:r w:rsidRPr="00244961">
              <w:rPr>
                <w:rFonts w:ascii="Arial Narrow" w:hAnsi="Arial Narrow"/>
                <w:snapToGrid w:val="0"/>
                <w:sz w:val="20"/>
              </w:rPr>
              <w:t>, 10.3</w:t>
            </w:r>
          </w:p>
        </w:tc>
        <w:tc>
          <w:tcPr>
            <w:tcW w:w="803" w:type="pct"/>
            <w:shd w:val="clear" w:color="auto" w:fill="auto"/>
            <w:vAlign w:val="center"/>
          </w:tcPr>
          <w:p w14:paraId="7EC01FA0"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0.58, NS</w:t>
            </w:r>
          </w:p>
        </w:tc>
      </w:tr>
      <w:tr w:rsidR="002328F3" w:rsidRPr="00244961" w14:paraId="00BED718" w14:textId="77777777" w:rsidTr="009C07AE">
        <w:tc>
          <w:tcPr>
            <w:tcW w:w="760" w:type="pct"/>
            <w:vMerge/>
            <w:shd w:val="clear" w:color="auto" w:fill="auto"/>
            <w:vAlign w:val="center"/>
          </w:tcPr>
          <w:p w14:paraId="722BA827" w14:textId="77777777" w:rsidR="002328F3" w:rsidRPr="00244961" w:rsidRDefault="002328F3" w:rsidP="002328F3">
            <w:pPr>
              <w:spacing w:before="40" w:after="40"/>
              <w:rPr>
                <w:rFonts w:ascii="Arial Narrow" w:hAnsi="Arial Narrow"/>
                <w:snapToGrid w:val="0"/>
                <w:sz w:val="20"/>
              </w:rPr>
            </w:pPr>
          </w:p>
        </w:tc>
        <w:tc>
          <w:tcPr>
            <w:tcW w:w="1023" w:type="pct"/>
            <w:shd w:val="clear" w:color="auto" w:fill="auto"/>
            <w:vAlign w:val="center"/>
          </w:tcPr>
          <w:p w14:paraId="0FDED5CF"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acute ophthalmic disorders</w:t>
            </w:r>
          </w:p>
        </w:tc>
        <w:tc>
          <w:tcPr>
            <w:tcW w:w="804" w:type="pct"/>
            <w:shd w:val="clear" w:color="auto" w:fill="auto"/>
            <w:vAlign w:val="center"/>
          </w:tcPr>
          <w:p w14:paraId="72BD2091"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PBT +/- chemotherapy</w:t>
            </w:r>
          </w:p>
          <w:p w14:paraId="5C97479F"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2/30 (6.7%)</w:t>
            </w:r>
          </w:p>
        </w:tc>
        <w:tc>
          <w:tcPr>
            <w:tcW w:w="805" w:type="pct"/>
            <w:shd w:val="clear" w:color="auto" w:fill="auto"/>
            <w:vAlign w:val="center"/>
          </w:tcPr>
          <w:p w14:paraId="32A37CCC"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PRT +/- chemotherapy</w:t>
            </w:r>
          </w:p>
          <w:p w14:paraId="44F77660"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1/13 (7.7%)</w:t>
            </w:r>
          </w:p>
        </w:tc>
        <w:tc>
          <w:tcPr>
            <w:tcW w:w="805" w:type="pct"/>
            <w:shd w:val="clear" w:color="auto" w:fill="auto"/>
            <w:vAlign w:val="center"/>
          </w:tcPr>
          <w:p w14:paraId="648519AA"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1</w:t>
            </w:r>
            <w:r>
              <w:rPr>
                <w:rFonts w:ascii="Arial Narrow" w:hAnsi="Arial Narrow"/>
                <w:snapToGrid w:val="0"/>
                <w:sz w:val="20"/>
              </w:rPr>
              <w:t>%</w:t>
            </w:r>
            <w:r w:rsidRPr="00244961">
              <w:rPr>
                <w:rFonts w:ascii="Arial Narrow" w:hAnsi="Arial Narrow"/>
                <w:snapToGrid w:val="0"/>
                <w:sz w:val="20"/>
              </w:rPr>
              <w:t>, 97.5</w:t>
            </w:r>
          </w:p>
        </w:tc>
        <w:tc>
          <w:tcPr>
            <w:tcW w:w="803" w:type="pct"/>
            <w:shd w:val="clear" w:color="auto" w:fill="auto"/>
            <w:vAlign w:val="center"/>
          </w:tcPr>
          <w:p w14:paraId="613671F6"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0.87, NS</w:t>
            </w:r>
          </w:p>
        </w:tc>
      </w:tr>
      <w:tr w:rsidR="002328F3" w:rsidRPr="00244961" w14:paraId="27E5F8C4" w14:textId="77777777" w:rsidTr="009C07AE">
        <w:tc>
          <w:tcPr>
            <w:tcW w:w="760" w:type="pct"/>
            <w:shd w:val="clear" w:color="auto" w:fill="auto"/>
            <w:vAlign w:val="center"/>
          </w:tcPr>
          <w:p w14:paraId="344E5656"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Gunther J.R. et al. (2015)</w:t>
            </w:r>
          </w:p>
        </w:tc>
        <w:tc>
          <w:tcPr>
            <w:tcW w:w="1023" w:type="pct"/>
            <w:shd w:val="clear" w:color="auto" w:fill="auto"/>
            <w:vAlign w:val="center"/>
          </w:tcPr>
          <w:p w14:paraId="3C52F7F0"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z w:val="20"/>
              </w:rPr>
              <w:t>grade 3 or 4 intracranial abnormalities (haemorrhaging, encephalomalacia or focal necrosis)</w:t>
            </w:r>
          </w:p>
        </w:tc>
        <w:tc>
          <w:tcPr>
            <w:tcW w:w="804" w:type="pct"/>
            <w:shd w:val="clear" w:color="auto" w:fill="auto"/>
            <w:vAlign w:val="center"/>
          </w:tcPr>
          <w:p w14:paraId="55FE773C"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surgery before chemotherapy + PBT</w:t>
            </w:r>
          </w:p>
          <w:p w14:paraId="1E310E11"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6/16 (37.5%)</w:t>
            </w:r>
          </w:p>
        </w:tc>
        <w:tc>
          <w:tcPr>
            <w:tcW w:w="805" w:type="pct"/>
            <w:shd w:val="clear" w:color="auto" w:fill="auto"/>
            <w:vAlign w:val="center"/>
          </w:tcPr>
          <w:p w14:paraId="5AF570C6"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surgery before chemotherapy + IMRT</w:t>
            </w:r>
          </w:p>
          <w:p w14:paraId="14F44A87"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0/6 (0%)</w:t>
            </w:r>
          </w:p>
        </w:tc>
        <w:tc>
          <w:tcPr>
            <w:tcW w:w="805" w:type="pct"/>
            <w:shd w:val="clear" w:color="auto" w:fill="auto"/>
            <w:vAlign w:val="center"/>
          </w:tcPr>
          <w:p w14:paraId="7ADBD469"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37.5</w:t>
            </w:r>
            <w:r>
              <w:rPr>
                <w:rFonts w:ascii="Arial Narrow" w:hAnsi="Arial Narrow"/>
                <w:snapToGrid w:val="0"/>
                <w:sz w:val="20"/>
              </w:rPr>
              <w:t>%</w:t>
            </w:r>
            <w:r w:rsidRPr="00244961">
              <w:rPr>
                <w:rFonts w:ascii="Arial Narrow" w:hAnsi="Arial Narrow"/>
                <w:snapToGrid w:val="0"/>
                <w:sz w:val="20"/>
              </w:rPr>
              <w:t>, 2.7</w:t>
            </w:r>
          </w:p>
        </w:tc>
        <w:tc>
          <w:tcPr>
            <w:tcW w:w="803" w:type="pct"/>
            <w:shd w:val="clear" w:color="auto" w:fill="auto"/>
            <w:vAlign w:val="center"/>
          </w:tcPr>
          <w:p w14:paraId="5E70C943"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NA, NR</w:t>
            </w:r>
          </w:p>
        </w:tc>
      </w:tr>
      <w:tr w:rsidR="002328F3" w:rsidRPr="00244961" w14:paraId="73E4A305" w14:textId="77777777" w:rsidTr="009C07AE">
        <w:tc>
          <w:tcPr>
            <w:tcW w:w="760" w:type="pct"/>
            <w:vMerge w:val="restart"/>
            <w:shd w:val="clear" w:color="auto" w:fill="auto"/>
            <w:vAlign w:val="center"/>
          </w:tcPr>
          <w:p w14:paraId="3C85407C"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Eaton et al. (2016)</w:t>
            </w:r>
          </w:p>
        </w:tc>
        <w:tc>
          <w:tcPr>
            <w:tcW w:w="1023" w:type="pct"/>
            <w:shd w:val="clear" w:color="auto" w:fill="auto"/>
            <w:vAlign w:val="center"/>
          </w:tcPr>
          <w:p w14:paraId="5F07A13F" w14:textId="77777777" w:rsidR="002328F3" w:rsidRPr="00244961" w:rsidRDefault="002328F3" w:rsidP="002328F3">
            <w:pPr>
              <w:spacing w:before="40" w:after="40"/>
              <w:rPr>
                <w:rFonts w:ascii="Arial Narrow" w:hAnsi="Arial Narrow"/>
                <w:sz w:val="20"/>
              </w:rPr>
            </w:pPr>
            <w:r w:rsidRPr="00244961">
              <w:rPr>
                <w:rFonts w:ascii="Arial Narrow" w:hAnsi="Arial Narrow"/>
                <w:sz w:val="20"/>
              </w:rPr>
              <w:t>hypothyroidism</w:t>
            </w:r>
          </w:p>
        </w:tc>
        <w:tc>
          <w:tcPr>
            <w:tcW w:w="804" w:type="pct"/>
            <w:shd w:val="clear" w:color="auto" w:fill="auto"/>
            <w:vAlign w:val="center"/>
          </w:tcPr>
          <w:p w14:paraId="42C1E3AD"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surgery + chemotherapy + PBT</w:t>
            </w:r>
          </w:p>
          <w:p w14:paraId="23482C01"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9/40 (22.5%)</w:t>
            </w:r>
          </w:p>
        </w:tc>
        <w:tc>
          <w:tcPr>
            <w:tcW w:w="805" w:type="pct"/>
            <w:shd w:val="clear" w:color="auto" w:fill="auto"/>
            <w:vAlign w:val="center"/>
          </w:tcPr>
          <w:p w14:paraId="22CCF922"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surgery + chemotherapy + PRT</w:t>
            </w:r>
          </w:p>
          <w:p w14:paraId="2C7E4DDE"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24/37 (64.9%)</w:t>
            </w:r>
          </w:p>
        </w:tc>
        <w:tc>
          <w:tcPr>
            <w:tcW w:w="805" w:type="pct"/>
            <w:shd w:val="clear" w:color="auto" w:fill="auto"/>
            <w:vAlign w:val="center"/>
          </w:tcPr>
          <w:p w14:paraId="047E0030"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42.4</w:t>
            </w:r>
            <w:r>
              <w:rPr>
                <w:rFonts w:ascii="Arial Narrow" w:hAnsi="Arial Narrow"/>
                <w:snapToGrid w:val="0"/>
                <w:sz w:val="20"/>
              </w:rPr>
              <w:t>%</w:t>
            </w:r>
            <w:r w:rsidRPr="00244961">
              <w:rPr>
                <w:rFonts w:ascii="Arial Narrow" w:hAnsi="Arial Narrow"/>
                <w:snapToGrid w:val="0"/>
                <w:sz w:val="20"/>
              </w:rPr>
              <w:t>, 2.3</w:t>
            </w:r>
          </w:p>
        </w:tc>
        <w:tc>
          <w:tcPr>
            <w:tcW w:w="803" w:type="pct"/>
            <w:shd w:val="clear" w:color="auto" w:fill="auto"/>
            <w:vAlign w:val="center"/>
          </w:tcPr>
          <w:p w14:paraId="70D9F04D"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0.35, p&lt;0.001</w:t>
            </w:r>
          </w:p>
        </w:tc>
      </w:tr>
      <w:tr w:rsidR="002328F3" w:rsidRPr="00244961" w14:paraId="6D885E01" w14:textId="77777777" w:rsidTr="009C07AE">
        <w:tc>
          <w:tcPr>
            <w:tcW w:w="760" w:type="pct"/>
            <w:vMerge/>
            <w:shd w:val="clear" w:color="auto" w:fill="auto"/>
            <w:vAlign w:val="center"/>
          </w:tcPr>
          <w:p w14:paraId="254EEA22" w14:textId="77777777" w:rsidR="002328F3" w:rsidRPr="00244961" w:rsidRDefault="002328F3" w:rsidP="002328F3">
            <w:pPr>
              <w:spacing w:before="40" w:after="40"/>
              <w:rPr>
                <w:rFonts w:ascii="Arial Narrow" w:hAnsi="Arial Narrow"/>
                <w:snapToGrid w:val="0"/>
                <w:sz w:val="20"/>
              </w:rPr>
            </w:pPr>
          </w:p>
        </w:tc>
        <w:tc>
          <w:tcPr>
            <w:tcW w:w="1023" w:type="pct"/>
            <w:shd w:val="clear" w:color="auto" w:fill="auto"/>
            <w:vAlign w:val="center"/>
          </w:tcPr>
          <w:p w14:paraId="5F78E2CE" w14:textId="77777777" w:rsidR="002328F3" w:rsidRPr="00244961" w:rsidRDefault="002328F3" w:rsidP="002328F3">
            <w:pPr>
              <w:spacing w:before="40" w:after="40"/>
              <w:rPr>
                <w:rFonts w:ascii="Arial Narrow" w:hAnsi="Arial Narrow"/>
                <w:sz w:val="20"/>
              </w:rPr>
            </w:pPr>
            <w:r w:rsidRPr="00244961">
              <w:rPr>
                <w:rFonts w:ascii="Arial Narrow" w:hAnsi="Arial Narrow"/>
                <w:sz w:val="20"/>
              </w:rPr>
              <w:t>growth hormone deficiency</w:t>
            </w:r>
          </w:p>
        </w:tc>
        <w:tc>
          <w:tcPr>
            <w:tcW w:w="804" w:type="pct"/>
            <w:shd w:val="clear" w:color="auto" w:fill="auto"/>
            <w:vAlign w:val="center"/>
          </w:tcPr>
          <w:p w14:paraId="3BA1EB7A"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surgery + chemotherapy + PBT</w:t>
            </w:r>
          </w:p>
          <w:p w14:paraId="4DD37DB6"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21/40 (52.5%)</w:t>
            </w:r>
          </w:p>
        </w:tc>
        <w:tc>
          <w:tcPr>
            <w:tcW w:w="805" w:type="pct"/>
            <w:shd w:val="clear" w:color="auto" w:fill="auto"/>
            <w:vAlign w:val="center"/>
          </w:tcPr>
          <w:p w14:paraId="458A9984"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surgery + chemotherapy + PRT</w:t>
            </w:r>
          </w:p>
          <w:p w14:paraId="71303418"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21/37 (56.8%)</w:t>
            </w:r>
          </w:p>
        </w:tc>
        <w:tc>
          <w:tcPr>
            <w:tcW w:w="805" w:type="pct"/>
            <w:shd w:val="clear" w:color="auto" w:fill="auto"/>
            <w:vAlign w:val="center"/>
          </w:tcPr>
          <w:p w14:paraId="614B6012" w14:textId="77777777" w:rsidR="002328F3" w:rsidRPr="00244961" w:rsidRDefault="002328F3" w:rsidP="002328F3">
            <w:pPr>
              <w:spacing w:before="40" w:after="40"/>
              <w:rPr>
                <w:rFonts w:ascii="Arial Narrow" w:hAnsi="Arial Narrow"/>
                <w:snapToGrid w:val="0"/>
                <w:sz w:val="20"/>
              </w:rPr>
            </w:pPr>
            <w:r>
              <w:rPr>
                <w:rFonts w:ascii="Arial Narrow" w:hAnsi="Arial Narrow"/>
                <w:snapToGrid w:val="0"/>
                <w:sz w:val="20"/>
              </w:rPr>
              <w:t>4.3%</w:t>
            </w:r>
            <w:r w:rsidRPr="00244961">
              <w:rPr>
                <w:rFonts w:ascii="Arial Narrow" w:hAnsi="Arial Narrow"/>
                <w:snapToGrid w:val="0"/>
                <w:sz w:val="20"/>
              </w:rPr>
              <w:t>, 23.5</w:t>
            </w:r>
          </w:p>
        </w:tc>
        <w:tc>
          <w:tcPr>
            <w:tcW w:w="803" w:type="pct"/>
            <w:shd w:val="clear" w:color="auto" w:fill="auto"/>
            <w:vAlign w:val="center"/>
          </w:tcPr>
          <w:p w14:paraId="23B18D59"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0.93, NS</w:t>
            </w:r>
          </w:p>
        </w:tc>
      </w:tr>
      <w:tr w:rsidR="002328F3" w:rsidRPr="00244961" w14:paraId="3477E324" w14:textId="77777777" w:rsidTr="009C07AE">
        <w:tc>
          <w:tcPr>
            <w:tcW w:w="760" w:type="pct"/>
            <w:vMerge/>
            <w:shd w:val="clear" w:color="auto" w:fill="auto"/>
            <w:vAlign w:val="center"/>
          </w:tcPr>
          <w:p w14:paraId="238B41EE" w14:textId="77777777" w:rsidR="002328F3" w:rsidRPr="00244961" w:rsidRDefault="002328F3" w:rsidP="002328F3">
            <w:pPr>
              <w:spacing w:before="40" w:after="40"/>
              <w:rPr>
                <w:rFonts w:ascii="Arial Narrow" w:hAnsi="Arial Narrow"/>
                <w:snapToGrid w:val="0"/>
                <w:sz w:val="20"/>
              </w:rPr>
            </w:pPr>
          </w:p>
        </w:tc>
        <w:tc>
          <w:tcPr>
            <w:tcW w:w="1023" w:type="pct"/>
            <w:shd w:val="clear" w:color="auto" w:fill="auto"/>
            <w:vAlign w:val="center"/>
          </w:tcPr>
          <w:p w14:paraId="306CFACA" w14:textId="77777777" w:rsidR="002328F3" w:rsidRPr="00244961" w:rsidRDefault="002328F3" w:rsidP="002328F3">
            <w:pPr>
              <w:spacing w:before="40" w:after="40"/>
              <w:rPr>
                <w:rFonts w:ascii="Arial Narrow" w:hAnsi="Arial Narrow"/>
                <w:sz w:val="20"/>
              </w:rPr>
            </w:pPr>
            <w:r w:rsidRPr="00244961">
              <w:rPr>
                <w:rFonts w:ascii="Arial Narrow" w:hAnsi="Arial Narrow"/>
                <w:sz w:val="20"/>
              </w:rPr>
              <w:t>adrenal insufficiency</w:t>
            </w:r>
          </w:p>
        </w:tc>
        <w:tc>
          <w:tcPr>
            <w:tcW w:w="804" w:type="pct"/>
            <w:shd w:val="clear" w:color="auto" w:fill="auto"/>
            <w:vAlign w:val="center"/>
          </w:tcPr>
          <w:p w14:paraId="5FDDDB1E"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surgery + chemotherapy + PBT</w:t>
            </w:r>
          </w:p>
          <w:p w14:paraId="5D2BEF87"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2/40 (5%)</w:t>
            </w:r>
          </w:p>
        </w:tc>
        <w:tc>
          <w:tcPr>
            <w:tcW w:w="805" w:type="pct"/>
            <w:shd w:val="clear" w:color="auto" w:fill="auto"/>
            <w:vAlign w:val="center"/>
          </w:tcPr>
          <w:p w14:paraId="799101E1"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surgery + chemotherapy + PRT</w:t>
            </w:r>
          </w:p>
          <w:p w14:paraId="4B020DE6"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3/37 (8.1%)</w:t>
            </w:r>
          </w:p>
        </w:tc>
        <w:tc>
          <w:tcPr>
            <w:tcW w:w="805" w:type="pct"/>
            <w:shd w:val="clear" w:color="auto" w:fill="auto"/>
            <w:vAlign w:val="center"/>
          </w:tcPr>
          <w:p w14:paraId="28DBFF75" w14:textId="77777777" w:rsidR="002328F3" w:rsidRPr="00244961" w:rsidRDefault="002328F3" w:rsidP="002328F3">
            <w:pPr>
              <w:spacing w:before="40" w:after="40"/>
              <w:rPr>
                <w:rFonts w:ascii="Arial Narrow" w:hAnsi="Arial Narrow"/>
                <w:snapToGrid w:val="0"/>
                <w:sz w:val="20"/>
              </w:rPr>
            </w:pPr>
            <w:r>
              <w:rPr>
                <w:rFonts w:ascii="Arial Narrow" w:hAnsi="Arial Narrow"/>
                <w:snapToGrid w:val="0"/>
                <w:sz w:val="20"/>
              </w:rPr>
              <w:t>3.1%</w:t>
            </w:r>
            <w:r w:rsidRPr="00244961">
              <w:rPr>
                <w:rFonts w:ascii="Arial Narrow" w:hAnsi="Arial Narrow"/>
                <w:snapToGrid w:val="0"/>
                <w:sz w:val="20"/>
              </w:rPr>
              <w:t>, 32.2</w:t>
            </w:r>
          </w:p>
        </w:tc>
        <w:tc>
          <w:tcPr>
            <w:tcW w:w="803" w:type="pct"/>
            <w:shd w:val="clear" w:color="auto" w:fill="auto"/>
            <w:vAlign w:val="center"/>
          </w:tcPr>
          <w:p w14:paraId="1AE3E93F"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0.62, NS</w:t>
            </w:r>
          </w:p>
        </w:tc>
      </w:tr>
      <w:tr w:rsidR="002328F3" w:rsidRPr="00244961" w14:paraId="785962C7" w14:textId="77777777" w:rsidTr="009C07AE">
        <w:tc>
          <w:tcPr>
            <w:tcW w:w="760" w:type="pct"/>
            <w:vMerge/>
            <w:shd w:val="clear" w:color="auto" w:fill="auto"/>
            <w:vAlign w:val="center"/>
          </w:tcPr>
          <w:p w14:paraId="765199F7" w14:textId="77777777" w:rsidR="002328F3" w:rsidRPr="00244961" w:rsidRDefault="002328F3" w:rsidP="002328F3">
            <w:pPr>
              <w:spacing w:before="40" w:after="40"/>
              <w:rPr>
                <w:rFonts w:ascii="Arial Narrow" w:hAnsi="Arial Narrow"/>
                <w:snapToGrid w:val="0"/>
                <w:sz w:val="20"/>
              </w:rPr>
            </w:pPr>
          </w:p>
        </w:tc>
        <w:tc>
          <w:tcPr>
            <w:tcW w:w="1023" w:type="pct"/>
            <w:shd w:val="clear" w:color="auto" w:fill="auto"/>
            <w:vAlign w:val="center"/>
          </w:tcPr>
          <w:p w14:paraId="338C9A48" w14:textId="77777777" w:rsidR="002328F3" w:rsidRPr="00244961" w:rsidRDefault="002328F3" w:rsidP="002328F3">
            <w:pPr>
              <w:spacing w:before="40" w:after="40"/>
              <w:rPr>
                <w:rFonts w:ascii="Arial Narrow" w:hAnsi="Arial Narrow"/>
                <w:sz w:val="20"/>
              </w:rPr>
            </w:pPr>
            <w:r w:rsidRPr="00244961">
              <w:rPr>
                <w:rFonts w:ascii="Arial Narrow" w:hAnsi="Arial Narrow"/>
                <w:sz w:val="20"/>
              </w:rPr>
              <w:t>sex hormone deficiency</w:t>
            </w:r>
          </w:p>
        </w:tc>
        <w:tc>
          <w:tcPr>
            <w:tcW w:w="804" w:type="pct"/>
            <w:shd w:val="clear" w:color="auto" w:fill="auto"/>
            <w:vAlign w:val="center"/>
          </w:tcPr>
          <w:p w14:paraId="3407983F"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surgery + chemotherapy + PBT</w:t>
            </w:r>
          </w:p>
          <w:p w14:paraId="2268656E"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1/40 (2.5%)</w:t>
            </w:r>
          </w:p>
        </w:tc>
        <w:tc>
          <w:tcPr>
            <w:tcW w:w="805" w:type="pct"/>
            <w:shd w:val="clear" w:color="auto" w:fill="auto"/>
            <w:vAlign w:val="center"/>
          </w:tcPr>
          <w:p w14:paraId="1A07FDD0"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surgery + chemotherapy + PRT</w:t>
            </w:r>
          </w:p>
          <w:p w14:paraId="3FA0C7AA"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7/37 (19%)</w:t>
            </w:r>
          </w:p>
        </w:tc>
        <w:tc>
          <w:tcPr>
            <w:tcW w:w="805" w:type="pct"/>
            <w:shd w:val="clear" w:color="auto" w:fill="auto"/>
            <w:vAlign w:val="center"/>
          </w:tcPr>
          <w:p w14:paraId="161899F4"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16.4</w:t>
            </w:r>
            <w:r>
              <w:rPr>
                <w:rFonts w:ascii="Arial Narrow" w:hAnsi="Arial Narrow"/>
                <w:snapToGrid w:val="0"/>
                <w:sz w:val="20"/>
              </w:rPr>
              <w:t>%</w:t>
            </w:r>
            <w:r w:rsidRPr="00244961">
              <w:rPr>
                <w:rFonts w:ascii="Arial Narrow" w:hAnsi="Arial Narrow"/>
                <w:snapToGrid w:val="0"/>
                <w:sz w:val="20"/>
              </w:rPr>
              <w:t>, 6.1</w:t>
            </w:r>
          </w:p>
        </w:tc>
        <w:tc>
          <w:tcPr>
            <w:tcW w:w="803" w:type="pct"/>
            <w:shd w:val="clear" w:color="auto" w:fill="auto"/>
            <w:vAlign w:val="center"/>
          </w:tcPr>
          <w:p w14:paraId="48D6ED46"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0.13, p=0.025</w:t>
            </w:r>
          </w:p>
        </w:tc>
      </w:tr>
      <w:tr w:rsidR="002328F3" w:rsidRPr="00244961" w14:paraId="550E66B3" w14:textId="77777777" w:rsidTr="009C07AE">
        <w:tc>
          <w:tcPr>
            <w:tcW w:w="760" w:type="pct"/>
            <w:vMerge/>
            <w:shd w:val="clear" w:color="auto" w:fill="auto"/>
            <w:vAlign w:val="center"/>
          </w:tcPr>
          <w:p w14:paraId="182F7005" w14:textId="77777777" w:rsidR="002328F3" w:rsidRPr="00244961" w:rsidRDefault="002328F3" w:rsidP="002328F3">
            <w:pPr>
              <w:spacing w:before="40" w:after="40"/>
              <w:rPr>
                <w:rFonts w:ascii="Arial Narrow" w:hAnsi="Arial Narrow"/>
                <w:snapToGrid w:val="0"/>
                <w:sz w:val="20"/>
              </w:rPr>
            </w:pPr>
          </w:p>
        </w:tc>
        <w:tc>
          <w:tcPr>
            <w:tcW w:w="1023" w:type="pct"/>
            <w:shd w:val="clear" w:color="auto" w:fill="auto"/>
            <w:vAlign w:val="center"/>
          </w:tcPr>
          <w:p w14:paraId="6EE92FE1" w14:textId="77777777" w:rsidR="002328F3" w:rsidRPr="00244961" w:rsidRDefault="002328F3" w:rsidP="002328F3">
            <w:pPr>
              <w:spacing w:before="40" w:after="40"/>
              <w:rPr>
                <w:rFonts w:ascii="Arial Narrow" w:hAnsi="Arial Narrow"/>
                <w:sz w:val="20"/>
              </w:rPr>
            </w:pPr>
            <w:r w:rsidRPr="00244961">
              <w:rPr>
                <w:rFonts w:ascii="Arial Narrow" w:hAnsi="Arial Narrow"/>
                <w:sz w:val="20"/>
              </w:rPr>
              <w:t>precocious puberty</w:t>
            </w:r>
          </w:p>
        </w:tc>
        <w:tc>
          <w:tcPr>
            <w:tcW w:w="804" w:type="pct"/>
            <w:shd w:val="clear" w:color="auto" w:fill="auto"/>
            <w:vAlign w:val="center"/>
          </w:tcPr>
          <w:p w14:paraId="02DEB032"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surgery + chemotherapy + PBT</w:t>
            </w:r>
          </w:p>
          <w:p w14:paraId="341A1F8B"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7/40 (17.5%)</w:t>
            </w:r>
          </w:p>
        </w:tc>
        <w:tc>
          <w:tcPr>
            <w:tcW w:w="805" w:type="pct"/>
            <w:shd w:val="clear" w:color="auto" w:fill="auto"/>
            <w:vAlign w:val="center"/>
          </w:tcPr>
          <w:p w14:paraId="6938E5DF"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surgery + chemotherapy + PRT</w:t>
            </w:r>
          </w:p>
          <w:p w14:paraId="46D78CB4"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6/37 (16.2%)</w:t>
            </w:r>
          </w:p>
        </w:tc>
        <w:tc>
          <w:tcPr>
            <w:tcW w:w="805" w:type="pct"/>
            <w:shd w:val="clear" w:color="auto" w:fill="auto"/>
            <w:vAlign w:val="center"/>
          </w:tcPr>
          <w:p w14:paraId="563DB66C" w14:textId="77777777" w:rsidR="002328F3" w:rsidRPr="00244961" w:rsidRDefault="002328F3" w:rsidP="002328F3">
            <w:pPr>
              <w:spacing w:before="40" w:after="40"/>
              <w:rPr>
                <w:rFonts w:ascii="Arial Narrow" w:hAnsi="Arial Narrow"/>
                <w:snapToGrid w:val="0"/>
                <w:sz w:val="20"/>
              </w:rPr>
            </w:pPr>
            <w:r>
              <w:rPr>
                <w:rFonts w:ascii="Arial Narrow" w:hAnsi="Arial Narrow"/>
                <w:snapToGrid w:val="0"/>
                <w:sz w:val="20"/>
              </w:rPr>
              <w:t>1.3%</w:t>
            </w:r>
            <w:r w:rsidRPr="00244961">
              <w:rPr>
                <w:rFonts w:ascii="Arial Narrow" w:hAnsi="Arial Narrow"/>
                <w:snapToGrid w:val="0"/>
                <w:sz w:val="20"/>
              </w:rPr>
              <w:t>, 77.9</w:t>
            </w:r>
          </w:p>
        </w:tc>
        <w:tc>
          <w:tcPr>
            <w:tcW w:w="803" w:type="pct"/>
            <w:shd w:val="clear" w:color="auto" w:fill="auto"/>
            <w:vAlign w:val="center"/>
          </w:tcPr>
          <w:p w14:paraId="188C2FB1"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1.1, NS</w:t>
            </w:r>
          </w:p>
        </w:tc>
      </w:tr>
      <w:tr w:rsidR="002328F3" w:rsidRPr="00244961" w14:paraId="5B8F5669" w14:textId="77777777" w:rsidTr="009C07AE">
        <w:tc>
          <w:tcPr>
            <w:tcW w:w="760" w:type="pct"/>
            <w:tcBorders>
              <w:bottom w:val="single" w:sz="4" w:space="0" w:color="auto"/>
            </w:tcBorders>
            <w:shd w:val="clear" w:color="auto" w:fill="auto"/>
            <w:vAlign w:val="center"/>
          </w:tcPr>
          <w:p w14:paraId="2486D338"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Sato et al (2017)</w:t>
            </w:r>
          </w:p>
        </w:tc>
        <w:tc>
          <w:tcPr>
            <w:tcW w:w="1023" w:type="pct"/>
            <w:tcBorders>
              <w:bottom w:val="single" w:sz="4" w:space="0" w:color="auto"/>
            </w:tcBorders>
            <w:shd w:val="clear" w:color="auto" w:fill="auto"/>
            <w:vAlign w:val="center"/>
          </w:tcPr>
          <w:p w14:paraId="6361DE4A" w14:textId="77777777" w:rsidR="002328F3" w:rsidRPr="00244961" w:rsidRDefault="002328F3" w:rsidP="002328F3">
            <w:pPr>
              <w:spacing w:before="40" w:after="40"/>
              <w:rPr>
                <w:rFonts w:ascii="Arial Narrow" w:hAnsi="Arial Narrow"/>
                <w:sz w:val="20"/>
              </w:rPr>
            </w:pPr>
            <w:r w:rsidRPr="00244961">
              <w:rPr>
                <w:rFonts w:ascii="Arial Narrow" w:hAnsi="Arial Narrow"/>
                <w:sz w:val="20"/>
              </w:rPr>
              <w:t>intracranial vasculopathy</w:t>
            </w:r>
          </w:p>
        </w:tc>
        <w:tc>
          <w:tcPr>
            <w:tcW w:w="804" w:type="pct"/>
            <w:tcBorders>
              <w:bottom w:val="single" w:sz="4" w:space="0" w:color="auto"/>
            </w:tcBorders>
            <w:shd w:val="clear" w:color="auto" w:fill="auto"/>
            <w:vAlign w:val="center"/>
          </w:tcPr>
          <w:p w14:paraId="3C9999A5"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surgery + PBT</w:t>
            </w:r>
          </w:p>
          <w:p w14:paraId="6BA823D5"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3/41 (7.3%)</w:t>
            </w:r>
          </w:p>
        </w:tc>
        <w:tc>
          <w:tcPr>
            <w:tcW w:w="805" w:type="pct"/>
            <w:tcBorders>
              <w:bottom w:val="single" w:sz="4" w:space="0" w:color="auto"/>
            </w:tcBorders>
            <w:shd w:val="clear" w:color="auto" w:fill="auto"/>
            <w:vAlign w:val="center"/>
          </w:tcPr>
          <w:p w14:paraId="2C739ADD"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surgery + IMRT</w:t>
            </w:r>
          </w:p>
          <w:p w14:paraId="6A08ED1E"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5/38 (13.2%)</w:t>
            </w:r>
          </w:p>
        </w:tc>
        <w:tc>
          <w:tcPr>
            <w:tcW w:w="805" w:type="pct"/>
            <w:tcBorders>
              <w:bottom w:val="single" w:sz="4" w:space="0" w:color="auto"/>
            </w:tcBorders>
            <w:shd w:val="clear" w:color="auto" w:fill="auto"/>
            <w:vAlign w:val="center"/>
          </w:tcPr>
          <w:p w14:paraId="737D9A1F" w14:textId="77777777" w:rsidR="002328F3" w:rsidRPr="00244961" w:rsidRDefault="002328F3" w:rsidP="002328F3">
            <w:pPr>
              <w:spacing w:before="40" w:after="40"/>
              <w:rPr>
                <w:rFonts w:ascii="Arial Narrow" w:hAnsi="Arial Narrow"/>
                <w:snapToGrid w:val="0"/>
                <w:sz w:val="20"/>
              </w:rPr>
            </w:pPr>
            <w:r>
              <w:rPr>
                <w:rFonts w:ascii="Arial Narrow" w:hAnsi="Arial Narrow"/>
                <w:snapToGrid w:val="0"/>
                <w:sz w:val="20"/>
              </w:rPr>
              <w:t>5.8%</w:t>
            </w:r>
            <w:r w:rsidRPr="00244961">
              <w:rPr>
                <w:rFonts w:ascii="Arial Narrow" w:hAnsi="Arial Narrow"/>
                <w:snapToGrid w:val="0"/>
                <w:sz w:val="20"/>
              </w:rPr>
              <w:t>, 17.2</w:t>
            </w:r>
          </w:p>
        </w:tc>
        <w:tc>
          <w:tcPr>
            <w:tcW w:w="803" w:type="pct"/>
            <w:tcBorders>
              <w:bottom w:val="single" w:sz="4" w:space="0" w:color="auto"/>
            </w:tcBorders>
            <w:shd w:val="clear" w:color="auto" w:fill="auto"/>
            <w:vAlign w:val="center"/>
          </w:tcPr>
          <w:p w14:paraId="348E8BA0"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0.56, NR</w:t>
            </w:r>
          </w:p>
        </w:tc>
      </w:tr>
      <w:tr w:rsidR="002328F3" w:rsidRPr="00244961" w14:paraId="138D12C8" w14:textId="77777777" w:rsidTr="009C07AE">
        <w:tc>
          <w:tcPr>
            <w:tcW w:w="5000" w:type="pct"/>
            <w:gridSpan w:val="6"/>
            <w:shd w:val="clear" w:color="auto" w:fill="auto"/>
            <w:vAlign w:val="center"/>
          </w:tcPr>
          <w:p w14:paraId="24F2D975" w14:textId="77777777" w:rsidR="002328F3" w:rsidRPr="00244961" w:rsidRDefault="002328F3" w:rsidP="002328F3">
            <w:pPr>
              <w:spacing w:before="40" w:after="40"/>
              <w:rPr>
                <w:rFonts w:ascii="Arial Narrow" w:hAnsi="Arial Narrow"/>
                <w:b/>
                <w:snapToGrid w:val="0"/>
                <w:sz w:val="20"/>
              </w:rPr>
            </w:pPr>
            <w:r w:rsidRPr="00244961">
              <w:rPr>
                <w:rFonts w:ascii="Arial Narrow" w:hAnsi="Arial Narrow"/>
                <w:b/>
                <w:snapToGrid w:val="0"/>
                <w:sz w:val="20"/>
              </w:rPr>
              <w:t>PICO 4: Other PICO-relevant cancers</w:t>
            </w:r>
          </w:p>
        </w:tc>
      </w:tr>
      <w:tr w:rsidR="002328F3" w:rsidRPr="00244961" w14:paraId="3959AA04" w14:textId="77777777" w:rsidTr="009C07AE">
        <w:tc>
          <w:tcPr>
            <w:tcW w:w="760" w:type="pct"/>
            <w:vMerge w:val="restart"/>
            <w:shd w:val="clear" w:color="auto" w:fill="auto"/>
            <w:vAlign w:val="center"/>
          </w:tcPr>
          <w:p w14:paraId="26163BC1"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Romesser P.B. et al. (2016)</w:t>
            </w:r>
          </w:p>
        </w:tc>
        <w:tc>
          <w:tcPr>
            <w:tcW w:w="1023" w:type="pct"/>
            <w:shd w:val="clear" w:color="auto" w:fill="auto"/>
            <w:vAlign w:val="center"/>
          </w:tcPr>
          <w:p w14:paraId="3DFF1E53"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grade ≥2 acute dermatitis</w:t>
            </w:r>
          </w:p>
        </w:tc>
        <w:tc>
          <w:tcPr>
            <w:tcW w:w="804" w:type="pct"/>
            <w:shd w:val="clear" w:color="auto" w:fill="auto"/>
            <w:vAlign w:val="center"/>
          </w:tcPr>
          <w:p w14:paraId="7F3B2D5E"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PBT</w:t>
            </w:r>
          </w:p>
          <w:p w14:paraId="1C485979"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18/18 (100%)</w:t>
            </w:r>
          </w:p>
        </w:tc>
        <w:tc>
          <w:tcPr>
            <w:tcW w:w="805" w:type="pct"/>
            <w:shd w:val="clear" w:color="auto" w:fill="auto"/>
            <w:vAlign w:val="center"/>
          </w:tcPr>
          <w:p w14:paraId="1E9D4735"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IMRT</w:t>
            </w:r>
          </w:p>
          <w:p w14:paraId="12C18457"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17/23 (73.9%)</w:t>
            </w:r>
          </w:p>
        </w:tc>
        <w:tc>
          <w:tcPr>
            <w:tcW w:w="805" w:type="pct"/>
            <w:shd w:val="clear" w:color="auto" w:fill="auto"/>
            <w:vAlign w:val="center"/>
          </w:tcPr>
          <w:p w14:paraId="24FEA70B"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26.1</w:t>
            </w:r>
            <w:r>
              <w:rPr>
                <w:rFonts w:ascii="Arial Narrow" w:hAnsi="Arial Narrow"/>
                <w:snapToGrid w:val="0"/>
                <w:sz w:val="20"/>
              </w:rPr>
              <w:t>%</w:t>
            </w:r>
            <w:r w:rsidRPr="00244961">
              <w:rPr>
                <w:rFonts w:ascii="Arial Narrow" w:hAnsi="Arial Narrow"/>
                <w:snapToGrid w:val="0"/>
                <w:sz w:val="20"/>
              </w:rPr>
              <w:t>, 3.8</w:t>
            </w:r>
          </w:p>
        </w:tc>
        <w:tc>
          <w:tcPr>
            <w:tcW w:w="803" w:type="pct"/>
            <w:shd w:val="clear" w:color="auto" w:fill="auto"/>
            <w:vAlign w:val="center"/>
          </w:tcPr>
          <w:p w14:paraId="585B15A1"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1.4, p=0.019</w:t>
            </w:r>
          </w:p>
        </w:tc>
      </w:tr>
      <w:tr w:rsidR="002328F3" w:rsidRPr="00244961" w14:paraId="3DA1511D" w14:textId="77777777" w:rsidTr="009C07AE">
        <w:tc>
          <w:tcPr>
            <w:tcW w:w="760" w:type="pct"/>
            <w:vMerge/>
            <w:shd w:val="clear" w:color="auto" w:fill="auto"/>
            <w:vAlign w:val="center"/>
          </w:tcPr>
          <w:p w14:paraId="3FDC1DD7" w14:textId="77777777" w:rsidR="002328F3" w:rsidRPr="00244961" w:rsidRDefault="002328F3" w:rsidP="002328F3">
            <w:pPr>
              <w:spacing w:before="40" w:after="40"/>
              <w:rPr>
                <w:rFonts w:ascii="Arial Narrow" w:hAnsi="Arial Narrow"/>
                <w:snapToGrid w:val="0"/>
                <w:sz w:val="20"/>
              </w:rPr>
            </w:pPr>
          </w:p>
        </w:tc>
        <w:tc>
          <w:tcPr>
            <w:tcW w:w="1023" w:type="pct"/>
            <w:shd w:val="clear" w:color="auto" w:fill="auto"/>
            <w:vAlign w:val="center"/>
          </w:tcPr>
          <w:p w14:paraId="7A719865"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grade ≥2 acute mucositis</w:t>
            </w:r>
          </w:p>
        </w:tc>
        <w:tc>
          <w:tcPr>
            <w:tcW w:w="804" w:type="pct"/>
            <w:shd w:val="clear" w:color="auto" w:fill="auto"/>
            <w:vAlign w:val="center"/>
          </w:tcPr>
          <w:p w14:paraId="72F04BFB"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PBT</w:t>
            </w:r>
          </w:p>
          <w:p w14:paraId="079FCE9A"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3/18 (16.7%)</w:t>
            </w:r>
          </w:p>
        </w:tc>
        <w:tc>
          <w:tcPr>
            <w:tcW w:w="805" w:type="pct"/>
            <w:shd w:val="clear" w:color="auto" w:fill="auto"/>
            <w:vAlign w:val="center"/>
          </w:tcPr>
          <w:p w14:paraId="18C5AB83"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IMRT</w:t>
            </w:r>
          </w:p>
          <w:p w14:paraId="72517197"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12/23 (52.2%)</w:t>
            </w:r>
          </w:p>
        </w:tc>
        <w:tc>
          <w:tcPr>
            <w:tcW w:w="805" w:type="pct"/>
            <w:shd w:val="clear" w:color="auto" w:fill="auto"/>
            <w:vAlign w:val="center"/>
          </w:tcPr>
          <w:p w14:paraId="397FA61E" w14:textId="77777777" w:rsidR="002328F3" w:rsidRPr="00244961" w:rsidRDefault="002328F3" w:rsidP="002328F3">
            <w:pPr>
              <w:spacing w:before="40" w:after="40"/>
              <w:rPr>
                <w:rFonts w:ascii="Arial Narrow" w:hAnsi="Arial Narrow"/>
                <w:snapToGrid w:val="0"/>
                <w:sz w:val="20"/>
              </w:rPr>
            </w:pPr>
            <w:r>
              <w:rPr>
                <w:rFonts w:ascii="Arial Narrow" w:hAnsi="Arial Narrow"/>
                <w:snapToGrid w:val="0"/>
                <w:sz w:val="20"/>
              </w:rPr>
              <w:t>35.5%</w:t>
            </w:r>
            <w:r w:rsidRPr="00244961">
              <w:rPr>
                <w:rFonts w:ascii="Arial Narrow" w:hAnsi="Arial Narrow"/>
                <w:snapToGrid w:val="0"/>
                <w:sz w:val="20"/>
              </w:rPr>
              <w:t>, 2.8</w:t>
            </w:r>
          </w:p>
        </w:tc>
        <w:tc>
          <w:tcPr>
            <w:tcW w:w="803" w:type="pct"/>
            <w:shd w:val="clear" w:color="auto" w:fill="auto"/>
            <w:vAlign w:val="center"/>
          </w:tcPr>
          <w:p w14:paraId="711494E7"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0.32, p=0.019</w:t>
            </w:r>
          </w:p>
        </w:tc>
      </w:tr>
      <w:tr w:rsidR="002328F3" w:rsidRPr="00244961" w14:paraId="7805D633" w14:textId="77777777" w:rsidTr="009C07AE">
        <w:tc>
          <w:tcPr>
            <w:tcW w:w="760" w:type="pct"/>
            <w:vMerge/>
            <w:shd w:val="clear" w:color="auto" w:fill="auto"/>
            <w:vAlign w:val="center"/>
          </w:tcPr>
          <w:p w14:paraId="70B18E4A" w14:textId="77777777" w:rsidR="002328F3" w:rsidRPr="00244961" w:rsidRDefault="002328F3" w:rsidP="002328F3">
            <w:pPr>
              <w:spacing w:before="40" w:after="40"/>
              <w:rPr>
                <w:rFonts w:ascii="Arial Narrow" w:hAnsi="Arial Narrow"/>
                <w:snapToGrid w:val="0"/>
                <w:sz w:val="20"/>
              </w:rPr>
            </w:pPr>
          </w:p>
        </w:tc>
        <w:tc>
          <w:tcPr>
            <w:tcW w:w="1023" w:type="pct"/>
            <w:shd w:val="clear" w:color="auto" w:fill="auto"/>
            <w:vAlign w:val="center"/>
          </w:tcPr>
          <w:p w14:paraId="66AC9508"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grade ≥2 acute nausea</w:t>
            </w:r>
          </w:p>
        </w:tc>
        <w:tc>
          <w:tcPr>
            <w:tcW w:w="804" w:type="pct"/>
            <w:shd w:val="clear" w:color="auto" w:fill="auto"/>
            <w:vAlign w:val="center"/>
          </w:tcPr>
          <w:p w14:paraId="05DE4055"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PBT</w:t>
            </w:r>
          </w:p>
          <w:p w14:paraId="3A56A9FD"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2/18 (11.1%)</w:t>
            </w:r>
          </w:p>
        </w:tc>
        <w:tc>
          <w:tcPr>
            <w:tcW w:w="805" w:type="pct"/>
            <w:shd w:val="clear" w:color="auto" w:fill="auto"/>
            <w:vAlign w:val="center"/>
          </w:tcPr>
          <w:p w14:paraId="29C40FBA"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IMRT</w:t>
            </w:r>
          </w:p>
          <w:p w14:paraId="619C0A9D"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13/23 (56.5%)</w:t>
            </w:r>
          </w:p>
        </w:tc>
        <w:tc>
          <w:tcPr>
            <w:tcW w:w="805" w:type="pct"/>
            <w:shd w:val="clear" w:color="auto" w:fill="auto"/>
            <w:vAlign w:val="center"/>
          </w:tcPr>
          <w:p w14:paraId="3A502425" w14:textId="77777777" w:rsidR="002328F3" w:rsidRPr="00244961" w:rsidRDefault="002328F3" w:rsidP="002328F3">
            <w:pPr>
              <w:spacing w:before="40" w:after="40"/>
              <w:rPr>
                <w:rFonts w:ascii="Arial Narrow" w:hAnsi="Arial Narrow"/>
                <w:snapToGrid w:val="0"/>
                <w:sz w:val="20"/>
              </w:rPr>
            </w:pPr>
            <w:r>
              <w:rPr>
                <w:rFonts w:ascii="Arial Narrow" w:hAnsi="Arial Narrow"/>
                <w:snapToGrid w:val="0"/>
                <w:sz w:val="20"/>
              </w:rPr>
              <w:t>45.4%</w:t>
            </w:r>
            <w:r w:rsidRPr="00244961">
              <w:rPr>
                <w:rFonts w:ascii="Arial Narrow" w:hAnsi="Arial Narrow"/>
                <w:snapToGrid w:val="0"/>
                <w:sz w:val="20"/>
              </w:rPr>
              <w:t>, 2.2</w:t>
            </w:r>
          </w:p>
        </w:tc>
        <w:tc>
          <w:tcPr>
            <w:tcW w:w="803" w:type="pct"/>
            <w:shd w:val="clear" w:color="auto" w:fill="auto"/>
            <w:vAlign w:val="center"/>
          </w:tcPr>
          <w:p w14:paraId="2F8763A1"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0.2, p=0.003</w:t>
            </w:r>
          </w:p>
        </w:tc>
      </w:tr>
      <w:tr w:rsidR="002328F3" w:rsidRPr="00244961" w14:paraId="25BAB57D" w14:textId="77777777" w:rsidTr="009C07AE">
        <w:tc>
          <w:tcPr>
            <w:tcW w:w="760" w:type="pct"/>
            <w:vMerge/>
            <w:shd w:val="clear" w:color="auto" w:fill="auto"/>
            <w:vAlign w:val="center"/>
          </w:tcPr>
          <w:p w14:paraId="12F76402" w14:textId="77777777" w:rsidR="002328F3" w:rsidRPr="00244961" w:rsidRDefault="002328F3" w:rsidP="002328F3">
            <w:pPr>
              <w:spacing w:before="40" w:after="40"/>
              <w:rPr>
                <w:rFonts w:ascii="Arial Narrow" w:hAnsi="Arial Narrow"/>
                <w:snapToGrid w:val="0"/>
                <w:sz w:val="20"/>
              </w:rPr>
            </w:pPr>
          </w:p>
        </w:tc>
        <w:tc>
          <w:tcPr>
            <w:tcW w:w="1023" w:type="pct"/>
            <w:shd w:val="clear" w:color="auto" w:fill="auto"/>
            <w:vAlign w:val="center"/>
          </w:tcPr>
          <w:p w14:paraId="37C44F68"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grade ≥2 acute dysgeusia</w:t>
            </w:r>
          </w:p>
        </w:tc>
        <w:tc>
          <w:tcPr>
            <w:tcW w:w="804" w:type="pct"/>
            <w:shd w:val="clear" w:color="auto" w:fill="auto"/>
            <w:vAlign w:val="center"/>
          </w:tcPr>
          <w:p w14:paraId="012728D8"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PBT</w:t>
            </w:r>
          </w:p>
          <w:p w14:paraId="565694B3"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1/18 (5.6%)</w:t>
            </w:r>
          </w:p>
        </w:tc>
        <w:tc>
          <w:tcPr>
            <w:tcW w:w="805" w:type="pct"/>
            <w:shd w:val="clear" w:color="auto" w:fill="auto"/>
            <w:vAlign w:val="center"/>
          </w:tcPr>
          <w:p w14:paraId="529373A4"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IMRT</w:t>
            </w:r>
          </w:p>
          <w:p w14:paraId="7DC82CFF"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15/23 (65.2%)</w:t>
            </w:r>
          </w:p>
        </w:tc>
        <w:tc>
          <w:tcPr>
            <w:tcW w:w="805" w:type="pct"/>
            <w:shd w:val="clear" w:color="auto" w:fill="auto"/>
            <w:vAlign w:val="center"/>
          </w:tcPr>
          <w:p w14:paraId="03732B5A" w14:textId="77777777" w:rsidR="002328F3" w:rsidRPr="00244961" w:rsidRDefault="002328F3" w:rsidP="002328F3">
            <w:pPr>
              <w:spacing w:before="40" w:after="40"/>
              <w:rPr>
                <w:rFonts w:ascii="Arial Narrow" w:hAnsi="Arial Narrow"/>
                <w:snapToGrid w:val="0"/>
                <w:sz w:val="20"/>
              </w:rPr>
            </w:pPr>
            <w:r>
              <w:rPr>
                <w:rFonts w:ascii="Arial Narrow" w:hAnsi="Arial Narrow"/>
                <w:snapToGrid w:val="0"/>
                <w:sz w:val="20"/>
              </w:rPr>
              <w:t>59.6%</w:t>
            </w:r>
            <w:r w:rsidRPr="00244961">
              <w:rPr>
                <w:rFonts w:ascii="Arial Narrow" w:hAnsi="Arial Narrow"/>
                <w:snapToGrid w:val="0"/>
                <w:sz w:val="20"/>
              </w:rPr>
              <w:t>, 1.7</w:t>
            </w:r>
          </w:p>
        </w:tc>
        <w:tc>
          <w:tcPr>
            <w:tcW w:w="803" w:type="pct"/>
            <w:shd w:val="clear" w:color="auto" w:fill="auto"/>
            <w:vAlign w:val="center"/>
          </w:tcPr>
          <w:p w14:paraId="7452C0C8"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0.09, p&lt;0.001</w:t>
            </w:r>
          </w:p>
        </w:tc>
      </w:tr>
      <w:tr w:rsidR="002328F3" w:rsidRPr="00244961" w14:paraId="6D98124C" w14:textId="77777777" w:rsidTr="009C07AE">
        <w:tc>
          <w:tcPr>
            <w:tcW w:w="760" w:type="pct"/>
            <w:vMerge/>
            <w:shd w:val="clear" w:color="auto" w:fill="auto"/>
            <w:vAlign w:val="center"/>
          </w:tcPr>
          <w:p w14:paraId="06D14791" w14:textId="77777777" w:rsidR="002328F3" w:rsidRPr="00244961" w:rsidRDefault="002328F3" w:rsidP="002328F3">
            <w:pPr>
              <w:spacing w:before="40" w:after="40"/>
              <w:rPr>
                <w:rFonts w:ascii="Arial Narrow" w:hAnsi="Arial Narrow"/>
                <w:snapToGrid w:val="0"/>
                <w:sz w:val="20"/>
              </w:rPr>
            </w:pPr>
          </w:p>
        </w:tc>
        <w:tc>
          <w:tcPr>
            <w:tcW w:w="1023" w:type="pct"/>
            <w:shd w:val="clear" w:color="auto" w:fill="auto"/>
            <w:vAlign w:val="center"/>
          </w:tcPr>
          <w:p w14:paraId="25B34046"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grade ≥2 acute dysphagia</w:t>
            </w:r>
          </w:p>
        </w:tc>
        <w:tc>
          <w:tcPr>
            <w:tcW w:w="804" w:type="pct"/>
            <w:shd w:val="clear" w:color="auto" w:fill="auto"/>
            <w:vAlign w:val="center"/>
          </w:tcPr>
          <w:p w14:paraId="68B5728D"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PBT</w:t>
            </w:r>
          </w:p>
          <w:p w14:paraId="13F8831C"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1/18 (5.6%)</w:t>
            </w:r>
          </w:p>
        </w:tc>
        <w:tc>
          <w:tcPr>
            <w:tcW w:w="805" w:type="pct"/>
            <w:shd w:val="clear" w:color="auto" w:fill="auto"/>
            <w:vAlign w:val="center"/>
          </w:tcPr>
          <w:p w14:paraId="3FCA94A0"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IMRT</w:t>
            </w:r>
          </w:p>
          <w:p w14:paraId="59B49497"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2/23 (8.7%)</w:t>
            </w:r>
          </w:p>
        </w:tc>
        <w:tc>
          <w:tcPr>
            <w:tcW w:w="805" w:type="pct"/>
            <w:shd w:val="clear" w:color="auto" w:fill="auto"/>
            <w:vAlign w:val="center"/>
          </w:tcPr>
          <w:p w14:paraId="7FB55638" w14:textId="77777777" w:rsidR="002328F3" w:rsidRPr="00244961" w:rsidRDefault="002328F3" w:rsidP="002328F3">
            <w:pPr>
              <w:spacing w:before="40" w:after="40"/>
              <w:rPr>
                <w:rFonts w:ascii="Arial Narrow" w:hAnsi="Arial Narrow"/>
                <w:snapToGrid w:val="0"/>
                <w:sz w:val="20"/>
              </w:rPr>
            </w:pPr>
            <w:r>
              <w:rPr>
                <w:rFonts w:ascii="Arial Narrow" w:hAnsi="Arial Narrow"/>
                <w:snapToGrid w:val="0"/>
                <w:sz w:val="20"/>
              </w:rPr>
              <w:t>3.1%</w:t>
            </w:r>
            <w:r w:rsidRPr="00244961">
              <w:rPr>
                <w:rFonts w:ascii="Arial Narrow" w:hAnsi="Arial Narrow"/>
                <w:snapToGrid w:val="0"/>
                <w:sz w:val="20"/>
              </w:rPr>
              <w:t>, 32.2</w:t>
            </w:r>
          </w:p>
        </w:tc>
        <w:tc>
          <w:tcPr>
            <w:tcW w:w="803" w:type="pct"/>
            <w:shd w:val="clear" w:color="auto" w:fill="auto"/>
            <w:vAlign w:val="center"/>
          </w:tcPr>
          <w:p w14:paraId="6AB99BBA" w14:textId="77777777" w:rsidR="002328F3" w:rsidRPr="00244961" w:rsidRDefault="002328F3" w:rsidP="002328F3">
            <w:pPr>
              <w:spacing w:before="40" w:after="40"/>
              <w:rPr>
                <w:rFonts w:ascii="Arial Narrow" w:hAnsi="Arial Narrow"/>
                <w:snapToGrid w:val="0"/>
                <w:sz w:val="20"/>
              </w:rPr>
            </w:pPr>
            <w:r w:rsidRPr="00244961">
              <w:rPr>
                <w:rFonts w:ascii="Arial Narrow" w:hAnsi="Arial Narrow"/>
                <w:snapToGrid w:val="0"/>
                <w:sz w:val="20"/>
              </w:rPr>
              <w:t>0.64, NS</w:t>
            </w:r>
          </w:p>
        </w:tc>
      </w:tr>
    </w:tbl>
    <w:bookmarkEnd w:id="11"/>
    <w:p w14:paraId="7E02E4BE" w14:textId="77777777" w:rsidR="009C07AE" w:rsidRDefault="009C07AE" w:rsidP="003741D0">
      <w:pPr>
        <w:pStyle w:val="Tablefootnotes"/>
        <w:spacing w:after="0"/>
        <w:rPr>
          <w:rStyle w:val="TableNotesChar0"/>
          <w:rFonts w:eastAsiaTheme="minorHAnsi"/>
        </w:rPr>
      </w:pPr>
      <w:r w:rsidRPr="00244961">
        <w:rPr>
          <w:rStyle w:val="TableNotesChar0"/>
          <w:rFonts w:eastAsiaTheme="minorHAnsi"/>
        </w:rPr>
        <w:t>Abbreviations: CIT, carbon ion therapy; IMRT, intensity modulated radiotherapy; NR, not reported; NS, not significant; PICO, patients intervention comparator</w:t>
      </w:r>
      <w:r w:rsidRPr="00244961">
        <w:t xml:space="preserve"> </w:t>
      </w:r>
      <w:r w:rsidRPr="00244961">
        <w:rPr>
          <w:rStyle w:val="TableNotesChar0"/>
          <w:rFonts w:eastAsiaTheme="minorHAnsi"/>
        </w:rPr>
        <w:t>outcomes; PBT, proton beam therapy; PRT, photon radiotherapy</w:t>
      </w:r>
      <w:bookmarkEnd w:id="10"/>
      <w:r w:rsidR="004F706B">
        <w:rPr>
          <w:rStyle w:val="TableNotesChar0"/>
          <w:rFonts w:eastAsiaTheme="minorHAnsi"/>
        </w:rPr>
        <w:t>.</w:t>
      </w:r>
    </w:p>
    <w:p w14:paraId="500E4608" w14:textId="77777777" w:rsidR="002328F3" w:rsidRPr="003741D0" w:rsidRDefault="003741D0" w:rsidP="009C07AE">
      <w:pPr>
        <w:pStyle w:val="Tablefootnotes"/>
        <w:rPr>
          <w:sz w:val="16"/>
          <w:szCs w:val="16"/>
        </w:rPr>
      </w:pPr>
      <w:r w:rsidRPr="003741D0">
        <w:rPr>
          <w:sz w:val="16"/>
          <w:szCs w:val="16"/>
          <w:vertAlign w:val="superscript"/>
        </w:rPr>
        <w:t>a</w:t>
      </w:r>
      <w:r w:rsidRPr="003741D0">
        <w:rPr>
          <w:sz w:val="16"/>
          <w:szCs w:val="16"/>
        </w:rPr>
        <w:t xml:space="preserve"> Extracted from Institute for Clinical and Economic Review (ICER), PBT: Final Evidence Report Washington State Health Care Authority- Health Technology Assessment. 2014 (provided in evidence pack of contracted assessment); and original source, Brown et al. (2013)</w:t>
      </w:r>
    </w:p>
    <w:p w14:paraId="4EA1883B" w14:textId="77777777" w:rsidR="00BC1364" w:rsidRPr="00F715D1" w:rsidRDefault="00BC1364" w:rsidP="00F715D1">
      <w:pPr>
        <w:pStyle w:val="Heading1"/>
      </w:pPr>
      <w:r w:rsidRPr="00F715D1">
        <w:lastRenderedPageBreak/>
        <w:t>Comparative effectiveness</w:t>
      </w:r>
    </w:p>
    <w:p w14:paraId="25F42BC8" w14:textId="77777777" w:rsidR="002B3FE2" w:rsidRDefault="002B3FE2" w:rsidP="00894134">
      <w:pPr>
        <w:spacing w:after="240"/>
      </w:pPr>
      <w:r w:rsidRPr="002B3FE2">
        <w:t xml:space="preserve">Overall, PBT was not found to substantially improve upon the benefits of alternative cancer therapies against </w:t>
      </w:r>
      <w:r w:rsidR="00676490">
        <w:t>any of the PICO-relevant cancers, however</w:t>
      </w:r>
      <w:r w:rsidRPr="002B3FE2">
        <w:t>, high quality evidence was lacking in the determination of PBT effectiveness over its main comparator of interest, PRT</w:t>
      </w:r>
      <w:r w:rsidR="00C66D02">
        <w:t xml:space="preserve"> (</w:t>
      </w:r>
      <w:r w:rsidR="00C66D02">
        <w:fldChar w:fldCharType="begin"/>
      </w:r>
      <w:r w:rsidR="00C66D02">
        <w:instrText xml:space="preserve"> REF _Ref497395719 \h </w:instrText>
      </w:r>
      <w:r w:rsidR="00C66D02">
        <w:fldChar w:fldCharType="separate"/>
      </w:r>
      <w:r w:rsidR="00764489" w:rsidRPr="00244961">
        <w:t xml:space="preserve">Table </w:t>
      </w:r>
      <w:r w:rsidR="00316509">
        <w:t>3</w:t>
      </w:r>
      <w:r w:rsidR="00C66D02">
        <w:fldChar w:fldCharType="end"/>
      </w:r>
      <w:r w:rsidR="00C66D02">
        <w:t>)</w:t>
      </w:r>
      <w:r w:rsidRPr="002B3FE2">
        <w:t>.</w:t>
      </w:r>
    </w:p>
    <w:p w14:paraId="23406429" w14:textId="77777777" w:rsidR="002B3FE2" w:rsidRPr="00244961" w:rsidRDefault="002B3FE2" w:rsidP="002B3FE2">
      <w:pPr>
        <w:pStyle w:val="Caption"/>
        <w:rPr>
          <w:rFonts w:cs="Arial"/>
          <w:b w:val="0"/>
          <w:bCs w:val="0"/>
          <w:snapToGrid w:val="0"/>
          <w:szCs w:val="16"/>
        </w:rPr>
      </w:pPr>
      <w:bookmarkStart w:id="12" w:name="_Ref497395719"/>
      <w:bookmarkStart w:id="13" w:name="_Toc522176467"/>
      <w:r w:rsidRPr="00244961">
        <w:t xml:space="preserve">Table </w:t>
      </w:r>
      <w:r w:rsidR="004F706B">
        <w:t>3</w:t>
      </w:r>
      <w:bookmarkEnd w:id="12"/>
      <w:r w:rsidRPr="00244961">
        <w:tab/>
      </w:r>
      <w:r w:rsidRPr="00244961">
        <w:rPr>
          <w:rFonts w:cs="Arial"/>
          <w:snapToGrid w:val="0"/>
          <w:szCs w:val="16"/>
        </w:rPr>
        <w:t>Therapeutic profile of PBT, relative to comparators</w:t>
      </w:r>
      <w:bookmarkEnd w:id="13"/>
    </w:p>
    <w:tbl>
      <w:tblPr>
        <w:tblStyle w:val="TableGrid11"/>
        <w:tblW w:w="0" w:type="auto"/>
        <w:tblLook w:val="04A0" w:firstRow="1" w:lastRow="0" w:firstColumn="1" w:lastColumn="0" w:noHBand="0" w:noVBand="1"/>
        <w:tblCaption w:val="Therapeutic profile of PBT, relative to comparators"/>
        <w:tblDescription w:val="Summary of findings table"/>
      </w:tblPr>
      <w:tblGrid>
        <w:gridCol w:w="4217"/>
        <w:gridCol w:w="1134"/>
        <w:gridCol w:w="1842"/>
        <w:gridCol w:w="1823"/>
      </w:tblGrid>
      <w:tr w:rsidR="002B3FE2" w:rsidRPr="00244961" w14:paraId="4DDC301F" w14:textId="77777777" w:rsidTr="002F2867">
        <w:trPr>
          <w:tblHeader/>
        </w:trPr>
        <w:tc>
          <w:tcPr>
            <w:tcW w:w="4217" w:type="dxa"/>
          </w:tcPr>
          <w:p w14:paraId="784F3DD3" w14:textId="77777777" w:rsidR="002B3FE2" w:rsidRPr="00244961" w:rsidRDefault="002B3FE2" w:rsidP="00F6759C">
            <w:pPr>
              <w:keepNext/>
              <w:spacing w:before="40" w:after="40"/>
              <w:rPr>
                <w:rFonts w:ascii="Arial Narrow" w:hAnsi="Arial Narrow"/>
                <w:b/>
                <w:sz w:val="20"/>
              </w:rPr>
            </w:pPr>
            <w:r w:rsidRPr="00244961">
              <w:rPr>
                <w:rFonts w:ascii="Arial Narrow" w:hAnsi="Arial Narrow"/>
                <w:b/>
                <w:sz w:val="20"/>
              </w:rPr>
              <w:t>Outcomes for PICO populations</w:t>
            </w:r>
          </w:p>
        </w:tc>
        <w:tc>
          <w:tcPr>
            <w:tcW w:w="1134" w:type="dxa"/>
          </w:tcPr>
          <w:p w14:paraId="1303CC0E" w14:textId="77777777" w:rsidR="002B3FE2" w:rsidRPr="00244961" w:rsidRDefault="002B3FE2" w:rsidP="00F6759C">
            <w:pPr>
              <w:keepNext/>
              <w:spacing w:before="40" w:after="40"/>
              <w:jc w:val="center"/>
              <w:rPr>
                <w:rFonts w:ascii="Arial Narrow" w:hAnsi="Arial Narrow"/>
                <w:b/>
                <w:sz w:val="20"/>
              </w:rPr>
            </w:pPr>
            <w:r w:rsidRPr="00244961">
              <w:rPr>
                <w:rFonts w:ascii="Arial Narrow" w:hAnsi="Arial Narrow"/>
                <w:b/>
                <w:sz w:val="20"/>
              </w:rPr>
              <w:t>Number of studies</w:t>
            </w:r>
          </w:p>
        </w:tc>
        <w:tc>
          <w:tcPr>
            <w:tcW w:w="1842" w:type="dxa"/>
          </w:tcPr>
          <w:p w14:paraId="13B7E711" w14:textId="77777777" w:rsidR="002B3FE2" w:rsidRPr="00244961" w:rsidRDefault="002B3FE2" w:rsidP="00F6759C">
            <w:pPr>
              <w:keepNext/>
              <w:spacing w:before="40" w:after="40"/>
              <w:jc w:val="center"/>
              <w:rPr>
                <w:rFonts w:ascii="Arial Narrow" w:hAnsi="Arial Narrow"/>
                <w:b/>
                <w:sz w:val="20"/>
              </w:rPr>
            </w:pPr>
            <w:r w:rsidRPr="00244961">
              <w:rPr>
                <w:rFonts w:ascii="Arial Narrow" w:hAnsi="Arial Narrow"/>
                <w:b/>
                <w:sz w:val="20"/>
              </w:rPr>
              <w:t>Quality of evidence (GRADE)</w:t>
            </w:r>
            <w:r w:rsidRPr="00244961">
              <w:rPr>
                <w:rFonts w:ascii="Arial Narrow" w:hAnsi="Arial Narrow"/>
                <w:b/>
                <w:sz w:val="20"/>
                <w:vertAlign w:val="superscript"/>
              </w:rPr>
              <w:t>a</w:t>
            </w:r>
          </w:p>
        </w:tc>
        <w:tc>
          <w:tcPr>
            <w:tcW w:w="1823" w:type="dxa"/>
          </w:tcPr>
          <w:p w14:paraId="11283093" w14:textId="77777777" w:rsidR="002B3FE2" w:rsidRPr="00244961" w:rsidRDefault="002B3FE2" w:rsidP="00F6759C">
            <w:pPr>
              <w:keepNext/>
              <w:spacing w:before="40" w:after="40"/>
              <w:jc w:val="center"/>
              <w:rPr>
                <w:rFonts w:ascii="Arial Narrow" w:hAnsi="Arial Narrow"/>
                <w:b/>
                <w:sz w:val="20"/>
              </w:rPr>
            </w:pPr>
            <w:r w:rsidRPr="00244961">
              <w:rPr>
                <w:rFonts w:ascii="Arial Narrow" w:hAnsi="Arial Narrow"/>
                <w:b/>
                <w:sz w:val="20"/>
              </w:rPr>
              <w:t>Relative to primary comparators</w:t>
            </w:r>
          </w:p>
        </w:tc>
      </w:tr>
      <w:tr w:rsidR="003741D0" w:rsidRPr="00244961" w14:paraId="63BB9307" w14:textId="77777777" w:rsidTr="002F2867">
        <w:trPr>
          <w:trHeight w:val="263"/>
        </w:trPr>
        <w:tc>
          <w:tcPr>
            <w:tcW w:w="4217" w:type="dxa"/>
          </w:tcPr>
          <w:p w14:paraId="132F025C" w14:textId="77777777" w:rsidR="003741D0" w:rsidRPr="00244961" w:rsidRDefault="003741D0" w:rsidP="003741D0">
            <w:pPr>
              <w:spacing w:before="40" w:after="40"/>
              <w:rPr>
                <w:rFonts w:ascii="Arial Narrow" w:hAnsi="Arial Narrow"/>
                <w:sz w:val="20"/>
              </w:rPr>
            </w:pPr>
            <w:r w:rsidRPr="00244961">
              <w:rPr>
                <w:rFonts w:ascii="Arial Narrow" w:hAnsi="Arial Narrow"/>
                <w:sz w:val="20"/>
              </w:rPr>
              <w:t>Safety measures for</w:t>
            </w:r>
          </w:p>
          <w:p w14:paraId="0D7A48E2" w14:textId="77777777" w:rsidR="003741D0" w:rsidRPr="00244961" w:rsidRDefault="003741D0" w:rsidP="003741D0">
            <w:pPr>
              <w:spacing w:before="40" w:after="40"/>
              <w:rPr>
                <w:rFonts w:ascii="Arial Narrow" w:hAnsi="Arial Narrow" w:cs="Arial"/>
                <w:sz w:val="20"/>
              </w:rPr>
            </w:pPr>
            <w:r w:rsidRPr="00244961">
              <w:rPr>
                <w:rFonts w:ascii="Arial Narrow" w:hAnsi="Arial Narrow"/>
                <w:sz w:val="20"/>
              </w:rPr>
              <w:t xml:space="preserve">PICO 1: </w:t>
            </w:r>
            <w:r>
              <w:rPr>
                <w:rFonts w:ascii="Arial Narrow" w:hAnsi="Arial Narrow"/>
                <w:sz w:val="20"/>
              </w:rPr>
              <w:t>b</w:t>
            </w:r>
            <w:r w:rsidRPr="00244961">
              <w:rPr>
                <w:rFonts w:ascii="Arial Narrow" w:hAnsi="Arial Narrow"/>
                <w:sz w:val="20"/>
              </w:rPr>
              <w:t>rain, spinal, paraspinal soft tissue cancers</w:t>
            </w:r>
          </w:p>
        </w:tc>
        <w:tc>
          <w:tcPr>
            <w:tcW w:w="1134" w:type="dxa"/>
          </w:tcPr>
          <w:p w14:paraId="274AC831" w14:textId="77777777" w:rsidR="003741D0" w:rsidRPr="00244961" w:rsidRDefault="003741D0" w:rsidP="003741D0">
            <w:pPr>
              <w:spacing w:before="40" w:after="40"/>
              <w:jc w:val="center"/>
              <w:rPr>
                <w:rFonts w:ascii="Arial Narrow" w:hAnsi="Arial Narrow" w:cs="Arial"/>
                <w:sz w:val="20"/>
              </w:rPr>
            </w:pPr>
            <w:r>
              <w:rPr>
                <w:rFonts w:ascii="Arial Narrow" w:hAnsi="Arial Narrow"/>
                <w:sz w:val="20"/>
              </w:rPr>
              <w:t>1</w:t>
            </w:r>
            <w:r w:rsidRPr="003741D0">
              <w:rPr>
                <w:rFonts w:ascii="Arial Narrow" w:hAnsi="Arial Narrow"/>
                <w:sz w:val="20"/>
                <w:vertAlign w:val="superscript"/>
              </w:rPr>
              <w:t>a</w:t>
            </w:r>
          </w:p>
        </w:tc>
        <w:tc>
          <w:tcPr>
            <w:tcW w:w="1842" w:type="dxa"/>
          </w:tcPr>
          <w:p w14:paraId="7AEEBB37" w14:textId="77777777" w:rsidR="003741D0" w:rsidRPr="00244961" w:rsidRDefault="003741D0" w:rsidP="003741D0">
            <w:pPr>
              <w:spacing w:before="40" w:after="40"/>
              <w:jc w:val="center"/>
              <w:rPr>
                <w:rFonts w:ascii="Arial Narrow" w:hAnsi="Arial Narrow" w:cs="Arial"/>
                <w:sz w:val="20"/>
              </w:rPr>
            </w:pPr>
            <w:r w:rsidRPr="002B3FE2">
              <w:rPr>
                <w:rFonts w:ascii="Cambria Math" w:hAnsi="Cambria Math" w:cs="Cambria Math"/>
                <w:sz w:val="20"/>
              </w:rPr>
              <w:t>⨁⨀⨀⨀</w:t>
            </w:r>
          </w:p>
        </w:tc>
        <w:tc>
          <w:tcPr>
            <w:tcW w:w="1823" w:type="dxa"/>
          </w:tcPr>
          <w:p w14:paraId="33912EC2" w14:textId="77777777" w:rsidR="003741D0" w:rsidRPr="00244961" w:rsidRDefault="003741D0" w:rsidP="003741D0">
            <w:pPr>
              <w:spacing w:before="40" w:after="40"/>
              <w:jc w:val="center"/>
              <w:rPr>
                <w:rFonts w:ascii="Arial Narrow" w:hAnsi="Arial Narrow" w:cs="Arial"/>
                <w:sz w:val="20"/>
              </w:rPr>
            </w:pPr>
            <w:r w:rsidRPr="00FC4C86">
              <w:rPr>
                <w:rFonts w:ascii="Arial Narrow" w:hAnsi="Arial Narrow"/>
                <w:sz w:val="20"/>
              </w:rPr>
              <w:t>Uncertain</w:t>
            </w:r>
          </w:p>
        </w:tc>
      </w:tr>
      <w:tr w:rsidR="003741D0" w:rsidRPr="00244961" w14:paraId="289392A6" w14:textId="77777777" w:rsidTr="002F2867">
        <w:trPr>
          <w:trHeight w:val="25"/>
        </w:trPr>
        <w:tc>
          <w:tcPr>
            <w:tcW w:w="4217" w:type="dxa"/>
          </w:tcPr>
          <w:p w14:paraId="2E04697B" w14:textId="77777777" w:rsidR="003741D0" w:rsidRPr="00244961" w:rsidRDefault="003741D0" w:rsidP="003741D0">
            <w:pPr>
              <w:spacing w:before="40" w:after="40"/>
              <w:rPr>
                <w:rFonts w:ascii="Arial Narrow" w:hAnsi="Arial Narrow"/>
                <w:sz w:val="20"/>
              </w:rPr>
            </w:pPr>
            <w:r w:rsidRPr="00244961">
              <w:rPr>
                <w:rFonts w:ascii="Arial Narrow" w:hAnsi="Arial Narrow"/>
                <w:sz w:val="20"/>
              </w:rPr>
              <w:t>Effectiveness for</w:t>
            </w:r>
          </w:p>
          <w:p w14:paraId="7A4F69C6" w14:textId="77777777" w:rsidR="003741D0" w:rsidRPr="00244961" w:rsidRDefault="003741D0" w:rsidP="003741D0">
            <w:pPr>
              <w:spacing w:before="40" w:after="40"/>
              <w:rPr>
                <w:rFonts w:ascii="Arial Narrow" w:hAnsi="Arial Narrow" w:cs="Arial"/>
                <w:sz w:val="20"/>
              </w:rPr>
            </w:pPr>
            <w:r>
              <w:rPr>
                <w:rFonts w:ascii="Arial Narrow" w:hAnsi="Arial Narrow"/>
                <w:sz w:val="20"/>
              </w:rPr>
              <w:t>PICO 1: b</w:t>
            </w:r>
            <w:r w:rsidRPr="00244961">
              <w:rPr>
                <w:rFonts w:ascii="Arial Narrow" w:hAnsi="Arial Narrow"/>
                <w:sz w:val="20"/>
              </w:rPr>
              <w:t>rain, spinal, paraspinal soft tissue cancers</w:t>
            </w:r>
          </w:p>
        </w:tc>
        <w:tc>
          <w:tcPr>
            <w:tcW w:w="1134" w:type="dxa"/>
          </w:tcPr>
          <w:p w14:paraId="5399C5D1" w14:textId="77777777" w:rsidR="003741D0" w:rsidRPr="00244961" w:rsidRDefault="003741D0" w:rsidP="003741D0">
            <w:pPr>
              <w:spacing w:before="40" w:after="40"/>
              <w:jc w:val="center"/>
              <w:rPr>
                <w:rFonts w:ascii="Arial Narrow" w:hAnsi="Arial Narrow" w:cs="Arial"/>
                <w:sz w:val="20"/>
              </w:rPr>
            </w:pPr>
            <w:r>
              <w:rPr>
                <w:rFonts w:ascii="Arial Narrow" w:hAnsi="Arial Narrow"/>
                <w:sz w:val="20"/>
              </w:rPr>
              <w:t>0</w:t>
            </w:r>
          </w:p>
        </w:tc>
        <w:tc>
          <w:tcPr>
            <w:tcW w:w="1842" w:type="dxa"/>
          </w:tcPr>
          <w:p w14:paraId="4D46CA8D" w14:textId="77777777" w:rsidR="003741D0" w:rsidRPr="00244961" w:rsidRDefault="003741D0" w:rsidP="003741D0">
            <w:pPr>
              <w:spacing w:before="40" w:after="40"/>
              <w:jc w:val="center"/>
              <w:rPr>
                <w:rFonts w:ascii="Arial Narrow" w:hAnsi="Arial Narrow" w:cs="Arial"/>
                <w:sz w:val="20"/>
              </w:rPr>
            </w:pPr>
            <w:r w:rsidRPr="00FC4C86">
              <w:rPr>
                <w:rFonts w:ascii="Arial Narrow" w:hAnsi="Arial Narrow" w:cs="Cambria Math"/>
                <w:sz w:val="20"/>
              </w:rPr>
              <w:t>NA – no evidence identified</w:t>
            </w:r>
          </w:p>
        </w:tc>
        <w:tc>
          <w:tcPr>
            <w:tcW w:w="1823" w:type="dxa"/>
          </w:tcPr>
          <w:p w14:paraId="2FD56515" w14:textId="77777777" w:rsidR="003741D0" w:rsidRPr="00244961" w:rsidRDefault="003741D0" w:rsidP="003741D0">
            <w:pPr>
              <w:spacing w:before="40" w:after="40"/>
              <w:jc w:val="center"/>
              <w:rPr>
                <w:rFonts w:ascii="Arial Narrow" w:hAnsi="Arial Narrow" w:cs="Arial"/>
                <w:sz w:val="20"/>
              </w:rPr>
            </w:pPr>
            <w:r w:rsidRPr="00FC4C86">
              <w:rPr>
                <w:rFonts w:ascii="Arial Narrow" w:hAnsi="Arial Narrow"/>
                <w:sz w:val="20"/>
              </w:rPr>
              <w:t>Uncertain</w:t>
            </w:r>
          </w:p>
        </w:tc>
      </w:tr>
      <w:tr w:rsidR="003741D0" w:rsidRPr="00244961" w14:paraId="15B8E65D" w14:textId="77777777" w:rsidTr="002F2867">
        <w:tc>
          <w:tcPr>
            <w:tcW w:w="4217" w:type="dxa"/>
          </w:tcPr>
          <w:p w14:paraId="406DB0BD" w14:textId="77777777" w:rsidR="003741D0" w:rsidRPr="00244961" w:rsidRDefault="003741D0" w:rsidP="003741D0">
            <w:pPr>
              <w:spacing w:before="40" w:after="40"/>
              <w:rPr>
                <w:rFonts w:ascii="Arial Narrow" w:hAnsi="Arial Narrow"/>
                <w:sz w:val="20"/>
              </w:rPr>
            </w:pPr>
            <w:r w:rsidRPr="00244961">
              <w:rPr>
                <w:rFonts w:ascii="Arial Narrow" w:hAnsi="Arial Narrow"/>
                <w:sz w:val="20"/>
              </w:rPr>
              <w:t>Safety measures for</w:t>
            </w:r>
          </w:p>
          <w:p w14:paraId="4B22129C" w14:textId="77777777" w:rsidR="003741D0" w:rsidRPr="00244961" w:rsidRDefault="003741D0" w:rsidP="003741D0">
            <w:pPr>
              <w:spacing w:before="40" w:after="40"/>
              <w:rPr>
                <w:rFonts w:ascii="Arial Narrow" w:hAnsi="Arial Narrow" w:cs="Arial"/>
                <w:sz w:val="20"/>
              </w:rPr>
            </w:pPr>
            <w:r>
              <w:rPr>
                <w:rFonts w:ascii="Arial Narrow" w:hAnsi="Arial Narrow"/>
                <w:sz w:val="20"/>
              </w:rPr>
              <w:t>PICO 2: o</w:t>
            </w:r>
            <w:r w:rsidRPr="00244961">
              <w:rPr>
                <w:rFonts w:ascii="Arial Narrow" w:hAnsi="Arial Narrow"/>
                <w:sz w:val="20"/>
              </w:rPr>
              <w:t>cular cancers</w:t>
            </w:r>
          </w:p>
        </w:tc>
        <w:tc>
          <w:tcPr>
            <w:tcW w:w="1134" w:type="dxa"/>
          </w:tcPr>
          <w:p w14:paraId="7530BD3D" w14:textId="77777777" w:rsidR="003741D0" w:rsidRPr="00244961" w:rsidRDefault="003741D0" w:rsidP="003741D0">
            <w:pPr>
              <w:spacing w:before="40" w:after="40"/>
              <w:jc w:val="center"/>
              <w:rPr>
                <w:rFonts w:ascii="Arial Narrow" w:hAnsi="Arial Narrow" w:cs="Arial"/>
                <w:sz w:val="20"/>
              </w:rPr>
            </w:pPr>
            <w:r>
              <w:rPr>
                <w:rFonts w:ascii="Arial Narrow" w:hAnsi="Arial Narrow"/>
                <w:sz w:val="20"/>
              </w:rPr>
              <w:t>1</w:t>
            </w:r>
          </w:p>
        </w:tc>
        <w:tc>
          <w:tcPr>
            <w:tcW w:w="1842" w:type="dxa"/>
          </w:tcPr>
          <w:p w14:paraId="69D8D3CE" w14:textId="77777777" w:rsidR="003741D0" w:rsidRPr="002B3FE2" w:rsidRDefault="003741D0" w:rsidP="003741D0">
            <w:pPr>
              <w:spacing w:before="40" w:after="40"/>
              <w:jc w:val="center"/>
              <w:rPr>
                <w:rFonts w:ascii="Arial Narrow" w:hAnsi="Arial Narrow" w:cs="Arial"/>
                <w:sz w:val="20"/>
              </w:rPr>
            </w:pPr>
            <w:r w:rsidRPr="002B3FE2">
              <w:rPr>
                <w:rFonts w:ascii="Cambria Math" w:hAnsi="Cambria Math" w:cs="Cambria Math"/>
                <w:sz w:val="20"/>
              </w:rPr>
              <w:t>⨁⨀⨀⨀</w:t>
            </w:r>
          </w:p>
        </w:tc>
        <w:tc>
          <w:tcPr>
            <w:tcW w:w="1823" w:type="dxa"/>
          </w:tcPr>
          <w:p w14:paraId="3E426F69" w14:textId="77777777" w:rsidR="003741D0" w:rsidRPr="00244961" w:rsidRDefault="003741D0" w:rsidP="003741D0">
            <w:pPr>
              <w:spacing w:before="40" w:after="40"/>
              <w:jc w:val="center"/>
              <w:rPr>
                <w:rFonts w:ascii="Arial Narrow" w:hAnsi="Arial Narrow" w:cs="Arial"/>
                <w:sz w:val="20"/>
              </w:rPr>
            </w:pPr>
            <w:r>
              <w:rPr>
                <w:rFonts w:ascii="Arial Narrow" w:hAnsi="Arial Narrow"/>
                <w:sz w:val="20"/>
              </w:rPr>
              <w:t>Uncertain</w:t>
            </w:r>
          </w:p>
        </w:tc>
      </w:tr>
      <w:tr w:rsidR="003741D0" w:rsidRPr="00244961" w14:paraId="15DCE3DB" w14:textId="77777777" w:rsidTr="002F2867">
        <w:tc>
          <w:tcPr>
            <w:tcW w:w="4217" w:type="dxa"/>
          </w:tcPr>
          <w:p w14:paraId="716A41BE" w14:textId="77777777" w:rsidR="003741D0" w:rsidRPr="00244961" w:rsidRDefault="003741D0" w:rsidP="003741D0">
            <w:pPr>
              <w:spacing w:before="40" w:after="40"/>
              <w:rPr>
                <w:rFonts w:ascii="Arial Narrow" w:hAnsi="Arial Narrow"/>
                <w:sz w:val="20"/>
              </w:rPr>
            </w:pPr>
            <w:r w:rsidRPr="00244961">
              <w:rPr>
                <w:rFonts w:ascii="Arial Narrow" w:hAnsi="Arial Narrow"/>
                <w:sz w:val="20"/>
              </w:rPr>
              <w:t>Effectiveness for</w:t>
            </w:r>
          </w:p>
          <w:p w14:paraId="14690C90" w14:textId="77777777" w:rsidR="003741D0" w:rsidRPr="00244961" w:rsidRDefault="003741D0" w:rsidP="003741D0">
            <w:pPr>
              <w:spacing w:before="40" w:after="40"/>
              <w:rPr>
                <w:rFonts w:ascii="Arial Narrow" w:hAnsi="Arial Narrow" w:cs="Arial"/>
                <w:sz w:val="20"/>
              </w:rPr>
            </w:pPr>
            <w:r>
              <w:rPr>
                <w:rFonts w:ascii="Arial Narrow" w:hAnsi="Arial Narrow"/>
                <w:sz w:val="20"/>
              </w:rPr>
              <w:t>PICO 2: o</w:t>
            </w:r>
            <w:r w:rsidRPr="00244961">
              <w:rPr>
                <w:rFonts w:ascii="Arial Narrow" w:hAnsi="Arial Narrow"/>
                <w:sz w:val="20"/>
              </w:rPr>
              <w:t>cular cancers</w:t>
            </w:r>
          </w:p>
        </w:tc>
        <w:tc>
          <w:tcPr>
            <w:tcW w:w="1134" w:type="dxa"/>
          </w:tcPr>
          <w:p w14:paraId="1D13B194" w14:textId="77777777" w:rsidR="003741D0" w:rsidRPr="00244961" w:rsidRDefault="003741D0" w:rsidP="003741D0">
            <w:pPr>
              <w:spacing w:before="40" w:after="40"/>
              <w:jc w:val="center"/>
              <w:rPr>
                <w:rFonts w:ascii="Arial Narrow" w:hAnsi="Arial Narrow" w:cs="Arial"/>
                <w:sz w:val="20"/>
              </w:rPr>
            </w:pPr>
            <w:r>
              <w:rPr>
                <w:rFonts w:ascii="Arial Narrow" w:hAnsi="Arial Narrow"/>
                <w:sz w:val="20"/>
              </w:rPr>
              <w:t>1</w:t>
            </w:r>
          </w:p>
        </w:tc>
        <w:tc>
          <w:tcPr>
            <w:tcW w:w="1842" w:type="dxa"/>
          </w:tcPr>
          <w:p w14:paraId="17903643" w14:textId="77777777" w:rsidR="003741D0" w:rsidRPr="002B3FE2" w:rsidRDefault="003741D0" w:rsidP="003741D0">
            <w:pPr>
              <w:spacing w:before="40" w:after="40"/>
              <w:jc w:val="center"/>
              <w:rPr>
                <w:rFonts w:ascii="Arial Narrow" w:hAnsi="Arial Narrow" w:cs="Arial"/>
                <w:sz w:val="20"/>
              </w:rPr>
            </w:pPr>
            <w:r w:rsidRPr="002B3FE2">
              <w:rPr>
                <w:rFonts w:ascii="Cambria Math" w:hAnsi="Cambria Math" w:cs="Cambria Math"/>
                <w:sz w:val="20"/>
              </w:rPr>
              <w:t>⨁⨀⨀⨀</w:t>
            </w:r>
          </w:p>
        </w:tc>
        <w:tc>
          <w:tcPr>
            <w:tcW w:w="1823" w:type="dxa"/>
          </w:tcPr>
          <w:p w14:paraId="127E645C" w14:textId="77777777" w:rsidR="003741D0" w:rsidRPr="00244961" w:rsidRDefault="003741D0" w:rsidP="003741D0">
            <w:pPr>
              <w:spacing w:before="40" w:after="40"/>
              <w:jc w:val="center"/>
              <w:rPr>
                <w:rFonts w:ascii="Arial Narrow" w:hAnsi="Arial Narrow" w:cs="Arial"/>
                <w:sz w:val="20"/>
              </w:rPr>
            </w:pPr>
            <w:r>
              <w:rPr>
                <w:rFonts w:ascii="Arial Narrow" w:hAnsi="Arial Narrow"/>
                <w:sz w:val="20"/>
              </w:rPr>
              <w:t>Uncertain</w:t>
            </w:r>
          </w:p>
        </w:tc>
      </w:tr>
      <w:tr w:rsidR="003741D0" w:rsidRPr="00244961" w14:paraId="2B1E35DC" w14:textId="77777777" w:rsidTr="002F2867">
        <w:tc>
          <w:tcPr>
            <w:tcW w:w="4217" w:type="dxa"/>
          </w:tcPr>
          <w:p w14:paraId="561E1882" w14:textId="77777777" w:rsidR="003741D0" w:rsidRPr="00244961" w:rsidRDefault="003741D0" w:rsidP="003741D0">
            <w:pPr>
              <w:spacing w:before="40" w:after="40"/>
              <w:rPr>
                <w:rFonts w:ascii="Arial Narrow" w:hAnsi="Arial Narrow"/>
                <w:sz w:val="20"/>
              </w:rPr>
            </w:pPr>
            <w:r w:rsidRPr="00244961">
              <w:rPr>
                <w:rFonts w:ascii="Arial Narrow" w:hAnsi="Arial Narrow"/>
                <w:sz w:val="20"/>
              </w:rPr>
              <w:t>Safety measures for</w:t>
            </w:r>
          </w:p>
          <w:p w14:paraId="5B9F05CC" w14:textId="77777777" w:rsidR="003741D0" w:rsidRPr="00244961" w:rsidRDefault="003741D0" w:rsidP="003741D0">
            <w:pPr>
              <w:spacing w:before="40" w:after="40"/>
              <w:rPr>
                <w:rFonts w:ascii="Arial Narrow" w:hAnsi="Arial Narrow" w:cs="Arial"/>
                <w:sz w:val="20"/>
              </w:rPr>
            </w:pPr>
            <w:r>
              <w:rPr>
                <w:rFonts w:ascii="Arial Narrow" w:hAnsi="Arial Narrow"/>
                <w:sz w:val="20"/>
              </w:rPr>
              <w:t>PICO 3: p</w:t>
            </w:r>
            <w:r w:rsidRPr="00244961">
              <w:rPr>
                <w:rFonts w:ascii="Arial Narrow" w:hAnsi="Arial Narrow"/>
                <w:sz w:val="20"/>
              </w:rPr>
              <w:t>aediatric and adolescent cancers</w:t>
            </w:r>
          </w:p>
        </w:tc>
        <w:tc>
          <w:tcPr>
            <w:tcW w:w="1134" w:type="dxa"/>
          </w:tcPr>
          <w:p w14:paraId="7EAE4364" w14:textId="77777777" w:rsidR="003741D0" w:rsidRPr="00244961" w:rsidRDefault="003741D0" w:rsidP="003741D0">
            <w:pPr>
              <w:spacing w:before="40" w:after="40"/>
              <w:jc w:val="center"/>
              <w:rPr>
                <w:rFonts w:ascii="Arial Narrow" w:hAnsi="Arial Narrow" w:cs="Arial"/>
                <w:sz w:val="20"/>
              </w:rPr>
            </w:pPr>
            <w:r>
              <w:rPr>
                <w:rFonts w:ascii="Arial Narrow" w:hAnsi="Arial Narrow"/>
                <w:sz w:val="20"/>
              </w:rPr>
              <w:t>6</w:t>
            </w:r>
          </w:p>
        </w:tc>
        <w:tc>
          <w:tcPr>
            <w:tcW w:w="1842" w:type="dxa"/>
          </w:tcPr>
          <w:p w14:paraId="7E5C3CD3" w14:textId="77777777" w:rsidR="003741D0" w:rsidRPr="002B3FE2" w:rsidRDefault="003741D0" w:rsidP="003741D0">
            <w:pPr>
              <w:spacing w:before="40" w:after="40"/>
              <w:jc w:val="center"/>
              <w:rPr>
                <w:rFonts w:ascii="Arial Narrow" w:hAnsi="Arial Narrow" w:cs="Arial"/>
                <w:sz w:val="20"/>
              </w:rPr>
            </w:pPr>
            <w:r w:rsidRPr="002B3FE2">
              <w:rPr>
                <w:rFonts w:ascii="Cambria Math" w:hAnsi="Cambria Math" w:cs="Cambria Math"/>
                <w:sz w:val="20"/>
              </w:rPr>
              <w:t>⨁⨀⨀⨀</w:t>
            </w:r>
          </w:p>
        </w:tc>
        <w:tc>
          <w:tcPr>
            <w:tcW w:w="1823" w:type="dxa"/>
          </w:tcPr>
          <w:p w14:paraId="33966144" w14:textId="77777777" w:rsidR="003741D0" w:rsidRPr="00244961" w:rsidRDefault="003741D0" w:rsidP="003741D0">
            <w:pPr>
              <w:spacing w:before="40" w:after="40"/>
              <w:jc w:val="center"/>
              <w:rPr>
                <w:rFonts w:ascii="Arial Narrow" w:hAnsi="Arial Narrow" w:cs="Arial"/>
                <w:sz w:val="20"/>
              </w:rPr>
            </w:pPr>
            <w:r>
              <w:rPr>
                <w:rFonts w:ascii="Arial Narrow" w:hAnsi="Arial Narrow"/>
                <w:sz w:val="20"/>
              </w:rPr>
              <w:t>Uncertain</w:t>
            </w:r>
          </w:p>
        </w:tc>
      </w:tr>
      <w:tr w:rsidR="003741D0" w:rsidRPr="00244961" w14:paraId="73FED05D" w14:textId="77777777" w:rsidTr="002F2867">
        <w:tc>
          <w:tcPr>
            <w:tcW w:w="4217" w:type="dxa"/>
          </w:tcPr>
          <w:p w14:paraId="41050FB0" w14:textId="77777777" w:rsidR="003741D0" w:rsidRPr="00244961" w:rsidRDefault="003741D0" w:rsidP="003741D0">
            <w:pPr>
              <w:spacing w:before="40" w:after="40"/>
              <w:rPr>
                <w:rFonts w:ascii="Arial Narrow" w:hAnsi="Arial Narrow"/>
                <w:sz w:val="20"/>
              </w:rPr>
            </w:pPr>
            <w:r w:rsidRPr="00244961">
              <w:rPr>
                <w:rFonts w:ascii="Arial Narrow" w:hAnsi="Arial Narrow"/>
                <w:sz w:val="20"/>
              </w:rPr>
              <w:t>Effectiveness for</w:t>
            </w:r>
          </w:p>
          <w:p w14:paraId="7A37B9D0" w14:textId="77777777" w:rsidR="003741D0" w:rsidRPr="00244961" w:rsidRDefault="003741D0" w:rsidP="003741D0">
            <w:pPr>
              <w:spacing w:before="40" w:after="40"/>
              <w:rPr>
                <w:rFonts w:ascii="Arial Narrow" w:hAnsi="Arial Narrow" w:cs="Arial"/>
                <w:sz w:val="20"/>
              </w:rPr>
            </w:pPr>
            <w:r>
              <w:rPr>
                <w:rFonts w:ascii="Arial Narrow" w:hAnsi="Arial Narrow"/>
                <w:sz w:val="20"/>
              </w:rPr>
              <w:t>PICO 3: p</w:t>
            </w:r>
            <w:r w:rsidRPr="00244961">
              <w:rPr>
                <w:rFonts w:ascii="Arial Narrow" w:hAnsi="Arial Narrow"/>
                <w:sz w:val="20"/>
              </w:rPr>
              <w:t>aediatric and adolescent cancers</w:t>
            </w:r>
          </w:p>
        </w:tc>
        <w:tc>
          <w:tcPr>
            <w:tcW w:w="1134" w:type="dxa"/>
          </w:tcPr>
          <w:p w14:paraId="46E04976" w14:textId="77777777" w:rsidR="003741D0" w:rsidRPr="00244961" w:rsidRDefault="003741D0" w:rsidP="003741D0">
            <w:pPr>
              <w:spacing w:before="40" w:after="40"/>
              <w:jc w:val="center"/>
              <w:rPr>
                <w:rFonts w:ascii="Arial Narrow" w:hAnsi="Arial Narrow" w:cs="Arial"/>
                <w:sz w:val="20"/>
              </w:rPr>
            </w:pPr>
            <w:r>
              <w:rPr>
                <w:rFonts w:ascii="Arial Narrow" w:hAnsi="Arial Narrow"/>
                <w:sz w:val="20"/>
              </w:rPr>
              <w:t>7</w:t>
            </w:r>
          </w:p>
        </w:tc>
        <w:tc>
          <w:tcPr>
            <w:tcW w:w="1842" w:type="dxa"/>
          </w:tcPr>
          <w:p w14:paraId="256F1919" w14:textId="77777777" w:rsidR="003741D0" w:rsidRPr="002B3FE2" w:rsidRDefault="003741D0" w:rsidP="003741D0">
            <w:pPr>
              <w:spacing w:before="40" w:after="40"/>
              <w:jc w:val="center"/>
              <w:rPr>
                <w:rFonts w:ascii="Arial Narrow" w:hAnsi="Arial Narrow" w:cs="Arial"/>
                <w:sz w:val="20"/>
              </w:rPr>
            </w:pPr>
            <w:r w:rsidRPr="002B3FE2">
              <w:rPr>
                <w:rFonts w:ascii="Cambria Math" w:hAnsi="Cambria Math" w:cs="Cambria Math"/>
                <w:sz w:val="20"/>
              </w:rPr>
              <w:t>⨁⨀⨀⨀</w:t>
            </w:r>
          </w:p>
        </w:tc>
        <w:tc>
          <w:tcPr>
            <w:tcW w:w="1823" w:type="dxa"/>
          </w:tcPr>
          <w:p w14:paraId="322296C5" w14:textId="77777777" w:rsidR="003741D0" w:rsidRPr="00244961" w:rsidRDefault="003741D0" w:rsidP="003741D0">
            <w:pPr>
              <w:spacing w:before="40" w:after="40"/>
              <w:jc w:val="center"/>
              <w:rPr>
                <w:rFonts w:ascii="Arial Narrow" w:hAnsi="Arial Narrow" w:cs="Arial"/>
                <w:sz w:val="20"/>
              </w:rPr>
            </w:pPr>
            <w:r>
              <w:rPr>
                <w:rFonts w:ascii="Arial Narrow" w:hAnsi="Arial Narrow"/>
                <w:sz w:val="20"/>
              </w:rPr>
              <w:t>U</w:t>
            </w:r>
            <w:r w:rsidRPr="00244961">
              <w:rPr>
                <w:rFonts w:ascii="Arial Narrow" w:hAnsi="Arial Narrow"/>
                <w:sz w:val="20"/>
              </w:rPr>
              <w:t>ncertain</w:t>
            </w:r>
          </w:p>
        </w:tc>
      </w:tr>
      <w:tr w:rsidR="003741D0" w:rsidRPr="00244961" w14:paraId="52888C87" w14:textId="77777777" w:rsidTr="002F2867">
        <w:tc>
          <w:tcPr>
            <w:tcW w:w="4217" w:type="dxa"/>
          </w:tcPr>
          <w:p w14:paraId="118C86F5" w14:textId="77777777" w:rsidR="003741D0" w:rsidRPr="00244961" w:rsidRDefault="003741D0" w:rsidP="003741D0">
            <w:pPr>
              <w:spacing w:before="40" w:after="40"/>
              <w:rPr>
                <w:rFonts w:ascii="Arial Narrow" w:hAnsi="Arial Narrow"/>
                <w:sz w:val="20"/>
              </w:rPr>
            </w:pPr>
            <w:r w:rsidRPr="00244961">
              <w:rPr>
                <w:rFonts w:ascii="Arial Narrow" w:hAnsi="Arial Narrow"/>
                <w:sz w:val="20"/>
              </w:rPr>
              <w:t>Safety measures for</w:t>
            </w:r>
          </w:p>
          <w:p w14:paraId="5722328E" w14:textId="77777777" w:rsidR="003741D0" w:rsidRPr="00244961" w:rsidRDefault="003741D0" w:rsidP="003741D0">
            <w:pPr>
              <w:spacing w:before="40" w:after="40"/>
              <w:rPr>
                <w:rFonts w:ascii="Arial Narrow" w:hAnsi="Arial Narrow" w:cs="Arial"/>
                <w:sz w:val="20"/>
              </w:rPr>
            </w:pPr>
            <w:r>
              <w:rPr>
                <w:rFonts w:ascii="Arial Narrow" w:hAnsi="Arial Narrow"/>
                <w:sz w:val="20"/>
              </w:rPr>
              <w:t>PICO 4: o</w:t>
            </w:r>
            <w:r w:rsidRPr="00244961">
              <w:rPr>
                <w:rFonts w:ascii="Arial Narrow" w:hAnsi="Arial Narrow"/>
                <w:sz w:val="20"/>
              </w:rPr>
              <w:t>ther populations</w:t>
            </w:r>
          </w:p>
        </w:tc>
        <w:tc>
          <w:tcPr>
            <w:tcW w:w="1134" w:type="dxa"/>
          </w:tcPr>
          <w:p w14:paraId="55FA4B59" w14:textId="77777777" w:rsidR="003741D0" w:rsidRPr="00244961" w:rsidRDefault="003741D0" w:rsidP="003741D0">
            <w:pPr>
              <w:spacing w:before="40" w:after="40"/>
              <w:jc w:val="center"/>
              <w:rPr>
                <w:rFonts w:ascii="Arial Narrow" w:hAnsi="Arial Narrow" w:cs="Arial"/>
                <w:sz w:val="20"/>
              </w:rPr>
            </w:pPr>
            <w:r>
              <w:rPr>
                <w:rFonts w:ascii="Arial Narrow" w:hAnsi="Arial Narrow"/>
                <w:sz w:val="20"/>
              </w:rPr>
              <w:t>1</w:t>
            </w:r>
          </w:p>
        </w:tc>
        <w:tc>
          <w:tcPr>
            <w:tcW w:w="1842" w:type="dxa"/>
          </w:tcPr>
          <w:p w14:paraId="7E298665" w14:textId="77777777" w:rsidR="003741D0" w:rsidRPr="002B3FE2" w:rsidRDefault="003741D0" w:rsidP="003741D0">
            <w:pPr>
              <w:spacing w:before="40" w:after="40"/>
              <w:jc w:val="center"/>
              <w:rPr>
                <w:rFonts w:ascii="Arial Narrow" w:hAnsi="Arial Narrow" w:cs="Arial"/>
                <w:sz w:val="20"/>
              </w:rPr>
            </w:pPr>
            <w:r w:rsidRPr="002B3FE2">
              <w:rPr>
                <w:rFonts w:ascii="Cambria Math" w:hAnsi="Cambria Math" w:cs="Cambria Math"/>
                <w:sz w:val="20"/>
              </w:rPr>
              <w:t>⨁⨀⨀⨀</w:t>
            </w:r>
          </w:p>
        </w:tc>
        <w:tc>
          <w:tcPr>
            <w:tcW w:w="1823" w:type="dxa"/>
          </w:tcPr>
          <w:p w14:paraId="1A15D491" w14:textId="77777777" w:rsidR="003741D0" w:rsidRPr="00244961" w:rsidRDefault="003741D0" w:rsidP="003741D0">
            <w:pPr>
              <w:spacing w:before="40" w:after="40"/>
              <w:jc w:val="center"/>
              <w:rPr>
                <w:rFonts w:ascii="Arial Narrow" w:hAnsi="Arial Narrow" w:cs="Arial"/>
                <w:sz w:val="20"/>
              </w:rPr>
            </w:pPr>
            <w:r>
              <w:rPr>
                <w:rFonts w:ascii="Arial Narrow" w:hAnsi="Arial Narrow"/>
                <w:sz w:val="20"/>
              </w:rPr>
              <w:t>Uncertain</w:t>
            </w:r>
          </w:p>
        </w:tc>
      </w:tr>
      <w:tr w:rsidR="003741D0" w:rsidRPr="00244961" w14:paraId="36B3F44B" w14:textId="77777777" w:rsidTr="002F2867">
        <w:tc>
          <w:tcPr>
            <w:tcW w:w="4217" w:type="dxa"/>
          </w:tcPr>
          <w:p w14:paraId="5B83E651" w14:textId="77777777" w:rsidR="003741D0" w:rsidRPr="00244961" w:rsidRDefault="003741D0" w:rsidP="003741D0">
            <w:pPr>
              <w:spacing w:before="40" w:after="40"/>
              <w:rPr>
                <w:rFonts w:ascii="Arial Narrow" w:hAnsi="Arial Narrow"/>
                <w:sz w:val="20"/>
              </w:rPr>
            </w:pPr>
            <w:r w:rsidRPr="00244961">
              <w:rPr>
                <w:rFonts w:ascii="Arial Narrow" w:hAnsi="Arial Narrow"/>
                <w:sz w:val="20"/>
              </w:rPr>
              <w:t>Effectiveness for</w:t>
            </w:r>
          </w:p>
          <w:p w14:paraId="6E279201" w14:textId="77777777" w:rsidR="003741D0" w:rsidRPr="00244961" w:rsidRDefault="003741D0" w:rsidP="003741D0">
            <w:pPr>
              <w:spacing w:before="40" w:after="40"/>
              <w:rPr>
                <w:rFonts w:ascii="Arial Narrow" w:hAnsi="Arial Narrow" w:cs="Arial"/>
                <w:sz w:val="20"/>
              </w:rPr>
            </w:pPr>
            <w:r>
              <w:rPr>
                <w:rFonts w:ascii="Arial Narrow" w:hAnsi="Arial Narrow"/>
                <w:sz w:val="20"/>
              </w:rPr>
              <w:t>PICO 4: o</w:t>
            </w:r>
            <w:r w:rsidRPr="00244961">
              <w:rPr>
                <w:rFonts w:ascii="Arial Narrow" w:hAnsi="Arial Narrow"/>
                <w:sz w:val="20"/>
              </w:rPr>
              <w:t>ther populations</w:t>
            </w:r>
          </w:p>
        </w:tc>
        <w:tc>
          <w:tcPr>
            <w:tcW w:w="1134" w:type="dxa"/>
          </w:tcPr>
          <w:p w14:paraId="7F1935BB" w14:textId="77777777" w:rsidR="003741D0" w:rsidRPr="00244961" w:rsidRDefault="003741D0" w:rsidP="003741D0">
            <w:pPr>
              <w:spacing w:before="40" w:after="40"/>
              <w:jc w:val="center"/>
              <w:rPr>
                <w:rFonts w:ascii="Arial Narrow" w:hAnsi="Arial Narrow" w:cs="Arial"/>
                <w:sz w:val="20"/>
              </w:rPr>
            </w:pPr>
            <w:r>
              <w:rPr>
                <w:rFonts w:ascii="Arial Narrow" w:hAnsi="Arial Narrow"/>
                <w:sz w:val="20"/>
              </w:rPr>
              <w:t>1</w:t>
            </w:r>
          </w:p>
        </w:tc>
        <w:tc>
          <w:tcPr>
            <w:tcW w:w="1842" w:type="dxa"/>
          </w:tcPr>
          <w:p w14:paraId="052F536E" w14:textId="77777777" w:rsidR="003741D0" w:rsidRPr="002B3FE2" w:rsidRDefault="003741D0" w:rsidP="003741D0">
            <w:pPr>
              <w:spacing w:before="40" w:after="40"/>
              <w:jc w:val="center"/>
              <w:rPr>
                <w:rFonts w:ascii="Arial Narrow" w:hAnsi="Arial Narrow" w:cs="Arial"/>
                <w:sz w:val="20"/>
              </w:rPr>
            </w:pPr>
            <w:r w:rsidRPr="002B3FE2">
              <w:rPr>
                <w:rFonts w:ascii="Cambria Math" w:hAnsi="Cambria Math" w:cs="Cambria Math"/>
                <w:sz w:val="20"/>
              </w:rPr>
              <w:t>⨁⨀⨀⨀</w:t>
            </w:r>
          </w:p>
        </w:tc>
        <w:tc>
          <w:tcPr>
            <w:tcW w:w="1823" w:type="dxa"/>
          </w:tcPr>
          <w:p w14:paraId="03A04642" w14:textId="77777777" w:rsidR="003741D0" w:rsidRPr="00244961" w:rsidRDefault="003741D0" w:rsidP="003741D0">
            <w:pPr>
              <w:spacing w:before="40" w:after="40"/>
              <w:jc w:val="center"/>
              <w:rPr>
                <w:rFonts w:ascii="Arial Narrow" w:hAnsi="Arial Narrow" w:cs="Arial"/>
                <w:sz w:val="20"/>
              </w:rPr>
            </w:pPr>
            <w:r>
              <w:rPr>
                <w:rFonts w:ascii="Arial Narrow" w:hAnsi="Arial Narrow"/>
                <w:sz w:val="20"/>
              </w:rPr>
              <w:t>Uncertain</w:t>
            </w:r>
          </w:p>
        </w:tc>
      </w:tr>
    </w:tbl>
    <w:p w14:paraId="30AFC26E" w14:textId="77777777" w:rsidR="003741D0" w:rsidRDefault="002B3FE2" w:rsidP="003741D0">
      <w:pPr>
        <w:pStyle w:val="Tablefootnotes"/>
        <w:spacing w:after="0"/>
        <w:rPr>
          <w:rStyle w:val="TableNotesChar0"/>
          <w:rFonts w:eastAsiaTheme="minorHAnsi"/>
        </w:rPr>
      </w:pPr>
      <w:r w:rsidRPr="002B3FE2">
        <w:rPr>
          <w:rFonts w:cs="Arial"/>
          <w:vertAlign w:val="superscript"/>
        </w:rPr>
        <w:t xml:space="preserve">a </w:t>
      </w:r>
      <w:r w:rsidRPr="002B3FE2">
        <w:rPr>
          <w:rFonts w:cs="Arial"/>
        </w:rPr>
        <w:t>GRADE Working Group grades of evidence (Atkins D. et al., 2013)</w:t>
      </w:r>
      <w:hyperlink w:anchor="_ENREF_1" w:tooltip="Atkins, 2004 #34" w:history="1">
        <w:r w:rsidRPr="002B3FE2">
          <w:rPr>
            <w:rFonts w:cs="Arial"/>
          </w:rPr>
          <w:fldChar w:fldCharType="begin">
            <w:fldData xml:space="preserve">PEVuZE5vdGU+PENpdGU+PEF1dGhvcj5BdGtpbnM8L0F1dGhvcj48WWVhcj4yMDA0PC9ZZWFyPjxS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</w:fldData>
          </w:fldChar>
        </w:r>
        <w:r w:rsidRPr="002B3FE2">
          <w:rPr>
            <w:rFonts w:cs="Arial"/>
          </w:rPr>
          <w:instrText xml:space="preserve"> ADDIN EN.CITE </w:instrText>
        </w:r>
        <w:r w:rsidRPr="002B3FE2">
          <w:rPr>
            <w:rFonts w:cs="Arial"/>
          </w:rPr>
          <w:fldChar w:fldCharType="begin">
            <w:fldData xml:space="preserve">PEVuZE5vdGU+PENpdGU+PEF1dGhvcj5BdGtpbnM8L0F1dGhvcj48WWVhcj4yMDA0PC9ZZWFyPjxS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</w:fldData>
          </w:fldChar>
        </w:r>
        <w:r w:rsidRPr="002B3FE2">
          <w:rPr>
            <w:rFonts w:cs="Arial"/>
          </w:rPr>
          <w:instrText xml:space="preserve"> ADDIN EN.CITE.DATA </w:instrText>
        </w:r>
        <w:r w:rsidRPr="002B3FE2">
          <w:rPr>
            <w:rFonts w:cs="Arial"/>
          </w:rPr>
        </w:r>
        <w:r w:rsidRPr="002B3FE2">
          <w:rPr>
            <w:rFonts w:cs="Arial"/>
          </w:rPr>
          <w:fldChar w:fldCharType="end"/>
        </w:r>
        <w:r w:rsidRPr="002B3FE2">
          <w:rPr>
            <w:rFonts w:cs="Arial"/>
          </w:rPr>
        </w:r>
        <w:r w:rsidRPr="002B3FE2">
          <w:rPr>
            <w:rFonts w:cs="Arial"/>
          </w:rPr>
          <w:fldChar w:fldCharType="separate"/>
        </w:r>
        <w:r w:rsidRPr="002B3FE2">
          <w:rPr>
            <w:rFonts w:cs="Arial"/>
            <w:noProof/>
            <w:vertAlign w:val="superscript"/>
          </w:rPr>
          <w:t>1</w:t>
        </w:r>
        <w:r w:rsidRPr="002B3FE2">
          <w:rPr>
            <w:rFonts w:cs="Arial"/>
          </w:rPr>
          <w:fldChar w:fldCharType="end"/>
        </w:r>
      </w:hyperlink>
      <w:r w:rsidRPr="002B3FE2">
        <w:rPr>
          <w:rFonts w:cs="Arial"/>
        </w:rPr>
        <w:br/>
      </w:r>
      <w:r w:rsidRPr="002B3FE2">
        <w:rPr>
          <w:rFonts w:ascii="Cambria Math" w:hAnsi="Cambria Math" w:cs="Cambria Math"/>
        </w:rPr>
        <w:t>⨁⨁⨁⨁</w:t>
      </w:r>
      <w:r w:rsidRPr="002B3FE2">
        <w:t xml:space="preserve"> </w:t>
      </w:r>
      <w:r w:rsidRPr="002B3FE2">
        <w:rPr>
          <w:rFonts w:cs="Arial"/>
          <w:b/>
          <w:bCs/>
        </w:rPr>
        <w:t>High quality:</w:t>
      </w:r>
      <w:r w:rsidRPr="002B3FE2">
        <w:rPr>
          <w:rFonts w:cs="Arial"/>
        </w:rPr>
        <w:t xml:space="preserve"> We are very confident that the true effect lies close to </w:t>
      </w:r>
      <w:r w:rsidR="00F13351">
        <w:rPr>
          <w:rFonts w:cs="Arial"/>
        </w:rPr>
        <w:t>that of the estimate of effect.</w:t>
      </w:r>
      <w:r w:rsidRPr="002B3FE2">
        <w:rPr>
          <w:rFonts w:cs="Arial"/>
        </w:rPr>
        <w:br/>
      </w:r>
      <w:r w:rsidRPr="002B3FE2">
        <w:rPr>
          <w:rFonts w:ascii="Cambria Math" w:hAnsi="Cambria Math" w:cs="Cambria Math"/>
        </w:rPr>
        <w:t>⨁⨁⨁⨀</w:t>
      </w:r>
      <w:r w:rsidRPr="002B3FE2">
        <w:rPr>
          <w:rFonts w:cs="Cambria Math"/>
        </w:rPr>
        <w:t xml:space="preserve"> </w:t>
      </w:r>
      <w:r w:rsidRPr="002B3FE2">
        <w:rPr>
          <w:rFonts w:cs="Arial"/>
          <w:b/>
          <w:bCs/>
        </w:rPr>
        <w:t>Moderate quality:</w:t>
      </w:r>
      <w:r w:rsidRPr="002B3FE2">
        <w:rPr>
          <w:rFonts w:cs="Arial"/>
        </w:rPr>
        <w:t xml:space="preserve"> We are moderately confident in the effect estimate: The true effect is likely to be close to the estimate of the effect, but there is a possibility that</w:t>
      </w:r>
      <w:r w:rsidR="00F13351">
        <w:rPr>
          <w:rFonts w:cs="Arial"/>
        </w:rPr>
        <w:t xml:space="preserve"> it is substantially different.</w:t>
      </w:r>
      <w:r w:rsidRPr="002B3FE2">
        <w:rPr>
          <w:rFonts w:cs="Arial"/>
        </w:rPr>
        <w:br/>
      </w:r>
      <w:r w:rsidRPr="002B3FE2">
        <w:rPr>
          <w:rFonts w:ascii="Cambria Math" w:hAnsi="Cambria Math" w:cs="Cambria Math"/>
        </w:rPr>
        <w:t>⨁⨁⨀⨀</w:t>
      </w:r>
      <w:r w:rsidRPr="002B3FE2">
        <w:rPr>
          <w:rFonts w:cs="Cambria Math"/>
        </w:rPr>
        <w:t xml:space="preserve"> </w:t>
      </w:r>
      <w:r w:rsidRPr="002B3FE2">
        <w:rPr>
          <w:rFonts w:cs="Arial"/>
          <w:b/>
          <w:bCs/>
        </w:rPr>
        <w:t>Low quality:</w:t>
      </w:r>
      <w:r w:rsidRPr="002B3FE2">
        <w:rPr>
          <w:rFonts w:cs="Arial"/>
        </w:rPr>
        <w:t xml:space="preserve"> Our confidence in the effect estimate is limited: The true effect may be substantially different from the estimate of the effect.</w:t>
      </w:r>
      <w:r w:rsidRPr="002B3FE2">
        <w:rPr>
          <w:rFonts w:cs="Arial"/>
        </w:rPr>
        <w:br/>
      </w:r>
      <w:r w:rsidRPr="002B3FE2">
        <w:rPr>
          <w:rFonts w:ascii="Cambria Math" w:hAnsi="Cambria Math" w:cs="Cambria Math"/>
        </w:rPr>
        <w:t>⨁⨀⨀⨀</w:t>
      </w:r>
      <w:r w:rsidRPr="002B3FE2">
        <w:rPr>
          <w:rFonts w:cs="Cambria Math"/>
        </w:rPr>
        <w:t xml:space="preserve"> </w:t>
      </w:r>
      <w:r w:rsidRPr="002B3FE2">
        <w:rPr>
          <w:rFonts w:cs="Arial"/>
          <w:b/>
          <w:bCs/>
        </w:rPr>
        <w:t>Very low quality:</w:t>
      </w:r>
      <w:r w:rsidRPr="002B3FE2">
        <w:rPr>
          <w:rFonts w:cs="Arial"/>
        </w:rPr>
        <w:t xml:space="preserve"> We have very little confidence in the effect estimate: The true effect is likely to be substantially different from the estimate of effect.</w:t>
      </w:r>
      <w:r w:rsidR="003741D0" w:rsidRPr="003741D0">
        <w:rPr>
          <w:rStyle w:val="TableNotesChar0"/>
          <w:rFonts w:eastAsiaTheme="minorHAnsi"/>
        </w:rPr>
        <w:t xml:space="preserve"> </w:t>
      </w:r>
    </w:p>
    <w:p w14:paraId="61C2BFFD" w14:textId="77777777" w:rsidR="002B3FE2" w:rsidRPr="002B3FE2" w:rsidRDefault="003741D0" w:rsidP="003741D0">
      <w:pPr>
        <w:rPr>
          <w:rFonts w:ascii="Arial Narrow" w:hAnsi="Arial Narrow" w:cs="Arial"/>
          <w:sz w:val="18"/>
          <w:szCs w:val="18"/>
        </w:rPr>
      </w:pPr>
      <w:r w:rsidRPr="003741D0">
        <w:rPr>
          <w:sz w:val="16"/>
          <w:szCs w:val="16"/>
          <w:vertAlign w:val="superscript"/>
        </w:rPr>
        <w:t>a</w:t>
      </w:r>
      <w:r w:rsidRPr="003741D0">
        <w:rPr>
          <w:sz w:val="16"/>
          <w:szCs w:val="16"/>
        </w:rPr>
        <w:t xml:space="preserve"> Extracted from Institute for Clinical and Economic Review (ICER), PBT: Final Evidence Report Washington State Health Care Authority- Health Technology Assessment. 2014 (provided in evidence pack of contracted assessment); and original source, Brown et al. (2013)</w:t>
      </w:r>
    </w:p>
    <w:p w14:paraId="074C3870" w14:textId="77777777" w:rsidR="00F37B9C" w:rsidRDefault="00F37B9C" w:rsidP="00924B99">
      <w:pPr>
        <w:tabs>
          <w:tab w:val="left" w:pos="720"/>
          <w:tab w:val="left" w:pos="1140"/>
        </w:tabs>
        <w:spacing w:before="240" w:after="120"/>
        <w:rPr>
          <w:b/>
          <w:szCs w:val="24"/>
        </w:rPr>
      </w:pPr>
      <w:r w:rsidRPr="00F37B9C">
        <w:rPr>
          <w:b/>
          <w:szCs w:val="24"/>
        </w:rPr>
        <w:t xml:space="preserve">Clinical </w:t>
      </w:r>
      <w:r w:rsidR="008A438A">
        <w:rPr>
          <w:b/>
          <w:szCs w:val="24"/>
        </w:rPr>
        <w:t>c</w:t>
      </w:r>
      <w:r w:rsidRPr="00F37B9C">
        <w:rPr>
          <w:b/>
          <w:szCs w:val="24"/>
        </w:rPr>
        <w:t>laim</w:t>
      </w:r>
    </w:p>
    <w:p w14:paraId="121DC6E7" w14:textId="77777777" w:rsidR="003215F5" w:rsidRPr="003215F5" w:rsidRDefault="003215F5" w:rsidP="00F715D1">
      <w:pPr>
        <w:tabs>
          <w:tab w:val="left" w:pos="720"/>
          <w:tab w:val="left" w:pos="1140"/>
        </w:tabs>
        <w:spacing w:after="240"/>
        <w:rPr>
          <w:szCs w:val="24"/>
        </w:rPr>
      </w:pPr>
      <w:r w:rsidRPr="00244961">
        <w:t>The clinical claim</w:t>
      </w:r>
      <w:r w:rsidR="00DA4E4C">
        <w:t>s</w:t>
      </w:r>
      <w:r w:rsidRPr="00244961">
        <w:t xml:space="preserve"> </w:t>
      </w:r>
      <w:r w:rsidR="00BE0747">
        <w:t>w</w:t>
      </w:r>
      <w:r w:rsidR="00DA4E4C">
        <w:t>ere</w:t>
      </w:r>
      <w:r w:rsidRPr="00244961">
        <w:t xml:space="preserve"> that PBT is superior in clinical effectiveness and either non</w:t>
      </w:r>
      <w:r w:rsidRPr="00244961">
        <w:rPr>
          <w:rFonts w:ascii="Cambria Math" w:hAnsi="Cambria Math" w:cs="Cambria Math"/>
        </w:rPr>
        <w:t>‐</w:t>
      </w:r>
      <w:r w:rsidRPr="00244961">
        <w:t>inferior or superior in safety to usual standard of care.</w:t>
      </w:r>
      <w:r w:rsidR="00AB2BE0">
        <w:t xml:space="preserve"> However, the </w:t>
      </w:r>
      <w:r w:rsidR="00BE0747">
        <w:t>assessment report</w:t>
      </w:r>
      <w:r w:rsidR="00AB2BE0">
        <w:t xml:space="preserve"> stated that there was insufficient evidence of high quality to support th</w:t>
      </w:r>
      <w:r w:rsidR="00DA4E4C">
        <w:t>ese</w:t>
      </w:r>
      <w:r w:rsidR="00AB2BE0">
        <w:t xml:space="preserve"> claim</w:t>
      </w:r>
      <w:r w:rsidR="00DA4E4C">
        <w:t>s</w:t>
      </w:r>
      <w:r w:rsidR="00AB2BE0">
        <w:t>.</w:t>
      </w:r>
    </w:p>
    <w:p w14:paraId="1B6457D3" w14:textId="77777777" w:rsidR="00BC1364" w:rsidRDefault="00BC1364" w:rsidP="00F715D1">
      <w:pPr>
        <w:pStyle w:val="Heading1"/>
      </w:pPr>
      <w:r w:rsidRPr="00F715D1">
        <w:t>Economic evaluation</w:t>
      </w:r>
    </w:p>
    <w:p w14:paraId="7389ED33" w14:textId="77777777" w:rsidR="00C66D02" w:rsidRDefault="00C66D02" w:rsidP="003215F5">
      <w:r w:rsidRPr="00C66D02">
        <w:t>A cost-consequences evaluation was used, due to the identified translational issues and because of uncertainties in the quality</w:t>
      </w:r>
      <w:r>
        <w:t xml:space="preserve"> and gaps in the evidence base (</w:t>
      </w:r>
      <w:r>
        <w:fldChar w:fldCharType="begin"/>
      </w:r>
      <w:r>
        <w:instrText xml:space="preserve"> REF _Ref497405512 \h </w:instrText>
      </w:r>
      <w:r>
        <w:fldChar w:fldCharType="separate"/>
      </w:r>
      <w:r w:rsidR="00764489" w:rsidRPr="00244961">
        <w:t xml:space="preserve">Table </w:t>
      </w:r>
      <w:r w:rsidR="00316509">
        <w:t>4</w:t>
      </w:r>
      <w:r>
        <w:fldChar w:fldCharType="end"/>
      </w:r>
      <w:r>
        <w:t>).</w:t>
      </w:r>
    </w:p>
    <w:p w14:paraId="0D5DBC89" w14:textId="77777777" w:rsidR="00C66D02" w:rsidRPr="00244961" w:rsidRDefault="00C66D02" w:rsidP="00316509">
      <w:pPr>
        <w:pStyle w:val="Caption"/>
        <w:keepNext/>
        <w:rPr>
          <w:b w:val="0"/>
          <w:bCs w:val="0"/>
        </w:rPr>
      </w:pPr>
      <w:bookmarkStart w:id="14" w:name="_Ref497405512"/>
      <w:bookmarkStart w:id="15" w:name="_Toc522176468"/>
      <w:r w:rsidRPr="00244961">
        <w:lastRenderedPageBreak/>
        <w:t xml:space="preserve">Table </w:t>
      </w:r>
      <w:r w:rsidR="004F706B">
        <w:t>4</w:t>
      </w:r>
      <w:bookmarkEnd w:id="14"/>
      <w:r w:rsidRPr="00244961">
        <w:tab/>
        <w:t>Summary of the economic evaluation</w:t>
      </w:r>
      <w:bookmarkEnd w:id="15"/>
    </w:p>
    <w:tbl>
      <w:tblPr>
        <w:tblStyle w:val="TableGrid11"/>
        <w:tblW w:w="9185" w:type="dxa"/>
        <w:tblLook w:val="01E0" w:firstRow="1" w:lastRow="1" w:firstColumn="1" w:lastColumn="1" w:noHBand="0" w:noVBand="0"/>
        <w:tblCaption w:val="Summary of the economic evaluation"/>
        <w:tblDescription w:val="This table describes the key constructs of the economic evaluation that is provided in the assessment report."/>
      </w:tblPr>
      <w:tblGrid>
        <w:gridCol w:w="3158"/>
        <w:gridCol w:w="6027"/>
      </w:tblGrid>
      <w:tr w:rsidR="00C66D02" w:rsidRPr="00244961" w14:paraId="33DE6EE6" w14:textId="77777777" w:rsidTr="002F2867">
        <w:trPr>
          <w:trHeight w:val="20"/>
          <w:tblHeader/>
        </w:trPr>
        <w:tc>
          <w:tcPr>
            <w:tcW w:w="3158" w:type="dxa"/>
          </w:tcPr>
          <w:p w14:paraId="601682BF" w14:textId="77777777" w:rsidR="00C66D02" w:rsidRPr="00244961" w:rsidRDefault="00C66D02" w:rsidP="00F6759C">
            <w:pPr>
              <w:pStyle w:val="Tabletext0"/>
            </w:pPr>
            <w:r w:rsidRPr="00244961">
              <w:t>Perspective</w:t>
            </w:r>
          </w:p>
        </w:tc>
        <w:tc>
          <w:tcPr>
            <w:tcW w:w="6027" w:type="dxa"/>
          </w:tcPr>
          <w:p w14:paraId="5AA2D551" w14:textId="77777777" w:rsidR="00C66D02" w:rsidRPr="00244961" w:rsidRDefault="00C66D02" w:rsidP="00F6759C">
            <w:pPr>
              <w:pStyle w:val="Tabletext0"/>
            </w:pPr>
            <w:r w:rsidRPr="00244961">
              <w:t>Payer</w:t>
            </w:r>
          </w:p>
        </w:tc>
      </w:tr>
      <w:tr w:rsidR="00C66D02" w:rsidRPr="00244961" w14:paraId="5163C004" w14:textId="77777777" w:rsidTr="002F2867">
        <w:trPr>
          <w:trHeight w:val="20"/>
        </w:trPr>
        <w:tc>
          <w:tcPr>
            <w:tcW w:w="3158" w:type="dxa"/>
          </w:tcPr>
          <w:p w14:paraId="77514BA9" w14:textId="77777777" w:rsidR="00C66D02" w:rsidRPr="00244961" w:rsidRDefault="00C66D02" w:rsidP="00F6759C">
            <w:pPr>
              <w:pStyle w:val="Tabletext0"/>
            </w:pPr>
            <w:r w:rsidRPr="00244961">
              <w:t>Comparator</w:t>
            </w:r>
          </w:p>
        </w:tc>
        <w:tc>
          <w:tcPr>
            <w:tcW w:w="6027" w:type="dxa"/>
          </w:tcPr>
          <w:p w14:paraId="04D097FF" w14:textId="77777777" w:rsidR="00C66D02" w:rsidRPr="00244961" w:rsidRDefault="00C66D02" w:rsidP="004F5F5E">
            <w:pPr>
              <w:pStyle w:val="Tabletext0"/>
            </w:pPr>
            <w:r w:rsidRPr="00244961">
              <w:t>Photon radiation therapy</w:t>
            </w:r>
          </w:p>
        </w:tc>
      </w:tr>
      <w:tr w:rsidR="00C66D02" w:rsidRPr="00244961" w14:paraId="51C06F74" w14:textId="77777777" w:rsidTr="002F2867">
        <w:trPr>
          <w:trHeight w:val="20"/>
        </w:trPr>
        <w:tc>
          <w:tcPr>
            <w:tcW w:w="3158" w:type="dxa"/>
          </w:tcPr>
          <w:p w14:paraId="7ACA43FF" w14:textId="77777777" w:rsidR="00C66D02" w:rsidRPr="00244961" w:rsidRDefault="00C66D02" w:rsidP="00F6759C">
            <w:pPr>
              <w:pStyle w:val="Tabletext0"/>
            </w:pPr>
            <w:r w:rsidRPr="00244961">
              <w:t>Type of economic evaluation</w:t>
            </w:r>
          </w:p>
        </w:tc>
        <w:tc>
          <w:tcPr>
            <w:tcW w:w="6027" w:type="dxa"/>
          </w:tcPr>
          <w:p w14:paraId="3C9F9914" w14:textId="77777777" w:rsidR="00C66D02" w:rsidRPr="008C5258" w:rsidRDefault="00F13351" w:rsidP="008C5258">
            <w:pPr>
              <w:pStyle w:val="Tabletext0"/>
            </w:pPr>
            <w:r>
              <w:t>Cost-consequences</w:t>
            </w:r>
          </w:p>
        </w:tc>
      </w:tr>
      <w:tr w:rsidR="00C66D02" w:rsidRPr="00244961" w14:paraId="04931DC8" w14:textId="77777777" w:rsidTr="002F2867">
        <w:trPr>
          <w:trHeight w:val="20"/>
        </w:trPr>
        <w:tc>
          <w:tcPr>
            <w:tcW w:w="3158" w:type="dxa"/>
          </w:tcPr>
          <w:p w14:paraId="5E809127" w14:textId="77777777" w:rsidR="00C66D02" w:rsidRPr="00244961" w:rsidRDefault="00C66D02" w:rsidP="00F6759C">
            <w:pPr>
              <w:pStyle w:val="Tabletext0"/>
            </w:pPr>
            <w:r w:rsidRPr="00244961">
              <w:t>Sources of evidence</w:t>
            </w:r>
          </w:p>
        </w:tc>
        <w:tc>
          <w:tcPr>
            <w:tcW w:w="6027" w:type="dxa"/>
          </w:tcPr>
          <w:p w14:paraId="054D611C" w14:textId="77777777" w:rsidR="00C66D02" w:rsidRPr="00244961" w:rsidRDefault="00C66D02" w:rsidP="00F6759C">
            <w:pPr>
              <w:pStyle w:val="Tabletext0"/>
            </w:pPr>
            <w:r w:rsidRPr="00244961">
              <w:t>Systematic reviews, an estimate of the demand for PBT in Australia</w:t>
            </w:r>
          </w:p>
        </w:tc>
      </w:tr>
      <w:tr w:rsidR="00C66D02" w:rsidRPr="00244961" w14:paraId="60903BA9" w14:textId="77777777" w:rsidTr="002F2867">
        <w:trPr>
          <w:trHeight w:val="20"/>
        </w:trPr>
        <w:tc>
          <w:tcPr>
            <w:tcW w:w="3158" w:type="dxa"/>
            <w:hideMark/>
          </w:tcPr>
          <w:p w14:paraId="1AEA3463" w14:textId="77777777" w:rsidR="00C66D02" w:rsidRPr="00244961" w:rsidRDefault="00C66D02" w:rsidP="00F6759C">
            <w:pPr>
              <w:pStyle w:val="Tabletext0"/>
            </w:pPr>
            <w:r w:rsidRPr="00244961">
              <w:t>Time horizon</w:t>
            </w:r>
          </w:p>
        </w:tc>
        <w:tc>
          <w:tcPr>
            <w:tcW w:w="6027" w:type="dxa"/>
            <w:hideMark/>
          </w:tcPr>
          <w:p w14:paraId="25E86C52" w14:textId="77777777" w:rsidR="00C66D02" w:rsidRPr="00244961" w:rsidRDefault="00C66D02" w:rsidP="00F6759C">
            <w:pPr>
              <w:pStyle w:val="Tabletext0"/>
            </w:pPr>
            <w:r w:rsidRPr="00244961">
              <w:t>Patient treatment period and time to consequences</w:t>
            </w:r>
          </w:p>
        </w:tc>
      </w:tr>
      <w:tr w:rsidR="00C66D02" w:rsidRPr="00244961" w14:paraId="3251806B" w14:textId="77777777" w:rsidTr="002F2867">
        <w:trPr>
          <w:trHeight w:val="20"/>
        </w:trPr>
        <w:tc>
          <w:tcPr>
            <w:tcW w:w="3158" w:type="dxa"/>
            <w:hideMark/>
          </w:tcPr>
          <w:p w14:paraId="184DB33D" w14:textId="77777777" w:rsidR="00C66D02" w:rsidRPr="00244961" w:rsidRDefault="00C66D02" w:rsidP="00F6759C">
            <w:pPr>
              <w:pStyle w:val="Tabletext0"/>
            </w:pPr>
            <w:r w:rsidRPr="00244961">
              <w:t>Outcomes</w:t>
            </w:r>
          </w:p>
        </w:tc>
        <w:tc>
          <w:tcPr>
            <w:tcW w:w="6027" w:type="dxa"/>
          </w:tcPr>
          <w:p w14:paraId="77E1F3C3" w14:textId="77777777" w:rsidR="00C66D02" w:rsidRPr="00244961" w:rsidRDefault="00C66D02" w:rsidP="00F6759C">
            <w:pPr>
              <w:pStyle w:val="Tabletext0"/>
            </w:pPr>
            <w:r w:rsidRPr="00244961">
              <w:t>Safety (recurrence, adverse events) and efficacy (survival, tumour free rate)</w:t>
            </w:r>
          </w:p>
        </w:tc>
      </w:tr>
      <w:tr w:rsidR="00C66D02" w:rsidRPr="00244961" w14:paraId="1B5BE4FB" w14:textId="77777777" w:rsidTr="002F2867">
        <w:trPr>
          <w:trHeight w:val="20"/>
        </w:trPr>
        <w:tc>
          <w:tcPr>
            <w:tcW w:w="3158" w:type="dxa"/>
            <w:hideMark/>
          </w:tcPr>
          <w:p w14:paraId="7BB85705" w14:textId="77777777" w:rsidR="00C66D02" w:rsidRPr="00244961" w:rsidRDefault="00C66D02" w:rsidP="00F6759C">
            <w:pPr>
              <w:pStyle w:val="Tabletext0"/>
            </w:pPr>
            <w:r w:rsidRPr="00244961">
              <w:t>Methods used to generate results</w:t>
            </w:r>
          </w:p>
        </w:tc>
        <w:tc>
          <w:tcPr>
            <w:tcW w:w="6027" w:type="dxa"/>
          </w:tcPr>
          <w:p w14:paraId="69EF45F6" w14:textId="77777777" w:rsidR="00C66D02" w:rsidRPr="00244961" w:rsidRDefault="00C66D02" w:rsidP="00F6759C">
            <w:pPr>
              <w:pStyle w:val="Tabletext0"/>
            </w:pPr>
            <w:r w:rsidRPr="00244961">
              <w:t>Estimated medical costs and cost of adverse events from population of Australians to be treated with PBT; published methods for estimating events</w:t>
            </w:r>
          </w:p>
        </w:tc>
      </w:tr>
    </w:tbl>
    <w:p w14:paraId="2F6C3944" w14:textId="77777777" w:rsidR="00C66D02" w:rsidRPr="00894134" w:rsidRDefault="00C66D02" w:rsidP="00894134">
      <w:pPr>
        <w:spacing w:after="240"/>
        <w:rPr>
          <w:rFonts w:ascii="Arial Narrow" w:eastAsia="Calibri" w:hAnsi="Arial Narrow"/>
          <w:sz w:val="18"/>
          <w:szCs w:val="18"/>
        </w:rPr>
      </w:pPr>
      <w:r w:rsidRPr="00244961">
        <w:rPr>
          <w:rFonts w:ascii="Arial Narrow" w:eastAsia="Calibri" w:hAnsi="Arial Narrow"/>
          <w:sz w:val="18"/>
          <w:szCs w:val="18"/>
        </w:rPr>
        <w:t>Abbreviations: PBT, proton beam therapy.</w:t>
      </w:r>
    </w:p>
    <w:p w14:paraId="65DDB580" w14:textId="77777777" w:rsidR="00C66D02" w:rsidRDefault="00C66D02" w:rsidP="00894134">
      <w:pPr>
        <w:spacing w:after="240"/>
        <w:rPr>
          <w:rFonts w:eastAsiaTheme="minorHAnsi"/>
        </w:rPr>
      </w:pPr>
      <w:r>
        <w:rPr>
          <w:rFonts w:eastAsiaTheme="minorHAnsi"/>
        </w:rPr>
        <w:fldChar w:fldCharType="begin"/>
      </w:r>
      <w:r>
        <w:rPr>
          <w:rFonts w:eastAsiaTheme="minorHAnsi"/>
        </w:rPr>
        <w:instrText xml:space="preserve"> REF _Ref497161672 \h </w:instrText>
      </w:r>
      <w:r>
        <w:rPr>
          <w:rFonts w:eastAsiaTheme="minorHAnsi"/>
        </w:rPr>
      </w:r>
      <w:r>
        <w:rPr>
          <w:rFonts w:eastAsiaTheme="minorHAnsi"/>
        </w:rPr>
        <w:fldChar w:fldCharType="separate"/>
      </w:r>
      <w:r w:rsidR="00764489" w:rsidRPr="00244961">
        <w:t xml:space="preserve">Table </w:t>
      </w:r>
      <w:r w:rsidR="00316509">
        <w:t>5</w:t>
      </w:r>
      <w:r>
        <w:rPr>
          <w:rFonts w:eastAsiaTheme="minorHAnsi"/>
        </w:rPr>
        <w:fldChar w:fldCharType="end"/>
      </w:r>
      <w:r>
        <w:rPr>
          <w:rFonts w:eastAsiaTheme="minorHAnsi"/>
        </w:rPr>
        <w:t xml:space="preserve"> </w:t>
      </w:r>
      <w:r w:rsidRPr="00670740">
        <w:rPr>
          <w:rFonts w:eastAsiaTheme="minorHAnsi"/>
        </w:rPr>
        <w:t xml:space="preserve">summarises the economic evaluation. In the absence of empirical estimates of comparative effectiveness, </w:t>
      </w:r>
      <w:r w:rsidR="00B77F91">
        <w:rPr>
          <w:rFonts w:eastAsiaTheme="minorHAnsi"/>
        </w:rPr>
        <w:t xml:space="preserve">only </w:t>
      </w:r>
      <w:r w:rsidRPr="00670740">
        <w:rPr>
          <w:rFonts w:eastAsiaTheme="minorHAnsi"/>
        </w:rPr>
        <w:t xml:space="preserve">the direction and magnitude </w:t>
      </w:r>
      <w:r w:rsidR="00B77F91">
        <w:rPr>
          <w:rFonts w:eastAsiaTheme="minorHAnsi"/>
        </w:rPr>
        <w:t>of cost consequences can be compared</w:t>
      </w:r>
      <w:r w:rsidRPr="00670740">
        <w:rPr>
          <w:rFonts w:eastAsiaTheme="minorHAnsi"/>
        </w:rPr>
        <w:t>.</w:t>
      </w:r>
    </w:p>
    <w:p w14:paraId="0588DA80" w14:textId="77777777" w:rsidR="00C66D02" w:rsidRPr="00244961" w:rsidRDefault="00C66D02" w:rsidP="00C66D02">
      <w:pPr>
        <w:pStyle w:val="Caption"/>
        <w:ind w:left="720" w:hanging="720"/>
      </w:pPr>
      <w:bookmarkStart w:id="16" w:name="_Ref497161672"/>
      <w:bookmarkStart w:id="17" w:name="_Toc522176503"/>
      <w:r w:rsidRPr="00244961">
        <w:t xml:space="preserve">Table </w:t>
      </w:r>
      <w:r w:rsidR="004F706B">
        <w:t>5</w:t>
      </w:r>
      <w:bookmarkEnd w:id="16"/>
      <w:r w:rsidRPr="00244961">
        <w:tab/>
        <w:t xml:space="preserve">Summary of the economic evaluation comparison between PBT and PRT for the </w:t>
      </w:r>
      <w:r w:rsidR="00B77F91">
        <w:t>assessed</w:t>
      </w:r>
      <w:r w:rsidRPr="00244961">
        <w:t xml:space="preserve"> population</w:t>
      </w:r>
      <w:bookmarkEnd w:id="17"/>
      <w:r w:rsidR="00B77F91">
        <w:t>s</w:t>
      </w:r>
    </w:p>
    <w:tbl>
      <w:tblPr>
        <w:tblStyle w:val="TableGrid5"/>
        <w:tblW w:w="9185" w:type="dxa"/>
        <w:tblLook w:val="04A0" w:firstRow="1" w:lastRow="0" w:firstColumn="1" w:lastColumn="0" w:noHBand="0" w:noVBand="1"/>
        <w:tblCaption w:val="Summary of the economic evaluation comparison between PBT and PRT for the PICO population"/>
        <w:tblDescription w:val=" Presents Summary of the Economic indicating the direction and magnitude of the cost comparison between PRT and PBT."/>
      </w:tblPr>
      <w:tblGrid>
        <w:gridCol w:w="1242"/>
        <w:gridCol w:w="2835"/>
        <w:gridCol w:w="1134"/>
        <w:gridCol w:w="1396"/>
        <w:gridCol w:w="1156"/>
        <w:gridCol w:w="1422"/>
      </w:tblGrid>
      <w:tr w:rsidR="00C66D02" w:rsidRPr="00244961" w14:paraId="5111E8AC" w14:textId="77777777" w:rsidTr="002A5115">
        <w:trPr>
          <w:tblHeader/>
        </w:trPr>
        <w:tc>
          <w:tcPr>
            <w:tcW w:w="1242" w:type="dxa"/>
            <w:shd w:val="clear" w:color="auto" w:fill="auto"/>
          </w:tcPr>
          <w:p w14:paraId="6E3322A9" w14:textId="77777777" w:rsidR="00C66D02" w:rsidRPr="00244961" w:rsidRDefault="00C66D02" w:rsidP="00F6759C">
            <w:pPr>
              <w:spacing w:before="40" w:after="40"/>
              <w:rPr>
                <w:rFonts w:ascii="Arial Narrow" w:hAnsi="Arial Narrow"/>
                <w:b/>
                <w:sz w:val="20"/>
              </w:rPr>
            </w:pPr>
            <w:r w:rsidRPr="00244961">
              <w:rPr>
                <w:rFonts w:ascii="Arial Narrow" w:hAnsi="Arial Narrow"/>
                <w:b/>
                <w:sz w:val="20"/>
              </w:rPr>
              <w:t>Comparison/ category</w:t>
            </w:r>
          </w:p>
        </w:tc>
        <w:tc>
          <w:tcPr>
            <w:tcW w:w="2835" w:type="dxa"/>
            <w:shd w:val="clear" w:color="auto" w:fill="auto"/>
          </w:tcPr>
          <w:p w14:paraId="3AC59625" w14:textId="77777777" w:rsidR="00C66D02" w:rsidRPr="00244961" w:rsidRDefault="00C66D02" w:rsidP="00B77F91">
            <w:pPr>
              <w:spacing w:before="40" w:after="40"/>
              <w:rPr>
                <w:rFonts w:ascii="Arial Narrow" w:hAnsi="Arial Narrow"/>
                <w:b/>
                <w:sz w:val="20"/>
              </w:rPr>
            </w:pPr>
            <w:r w:rsidRPr="00244961">
              <w:rPr>
                <w:rFonts w:ascii="Arial Narrow" w:hAnsi="Arial Narrow"/>
                <w:b/>
                <w:sz w:val="20"/>
              </w:rPr>
              <w:t>Comparative</w:t>
            </w:r>
            <w:r w:rsidR="008A438A">
              <w:rPr>
                <w:rFonts w:ascii="Arial Narrow" w:hAnsi="Arial Narrow"/>
                <w:b/>
                <w:sz w:val="20"/>
              </w:rPr>
              <w:t xml:space="preserve"> </w:t>
            </w:r>
            <w:r w:rsidR="00B77F91">
              <w:rPr>
                <w:rFonts w:ascii="Arial Narrow" w:hAnsi="Arial Narrow"/>
                <w:b/>
                <w:sz w:val="20"/>
              </w:rPr>
              <w:t>health outcomes</w:t>
            </w:r>
          </w:p>
        </w:tc>
        <w:tc>
          <w:tcPr>
            <w:tcW w:w="1134" w:type="dxa"/>
            <w:shd w:val="clear" w:color="auto" w:fill="auto"/>
          </w:tcPr>
          <w:p w14:paraId="491DE0E2" w14:textId="77777777" w:rsidR="00C66D02" w:rsidRPr="00244961" w:rsidRDefault="00C66D02" w:rsidP="00F6759C">
            <w:pPr>
              <w:spacing w:before="40" w:after="40"/>
              <w:rPr>
                <w:rFonts w:ascii="Arial Narrow" w:hAnsi="Arial Narrow"/>
                <w:b/>
                <w:sz w:val="20"/>
              </w:rPr>
            </w:pPr>
            <w:r w:rsidRPr="00244961">
              <w:rPr>
                <w:rFonts w:ascii="Arial Narrow" w:hAnsi="Arial Narrow"/>
                <w:b/>
                <w:sz w:val="20"/>
              </w:rPr>
              <w:t>Medical direct cost</w:t>
            </w:r>
          </w:p>
        </w:tc>
        <w:tc>
          <w:tcPr>
            <w:tcW w:w="1396" w:type="dxa"/>
            <w:shd w:val="clear" w:color="auto" w:fill="auto"/>
          </w:tcPr>
          <w:p w14:paraId="1A4916F8" w14:textId="77777777" w:rsidR="00C66D02" w:rsidRPr="00244961" w:rsidRDefault="00C66D02" w:rsidP="00F6759C">
            <w:pPr>
              <w:spacing w:before="40" w:after="40"/>
              <w:rPr>
                <w:rFonts w:ascii="Arial Narrow" w:hAnsi="Arial Narrow"/>
                <w:b/>
                <w:sz w:val="20"/>
              </w:rPr>
            </w:pPr>
            <w:r w:rsidRPr="00244961">
              <w:rPr>
                <w:rFonts w:ascii="Arial Narrow" w:hAnsi="Arial Narrow"/>
                <w:b/>
                <w:sz w:val="20"/>
              </w:rPr>
              <w:t>Transportation cost</w:t>
            </w:r>
          </w:p>
        </w:tc>
        <w:tc>
          <w:tcPr>
            <w:tcW w:w="1156" w:type="dxa"/>
            <w:shd w:val="clear" w:color="auto" w:fill="auto"/>
          </w:tcPr>
          <w:p w14:paraId="0102EBE8" w14:textId="77777777" w:rsidR="00C66D02" w:rsidRPr="00244961" w:rsidRDefault="00C66D02" w:rsidP="00F6759C">
            <w:pPr>
              <w:spacing w:before="40" w:after="40"/>
              <w:rPr>
                <w:rFonts w:ascii="Arial Narrow" w:hAnsi="Arial Narrow"/>
                <w:b/>
                <w:sz w:val="20"/>
              </w:rPr>
            </w:pPr>
            <w:r w:rsidRPr="00244961">
              <w:rPr>
                <w:rFonts w:ascii="Arial Narrow" w:hAnsi="Arial Narrow"/>
                <w:b/>
                <w:sz w:val="20"/>
              </w:rPr>
              <w:t>Cost of anaesthesia</w:t>
            </w:r>
          </w:p>
        </w:tc>
        <w:tc>
          <w:tcPr>
            <w:tcW w:w="1422" w:type="dxa"/>
            <w:shd w:val="clear" w:color="auto" w:fill="auto"/>
          </w:tcPr>
          <w:p w14:paraId="6820E584" w14:textId="77777777" w:rsidR="00C66D02" w:rsidRPr="00244961" w:rsidRDefault="00C66D02" w:rsidP="00F6759C">
            <w:pPr>
              <w:spacing w:before="40" w:after="40"/>
              <w:rPr>
                <w:rFonts w:ascii="Arial Narrow" w:hAnsi="Arial Narrow"/>
                <w:b/>
                <w:sz w:val="20"/>
              </w:rPr>
            </w:pPr>
            <w:r w:rsidRPr="00244961">
              <w:rPr>
                <w:rFonts w:ascii="Arial Narrow" w:hAnsi="Arial Narrow"/>
                <w:b/>
                <w:sz w:val="20"/>
              </w:rPr>
              <w:t>Cost of adverse events</w:t>
            </w:r>
          </w:p>
        </w:tc>
      </w:tr>
      <w:tr w:rsidR="00C66D02" w:rsidRPr="00244961" w14:paraId="163B323D" w14:textId="77777777" w:rsidTr="002A5115">
        <w:tc>
          <w:tcPr>
            <w:tcW w:w="1242" w:type="dxa"/>
          </w:tcPr>
          <w:p w14:paraId="3717ED1F" w14:textId="77777777" w:rsidR="00C66D02" w:rsidRPr="00244961" w:rsidRDefault="00C66D02" w:rsidP="00F6759C">
            <w:pPr>
              <w:spacing w:before="40" w:after="40"/>
              <w:rPr>
                <w:rFonts w:ascii="Arial Narrow" w:hAnsi="Arial Narrow"/>
                <w:sz w:val="20"/>
              </w:rPr>
            </w:pPr>
            <w:r w:rsidRPr="00244961">
              <w:rPr>
                <w:rFonts w:ascii="Arial Narrow" w:hAnsi="Arial Narrow"/>
                <w:sz w:val="20"/>
              </w:rPr>
              <w:t>Paediatric</w:t>
            </w:r>
          </w:p>
        </w:tc>
        <w:tc>
          <w:tcPr>
            <w:tcW w:w="2835" w:type="dxa"/>
          </w:tcPr>
          <w:p w14:paraId="2BF0818D" w14:textId="77777777" w:rsidR="00C66D02" w:rsidRPr="00244961" w:rsidRDefault="00C66D02" w:rsidP="002A5115">
            <w:pPr>
              <w:spacing w:before="40" w:after="40"/>
              <w:rPr>
                <w:rFonts w:ascii="Arial Narrow" w:hAnsi="Arial Narrow"/>
                <w:sz w:val="20"/>
              </w:rPr>
            </w:pPr>
            <w:r w:rsidRPr="00244961">
              <w:rPr>
                <w:rFonts w:ascii="Arial Narrow" w:hAnsi="Arial Narrow"/>
                <w:sz w:val="20"/>
              </w:rPr>
              <w:t>Moderate evidence of</w:t>
            </w:r>
            <w:r w:rsidR="008A438A">
              <w:rPr>
                <w:rFonts w:ascii="Arial Narrow" w:hAnsi="Arial Narrow"/>
                <w:sz w:val="20"/>
              </w:rPr>
              <w:t xml:space="preserve"> </w:t>
            </w:r>
            <w:r w:rsidRPr="00244961">
              <w:rPr>
                <w:rFonts w:ascii="Arial Narrow" w:hAnsi="Arial Narrow"/>
                <w:sz w:val="20"/>
              </w:rPr>
              <w:t>&lt; harms</w:t>
            </w:r>
          </w:p>
        </w:tc>
        <w:tc>
          <w:tcPr>
            <w:tcW w:w="1134" w:type="dxa"/>
          </w:tcPr>
          <w:p w14:paraId="44A6B60B" w14:textId="77777777" w:rsidR="00C66D02" w:rsidRPr="00244961" w:rsidRDefault="00C66D02" w:rsidP="00F6759C">
            <w:pPr>
              <w:spacing w:before="40" w:after="40"/>
              <w:rPr>
                <w:rFonts w:ascii="Arial Narrow" w:hAnsi="Arial Narrow"/>
                <w:sz w:val="20"/>
              </w:rPr>
            </w:pPr>
            <w:r w:rsidRPr="00244961">
              <w:rPr>
                <w:rFonts w:ascii="Arial Narrow" w:hAnsi="Arial Narrow"/>
                <w:sz w:val="20"/>
              </w:rPr>
              <w:t>PBT &gt;</w:t>
            </w:r>
            <w:r w:rsidR="008A438A">
              <w:rPr>
                <w:rFonts w:ascii="Arial Narrow" w:hAnsi="Arial Narrow"/>
                <w:sz w:val="20"/>
              </w:rPr>
              <w:t xml:space="preserve"> </w:t>
            </w:r>
            <w:r w:rsidRPr="00244961">
              <w:rPr>
                <w:rFonts w:ascii="Arial Narrow" w:hAnsi="Arial Narrow"/>
                <w:sz w:val="20"/>
              </w:rPr>
              <w:t>PRT</w:t>
            </w:r>
          </w:p>
        </w:tc>
        <w:tc>
          <w:tcPr>
            <w:tcW w:w="1396" w:type="dxa"/>
          </w:tcPr>
          <w:p w14:paraId="4AA2AA33" w14:textId="77777777" w:rsidR="00C66D02" w:rsidRPr="00244961" w:rsidRDefault="00C66D02" w:rsidP="00F6759C">
            <w:pPr>
              <w:spacing w:before="40" w:after="40"/>
              <w:rPr>
                <w:rFonts w:ascii="Arial Narrow" w:hAnsi="Arial Narrow"/>
                <w:sz w:val="20"/>
              </w:rPr>
            </w:pPr>
            <w:r w:rsidRPr="00244961">
              <w:rPr>
                <w:rFonts w:ascii="Arial Narrow" w:hAnsi="Arial Narrow"/>
                <w:sz w:val="20"/>
              </w:rPr>
              <w:t>PBT &gt; PRT</w:t>
            </w:r>
            <w:r w:rsidR="008A438A">
              <w:rPr>
                <w:rFonts w:ascii="Arial Narrow" w:hAnsi="Arial Narrow"/>
                <w:sz w:val="20"/>
              </w:rPr>
              <w:t xml:space="preserve"> </w:t>
            </w:r>
            <w:r w:rsidRPr="00244961">
              <w:rPr>
                <w:rFonts w:ascii="Arial Narrow" w:hAnsi="Arial Narrow"/>
                <w:sz w:val="20"/>
              </w:rPr>
              <w:t>+</w:t>
            </w:r>
          </w:p>
        </w:tc>
        <w:tc>
          <w:tcPr>
            <w:tcW w:w="1156" w:type="dxa"/>
          </w:tcPr>
          <w:p w14:paraId="5D683713" w14:textId="77777777" w:rsidR="00C66D02" w:rsidRPr="00244961" w:rsidRDefault="00C66D02" w:rsidP="00F6759C">
            <w:pPr>
              <w:spacing w:before="40" w:after="40"/>
              <w:rPr>
                <w:rFonts w:ascii="Arial Narrow" w:hAnsi="Arial Narrow"/>
                <w:sz w:val="20"/>
              </w:rPr>
            </w:pPr>
            <w:r>
              <w:rPr>
                <w:rFonts w:ascii="Arial Narrow" w:hAnsi="Arial Narrow"/>
                <w:sz w:val="20"/>
              </w:rPr>
              <w:t>Equal</w:t>
            </w:r>
          </w:p>
        </w:tc>
        <w:tc>
          <w:tcPr>
            <w:tcW w:w="1422" w:type="dxa"/>
          </w:tcPr>
          <w:p w14:paraId="0215B7DC" w14:textId="77777777" w:rsidR="00C66D02" w:rsidRPr="00244961" w:rsidRDefault="008A438A" w:rsidP="00F6759C">
            <w:pPr>
              <w:spacing w:before="40" w:after="40"/>
              <w:rPr>
                <w:rFonts w:ascii="Arial Narrow" w:hAnsi="Arial Narrow"/>
                <w:sz w:val="20"/>
              </w:rPr>
            </w:pPr>
            <w:r>
              <w:rPr>
                <w:rFonts w:ascii="Arial Narrow" w:hAnsi="Arial Narrow"/>
                <w:sz w:val="20"/>
              </w:rPr>
              <w:t>PBT &lt; PRT</w:t>
            </w:r>
          </w:p>
        </w:tc>
      </w:tr>
      <w:tr w:rsidR="00C66D02" w:rsidRPr="00244961" w14:paraId="06C4264B" w14:textId="77777777" w:rsidTr="002A5115">
        <w:tc>
          <w:tcPr>
            <w:tcW w:w="1242" w:type="dxa"/>
          </w:tcPr>
          <w:p w14:paraId="7803144B" w14:textId="77777777" w:rsidR="00C66D02" w:rsidRPr="00244961" w:rsidRDefault="00C66D02" w:rsidP="00F6759C">
            <w:pPr>
              <w:spacing w:before="40" w:after="40"/>
              <w:rPr>
                <w:rFonts w:ascii="Arial Narrow" w:hAnsi="Arial Narrow"/>
                <w:sz w:val="20"/>
              </w:rPr>
            </w:pPr>
            <w:r w:rsidRPr="00244961">
              <w:rPr>
                <w:rFonts w:ascii="Arial Narrow" w:hAnsi="Arial Narrow"/>
                <w:sz w:val="20"/>
              </w:rPr>
              <w:t>Ocular</w:t>
            </w:r>
          </w:p>
        </w:tc>
        <w:tc>
          <w:tcPr>
            <w:tcW w:w="2835" w:type="dxa"/>
          </w:tcPr>
          <w:p w14:paraId="292E72B0" w14:textId="77777777" w:rsidR="00C66D02" w:rsidRPr="00244961" w:rsidRDefault="00C66D02" w:rsidP="00F6759C">
            <w:pPr>
              <w:spacing w:before="40" w:after="40"/>
              <w:rPr>
                <w:rFonts w:ascii="Arial Narrow" w:hAnsi="Arial Narrow"/>
                <w:sz w:val="20"/>
              </w:rPr>
            </w:pPr>
            <w:r w:rsidRPr="00244961">
              <w:rPr>
                <w:rFonts w:ascii="Arial Narrow" w:hAnsi="Arial Narrow"/>
                <w:sz w:val="20"/>
              </w:rPr>
              <w:t>Insufficient evidence</w:t>
            </w:r>
          </w:p>
        </w:tc>
        <w:tc>
          <w:tcPr>
            <w:tcW w:w="1134" w:type="dxa"/>
          </w:tcPr>
          <w:p w14:paraId="75F2A413" w14:textId="77777777" w:rsidR="00C66D02" w:rsidRPr="00244961" w:rsidRDefault="00C66D02" w:rsidP="00F6759C">
            <w:pPr>
              <w:spacing w:before="40" w:after="40"/>
              <w:rPr>
                <w:rFonts w:ascii="Arial Narrow" w:hAnsi="Arial Narrow"/>
                <w:sz w:val="20"/>
              </w:rPr>
            </w:pPr>
            <w:r w:rsidRPr="00244961">
              <w:rPr>
                <w:rFonts w:ascii="Arial Narrow" w:hAnsi="Arial Narrow"/>
                <w:sz w:val="20"/>
              </w:rPr>
              <w:t>PBT &gt;</w:t>
            </w:r>
            <w:r w:rsidR="008A438A">
              <w:rPr>
                <w:rFonts w:ascii="Arial Narrow" w:hAnsi="Arial Narrow"/>
                <w:sz w:val="20"/>
              </w:rPr>
              <w:t xml:space="preserve"> </w:t>
            </w:r>
            <w:r w:rsidRPr="00244961">
              <w:rPr>
                <w:rFonts w:ascii="Arial Narrow" w:hAnsi="Arial Narrow"/>
                <w:sz w:val="20"/>
              </w:rPr>
              <w:t>PRT</w:t>
            </w:r>
          </w:p>
        </w:tc>
        <w:tc>
          <w:tcPr>
            <w:tcW w:w="1396" w:type="dxa"/>
          </w:tcPr>
          <w:p w14:paraId="788D5A72" w14:textId="77777777" w:rsidR="00C66D02" w:rsidRPr="00244961" w:rsidRDefault="00C66D02" w:rsidP="00F6759C">
            <w:pPr>
              <w:spacing w:before="40" w:after="40"/>
              <w:rPr>
                <w:rFonts w:ascii="Arial Narrow" w:hAnsi="Arial Narrow"/>
                <w:sz w:val="20"/>
              </w:rPr>
            </w:pPr>
            <w:r w:rsidRPr="00244961">
              <w:rPr>
                <w:rFonts w:ascii="Arial Narrow" w:hAnsi="Arial Narrow"/>
                <w:sz w:val="20"/>
              </w:rPr>
              <w:t>PBT &gt; PRT +</w:t>
            </w:r>
          </w:p>
        </w:tc>
        <w:tc>
          <w:tcPr>
            <w:tcW w:w="1156" w:type="dxa"/>
          </w:tcPr>
          <w:p w14:paraId="61D3B6D5" w14:textId="77777777" w:rsidR="00C66D02" w:rsidRPr="00244961" w:rsidRDefault="00C66D02" w:rsidP="00F6759C">
            <w:pPr>
              <w:spacing w:before="40" w:after="40"/>
              <w:rPr>
                <w:rFonts w:ascii="Arial Narrow" w:hAnsi="Arial Narrow"/>
                <w:sz w:val="20"/>
              </w:rPr>
            </w:pPr>
          </w:p>
        </w:tc>
        <w:tc>
          <w:tcPr>
            <w:tcW w:w="1422" w:type="dxa"/>
          </w:tcPr>
          <w:p w14:paraId="1219E71E" w14:textId="77777777" w:rsidR="00C66D02" w:rsidRPr="00244961" w:rsidRDefault="00C66D02" w:rsidP="00F6759C">
            <w:pPr>
              <w:spacing w:before="40" w:after="40"/>
              <w:rPr>
                <w:rFonts w:ascii="Arial Narrow" w:hAnsi="Arial Narrow"/>
                <w:sz w:val="20"/>
              </w:rPr>
            </w:pPr>
            <w:r w:rsidRPr="00244961">
              <w:rPr>
                <w:rFonts w:ascii="Arial Narrow" w:hAnsi="Arial Narrow"/>
                <w:sz w:val="20"/>
              </w:rPr>
              <w:t>Inconclusive</w:t>
            </w:r>
          </w:p>
        </w:tc>
      </w:tr>
      <w:tr w:rsidR="00C66D02" w:rsidRPr="00244961" w14:paraId="52F63218" w14:textId="77777777" w:rsidTr="002A5115">
        <w:tc>
          <w:tcPr>
            <w:tcW w:w="1242" w:type="dxa"/>
          </w:tcPr>
          <w:p w14:paraId="2DFDCE29" w14:textId="77777777" w:rsidR="00C66D02" w:rsidRPr="00244961" w:rsidRDefault="00B77F91" w:rsidP="00B77F91">
            <w:pPr>
              <w:spacing w:before="40" w:after="40"/>
              <w:rPr>
                <w:rFonts w:ascii="Arial Narrow" w:hAnsi="Arial Narrow"/>
                <w:sz w:val="20"/>
              </w:rPr>
            </w:pPr>
            <w:r>
              <w:rPr>
                <w:rFonts w:ascii="Arial Narrow" w:hAnsi="Arial Narrow"/>
                <w:sz w:val="20"/>
              </w:rPr>
              <w:t>Brain</w:t>
            </w:r>
            <w:r w:rsidR="00C66D02" w:rsidRPr="00244961">
              <w:rPr>
                <w:rFonts w:ascii="Arial Narrow" w:hAnsi="Arial Narrow"/>
                <w:sz w:val="20"/>
              </w:rPr>
              <w:t xml:space="preserve"> and </w:t>
            </w:r>
            <w:r>
              <w:rPr>
                <w:rFonts w:ascii="Arial Narrow" w:hAnsi="Arial Narrow"/>
                <w:sz w:val="20"/>
              </w:rPr>
              <w:t>spinal</w:t>
            </w:r>
          </w:p>
        </w:tc>
        <w:tc>
          <w:tcPr>
            <w:tcW w:w="2835" w:type="dxa"/>
          </w:tcPr>
          <w:p w14:paraId="7CDAB63C" w14:textId="77777777" w:rsidR="00C66D02" w:rsidRPr="00244961" w:rsidRDefault="00B77F91" w:rsidP="00B77F91">
            <w:pPr>
              <w:spacing w:before="40" w:after="40"/>
              <w:rPr>
                <w:rFonts w:ascii="Arial Narrow" w:hAnsi="Arial Narrow"/>
                <w:sz w:val="20"/>
              </w:rPr>
            </w:pPr>
            <w:r w:rsidRPr="00244961">
              <w:rPr>
                <w:rFonts w:ascii="Arial Narrow" w:hAnsi="Arial Narrow"/>
                <w:sz w:val="20"/>
              </w:rPr>
              <w:t>Moderate evidence of</w:t>
            </w:r>
            <w:r>
              <w:rPr>
                <w:rFonts w:ascii="Arial Narrow" w:hAnsi="Arial Narrow"/>
                <w:sz w:val="20"/>
              </w:rPr>
              <w:t xml:space="preserve"> </w:t>
            </w:r>
            <w:r w:rsidRPr="00244961">
              <w:rPr>
                <w:rFonts w:ascii="Arial Narrow" w:hAnsi="Arial Narrow"/>
                <w:sz w:val="20"/>
              </w:rPr>
              <w:t>&lt; harms</w:t>
            </w:r>
          </w:p>
        </w:tc>
        <w:tc>
          <w:tcPr>
            <w:tcW w:w="1134" w:type="dxa"/>
          </w:tcPr>
          <w:p w14:paraId="6D8E169A" w14:textId="77777777" w:rsidR="00C66D02" w:rsidRPr="00244961" w:rsidRDefault="00C66D02" w:rsidP="00F6759C">
            <w:pPr>
              <w:spacing w:before="40" w:after="40"/>
              <w:rPr>
                <w:rFonts w:ascii="Arial Narrow" w:hAnsi="Arial Narrow"/>
                <w:sz w:val="20"/>
              </w:rPr>
            </w:pPr>
            <w:r w:rsidRPr="00244961">
              <w:rPr>
                <w:rFonts w:ascii="Arial Narrow" w:hAnsi="Arial Narrow"/>
                <w:sz w:val="20"/>
              </w:rPr>
              <w:t>PBT &gt;</w:t>
            </w:r>
            <w:r w:rsidR="008A438A">
              <w:rPr>
                <w:rFonts w:ascii="Arial Narrow" w:hAnsi="Arial Narrow"/>
                <w:sz w:val="20"/>
              </w:rPr>
              <w:t xml:space="preserve"> </w:t>
            </w:r>
            <w:r w:rsidRPr="00244961">
              <w:rPr>
                <w:rFonts w:ascii="Arial Narrow" w:hAnsi="Arial Narrow"/>
                <w:sz w:val="20"/>
              </w:rPr>
              <w:t>PRT</w:t>
            </w:r>
          </w:p>
        </w:tc>
        <w:tc>
          <w:tcPr>
            <w:tcW w:w="1396" w:type="dxa"/>
          </w:tcPr>
          <w:p w14:paraId="7F06070E" w14:textId="77777777" w:rsidR="00C66D02" w:rsidRPr="00244961" w:rsidRDefault="00C66D02" w:rsidP="00F6759C">
            <w:pPr>
              <w:spacing w:before="40" w:after="40"/>
              <w:rPr>
                <w:rFonts w:ascii="Arial Narrow" w:hAnsi="Arial Narrow"/>
                <w:sz w:val="20"/>
              </w:rPr>
            </w:pPr>
            <w:r w:rsidRPr="00244961">
              <w:rPr>
                <w:rFonts w:ascii="Arial Narrow" w:hAnsi="Arial Narrow"/>
                <w:sz w:val="20"/>
              </w:rPr>
              <w:t>PBT &gt; PRT +</w:t>
            </w:r>
          </w:p>
        </w:tc>
        <w:tc>
          <w:tcPr>
            <w:tcW w:w="1156" w:type="dxa"/>
          </w:tcPr>
          <w:p w14:paraId="2549A0B2" w14:textId="77777777" w:rsidR="00C66D02" w:rsidRPr="00244961" w:rsidRDefault="00C66D02" w:rsidP="00F6759C">
            <w:pPr>
              <w:spacing w:before="40" w:after="40"/>
              <w:rPr>
                <w:rFonts w:ascii="Arial Narrow" w:hAnsi="Arial Narrow"/>
                <w:sz w:val="20"/>
              </w:rPr>
            </w:pPr>
          </w:p>
        </w:tc>
        <w:tc>
          <w:tcPr>
            <w:tcW w:w="1422" w:type="dxa"/>
          </w:tcPr>
          <w:p w14:paraId="14A682D7" w14:textId="77777777" w:rsidR="00C66D02" w:rsidRPr="00244961" w:rsidRDefault="00C66D02" w:rsidP="00F6759C">
            <w:pPr>
              <w:spacing w:before="40" w:after="40"/>
              <w:rPr>
                <w:rFonts w:ascii="Arial Narrow" w:hAnsi="Arial Narrow"/>
                <w:sz w:val="20"/>
              </w:rPr>
            </w:pPr>
            <w:r w:rsidRPr="00244961">
              <w:rPr>
                <w:rFonts w:ascii="Arial Narrow" w:hAnsi="Arial Narrow"/>
                <w:sz w:val="20"/>
              </w:rPr>
              <w:t>PBT &lt; PRT</w:t>
            </w:r>
          </w:p>
        </w:tc>
      </w:tr>
    </w:tbl>
    <w:p w14:paraId="49ECA134" w14:textId="77777777" w:rsidR="00C66D02" w:rsidRPr="00244961" w:rsidRDefault="00C66D02" w:rsidP="00C66D02">
      <w:pPr>
        <w:pStyle w:val="Tablenotes"/>
        <w:rPr>
          <w:rStyle w:val="TablenotesChar"/>
        </w:rPr>
      </w:pPr>
      <w:r w:rsidRPr="00244961">
        <w:t>Abbreviations: PBT, proton beam therapy; PRT, photon radiation therapy</w:t>
      </w:r>
      <w:r w:rsidRPr="00244961">
        <w:rPr>
          <w:rStyle w:val="TablenotesChar"/>
        </w:rPr>
        <w:t>.</w:t>
      </w:r>
    </w:p>
    <w:p w14:paraId="15F1239B" w14:textId="77777777" w:rsidR="008C5258" w:rsidRPr="00F13351" w:rsidRDefault="008C5258" w:rsidP="009D0DDE">
      <w:pPr>
        <w:spacing w:after="120"/>
        <w:rPr>
          <w:rStyle w:val="Emphasis"/>
          <w:b/>
          <w:i w:val="0"/>
        </w:rPr>
      </w:pPr>
      <w:r w:rsidRPr="00F13351">
        <w:rPr>
          <w:rStyle w:val="Emphasis"/>
          <w:b/>
          <w:i w:val="0"/>
        </w:rPr>
        <w:t xml:space="preserve">Conclusions from </w:t>
      </w:r>
      <w:r w:rsidR="00B77F91">
        <w:rPr>
          <w:rStyle w:val="Emphasis"/>
          <w:b/>
          <w:i w:val="0"/>
        </w:rPr>
        <w:t xml:space="preserve">the </w:t>
      </w:r>
      <w:r w:rsidRPr="00F13351">
        <w:rPr>
          <w:rStyle w:val="Emphasis"/>
          <w:b/>
          <w:i w:val="0"/>
        </w:rPr>
        <w:t>economic evaluation</w:t>
      </w:r>
    </w:p>
    <w:p w14:paraId="5EEFB15F" w14:textId="77777777" w:rsidR="008C5258" w:rsidRDefault="008C5258" w:rsidP="009D0DDE">
      <w:pPr>
        <w:pStyle w:val="ListParagraph"/>
        <w:numPr>
          <w:ilvl w:val="0"/>
          <w:numId w:val="29"/>
        </w:numPr>
        <w:spacing w:after="120"/>
        <w:ind w:left="714" w:hanging="357"/>
        <w:rPr>
          <w:rStyle w:val="Emphasis"/>
          <w:i w:val="0"/>
        </w:rPr>
      </w:pPr>
      <w:r w:rsidRPr="008C5258">
        <w:rPr>
          <w:rStyle w:val="Emphasis"/>
          <w:i w:val="0"/>
        </w:rPr>
        <w:t xml:space="preserve">There is considerable uncertainty about the comparative effectiveness between PBT and PRT. This uncertainty leads to the inability to adequately assess the cost-effectiveness of PBT. The evidence does point to some additional benefits afforded to patients who are treated for paediatric tumours. The </w:t>
      </w:r>
      <w:r w:rsidR="00905B55">
        <w:rPr>
          <w:rStyle w:val="Emphasis"/>
          <w:i w:val="0"/>
        </w:rPr>
        <w:t xml:space="preserve">published </w:t>
      </w:r>
      <w:r w:rsidRPr="008C5258">
        <w:rPr>
          <w:rStyle w:val="Emphasis"/>
          <w:i w:val="0"/>
        </w:rPr>
        <w:t xml:space="preserve">cost-effectiveness analyses reviewed </w:t>
      </w:r>
      <w:r w:rsidR="00905B55">
        <w:rPr>
          <w:rStyle w:val="Emphasis"/>
          <w:i w:val="0"/>
        </w:rPr>
        <w:t xml:space="preserve">in the assessment report </w:t>
      </w:r>
      <w:r w:rsidRPr="008C5258">
        <w:rPr>
          <w:rStyle w:val="Emphasis"/>
          <w:i w:val="0"/>
        </w:rPr>
        <w:t>lack credibility, due to the assumptions used to attempt to compensate for limited da</w:t>
      </w:r>
      <w:r>
        <w:rPr>
          <w:rStyle w:val="Emphasis"/>
          <w:i w:val="0"/>
        </w:rPr>
        <w:t>ta on comparative effectiveness;</w:t>
      </w:r>
    </w:p>
    <w:p w14:paraId="2C746EF7" w14:textId="01F31268" w:rsidR="008C5258" w:rsidRDefault="00FA75D3" w:rsidP="009D0DDE">
      <w:pPr>
        <w:pStyle w:val="ListParagraph"/>
        <w:numPr>
          <w:ilvl w:val="0"/>
          <w:numId w:val="29"/>
        </w:numPr>
        <w:spacing w:after="120"/>
        <w:ind w:left="714" w:hanging="357"/>
        <w:rPr>
          <w:rStyle w:val="Emphasis"/>
          <w:i w:val="0"/>
        </w:rPr>
      </w:pPr>
      <w:r>
        <w:rPr>
          <w:rStyle w:val="Emphasis"/>
          <w:i w:val="0"/>
        </w:rPr>
        <w:t xml:space="preserve">The </w:t>
      </w:r>
      <w:r w:rsidR="008C5258" w:rsidRPr="008C5258">
        <w:rPr>
          <w:rStyle w:val="Emphasis"/>
          <w:i w:val="0"/>
        </w:rPr>
        <w:t xml:space="preserve">cost </w:t>
      </w:r>
      <w:r w:rsidR="00783AA7">
        <w:rPr>
          <w:rStyle w:val="Emphasis"/>
          <w:i w:val="0"/>
        </w:rPr>
        <w:t>o</w:t>
      </w:r>
      <w:r w:rsidR="00E53B0E">
        <w:rPr>
          <w:rStyle w:val="Emphasis"/>
          <w:i w:val="0"/>
        </w:rPr>
        <w:t>f</w:t>
      </w:r>
      <w:r w:rsidR="00783AA7">
        <w:rPr>
          <w:rStyle w:val="Emphasis"/>
          <w:i w:val="0"/>
        </w:rPr>
        <w:t xml:space="preserve"> providing</w:t>
      </w:r>
      <w:r w:rsidR="008C5258" w:rsidRPr="008C5258">
        <w:rPr>
          <w:rStyle w:val="Emphasis"/>
          <w:i w:val="0"/>
        </w:rPr>
        <w:t xml:space="preserve"> PBT </w:t>
      </w:r>
      <w:r w:rsidR="00783AA7">
        <w:rPr>
          <w:rStyle w:val="Emphasis"/>
          <w:i w:val="0"/>
        </w:rPr>
        <w:t xml:space="preserve">services </w:t>
      </w:r>
      <w:r w:rsidR="008C5258" w:rsidRPr="008C5258">
        <w:rPr>
          <w:rStyle w:val="Emphasis"/>
          <w:i w:val="0"/>
        </w:rPr>
        <w:t>is, roughly, 1.5 to 2.5 fold higher than conventional therapy in cost comparisons reported in the literature. There was no reference to th</w:t>
      </w:r>
      <w:r w:rsidR="008C5258">
        <w:rPr>
          <w:rStyle w:val="Emphasis"/>
          <w:i w:val="0"/>
        </w:rPr>
        <w:t>e cost being equivalent to PRT;</w:t>
      </w:r>
    </w:p>
    <w:p w14:paraId="09D1D153" w14:textId="77777777" w:rsidR="008C5258" w:rsidRDefault="008C5258" w:rsidP="009D0DDE">
      <w:pPr>
        <w:pStyle w:val="ListParagraph"/>
        <w:numPr>
          <w:ilvl w:val="0"/>
          <w:numId w:val="29"/>
        </w:numPr>
        <w:spacing w:after="120"/>
        <w:ind w:left="714" w:hanging="357"/>
        <w:rPr>
          <w:rStyle w:val="Emphasis"/>
          <w:i w:val="0"/>
        </w:rPr>
      </w:pPr>
      <w:r w:rsidRPr="008C5258">
        <w:rPr>
          <w:rStyle w:val="Emphasis"/>
          <w:i w:val="0"/>
        </w:rPr>
        <w:t xml:space="preserve">Applying the estimates of patients eligible for PBT made it possible to examine a rather small PICO defined population of 1,968 Australian patients directly. This approach generated an estimation of the cost and the number of adverse events from treating the eligible population. The analysis relies heavily on the accuracy of the population estimates. There are compelling arguments for the use of PBT in respect to the potential for reductions in harms due to radiation. However, the number of patients that would potentially </w:t>
      </w:r>
      <w:r>
        <w:rPr>
          <w:rStyle w:val="Emphasis"/>
          <w:i w:val="0"/>
        </w:rPr>
        <w:t>benefit from PBT is quite small;</w:t>
      </w:r>
    </w:p>
    <w:p w14:paraId="2998DF0D" w14:textId="26388B54" w:rsidR="00B057B0" w:rsidRDefault="008C5258" w:rsidP="00B057B0">
      <w:pPr>
        <w:pStyle w:val="ListParagraph"/>
        <w:numPr>
          <w:ilvl w:val="0"/>
          <w:numId w:val="29"/>
        </w:numPr>
        <w:spacing w:after="120"/>
        <w:ind w:left="714" w:hanging="357"/>
        <w:rPr>
          <w:rStyle w:val="Emphasis"/>
          <w:i w:val="0"/>
        </w:rPr>
      </w:pPr>
      <w:r w:rsidRPr="008C5258">
        <w:rPr>
          <w:rStyle w:val="Emphasis"/>
          <w:i w:val="0"/>
        </w:rPr>
        <w:t xml:space="preserve">The adoption of PBT has the potential of </w:t>
      </w:r>
      <w:r w:rsidR="007B3311">
        <w:rPr>
          <w:rStyle w:val="Emphasis"/>
          <w:i w:val="0"/>
        </w:rPr>
        <w:t xml:space="preserve">increasing  MBS </w:t>
      </w:r>
      <w:r w:rsidRPr="008C5258">
        <w:rPr>
          <w:rStyle w:val="Emphasis"/>
          <w:i w:val="0"/>
        </w:rPr>
        <w:t xml:space="preserve"> expenditure for radiation </w:t>
      </w:r>
      <w:r w:rsidR="007B3311">
        <w:rPr>
          <w:rStyle w:val="Emphasis"/>
          <w:i w:val="0"/>
        </w:rPr>
        <w:t xml:space="preserve">therapy for these patients   </w:t>
      </w:r>
      <w:r w:rsidR="00483F3C">
        <w:rPr>
          <w:rStyle w:val="Emphasis"/>
          <w:i w:val="0"/>
        </w:rPr>
        <w:t xml:space="preserve">over </w:t>
      </w:r>
      <w:r w:rsidR="00BC53B6">
        <w:rPr>
          <w:rStyle w:val="Emphasis"/>
          <w:i w:val="0"/>
        </w:rPr>
        <w:t xml:space="preserve">$ 35 million in year one </w:t>
      </w:r>
      <w:r w:rsidR="00483F3C">
        <w:rPr>
          <w:rStyle w:val="Emphasis"/>
          <w:i w:val="0"/>
        </w:rPr>
        <w:t xml:space="preserve"> </w:t>
      </w:r>
      <w:r w:rsidRPr="008C5258">
        <w:rPr>
          <w:rStyle w:val="Emphasis"/>
          <w:i w:val="0"/>
        </w:rPr>
        <w:t xml:space="preserve">should it be priced at three times that of PRT, a reasonable percentage </w:t>
      </w:r>
      <w:r>
        <w:rPr>
          <w:rStyle w:val="Emphasis"/>
          <w:i w:val="0"/>
        </w:rPr>
        <w:t>in an international perspective; and</w:t>
      </w:r>
    </w:p>
    <w:p w14:paraId="6245CE29" w14:textId="78583829" w:rsidR="00100A51" w:rsidRDefault="00100A51" w:rsidP="00B057B0">
      <w:pPr>
        <w:pStyle w:val="ListParagraph"/>
        <w:numPr>
          <w:ilvl w:val="0"/>
          <w:numId w:val="29"/>
        </w:numPr>
        <w:spacing w:after="120"/>
        <w:ind w:left="714" w:hanging="357"/>
        <w:rPr>
          <w:rStyle w:val="Emphasis"/>
          <w:i w:val="0"/>
        </w:rPr>
      </w:pPr>
      <w:r w:rsidRPr="00B057B0">
        <w:rPr>
          <w:rStyle w:val="Emphasis"/>
          <w:i w:val="0"/>
        </w:rPr>
        <w:t>The estimate of demand for particle radiation showed that there are an estimated 58</w:t>
      </w:r>
      <w:r>
        <w:rPr>
          <w:rStyle w:val="Emphasis"/>
          <w:i w:val="0"/>
        </w:rPr>
        <w:t> </w:t>
      </w:r>
      <w:r w:rsidRPr="00B057B0">
        <w:rPr>
          <w:rStyle w:val="Emphasis"/>
          <w:i w:val="0"/>
        </w:rPr>
        <w:t>children per year that could potentially benefit from PBT</w:t>
      </w:r>
      <w:r>
        <w:rPr>
          <w:rStyle w:val="Emphasis"/>
          <w:i w:val="0"/>
        </w:rPr>
        <w:t>.</w:t>
      </w:r>
    </w:p>
    <w:p w14:paraId="008F6862" w14:textId="62781D41" w:rsidR="00EA18EA" w:rsidRPr="00B057B0" w:rsidRDefault="00BC1364" w:rsidP="00B057B0">
      <w:pPr>
        <w:pStyle w:val="Heading1"/>
      </w:pPr>
      <w:r w:rsidRPr="00F715D1">
        <w:lastRenderedPageBreak/>
        <w:t>Financial/budgetary impacts</w:t>
      </w:r>
    </w:p>
    <w:p w14:paraId="352889D3" w14:textId="10D94362" w:rsidR="00F6759C" w:rsidRPr="00244961" w:rsidRDefault="00F6759C" w:rsidP="00894134">
      <w:pPr>
        <w:spacing w:after="240"/>
      </w:pPr>
      <w:r w:rsidRPr="00244961">
        <w:t>The financial implications</w:t>
      </w:r>
      <w:r w:rsidR="00F63B61">
        <w:t>, if public funding was via</w:t>
      </w:r>
      <w:r w:rsidRPr="00244961">
        <w:t xml:space="preserve"> the MBS</w:t>
      </w:r>
      <w:r w:rsidR="00F63B61">
        <w:t>,</w:t>
      </w:r>
      <w:r w:rsidRPr="00244961">
        <w:t xml:space="preserve"> resulting from the proposed listing of PBT are summarised in</w:t>
      </w:r>
      <w:r w:rsidR="00924B99">
        <w:t xml:space="preserve"> Table </w:t>
      </w:r>
      <w:r w:rsidR="00316509">
        <w:t>6</w:t>
      </w:r>
      <w:r w:rsidRPr="00244961">
        <w:t xml:space="preserve">, </w:t>
      </w:r>
      <w:r>
        <w:t>which</w:t>
      </w:r>
      <w:r w:rsidRPr="00244961">
        <w:t xml:space="preserve"> lists the number and costs of PBT services that </w:t>
      </w:r>
      <w:r w:rsidR="00B77F91">
        <w:t>would be</w:t>
      </w:r>
      <w:r w:rsidRPr="00244961">
        <w:t xml:space="preserve"> eli</w:t>
      </w:r>
      <w:bookmarkStart w:id="18" w:name="_Ref497396232"/>
      <w:r w:rsidR="007F341F">
        <w:t>gible over the next five years.</w:t>
      </w:r>
    </w:p>
    <w:p w14:paraId="6F3C33F9" w14:textId="77777777" w:rsidR="00F6759C" w:rsidRPr="00BC40D0" w:rsidRDefault="00F6759C" w:rsidP="00F63B61">
      <w:pPr>
        <w:pStyle w:val="TableHeading"/>
        <w:spacing w:before="0" w:after="200"/>
      </w:pPr>
      <w:bookmarkStart w:id="19" w:name="_Ref497463507"/>
      <w:bookmarkStart w:id="20" w:name="_Toc522176469"/>
      <w:r w:rsidRPr="00BC40D0">
        <w:t xml:space="preserve">Table </w:t>
      </w:r>
      <w:bookmarkEnd w:id="18"/>
      <w:bookmarkEnd w:id="19"/>
      <w:r w:rsidR="004F706B">
        <w:t>6</w:t>
      </w:r>
      <w:r>
        <w:tab/>
      </w:r>
      <w:r w:rsidRPr="00BC40D0">
        <w:t>Numbers and costs of PBT services for PICO patients who are eligible</w:t>
      </w:r>
      <w:bookmarkEnd w:id="20"/>
    </w:p>
    <w:tbl>
      <w:tblPr>
        <w:tblStyle w:val="TableGrid11"/>
        <w:tblW w:w="9322" w:type="dxa"/>
        <w:tblLayout w:type="fixed"/>
        <w:tblLook w:val="04A0" w:firstRow="1" w:lastRow="0" w:firstColumn="1" w:lastColumn="0" w:noHBand="0" w:noVBand="1"/>
        <w:tblCaption w:val="Numbers and costs of PBT services for PICO patients who are eligible"/>
        <w:tblDescription w:val=" Presents numbers and costs of MBS PRT items displaced when PBT is implemented"/>
      </w:tblPr>
      <w:tblGrid>
        <w:gridCol w:w="1668"/>
        <w:gridCol w:w="1530"/>
        <w:gridCol w:w="1531"/>
        <w:gridCol w:w="1531"/>
        <w:gridCol w:w="1531"/>
        <w:gridCol w:w="1531"/>
      </w:tblGrid>
      <w:tr w:rsidR="00F6759C" w:rsidRPr="00244961" w14:paraId="101B6BC9" w14:textId="77777777" w:rsidTr="004849A9">
        <w:trPr>
          <w:trHeight w:val="300"/>
          <w:tblHeader/>
        </w:trPr>
        <w:tc>
          <w:tcPr>
            <w:tcW w:w="1668" w:type="dxa"/>
            <w:shd w:val="clear" w:color="auto" w:fill="auto"/>
            <w:noWrap/>
          </w:tcPr>
          <w:p w14:paraId="73A2CCDE" w14:textId="77777777" w:rsidR="00F6759C" w:rsidRPr="00244961" w:rsidRDefault="00F6759C" w:rsidP="00F6759C">
            <w:pPr>
              <w:spacing w:before="40" w:after="40"/>
              <w:rPr>
                <w:rFonts w:ascii="Arial Narrow" w:hAnsi="Arial Narrow" w:cs="Calibri"/>
                <w:b/>
                <w:sz w:val="20"/>
              </w:rPr>
            </w:pPr>
            <w:r w:rsidRPr="00244961">
              <w:rPr>
                <w:rFonts w:ascii="Arial Narrow" w:hAnsi="Arial Narrow" w:cs="Calibri"/>
                <w:b/>
                <w:sz w:val="20"/>
              </w:rPr>
              <w:t>Service</w:t>
            </w:r>
          </w:p>
        </w:tc>
        <w:tc>
          <w:tcPr>
            <w:tcW w:w="1530" w:type="dxa"/>
            <w:shd w:val="clear" w:color="auto" w:fill="auto"/>
            <w:noWrap/>
            <w:hideMark/>
          </w:tcPr>
          <w:p w14:paraId="479A52C4" w14:textId="77777777" w:rsidR="00F6759C" w:rsidRPr="00244961" w:rsidRDefault="00F6759C" w:rsidP="00F6759C">
            <w:pPr>
              <w:spacing w:before="40" w:after="40"/>
              <w:jc w:val="right"/>
              <w:rPr>
                <w:rFonts w:ascii="Arial Narrow" w:hAnsi="Arial Narrow" w:cs="Calibri"/>
                <w:b/>
                <w:sz w:val="20"/>
              </w:rPr>
            </w:pPr>
            <w:r w:rsidRPr="00244961">
              <w:rPr>
                <w:rFonts w:ascii="Arial Narrow" w:hAnsi="Arial Narrow" w:cs="Calibri"/>
                <w:b/>
                <w:sz w:val="20"/>
              </w:rPr>
              <w:t>2017-18</w:t>
            </w:r>
          </w:p>
        </w:tc>
        <w:tc>
          <w:tcPr>
            <w:tcW w:w="1531" w:type="dxa"/>
            <w:shd w:val="clear" w:color="auto" w:fill="auto"/>
            <w:noWrap/>
            <w:hideMark/>
          </w:tcPr>
          <w:p w14:paraId="0665F542" w14:textId="77777777" w:rsidR="00F6759C" w:rsidRPr="00244961" w:rsidRDefault="00F6759C" w:rsidP="00F6759C">
            <w:pPr>
              <w:spacing w:before="40" w:after="40"/>
              <w:jc w:val="right"/>
              <w:rPr>
                <w:rFonts w:ascii="Arial Narrow" w:hAnsi="Arial Narrow" w:cs="Calibri"/>
                <w:b/>
                <w:sz w:val="20"/>
              </w:rPr>
            </w:pPr>
            <w:r w:rsidRPr="00244961">
              <w:rPr>
                <w:rFonts w:ascii="Arial Narrow" w:hAnsi="Arial Narrow" w:cs="Calibri"/>
                <w:b/>
                <w:sz w:val="20"/>
              </w:rPr>
              <w:t>2018-19</w:t>
            </w:r>
          </w:p>
        </w:tc>
        <w:tc>
          <w:tcPr>
            <w:tcW w:w="1531" w:type="dxa"/>
            <w:shd w:val="clear" w:color="auto" w:fill="auto"/>
            <w:noWrap/>
            <w:hideMark/>
          </w:tcPr>
          <w:p w14:paraId="107EA678" w14:textId="77777777" w:rsidR="00F6759C" w:rsidRPr="00244961" w:rsidRDefault="00F6759C" w:rsidP="00F6759C">
            <w:pPr>
              <w:spacing w:before="40" w:after="40"/>
              <w:jc w:val="right"/>
              <w:rPr>
                <w:rFonts w:ascii="Arial Narrow" w:hAnsi="Arial Narrow" w:cs="Calibri"/>
                <w:b/>
                <w:sz w:val="20"/>
              </w:rPr>
            </w:pPr>
            <w:r w:rsidRPr="00244961">
              <w:rPr>
                <w:rFonts w:ascii="Arial Narrow" w:hAnsi="Arial Narrow" w:cs="Calibri"/>
                <w:b/>
                <w:sz w:val="20"/>
              </w:rPr>
              <w:t>2019-20</w:t>
            </w:r>
          </w:p>
        </w:tc>
        <w:tc>
          <w:tcPr>
            <w:tcW w:w="1531" w:type="dxa"/>
            <w:shd w:val="clear" w:color="auto" w:fill="auto"/>
            <w:noWrap/>
            <w:hideMark/>
          </w:tcPr>
          <w:p w14:paraId="65C4F3A0" w14:textId="77777777" w:rsidR="00F6759C" w:rsidRPr="00244961" w:rsidRDefault="00F6759C" w:rsidP="00F6759C">
            <w:pPr>
              <w:spacing w:before="40" w:after="40"/>
              <w:jc w:val="right"/>
              <w:rPr>
                <w:rFonts w:ascii="Arial Narrow" w:hAnsi="Arial Narrow" w:cs="Calibri"/>
                <w:b/>
                <w:sz w:val="20"/>
              </w:rPr>
            </w:pPr>
            <w:r w:rsidRPr="00244961">
              <w:rPr>
                <w:rFonts w:ascii="Arial Narrow" w:hAnsi="Arial Narrow" w:cs="Calibri"/>
                <w:b/>
                <w:sz w:val="20"/>
              </w:rPr>
              <w:t>2020-21</w:t>
            </w:r>
          </w:p>
        </w:tc>
        <w:tc>
          <w:tcPr>
            <w:tcW w:w="1531" w:type="dxa"/>
            <w:shd w:val="clear" w:color="auto" w:fill="auto"/>
            <w:noWrap/>
            <w:hideMark/>
          </w:tcPr>
          <w:p w14:paraId="4FC33D81" w14:textId="77777777" w:rsidR="00F6759C" w:rsidRPr="00244961" w:rsidRDefault="00F6759C" w:rsidP="00F6759C">
            <w:pPr>
              <w:spacing w:before="40" w:after="40"/>
              <w:jc w:val="right"/>
              <w:rPr>
                <w:rFonts w:ascii="Arial Narrow" w:hAnsi="Arial Narrow" w:cs="Calibri"/>
                <w:b/>
                <w:sz w:val="20"/>
              </w:rPr>
            </w:pPr>
            <w:r w:rsidRPr="00244961">
              <w:rPr>
                <w:rFonts w:ascii="Arial Narrow" w:hAnsi="Arial Narrow" w:cs="Calibri"/>
                <w:b/>
                <w:sz w:val="20"/>
              </w:rPr>
              <w:t>2021-22</w:t>
            </w:r>
          </w:p>
        </w:tc>
      </w:tr>
      <w:tr w:rsidR="00F6759C" w:rsidRPr="00244961" w14:paraId="5EA7F2A3" w14:textId="77777777" w:rsidTr="00F6759C">
        <w:trPr>
          <w:trHeight w:val="300"/>
        </w:trPr>
        <w:tc>
          <w:tcPr>
            <w:tcW w:w="1668" w:type="dxa"/>
            <w:noWrap/>
            <w:hideMark/>
          </w:tcPr>
          <w:p w14:paraId="0702C368" w14:textId="77777777" w:rsidR="00F6759C" w:rsidRPr="00244961" w:rsidRDefault="00F6759C" w:rsidP="00F6759C">
            <w:pPr>
              <w:spacing w:before="40" w:after="40"/>
              <w:rPr>
                <w:rFonts w:ascii="Arial Narrow" w:hAnsi="Arial Narrow" w:cs="Calibri"/>
                <w:sz w:val="20"/>
              </w:rPr>
            </w:pPr>
            <w:r w:rsidRPr="00244961">
              <w:rPr>
                <w:rFonts w:ascii="Arial Narrow" w:hAnsi="Arial Narrow" w:cs="Calibri"/>
                <w:sz w:val="20"/>
              </w:rPr>
              <w:t>Planning number</w:t>
            </w:r>
          </w:p>
        </w:tc>
        <w:tc>
          <w:tcPr>
            <w:tcW w:w="1530" w:type="dxa"/>
            <w:noWrap/>
            <w:hideMark/>
          </w:tcPr>
          <w:p w14:paraId="100F27E7" w14:textId="77777777" w:rsidR="00F6759C" w:rsidRPr="00244961" w:rsidRDefault="00F6759C" w:rsidP="00F6759C">
            <w:pPr>
              <w:spacing w:before="40" w:after="40"/>
              <w:jc w:val="right"/>
              <w:rPr>
                <w:rFonts w:ascii="Arial Narrow" w:hAnsi="Arial Narrow" w:cs="Calibri"/>
                <w:sz w:val="20"/>
              </w:rPr>
            </w:pPr>
            <w:r w:rsidRPr="00244961">
              <w:rPr>
                <w:rFonts w:ascii="Arial Narrow" w:hAnsi="Arial Narrow" w:cs="Calibri"/>
                <w:sz w:val="20"/>
              </w:rPr>
              <w:t>1,968</w:t>
            </w:r>
          </w:p>
        </w:tc>
        <w:tc>
          <w:tcPr>
            <w:tcW w:w="1531" w:type="dxa"/>
            <w:noWrap/>
            <w:hideMark/>
          </w:tcPr>
          <w:p w14:paraId="307A8875" w14:textId="77777777" w:rsidR="00F6759C" w:rsidRPr="00244961" w:rsidRDefault="00F6759C" w:rsidP="00F6759C">
            <w:pPr>
              <w:spacing w:before="40" w:after="40"/>
              <w:jc w:val="right"/>
              <w:rPr>
                <w:rFonts w:ascii="Arial Narrow" w:hAnsi="Arial Narrow" w:cs="Calibri"/>
                <w:sz w:val="20"/>
              </w:rPr>
            </w:pPr>
            <w:r w:rsidRPr="00244961">
              <w:rPr>
                <w:rFonts w:ascii="Arial Narrow" w:hAnsi="Arial Narrow" w:cs="Calibri"/>
                <w:sz w:val="20"/>
              </w:rPr>
              <w:t>1,993</w:t>
            </w:r>
          </w:p>
        </w:tc>
        <w:tc>
          <w:tcPr>
            <w:tcW w:w="1531" w:type="dxa"/>
            <w:noWrap/>
            <w:hideMark/>
          </w:tcPr>
          <w:p w14:paraId="67D1CB8A" w14:textId="77777777" w:rsidR="00F6759C" w:rsidRPr="00244961" w:rsidRDefault="00F6759C" w:rsidP="00F6759C">
            <w:pPr>
              <w:spacing w:before="40" w:after="40"/>
              <w:jc w:val="right"/>
              <w:rPr>
                <w:rFonts w:ascii="Arial Narrow" w:hAnsi="Arial Narrow" w:cs="Calibri"/>
                <w:sz w:val="20"/>
              </w:rPr>
            </w:pPr>
            <w:r w:rsidRPr="00244961">
              <w:rPr>
                <w:rFonts w:ascii="Arial Narrow" w:hAnsi="Arial Narrow" w:cs="Calibri"/>
                <w:sz w:val="20"/>
              </w:rPr>
              <w:t>2,018</w:t>
            </w:r>
          </w:p>
        </w:tc>
        <w:tc>
          <w:tcPr>
            <w:tcW w:w="1531" w:type="dxa"/>
            <w:noWrap/>
            <w:hideMark/>
          </w:tcPr>
          <w:p w14:paraId="767A6192" w14:textId="77777777" w:rsidR="00F6759C" w:rsidRPr="00244961" w:rsidRDefault="00F6759C" w:rsidP="00F6759C">
            <w:pPr>
              <w:spacing w:before="40" w:after="40"/>
              <w:jc w:val="right"/>
              <w:rPr>
                <w:rFonts w:ascii="Arial Narrow" w:hAnsi="Arial Narrow" w:cs="Calibri"/>
                <w:sz w:val="20"/>
              </w:rPr>
            </w:pPr>
            <w:r w:rsidRPr="00244961">
              <w:rPr>
                <w:rFonts w:ascii="Arial Narrow" w:hAnsi="Arial Narrow" w:cs="Calibri"/>
                <w:sz w:val="20"/>
              </w:rPr>
              <w:t>2,043</w:t>
            </w:r>
          </w:p>
        </w:tc>
        <w:tc>
          <w:tcPr>
            <w:tcW w:w="1531" w:type="dxa"/>
            <w:noWrap/>
            <w:hideMark/>
          </w:tcPr>
          <w:p w14:paraId="4FFE0238" w14:textId="77777777" w:rsidR="00F6759C" w:rsidRPr="00244961" w:rsidRDefault="00F6759C" w:rsidP="00F6759C">
            <w:pPr>
              <w:spacing w:before="40" w:after="40"/>
              <w:jc w:val="right"/>
              <w:rPr>
                <w:rFonts w:ascii="Arial Narrow" w:hAnsi="Arial Narrow" w:cs="Calibri"/>
                <w:sz w:val="20"/>
              </w:rPr>
            </w:pPr>
            <w:r w:rsidRPr="00244961">
              <w:rPr>
                <w:rFonts w:ascii="Arial Narrow" w:hAnsi="Arial Narrow" w:cs="Calibri"/>
                <w:sz w:val="20"/>
              </w:rPr>
              <w:t>2,068</w:t>
            </w:r>
          </w:p>
        </w:tc>
      </w:tr>
      <w:tr w:rsidR="00F6759C" w:rsidRPr="00244961" w14:paraId="65E6E552" w14:textId="77777777" w:rsidTr="00F6759C">
        <w:trPr>
          <w:trHeight w:val="300"/>
        </w:trPr>
        <w:tc>
          <w:tcPr>
            <w:tcW w:w="1668" w:type="dxa"/>
            <w:noWrap/>
          </w:tcPr>
          <w:p w14:paraId="6C143E50" w14:textId="77777777" w:rsidR="00F6759C" w:rsidRPr="00244961" w:rsidRDefault="008A438A" w:rsidP="00F6759C">
            <w:pPr>
              <w:spacing w:before="40" w:after="40"/>
              <w:jc w:val="right"/>
              <w:rPr>
                <w:rFonts w:ascii="Arial Narrow" w:hAnsi="Arial Narrow" w:cs="Calibri"/>
                <w:sz w:val="20"/>
              </w:rPr>
            </w:pPr>
            <w:r>
              <w:rPr>
                <w:rFonts w:ascii="Arial Narrow" w:hAnsi="Arial Narrow" w:cs="Calibri"/>
                <w:sz w:val="20"/>
              </w:rPr>
              <w:t>Cost s</w:t>
            </w:r>
            <w:r w:rsidR="00F6759C" w:rsidRPr="00244961">
              <w:rPr>
                <w:rFonts w:ascii="Arial Narrow" w:hAnsi="Arial Narrow" w:cs="Calibri"/>
                <w:sz w:val="20"/>
              </w:rPr>
              <w:t>ub-total</w:t>
            </w:r>
          </w:p>
        </w:tc>
        <w:tc>
          <w:tcPr>
            <w:tcW w:w="1530" w:type="dxa"/>
            <w:noWrap/>
          </w:tcPr>
          <w:p w14:paraId="5FA780DE" w14:textId="77777777" w:rsidR="00F6759C" w:rsidRPr="00244961" w:rsidRDefault="00F6759C" w:rsidP="00F6759C">
            <w:pPr>
              <w:spacing w:before="40" w:after="40"/>
              <w:jc w:val="right"/>
              <w:rPr>
                <w:rFonts w:ascii="Arial Narrow" w:hAnsi="Arial Narrow"/>
                <w:sz w:val="20"/>
              </w:rPr>
            </w:pPr>
            <w:r w:rsidRPr="00244961">
              <w:rPr>
                <w:rFonts w:ascii="Arial Narrow" w:hAnsi="Arial Narrow"/>
                <w:sz w:val="20"/>
              </w:rPr>
              <w:t>$16,304,614</w:t>
            </w:r>
          </w:p>
        </w:tc>
        <w:tc>
          <w:tcPr>
            <w:tcW w:w="1531" w:type="dxa"/>
            <w:noWrap/>
          </w:tcPr>
          <w:p w14:paraId="38079D97" w14:textId="77777777" w:rsidR="00F6759C" w:rsidRPr="00244961" w:rsidRDefault="00F6759C" w:rsidP="00F6759C">
            <w:pPr>
              <w:spacing w:before="40" w:after="40"/>
              <w:jc w:val="right"/>
              <w:rPr>
                <w:rFonts w:ascii="Arial Narrow" w:hAnsi="Arial Narrow"/>
                <w:sz w:val="20"/>
              </w:rPr>
            </w:pPr>
            <w:r w:rsidRPr="00244961">
              <w:rPr>
                <w:rFonts w:ascii="Arial Narrow" w:hAnsi="Arial Narrow"/>
                <w:sz w:val="20"/>
              </w:rPr>
              <w:t>$16,508,422</w:t>
            </w:r>
          </w:p>
        </w:tc>
        <w:tc>
          <w:tcPr>
            <w:tcW w:w="1531" w:type="dxa"/>
            <w:noWrap/>
          </w:tcPr>
          <w:p w14:paraId="173574A3" w14:textId="77777777" w:rsidR="00F6759C" w:rsidRPr="00244961" w:rsidRDefault="00F6759C" w:rsidP="00F6759C">
            <w:pPr>
              <w:spacing w:before="40" w:after="40"/>
              <w:jc w:val="right"/>
              <w:rPr>
                <w:rFonts w:ascii="Arial Narrow" w:hAnsi="Arial Narrow"/>
                <w:sz w:val="20"/>
              </w:rPr>
            </w:pPr>
            <w:r w:rsidRPr="00244961">
              <w:rPr>
                <w:rFonts w:ascii="Arial Narrow" w:hAnsi="Arial Narrow"/>
                <w:sz w:val="20"/>
              </w:rPr>
              <w:t>$16,714,777</w:t>
            </w:r>
          </w:p>
        </w:tc>
        <w:tc>
          <w:tcPr>
            <w:tcW w:w="1531" w:type="dxa"/>
            <w:noWrap/>
          </w:tcPr>
          <w:p w14:paraId="78C84F54" w14:textId="77777777" w:rsidR="00F6759C" w:rsidRPr="00244961" w:rsidRDefault="00F6759C" w:rsidP="00F6759C">
            <w:pPr>
              <w:spacing w:before="40" w:after="40"/>
              <w:jc w:val="right"/>
              <w:rPr>
                <w:rFonts w:ascii="Arial Narrow" w:hAnsi="Arial Narrow"/>
                <w:sz w:val="20"/>
              </w:rPr>
            </w:pPr>
            <w:r w:rsidRPr="00244961">
              <w:rPr>
                <w:rFonts w:ascii="Arial Narrow" w:hAnsi="Arial Narrow"/>
                <w:sz w:val="20"/>
              </w:rPr>
              <w:t>$16,923,712</w:t>
            </w:r>
          </w:p>
        </w:tc>
        <w:tc>
          <w:tcPr>
            <w:tcW w:w="1531" w:type="dxa"/>
            <w:noWrap/>
          </w:tcPr>
          <w:p w14:paraId="3798399C" w14:textId="77777777" w:rsidR="00F6759C" w:rsidRPr="00244961" w:rsidRDefault="00F6759C" w:rsidP="00F6759C">
            <w:pPr>
              <w:spacing w:before="40" w:after="40"/>
              <w:jc w:val="right"/>
              <w:rPr>
                <w:rFonts w:ascii="Arial Narrow" w:hAnsi="Arial Narrow"/>
                <w:sz w:val="20"/>
              </w:rPr>
            </w:pPr>
            <w:r w:rsidRPr="00244961">
              <w:rPr>
                <w:rFonts w:ascii="Arial Narrow" w:hAnsi="Arial Narrow"/>
                <w:sz w:val="20"/>
              </w:rPr>
              <w:t>$17,135,258</w:t>
            </w:r>
          </w:p>
        </w:tc>
      </w:tr>
      <w:tr w:rsidR="00F6759C" w:rsidRPr="00244961" w14:paraId="069FEDD5" w14:textId="77777777" w:rsidTr="00F6759C">
        <w:trPr>
          <w:trHeight w:val="300"/>
        </w:trPr>
        <w:tc>
          <w:tcPr>
            <w:tcW w:w="1668" w:type="dxa"/>
            <w:noWrap/>
            <w:hideMark/>
          </w:tcPr>
          <w:p w14:paraId="65F857D9" w14:textId="77777777" w:rsidR="00F6759C" w:rsidRPr="00244961" w:rsidRDefault="00F6759C" w:rsidP="00F6759C">
            <w:pPr>
              <w:spacing w:before="40" w:after="40"/>
              <w:rPr>
                <w:rFonts w:ascii="Arial Narrow" w:hAnsi="Arial Narrow" w:cs="Calibri"/>
                <w:sz w:val="20"/>
              </w:rPr>
            </w:pPr>
            <w:r w:rsidRPr="00244961">
              <w:rPr>
                <w:rFonts w:ascii="Arial Narrow" w:hAnsi="Arial Narrow" w:cs="Calibri"/>
                <w:sz w:val="20"/>
              </w:rPr>
              <w:t>Treatment number</w:t>
            </w:r>
          </w:p>
        </w:tc>
        <w:tc>
          <w:tcPr>
            <w:tcW w:w="1530" w:type="dxa"/>
            <w:noWrap/>
            <w:hideMark/>
          </w:tcPr>
          <w:p w14:paraId="034F109A" w14:textId="77777777" w:rsidR="00F6759C" w:rsidRPr="00244961" w:rsidRDefault="00F6759C" w:rsidP="00F6759C">
            <w:pPr>
              <w:spacing w:before="40" w:after="40"/>
              <w:jc w:val="right"/>
              <w:rPr>
                <w:rFonts w:ascii="Arial Narrow" w:hAnsi="Arial Narrow" w:cs="Calibri"/>
                <w:sz w:val="20"/>
              </w:rPr>
            </w:pPr>
            <w:r w:rsidRPr="00244961">
              <w:rPr>
                <w:rFonts w:ascii="Arial Narrow" w:hAnsi="Arial Narrow" w:cs="Calibri"/>
                <w:sz w:val="20"/>
              </w:rPr>
              <w:t>64,946</w:t>
            </w:r>
          </w:p>
        </w:tc>
        <w:tc>
          <w:tcPr>
            <w:tcW w:w="1531" w:type="dxa"/>
            <w:noWrap/>
            <w:hideMark/>
          </w:tcPr>
          <w:p w14:paraId="0B3CA596" w14:textId="77777777" w:rsidR="00F6759C" w:rsidRPr="00244961" w:rsidRDefault="00F6759C" w:rsidP="00F6759C">
            <w:pPr>
              <w:spacing w:before="40" w:after="40"/>
              <w:jc w:val="right"/>
              <w:rPr>
                <w:rFonts w:ascii="Arial Narrow" w:hAnsi="Arial Narrow" w:cs="Calibri"/>
                <w:sz w:val="20"/>
              </w:rPr>
            </w:pPr>
            <w:r w:rsidRPr="00244961">
              <w:rPr>
                <w:rFonts w:ascii="Arial Narrow" w:hAnsi="Arial Narrow" w:cs="Calibri"/>
                <w:sz w:val="20"/>
              </w:rPr>
              <w:t>65,758</w:t>
            </w:r>
          </w:p>
        </w:tc>
        <w:tc>
          <w:tcPr>
            <w:tcW w:w="1531" w:type="dxa"/>
            <w:noWrap/>
            <w:hideMark/>
          </w:tcPr>
          <w:p w14:paraId="30A92378" w14:textId="77777777" w:rsidR="00F6759C" w:rsidRPr="00244961" w:rsidRDefault="00F6759C" w:rsidP="00F6759C">
            <w:pPr>
              <w:spacing w:before="40" w:after="40"/>
              <w:jc w:val="right"/>
              <w:rPr>
                <w:rFonts w:ascii="Arial Narrow" w:hAnsi="Arial Narrow" w:cs="Calibri"/>
                <w:sz w:val="20"/>
              </w:rPr>
            </w:pPr>
            <w:r w:rsidRPr="00244961">
              <w:rPr>
                <w:rFonts w:ascii="Arial Narrow" w:hAnsi="Arial Narrow" w:cs="Calibri"/>
                <w:sz w:val="20"/>
              </w:rPr>
              <w:t>66,580</w:t>
            </w:r>
          </w:p>
        </w:tc>
        <w:tc>
          <w:tcPr>
            <w:tcW w:w="1531" w:type="dxa"/>
            <w:noWrap/>
            <w:hideMark/>
          </w:tcPr>
          <w:p w14:paraId="63C270FF" w14:textId="77777777" w:rsidR="00F6759C" w:rsidRPr="00244961" w:rsidRDefault="00F6759C" w:rsidP="00F6759C">
            <w:pPr>
              <w:spacing w:before="40" w:after="40"/>
              <w:jc w:val="right"/>
              <w:rPr>
                <w:rFonts w:ascii="Arial Narrow" w:hAnsi="Arial Narrow" w:cs="Calibri"/>
                <w:sz w:val="20"/>
              </w:rPr>
            </w:pPr>
            <w:r w:rsidRPr="00244961">
              <w:rPr>
                <w:rFonts w:ascii="Arial Narrow" w:hAnsi="Arial Narrow" w:cs="Calibri"/>
                <w:sz w:val="20"/>
              </w:rPr>
              <w:t>67,412</w:t>
            </w:r>
          </w:p>
        </w:tc>
        <w:tc>
          <w:tcPr>
            <w:tcW w:w="1531" w:type="dxa"/>
            <w:noWrap/>
            <w:hideMark/>
          </w:tcPr>
          <w:p w14:paraId="3575E35B" w14:textId="77777777" w:rsidR="00F6759C" w:rsidRPr="00244961" w:rsidRDefault="00F6759C" w:rsidP="00F6759C">
            <w:pPr>
              <w:spacing w:before="40" w:after="40"/>
              <w:jc w:val="right"/>
              <w:rPr>
                <w:rFonts w:ascii="Arial Narrow" w:hAnsi="Arial Narrow" w:cs="Calibri"/>
                <w:sz w:val="20"/>
              </w:rPr>
            </w:pPr>
            <w:r w:rsidRPr="00244961">
              <w:rPr>
                <w:rFonts w:ascii="Arial Narrow" w:hAnsi="Arial Narrow" w:cs="Calibri"/>
                <w:sz w:val="20"/>
              </w:rPr>
              <w:t>68,255</w:t>
            </w:r>
          </w:p>
        </w:tc>
      </w:tr>
      <w:tr w:rsidR="00F6759C" w:rsidRPr="00244961" w14:paraId="4A5D7280" w14:textId="77777777" w:rsidTr="00F6759C">
        <w:trPr>
          <w:trHeight w:val="300"/>
        </w:trPr>
        <w:tc>
          <w:tcPr>
            <w:tcW w:w="1668" w:type="dxa"/>
            <w:noWrap/>
          </w:tcPr>
          <w:p w14:paraId="4073BAB4" w14:textId="77777777" w:rsidR="00F6759C" w:rsidRPr="00244961" w:rsidRDefault="008A438A" w:rsidP="00F6759C">
            <w:pPr>
              <w:spacing w:before="40" w:after="40"/>
              <w:jc w:val="right"/>
              <w:rPr>
                <w:rFonts w:ascii="Arial Narrow" w:hAnsi="Arial Narrow" w:cs="Calibri"/>
                <w:sz w:val="20"/>
              </w:rPr>
            </w:pPr>
            <w:r>
              <w:rPr>
                <w:rFonts w:ascii="Arial Narrow" w:hAnsi="Arial Narrow" w:cs="Calibri"/>
                <w:sz w:val="20"/>
              </w:rPr>
              <w:t>Cost s</w:t>
            </w:r>
            <w:r w:rsidR="00F6759C" w:rsidRPr="00244961">
              <w:rPr>
                <w:rFonts w:ascii="Arial Narrow" w:hAnsi="Arial Narrow" w:cs="Calibri"/>
                <w:sz w:val="20"/>
              </w:rPr>
              <w:t>ub-total</w:t>
            </w:r>
          </w:p>
        </w:tc>
        <w:tc>
          <w:tcPr>
            <w:tcW w:w="1530" w:type="dxa"/>
            <w:noWrap/>
          </w:tcPr>
          <w:p w14:paraId="32CE5951" w14:textId="77777777" w:rsidR="00F6759C" w:rsidRPr="00244961" w:rsidRDefault="00F6759C" w:rsidP="00F6759C">
            <w:pPr>
              <w:spacing w:before="40" w:after="40"/>
              <w:jc w:val="right"/>
              <w:rPr>
                <w:rFonts w:ascii="Arial Narrow" w:hAnsi="Arial Narrow"/>
                <w:sz w:val="20"/>
              </w:rPr>
            </w:pPr>
            <w:r w:rsidRPr="00244961">
              <w:rPr>
                <w:rFonts w:ascii="Arial Narrow" w:hAnsi="Arial Narrow"/>
                <w:sz w:val="20"/>
              </w:rPr>
              <w:t>$29,631,558</w:t>
            </w:r>
          </w:p>
        </w:tc>
        <w:tc>
          <w:tcPr>
            <w:tcW w:w="1531" w:type="dxa"/>
            <w:noWrap/>
          </w:tcPr>
          <w:p w14:paraId="31454EAB" w14:textId="77777777" w:rsidR="00F6759C" w:rsidRPr="00244961" w:rsidRDefault="00F6759C" w:rsidP="00F6759C">
            <w:pPr>
              <w:spacing w:before="40" w:after="40"/>
              <w:jc w:val="right"/>
              <w:rPr>
                <w:rFonts w:ascii="Arial Narrow" w:hAnsi="Arial Narrow"/>
                <w:sz w:val="20"/>
              </w:rPr>
            </w:pPr>
            <w:r w:rsidRPr="00244961">
              <w:rPr>
                <w:rFonts w:ascii="Arial Narrow" w:hAnsi="Arial Narrow"/>
                <w:sz w:val="20"/>
              </w:rPr>
              <w:t>$30,001,953</w:t>
            </w:r>
          </w:p>
        </w:tc>
        <w:tc>
          <w:tcPr>
            <w:tcW w:w="1531" w:type="dxa"/>
            <w:noWrap/>
          </w:tcPr>
          <w:p w14:paraId="4AE7D295" w14:textId="77777777" w:rsidR="00F6759C" w:rsidRPr="00244961" w:rsidRDefault="00F6759C" w:rsidP="00F6759C">
            <w:pPr>
              <w:spacing w:before="40" w:after="40"/>
              <w:jc w:val="right"/>
              <w:rPr>
                <w:rFonts w:ascii="Arial Narrow" w:hAnsi="Arial Narrow"/>
                <w:sz w:val="20"/>
              </w:rPr>
            </w:pPr>
            <w:r w:rsidRPr="00244961">
              <w:rPr>
                <w:rFonts w:ascii="Arial Narrow" w:hAnsi="Arial Narrow"/>
                <w:sz w:val="20"/>
              </w:rPr>
              <w:t>$30,376,977</w:t>
            </w:r>
          </w:p>
        </w:tc>
        <w:tc>
          <w:tcPr>
            <w:tcW w:w="1531" w:type="dxa"/>
            <w:noWrap/>
          </w:tcPr>
          <w:p w14:paraId="3A867D83" w14:textId="77777777" w:rsidR="00F6759C" w:rsidRPr="00244961" w:rsidRDefault="00F6759C" w:rsidP="00F6759C">
            <w:pPr>
              <w:spacing w:before="40" w:after="40"/>
              <w:jc w:val="right"/>
              <w:rPr>
                <w:rFonts w:ascii="Arial Narrow" w:hAnsi="Arial Narrow"/>
                <w:sz w:val="20"/>
              </w:rPr>
            </w:pPr>
            <w:r w:rsidRPr="00244961">
              <w:rPr>
                <w:rFonts w:ascii="Arial Narrow" w:hAnsi="Arial Narrow"/>
                <w:sz w:val="20"/>
              </w:rPr>
              <w:t>$30,756,689</w:t>
            </w:r>
          </w:p>
        </w:tc>
        <w:tc>
          <w:tcPr>
            <w:tcW w:w="1531" w:type="dxa"/>
            <w:noWrap/>
          </w:tcPr>
          <w:p w14:paraId="5489ED32" w14:textId="77777777" w:rsidR="00F6759C" w:rsidRPr="00244961" w:rsidRDefault="00F6759C" w:rsidP="00F6759C">
            <w:pPr>
              <w:spacing w:before="40" w:after="40"/>
              <w:jc w:val="right"/>
              <w:rPr>
                <w:rFonts w:ascii="Arial Narrow" w:hAnsi="Arial Narrow"/>
                <w:sz w:val="20"/>
              </w:rPr>
            </w:pPr>
            <w:r w:rsidRPr="00244961">
              <w:rPr>
                <w:rFonts w:ascii="Arial Narrow" w:hAnsi="Arial Narrow"/>
                <w:sz w:val="20"/>
              </w:rPr>
              <w:t>$31,141,148</w:t>
            </w:r>
          </w:p>
        </w:tc>
      </w:tr>
      <w:tr w:rsidR="00F6759C" w:rsidRPr="00244961" w14:paraId="56D41B78" w14:textId="77777777" w:rsidTr="00F6759C">
        <w:trPr>
          <w:trHeight w:val="300"/>
        </w:trPr>
        <w:tc>
          <w:tcPr>
            <w:tcW w:w="1668" w:type="dxa"/>
            <w:noWrap/>
            <w:hideMark/>
          </w:tcPr>
          <w:p w14:paraId="7DFE8272" w14:textId="77777777" w:rsidR="00F6759C" w:rsidRPr="00244961" w:rsidRDefault="00F6759C" w:rsidP="00F6759C">
            <w:pPr>
              <w:spacing w:before="40" w:after="40"/>
              <w:rPr>
                <w:rFonts w:ascii="Arial Narrow" w:hAnsi="Arial Narrow" w:cs="Calibri"/>
                <w:sz w:val="20"/>
              </w:rPr>
            </w:pPr>
            <w:r w:rsidRPr="00244961">
              <w:rPr>
                <w:rFonts w:ascii="Arial Narrow" w:hAnsi="Arial Narrow" w:cs="Calibri"/>
                <w:sz w:val="20"/>
              </w:rPr>
              <w:t>Verification number</w:t>
            </w:r>
          </w:p>
        </w:tc>
        <w:tc>
          <w:tcPr>
            <w:tcW w:w="1530" w:type="dxa"/>
            <w:noWrap/>
            <w:hideMark/>
          </w:tcPr>
          <w:p w14:paraId="27DF4979" w14:textId="77777777" w:rsidR="00F6759C" w:rsidRPr="00244961" w:rsidRDefault="00F6759C" w:rsidP="00F6759C">
            <w:pPr>
              <w:spacing w:before="40" w:after="40"/>
              <w:jc w:val="right"/>
              <w:rPr>
                <w:rFonts w:ascii="Arial Narrow" w:hAnsi="Arial Narrow" w:cs="Calibri"/>
                <w:sz w:val="20"/>
              </w:rPr>
            </w:pPr>
            <w:r w:rsidRPr="00244961">
              <w:rPr>
                <w:rFonts w:ascii="Arial Narrow" w:hAnsi="Arial Narrow" w:cs="Calibri"/>
                <w:sz w:val="20"/>
              </w:rPr>
              <w:t>64,946</w:t>
            </w:r>
          </w:p>
        </w:tc>
        <w:tc>
          <w:tcPr>
            <w:tcW w:w="1531" w:type="dxa"/>
            <w:noWrap/>
            <w:hideMark/>
          </w:tcPr>
          <w:p w14:paraId="3C127CC0" w14:textId="77777777" w:rsidR="00F6759C" w:rsidRPr="00244961" w:rsidRDefault="00F6759C" w:rsidP="00F6759C">
            <w:pPr>
              <w:spacing w:before="40" w:after="40"/>
              <w:jc w:val="right"/>
              <w:rPr>
                <w:rFonts w:ascii="Arial Narrow" w:hAnsi="Arial Narrow" w:cs="Calibri"/>
                <w:sz w:val="20"/>
              </w:rPr>
            </w:pPr>
            <w:r w:rsidRPr="00244961">
              <w:rPr>
                <w:rFonts w:ascii="Arial Narrow" w:hAnsi="Arial Narrow" w:cs="Calibri"/>
                <w:sz w:val="20"/>
              </w:rPr>
              <w:t>65,758</w:t>
            </w:r>
          </w:p>
        </w:tc>
        <w:tc>
          <w:tcPr>
            <w:tcW w:w="1531" w:type="dxa"/>
            <w:noWrap/>
            <w:hideMark/>
          </w:tcPr>
          <w:p w14:paraId="2C48AAC4" w14:textId="77777777" w:rsidR="00F6759C" w:rsidRPr="00244961" w:rsidRDefault="00F6759C" w:rsidP="00F6759C">
            <w:pPr>
              <w:spacing w:before="40" w:after="40"/>
              <w:jc w:val="right"/>
              <w:rPr>
                <w:rFonts w:ascii="Arial Narrow" w:hAnsi="Arial Narrow" w:cs="Calibri"/>
                <w:sz w:val="20"/>
              </w:rPr>
            </w:pPr>
            <w:r w:rsidRPr="00244961">
              <w:rPr>
                <w:rFonts w:ascii="Arial Narrow" w:hAnsi="Arial Narrow" w:cs="Calibri"/>
                <w:sz w:val="20"/>
              </w:rPr>
              <w:t>66,580</w:t>
            </w:r>
          </w:p>
        </w:tc>
        <w:tc>
          <w:tcPr>
            <w:tcW w:w="1531" w:type="dxa"/>
            <w:noWrap/>
            <w:hideMark/>
          </w:tcPr>
          <w:p w14:paraId="7ACBF2F2" w14:textId="77777777" w:rsidR="00F6759C" w:rsidRPr="00244961" w:rsidRDefault="00F6759C" w:rsidP="00F6759C">
            <w:pPr>
              <w:spacing w:before="40" w:after="40"/>
              <w:jc w:val="right"/>
              <w:rPr>
                <w:rFonts w:ascii="Arial Narrow" w:hAnsi="Arial Narrow" w:cs="Calibri"/>
                <w:sz w:val="20"/>
              </w:rPr>
            </w:pPr>
            <w:r w:rsidRPr="00244961">
              <w:rPr>
                <w:rFonts w:ascii="Arial Narrow" w:hAnsi="Arial Narrow" w:cs="Calibri"/>
                <w:sz w:val="20"/>
              </w:rPr>
              <w:t>67,412</w:t>
            </w:r>
          </w:p>
        </w:tc>
        <w:tc>
          <w:tcPr>
            <w:tcW w:w="1531" w:type="dxa"/>
            <w:noWrap/>
            <w:hideMark/>
          </w:tcPr>
          <w:p w14:paraId="7D3434A2" w14:textId="77777777" w:rsidR="00F6759C" w:rsidRPr="00244961" w:rsidRDefault="00F6759C" w:rsidP="00F6759C">
            <w:pPr>
              <w:spacing w:before="40" w:after="40"/>
              <w:jc w:val="right"/>
              <w:rPr>
                <w:rFonts w:ascii="Arial Narrow" w:hAnsi="Arial Narrow" w:cs="Calibri"/>
                <w:sz w:val="20"/>
              </w:rPr>
            </w:pPr>
            <w:r w:rsidRPr="00244961">
              <w:rPr>
                <w:rFonts w:ascii="Arial Narrow" w:hAnsi="Arial Narrow" w:cs="Calibri"/>
                <w:sz w:val="20"/>
              </w:rPr>
              <w:t>68,255</w:t>
            </w:r>
          </w:p>
        </w:tc>
      </w:tr>
      <w:tr w:rsidR="00F6759C" w:rsidRPr="00244961" w14:paraId="394597E8" w14:textId="77777777" w:rsidTr="004849A9">
        <w:trPr>
          <w:trHeight w:val="300"/>
        </w:trPr>
        <w:tc>
          <w:tcPr>
            <w:tcW w:w="1668" w:type="dxa"/>
            <w:tcBorders>
              <w:bottom w:val="single" w:sz="4" w:space="0" w:color="auto"/>
            </w:tcBorders>
            <w:noWrap/>
          </w:tcPr>
          <w:p w14:paraId="222EA4BC" w14:textId="77777777" w:rsidR="00F6759C" w:rsidRPr="00244961" w:rsidRDefault="008A438A" w:rsidP="00F6759C">
            <w:pPr>
              <w:spacing w:before="40" w:after="40"/>
              <w:jc w:val="right"/>
              <w:rPr>
                <w:rFonts w:ascii="Arial Narrow" w:hAnsi="Arial Narrow" w:cs="Calibri"/>
                <w:sz w:val="20"/>
              </w:rPr>
            </w:pPr>
            <w:r>
              <w:rPr>
                <w:rFonts w:ascii="Arial Narrow" w:hAnsi="Arial Narrow" w:cs="Calibri"/>
                <w:sz w:val="20"/>
              </w:rPr>
              <w:t>Cost s</w:t>
            </w:r>
            <w:r w:rsidR="00F6759C" w:rsidRPr="00244961">
              <w:rPr>
                <w:rFonts w:ascii="Arial Narrow" w:hAnsi="Arial Narrow" w:cs="Calibri"/>
                <w:sz w:val="20"/>
              </w:rPr>
              <w:t>ub-total</w:t>
            </w:r>
          </w:p>
        </w:tc>
        <w:tc>
          <w:tcPr>
            <w:tcW w:w="1530" w:type="dxa"/>
            <w:tcBorders>
              <w:bottom w:val="single" w:sz="4" w:space="0" w:color="auto"/>
            </w:tcBorders>
            <w:noWrap/>
          </w:tcPr>
          <w:p w14:paraId="7272877A" w14:textId="77777777" w:rsidR="00F6759C" w:rsidRPr="00244961" w:rsidRDefault="00F6759C" w:rsidP="00F6759C">
            <w:pPr>
              <w:spacing w:before="40" w:after="40"/>
              <w:jc w:val="right"/>
              <w:rPr>
                <w:rFonts w:ascii="Arial Narrow" w:hAnsi="Arial Narrow"/>
                <w:sz w:val="20"/>
              </w:rPr>
            </w:pPr>
            <w:r w:rsidRPr="00244961">
              <w:rPr>
                <w:rFonts w:ascii="Arial Narrow" w:hAnsi="Arial Narrow"/>
                <w:sz w:val="20"/>
              </w:rPr>
              <w:t>$12,750,008</w:t>
            </w:r>
          </w:p>
        </w:tc>
        <w:tc>
          <w:tcPr>
            <w:tcW w:w="1531" w:type="dxa"/>
            <w:tcBorders>
              <w:bottom w:val="single" w:sz="4" w:space="0" w:color="auto"/>
            </w:tcBorders>
            <w:noWrap/>
          </w:tcPr>
          <w:p w14:paraId="2EC44297" w14:textId="77777777" w:rsidR="00F6759C" w:rsidRPr="00244961" w:rsidRDefault="00F6759C" w:rsidP="00F6759C">
            <w:pPr>
              <w:spacing w:before="40" w:after="40"/>
              <w:jc w:val="right"/>
              <w:rPr>
                <w:rFonts w:ascii="Arial Narrow" w:hAnsi="Arial Narrow"/>
                <w:sz w:val="20"/>
              </w:rPr>
            </w:pPr>
            <w:r w:rsidRPr="00244961">
              <w:rPr>
                <w:rFonts w:ascii="Arial Narrow" w:hAnsi="Arial Narrow"/>
                <w:sz w:val="20"/>
              </w:rPr>
              <w:t>$12,750,008</w:t>
            </w:r>
          </w:p>
        </w:tc>
        <w:tc>
          <w:tcPr>
            <w:tcW w:w="1531" w:type="dxa"/>
            <w:tcBorders>
              <w:bottom w:val="single" w:sz="4" w:space="0" w:color="auto"/>
            </w:tcBorders>
            <w:noWrap/>
          </w:tcPr>
          <w:p w14:paraId="3A3B6AA8" w14:textId="77777777" w:rsidR="00F6759C" w:rsidRPr="00244961" w:rsidRDefault="00F6759C" w:rsidP="00F6759C">
            <w:pPr>
              <w:spacing w:before="40" w:after="40"/>
              <w:jc w:val="right"/>
              <w:rPr>
                <w:rFonts w:ascii="Arial Narrow" w:hAnsi="Arial Narrow"/>
                <w:sz w:val="20"/>
              </w:rPr>
            </w:pPr>
            <w:r w:rsidRPr="00244961">
              <w:rPr>
                <w:rFonts w:ascii="Arial Narrow" w:hAnsi="Arial Narrow"/>
                <w:sz w:val="20"/>
              </w:rPr>
              <w:t>$12,750,008</w:t>
            </w:r>
          </w:p>
        </w:tc>
        <w:tc>
          <w:tcPr>
            <w:tcW w:w="1531" w:type="dxa"/>
            <w:tcBorders>
              <w:bottom w:val="single" w:sz="4" w:space="0" w:color="auto"/>
            </w:tcBorders>
            <w:noWrap/>
          </w:tcPr>
          <w:p w14:paraId="147773AB" w14:textId="77777777" w:rsidR="00F6759C" w:rsidRPr="00244961" w:rsidRDefault="00F6759C" w:rsidP="00F6759C">
            <w:pPr>
              <w:spacing w:before="40" w:after="40"/>
              <w:jc w:val="right"/>
              <w:rPr>
                <w:rFonts w:ascii="Arial Narrow" w:hAnsi="Arial Narrow"/>
                <w:sz w:val="20"/>
              </w:rPr>
            </w:pPr>
            <w:r w:rsidRPr="00244961">
              <w:rPr>
                <w:rFonts w:ascii="Arial Narrow" w:hAnsi="Arial Narrow"/>
                <w:sz w:val="20"/>
              </w:rPr>
              <w:t>$12,909,383</w:t>
            </w:r>
          </w:p>
        </w:tc>
        <w:tc>
          <w:tcPr>
            <w:tcW w:w="1531" w:type="dxa"/>
            <w:tcBorders>
              <w:bottom w:val="single" w:sz="4" w:space="0" w:color="auto"/>
            </w:tcBorders>
            <w:noWrap/>
          </w:tcPr>
          <w:p w14:paraId="459D2948" w14:textId="77777777" w:rsidR="00F6759C" w:rsidRPr="00244961" w:rsidRDefault="00F6759C" w:rsidP="00F6759C">
            <w:pPr>
              <w:spacing w:before="40" w:after="40"/>
              <w:jc w:val="right"/>
              <w:rPr>
                <w:rFonts w:ascii="Arial Narrow" w:hAnsi="Arial Narrow"/>
                <w:sz w:val="20"/>
              </w:rPr>
            </w:pPr>
            <w:r w:rsidRPr="00244961">
              <w:rPr>
                <w:rFonts w:ascii="Arial Narrow" w:hAnsi="Arial Narrow"/>
                <w:sz w:val="20"/>
              </w:rPr>
              <w:t>$13,070,750</w:t>
            </w:r>
          </w:p>
        </w:tc>
      </w:tr>
      <w:tr w:rsidR="00F6759C" w:rsidRPr="00244961" w14:paraId="319A8706" w14:textId="77777777" w:rsidTr="004849A9">
        <w:trPr>
          <w:trHeight w:val="315"/>
        </w:trPr>
        <w:tc>
          <w:tcPr>
            <w:tcW w:w="1668" w:type="dxa"/>
            <w:shd w:val="clear" w:color="auto" w:fill="auto"/>
            <w:noWrap/>
          </w:tcPr>
          <w:p w14:paraId="3DE17693" w14:textId="77777777" w:rsidR="00F6759C" w:rsidRPr="00244961" w:rsidRDefault="008A438A" w:rsidP="00F6759C">
            <w:pPr>
              <w:spacing w:before="40" w:after="40"/>
              <w:rPr>
                <w:rFonts w:ascii="Arial Narrow" w:hAnsi="Arial Narrow" w:cs="Calibri"/>
                <w:b/>
                <w:bCs/>
                <w:sz w:val="20"/>
              </w:rPr>
            </w:pPr>
            <w:r>
              <w:rPr>
                <w:rFonts w:ascii="Arial Narrow" w:hAnsi="Arial Narrow" w:cs="Calibri"/>
                <w:b/>
                <w:bCs/>
                <w:sz w:val="20"/>
              </w:rPr>
              <w:t>Total c</w:t>
            </w:r>
            <w:r w:rsidR="00F6759C" w:rsidRPr="00244961">
              <w:rPr>
                <w:rFonts w:ascii="Arial Narrow" w:hAnsi="Arial Narrow" w:cs="Calibri"/>
                <w:b/>
                <w:bCs/>
                <w:sz w:val="20"/>
              </w:rPr>
              <w:t>ost</w:t>
            </w:r>
          </w:p>
        </w:tc>
        <w:tc>
          <w:tcPr>
            <w:tcW w:w="1530" w:type="dxa"/>
            <w:shd w:val="clear" w:color="auto" w:fill="auto"/>
            <w:noWrap/>
          </w:tcPr>
          <w:p w14:paraId="0D8EB056" w14:textId="77777777" w:rsidR="00F6759C" w:rsidRPr="00244961" w:rsidRDefault="00F6759C" w:rsidP="00F6759C">
            <w:pPr>
              <w:spacing w:before="40" w:after="40"/>
              <w:jc w:val="right"/>
              <w:rPr>
                <w:rFonts w:ascii="Arial Narrow" w:hAnsi="Arial Narrow" w:cs="Calibri"/>
                <w:b/>
                <w:bCs/>
                <w:sz w:val="20"/>
              </w:rPr>
            </w:pPr>
            <w:r w:rsidRPr="00244961">
              <w:rPr>
                <w:rFonts w:ascii="Arial Narrow" w:hAnsi="Arial Narrow" w:cs="Calibri"/>
                <w:b/>
                <w:bCs/>
                <w:sz w:val="20"/>
              </w:rPr>
              <w:t>$58,373,309</w:t>
            </w:r>
          </w:p>
        </w:tc>
        <w:tc>
          <w:tcPr>
            <w:tcW w:w="1531" w:type="dxa"/>
            <w:shd w:val="clear" w:color="auto" w:fill="auto"/>
            <w:noWrap/>
          </w:tcPr>
          <w:p w14:paraId="360F78EF" w14:textId="77777777" w:rsidR="00F6759C" w:rsidRPr="00244961" w:rsidRDefault="00F6759C" w:rsidP="00F6759C">
            <w:pPr>
              <w:spacing w:before="40" w:after="40"/>
              <w:jc w:val="right"/>
              <w:rPr>
                <w:rFonts w:ascii="Arial Narrow" w:hAnsi="Arial Narrow" w:cs="Calibri"/>
                <w:b/>
                <w:bCs/>
                <w:sz w:val="20"/>
              </w:rPr>
            </w:pPr>
            <w:r w:rsidRPr="00244961">
              <w:rPr>
                <w:rFonts w:ascii="Arial Narrow" w:hAnsi="Arial Narrow" w:cs="Calibri"/>
                <w:b/>
                <w:bCs/>
                <w:sz w:val="20"/>
              </w:rPr>
              <w:t>$59,102,975</w:t>
            </w:r>
          </w:p>
        </w:tc>
        <w:tc>
          <w:tcPr>
            <w:tcW w:w="1531" w:type="dxa"/>
            <w:shd w:val="clear" w:color="auto" w:fill="auto"/>
            <w:noWrap/>
          </w:tcPr>
          <w:p w14:paraId="0A9F2A51" w14:textId="77777777" w:rsidR="00F6759C" w:rsidRPr="00244961" w:rsidRDefault="00F6759C" w:rsidP="00F6759C">
            <w:pPr>
              <w:spacing w:before="40" w:after="40"/>
              <w:jc w:val="right"/>
              <w:rPr>
                <w:rFonts w:ascii="Arial Narrow" w:hAnsi="Arial Narrow" w:cs="Calibri"/>
                <w:b/>
                <w:bCs/>
                <w:sz w:val="20"/>
              </w:rPr>
            </w:pPr>
            <w:r w:rsidRPr="00244961">
              <w:rPr>
                <w:rFonts w:ascii="Arial Narrow" w:hAnsi="Arial Narrow" w:cs="Calibri"/>
                <w:b/>
                <w:bCs/>
                <w:sz w:val="20"/>
              </w:rPr>
              <w:t>$59,841,762</w:t>
            </w:r>
          </w:p>
        </w:tc>
        <w:tc>
          <w:tcPr>
            <w:tcW w:w="1531" w:type="dxa"/>
            <w:shd w:val="clear" w:color="auto" w:fill="auto"/>
            <w:noWrap/>
          </w:tcPr>
          <w:p w14:paraId="17270F77" w14:textId="77777777" w:rsidR="00F6759C" w:rsidRPr="00244961" w:rsidRDefault="00F6759C" w:rsidP="00F6759C">
            <w:pPr>
              <w:spacing w:before="40" w:after="40"/>
              <w:jc w:val="right"/>
              <w:rPr>
                <w:rFonts w:ascii="Arial Narrow" w:hAnsi="Arial Narrow" w:cs="Calibri"/>
                <w:b/>
                <w:bCs/>
                <w:sz w:val="20"/>
              </w:rPr>
            </w:pPr>
            <w:r w:rsidRPr="00244961">
              <w:rPr>
                <w:rFonts w:ascii="Arial Narrow" w:hAnsi="Arial Narrow" w:cs="Calibri"/>
                <w:b/>
                <w:bCs/>
                <w:sz w:val="20"/>
              </w:rPr>
              <w:t>$60,589,784</w:t>
            </w:r>
          </w:p>
        </w:tc>
        <w:tc>
          <w:tcPr>
            <w:tcW w:w="1531" w:type="dxa"/>
            <w:shd w:val="clear" w:color="auto" w:fill="auto"/>
            <w:noWrap/>
          </w:tcPr>
          <w:p w14:paraId="5088F7E2" w14:textId="77777777" w:rsidR="00F6759C" w:rsidRPr="00244961" w:rsidRDefault="00F6759C" w:rsidP="00F6759C">
            <w:pPr>
              <w:spacing w:before="40" w:after="40"/>
              <w:jc w:val="right"/>
              <w:rPr>
                <w:rFonts w:ascii="Arial Narrow" w:hAnsi="Arial Narrow"/>
                <w:b/>
                <w:bCs/>
                <w:sz w:val="20"/>
              </w:rPr>
            </w:pPr>
            <w:r w:rsidRPr="00244961">
              <w:rPr>
                <w:rFonts w:ascii="Arial Narrow" w:hAnsi="Arial Narrow"/>
                <w:b/>
                <w:bCs/>
                <w:sz w:val="20"/>
              </w:rPr>
              <w:t>$61,347,157</w:t>
            </w:r>
          </w:p>
        </w:tc>
      </w:tr>
    </w:tbl>
    <w:p w14:paraId="7484B8A5" w14:textId="5FD62F57" w:rsidR="00483F3C" w:rsidRDefault="00F6759C" w:rsidP="003817F4">
      <w:pPr>
        <w:spacing w:after="240"/>
        <w:jc w:val="both"/>
        <w:rPr>
          <w:rFonts w:ascii="Arial Narrow" w:hAnsi="Arial Narrow"/>
          <w:sz w:val="18"/>
          <w:szCs w:val="18"/>
        </w:rPr>
      </w:pPr>
      <w:r w:rsidRPr="00244961">
        <w:rPr>
          <w:rFonts w:ascii="Arial Narrow" w:hAnsi="Arial Narrow"/>
          <w:sz w:val="18"/>
          <w:szCs w:val="18"/>
        </w:rPr>
        <w:t>Abbreviations: PBT, proton beam therapy; PICO, patients intervention comparator outcomes.</w:t>
      </w:r>
    </w:p>
    <w:p w14:paraId="29436B76" w14:textId="7D7B778D" w:rsidR="00577904" w:rsidRPr="00244961" w:rsidRDefault="00483F3C" w:rsidP="003817F4">
      <w:pPr>
        <w:spacing w:after="240"/>
      </w:pPr>
      <w:r w:rsidRPr="00F63B61">
        <w:t xml:space="preserve">The </w:t>
      </w:r>
      <w:r w:rsidR="00577904" w:rsidRPr="00F63B61">
        <w:t xml:space="preserve">overall </w:t>
      </w:r>
      <w:r w:rsidRPr="00F63B61">
        <w:t>financial implications</w:t>
      </w:r>
      <w:r w:rsidR="00F63B61" w:rsidRPr="00F63B61">
        <w:t>, if public funding was via</w:t>
      </w:r>
      <w:r w:rsidRPr="00F63B61">
        <w:t xml:space="preserve"> the MBS</w:t>
      </w:r>
      <w:r w:rsidR="00F63B61" w:rsidRPr="00F63B61">
        <w:t>,</w:t>
      </w:r>
      <w:r w:rsidRPr="00F63B61">
        <w:t xml:space="preserve"> resulting from the proposed public funding of PBT are summarised in </w:t>
      </w:r>
      <w:r w:rsidRPr="00F63B61">
        <w:fldChar w:fldCharType="begin"/>
      </w:r>
      <w:r w:rsidRPr="00F63B61">
        <w:instrText xml:space="preserve"> REF _Ref497380293 \h </w:instrText>
      </w:r>
      <w:r w:rsidR="00F63B61">
        <w:instrText xml:space="preserve"> \* MERGEFORMAT </w:instrText>
      </w:r>
      <w:r w:rsidRPr="00F63B61">
        <w:fldChar w:fldCharType="separate"/>
      </w:r>
      <w:r w:rsidRPr="00F63B61">
        <w:t xml:space="preserve">Table </w:t>
      </w:r>
      <w:r w:rsidRPr="00F63B61">
        <w:rPr>
          <w:noProof/>
        </w:rPr>
        <w:t>7</w:t>
      </w:r>
      <w:r w:rsidRPr="00F63B61">
        <w:fldChar w:fldCharType="end"/>
      </w:r>
      <w:bookmarkStart w:id="21" w:name="_Ref496820058"/>
      <w:r w:rsidRPr="00F63B61">
        <w:t xml:space="preserve">. This table shows the costs of PBT offset by the patients who </w:t>
      </w:r>
      <w:r w:rsidR="003817F4">
        <w:t>are currently treated with PRT.</w:t>
      </w:r>
    </w:p>
    <w:p w14:paraId="1A7E4804" w14:textId="625E4F7C" w:rsidR="00483F3C" w:rsidRPr="00244961" w:rsidRDefault="00483F3C" w:rsidP="00EA18EA">
      <w:pPr>
        <w:pStyle w:val="Caption"/>
        <w:ind w:right="-46"/>
        <w:rPr>
          <w:szCs w:val="20"/>
        </w:rPr>
      </w:pPr>
      <w:bookmarkStart w:id="22" w:name="_Ref497380293"/>
      <w:bookmarkStart w:id="23" w:name="_Toc522176513"/>
      <w:r w:rsidRPr="00244961">
        <w:rPr>
          <w:szCs w:val="20"/>
        </w:rPr>
        <w:t>Table</w:t>
      </w:r>
      <w:bookmarkEnd w:id="21"/>
      <w:bookmarkEnd w:id="22"/>
      <w:r w:rsidR="00577904">
        <w:rPr>
          <w:szCs w:val="20"/>
        </w:rPr>
        <w:t xml:space="preserve"> 7</w:t>
      </w:r>
      <w:r w:rsidRPr="00244961">
        <w:rPr>
          <w:szCs w:val="20"/>
        </w:rPr>
        <w:tab/>
      </w:r>
      <w:r w:rsidR="00EA18EA">
        <w:rPr>
          <w:szCs w:val="20"/>
        </w:rPr>
        <w:t>Estimated t</w:t>
      </w:r>
      <w:r w:rsidRPr="00244961">
        <w:rPr>
          <w:szCs w:val="20"/>
        </w:rPr>
        <w:t>otal costs</w:t>
      </w:r>
      <w:r>
        <w:rPr>
          <w:szCs w:val="20"/>
        </w:rPr>
        <w:t xml:space="preserve"> to the MBS </w:t>
      </w:r>
      <w:r w:rsidRPr="00244961">
        <w:rPr>
          <w:szCs w:val="20"/>
        </w:rPr>
        <w:t>associated with PBT services offset by the reduced number PRT services</w:t>
      </w:r>
      <w:bookmarkEnd w:id="23"/>
    </w:p>
    <w:tbl>
      <w:tblPr>
        <w:tblStyle w:val="TableGrid1"/>
        <w:tblW w:w="9493" w:type="dxa"/>
        <w:tblLook w:val="04A0" w:firstRow="1" w:lastRow="0" w:firstColumn="1" w:lastColumn="0" w:noHBand="0" w:noVBand="1"/>
        <w:tblCaption w:val="Table 7"/>
        <w:tblDescription w:val="Table 7 presents Total costs to the MBS associated with PBT services offset by the reduced number PRT services"/>
      </w:tblPr>
      <w:tblGrid>
        <w:gridCol w:w="2560"/>
        <w:gridCol w:w="1400"/>
        <w:gridCol w:w="1520"/>
        <w:gridCol w:w="1300"/>
        <w:gridCol w:w="1480"/>
        <w:gridCol w:w="1233"/>
      </w:tblGrid>
      <w:tr w:rsidR="00483F3C" w:rsidRPr="00244961" w14:paraId="662D5E63" w14:textId="77777777" w:rsidTr="00577904">
        <w:trPr>
          <w:cnfStyle w:val="100000000000" w:firstRow="1" w:lastRow="0" w:firstColumn="0" w:lastColumn="0" w:oddVBand="0" w:evenVBand="0" w:oddHBand="0" w:evenHBand="0" w:firstRowFirstColumn="0" w:firstRowLastColumn="0" w:lastRowFirstColumn="0" w:lastRowLastColumn="0"/>
          <w:trHeight w:val="315"/>
          <w:tblHeader/>
        </w:trPr>
        <w:tc>
          <w:tcPr>
            <w:tcW w:w="2560" w:type="dxa"/>
            <w:vMerge w:val="restart"/>
            <w:shd w:val="clear" w:color="auto" w:fill="D9D9D9" w:themeFill="background1" w:themeFillShade="D9"/>
            <w:noWrap/>
            <w:hideMark/>
          </w:tcPr>
          <w:p w14:paraId="799D7321" w14:textId="77777777" w:rsidR="00483F3C" w:rsidRPr="00244961" w:rsidRDefault="00483F3C" w:rsidP="00577904">
            <w:pPr>
              <w:rPr>
                <w:rFonts w:ascii="Arial Narrow" w:hAnsi="Arial Narrow" w:cs="Calibri"/>
                <w:b/>
                <w:bCs/>
                <w:sz w:val="20"/>
              </w:rPr>
            </w:pPr>
            <w:r w:rsidRPr="00244961">
              <w:rPr>
                <w:rFonts w:ascii="Arial Narrow" w:hAnsi="Arial Narrow" w:cs="Calibri"/>
                <w:b/>
                <w:sz w:val="20"/>
              </w:rPr>
              <w:t>Service</w:t>
            </w:r>
          </w:p>
        </w:tc>
        <w:tc>
          <w:tcPr>
            <w:tcW w:w="1400" w:type="dxa"/>
            <w:shd w:val="clear" w:color="auto" w:fill="D9D9D9" w:themeFill="background1" w:themeFillShade="D9"/>
            <w:noWrap/>
            <w:hideMark/>
          </w:tcPr>
          <w:p w14:paraId="2856A33D" w14:textId="77777777" w:rsidR="00483F3C" w:rsidRPr="00244961" w:rsidRDefault="00483F3C" w:rsidP="00577904">
            <w:pPr>
              <w:rPr>
                <w:rFonts w:ascii="Arial Narrow" w:hAnsi="Arial Narrow" w:cs="Calibri"/>
                <w:b/>
                <w:sz w:val="20"/>
              </w:rPr>
            </w:pPr>
            <w:r w:rsidRPr="00244961">
              <w:rPr>
                <w:rFonts w:ascii="Arial Narrow" w:hAnsi="Arial Narrow" w:cs="Calibri"/>
                <w:b/>
                <w:sz w:val="20"/>
              </w:rPr>
              <w:t>2017-2018</w:t>
            </w:r>
          </w:p>
        </w:tc>
        <w:tc>
          <w:tcPr>
            <w:tcW w:w="1520" w:type="dxa"/>
            <w:shd w:val="clear" w:color="auto" w:fill="D9D9D9" w:themeFill="background1" w:themeFillShade="D9"/>
            <w:noWrap/>
            <w:hideMark/>
          </w:tcPr>
          <w:p w14:paraId="1EC12484" w14:textId="77777777" w:rsidR="00483F3C" w:rsidRPr="00244961" w:rsidRDefault="00483F3C" w:rsidP="00577904">
            <w:pPr>
              <w:rPr>
                <w:rFonts w:ascii="Arial Narrow" w:hAnsi="Arial Narrow" w:cs="Calibri"/>
                <w:b/>
                <w:sz w:val="20"/>
              </w:rPr>
            </w:pPr>
            <w:r w:rsidRPr="00244961">
              <w:rPr>
                <w:rFonts w:ascii="Arial Narrow" w:hAnsi="Arial Narrow" w:cs="Calibri"/>
                <w:b/>
                <w:sz w:val="20"/>
              </w:rPr>
              <w:t>2018-2019</w:t>
            </w:r>
          </w:p>
        </w:tc>
        <w:tc>
          <w:tcPr>
            <w:tcW w:w="1300" w:type="dxa"/>
            <w:shd w:val="clear" w:color="auto" w:fill="D9D9D9" w:themeFill="background1" w:themeFillShade="D9"/>
            <w:noWrap/>
            <w:hideMark/>
          </w:tcPr>
          <w:p w14:paraId="72A2AF1F" w14:textId="77777777" w:rsidR="00483F3C" w:rsidRPr="00244961" w:rsidRDefault="00483F3C" w:rsidP="00577904">
            <w:pPr>
              <w:rPr>
                <w:rFonts w:ascii="Arial Narrow" w:hAnsi="Arial Narrow" w:cs="Calibri"/>
                <w:b/>
                <w:sz w:val="20"/>
              </w:rPr>
            </w:pPr>
            <w:r w:rsidRPr="00244961">
              <w:rPr>
                <w:rFonts w:ascii="Arial Narrow" w:hAnsi="Arial Narrow" w:cs="Calibri"/>
                <w:b/>
                <w:sz w:val="20"/>
              </w:rPr>
              <w:t>2019-2020</w:t>
            </w:r>
          </w:p>
        </w:tc>
        <w:tc>
          <w:tcPr>
            <w:tcW w:w="1480" w:type="dxa"/>
            <w:shd w:val="clear" w:color="auto" w:fill="D9D9D9" w:themeFill="background1" w:themeFillShade="D9"/>
            <w:noWrap/>
            <w:hideMark/>
          </w:tcPr>
          <w:p w14:paraId="662529ED" w14:textId="77777777" w:rsidR="00483F3C" w:rsidRPr="00244961" w:rsidRDefault="00483F3C" w:rsidP="00577904">
            <w:pPr>
              <w:rPr>
                <w:rFonts w:ascii="Arial Narrow" w:hAnsi="Arial Narrow" w:cs="Calibri"/>
                <w:b/>
                <w:sz w:val="20"/>
              </w:rPr>
            </w:pPr>
            <w:r w:rsidRPr="00244961">
              <w:rPr>
                <w:rFonts w:ascii="Arial Narrow" w:hAnsi="Arial Narrow" w:cs="Calibri"/>
                <w:b/>
                <w:sz w:val="20"/>
              </w:rPr>
              <w:t>2020-2021</w:t>
            </w:r>
          </w:p>
        </w:tc>
        <w:tc>
          <w:tcPr>
            <w:tcW w:w="1233" w:type="dxa"/>
            <w:shd w:val="clear" w:color="auto" w:fill="D9D9D9" w:themeFill="background1" w:themeFillShade="D9"/>
            <w:noWrap/>
            <w:hideMark/>
          </w:tcPr>
          <w:p w14:paraId="3AC65811" w14:textId="77777777" w:rsidR="00483F3C" w:rsidRPr="00244961" w:rsidRDefault="00483F3C" w:rsidP="00577904">
            <w:pPr>
              <w:rPr>
                <w:rFonts w:ascii="Arial Narrow" w:hAnsi="Arial Narrow" w:cs="Calibri"/>
                <w:b/>
                <w:sz w:val="20"/>
              </w:rPr>
            </w:pPr>
            <w:r w:rsidRPr="00244961">
              <w:rPr>
                <w:rFonts w:ascii="Arial Narrow" w:hAnsi="Arial Narrow" w:cs="Calibri"/>
                <w:b/>
                <w:sz w:val="20"/>
              </w:rPr>
              <w:t>2021-2022</w:t>
            </w:r>
          </w:p>
        </w:tc>
      </w:tr>
      <w:tr w:rsidR="00483F3C" w:rsidRPr="00244961" w14:paraId="69887F5D" w14:textId="77777777" w:rsidTr="00577904">
        <w:trPr>
          <w:cnfStyle w:val="100000000000" w:firstRow="1" w:lastRow="0" w:firstColumn="0" w:lastColumn="0" w:oddVBand="0" w:evenVBand="0" w:oddHBand="0" w:evenHBand="0" w:firstRowFirstColumn="0" w:firstRowLastColumn="0" w:lastRowFirstColumn="0" w:lastRowLastColumn="0"/>
          <w:trHeight w:val="615"/>
          <w:tblHeader/>
        </w:trPr>
        <w:tc>
          <w:tcPr>
            <w:tcW w:w="2560" w:type="dxa"/>
            <w:vMerge/>
            <w:shd w:val="clear" w:color="auto" w:fill="D9D9D9" w:themeFill="background1" w:themeFillShade="D9"/>
            <w:noWrap/>
            <w:hideMark/>
          </w:tcPr>
          <w:p w14:paraId="758AF07A" w14:textId="77777777" w:rsidR="00483F3C" w:rsidRPr="00244961" w:rsidRDefault="00483F3C" w:rsidP="00577904">
            <w:pPr>
              <w:rPr>
                <w:rFonts w:ascii="Arial Narrow" w:hAnsi="Arial Narrow" w:cs="Calibri"/>
                <w:b/>
                <w:sz w:val="20"/>
              </w:rPr>
            </w:pPr>
          </w:p>
        </w:tc>
        <w:tc>
          <w:tcPr>
            <w:tcW w:w="1400" w:type="dxa"/>
            <w:shd w:val="clear" w:color="auto" w:fill="D9D9D9" w:themeFill="background1" w:themeFillShade="D9"/>
            <w:hideMark/>
          </w:tcPr>
          <w:p w14:paraId="6E386377" w14:textId="77777777" w:rsidR="00483F3C" w:rsidRPr="00244961" w:rsidRDefault="00483F3C" w:rsidP="00577904">
            <w:pPr>
              <w:rPr>
                <w:rFonts w:ascii="Arial Narrow" w:hAnsi="Arial Narrow" w:cs="Calibri"/>
                <w:b/>
                <w:sz w:val="20"/>
              </w:rPr>
            </w:pPr>
            <w:r w:rsidRPr="00244961">
              <w:rPr>
                <w:rFonts w:ascii="Arial Narrow" w:hAnsi="Arial Narrow" w:cs="Calibri"/>
                <w:b/>
                <w:sz w:val="20"/>
              </w:rPr>
              <w:t>Cost of activities</w:t>
            </w:r>
          </w:p>
        </w:tc>
        <w:tc>
          <w:tcPr>
            <w:tcW w:w="1520" w:type="dxa"/>
            <w:shd w:val="clear" w:color="auto" w:fill="D9D9D9" w:themeFill="background1" w:themeFillShade="D9"/>
            <w:hideMark/>
          </w:tcPr>
          <w:p w14:paraId="044CC2D9" w14:textId="77777777" w:rsidR="00483F3C" w:rsidRPr="00244961" w:rsidRDefault="00483F3C" w:rsidP="00577904">
            <w:pPr>
              <w:rPr>
                <w:rFonts w:ascii="Arial Narrow" w:hAnsi="Arial Narrow" w:cs="Calibri"/>
                <w:b/>
                <w:sz w:val="20"/>
              </w:rPr>
            </w:pPr>
            <w:r w:rsidRPr="00244961">
              <w:rPr>
                <w:rFonts w:ascii="Arial Narrow" w:hAnsi="Arial Narrow" w:cs="Calibri"/>
                <w:b/>
                <w:sz w:val="20"/>
              </w:rPr>
              <w:t>Cost of activities</w:t>
            </w:r>
          </w:p>
        </w:tc>
        <w:tc>
          <w:tcPr>
            <w:tcW w:w="1300" w:type="dxa"/>
            <w:shd w:val="clear" w:color="auto" w:fill="D9D9D9" w:themeFill="background1" w:themeFillShade="D9"/>
            <w:hideMark/>
          </w:tcPr>
          <w:p w14:paraId="0FDBA0A1" w14:textId="77777777" w:rsidR="00483F3C" w:rsidRPr="00244961" w:rsidRDefault="00483F3C" w:rsidP="00577904">
            <w:pPr>
              <w:rPr>
                <w:rFonts w:ascii="Arial Narrow" w:hAnsi="Arial Narrow" w:cs="Calibri"/>
                <w:b/>
                <w:sz w:val="20"/>
              </w:rPr>
            </w:pPr>
            <w:r w:rsidRPr="00244961">
              <w:rPr>
                <w:rFonts w:ascii="Arial Narrow" w:hAnsi="Arial Narrow" w:cs="Calibri"/>
                <w:b/>
                <w:sz w:val="20"/>
              </w:rPr>
              <w:t>Cost of activities</w:t>
            </w:r>
          </w:p>
        </w:tc>
        <w:tc>
          <w:tcPr>
            <w:tcW w:w="1480" w:type="dxa"/>
            <w:shd w:val="clear" w:color="auto" w:fill="D9D9D9" w:themeFill="background1" w:themeFillShade="D9"/>
            <w:hideMark/>
          </w:tcPr>
          <w:p w14:paraId="77ADF0E4" w14:textId="77777777" w:rsidR="00483F3C" w:rsidRPr="00244961" w:rsidRDefault="00483F3C" w:rsidP="00577904">
            <w:pPr>
              <w:rPr>
                <w:rFonts w:ascii="Arial Narrow" w:hAnsi="Arial Narrow" w:cs="Calibri"/>
                <w:b/>
                <w:sz w:val="20"/>
              </w:rPr>
            </w:pPr>
            <w:r w:rsidRPr="00244961">
              <w:rPr>
                <w:rFonts w:ascii="Arial Narrow" w:hAnsi="Arial Narrow" w:cs="Calibri"/>
                <w:b/>
                <w:sz w:val="20"/>
              </w:rPr>
              <w:t>Cost of activities</w:t>
            </w:r>
          </w:p>
        </w:tc>
        <w:tc>
          <w:tcPr>
            <w:tcW w:w="1233" w:type="dxa"/>
            <w:shd w:val="clear" w:color="auto" w:fill="D9D9D9" w:themeFill="background1" w:themeFillShade="D9"/>
            <w:hideMark/>
          </w:tcPr>
          <w:p w14:paraId="66FF41B4" w14:textId="77777777" w:rsidR="00483F3C" w:rsidRPr="00244961" w:rsidRDefault="00483F3C" w:rsidP="00577904">
            <w:pPr>
              <w:rPr>
                <w:rFonts w:ascii="Arial Narrow" w:hAnsi="Arial Narrow" w:cs="Calibri"/>
                <w:b/>
                <w:sz w:val="20"/>
              </w:rPr>
            </w:pPr>
            <w:r w:rsidRPr="00244961">
              <w:rPr>
                <w:rFonts w:ascii="Arial Narrow" w:hAnsi="Arial Narrow" w:cs="Calibri"/>
                <w:b/>
                <w:sz w:val="20"/>
              </w:rPr>
              <w:t>Cost of activities</w:t>
            </w:r>
          </w:p>
        </w:tc>
      </w:tr>
      <w:tr w:rsidR="00483F3C" w:rsidRPr="00244961" w14:paraId="67A209B6" w14:textId="77777777" w:rsidTr="00577904">
        <w:trPr>
          <w:trHeight w:val="300"/>
        </w:trPr>
        <w:tc>
          <w:tcPr>
            <w:tcW w:w="2560" w:type="dxa"/>
            <w:noWrap/>
            <w:hideMark/>
          </w:tcPr>
          <w:p w14:paraId="348AFEFC" w14:textId="77777777" w:rsidR="00483F3C" w:rsidRPr="00244961" w:rsidRDefault="00483F3C" w:rsidP="00577904">
            <w:pPr>
              <w:rPr>
                <w:rFonts w:cs="Calibri"/>
                <w:sz w:val="20"/>
              </w:rPr>
            </w:pPr>
            <w:r w:rsidRPr="00244961">
              <w:rPr>
                <w:rFonts w:cs="Calibri"/>
                <w:sz w:val="20"/>
              </w:rPr>
              <w:t>Planning</w:t>
            </w:r>
          </w:p>
        </w:tc>
        <w:tc>
          <w:tcPr>
            <w:tcW w:w="1400" w:type="dxa"/>
            <w:noWrap/>
            <w:hideMark/>
          </w:tcPr>
          <w:p w14:paraId="5364C81C" w14:textId="77777777" w:rsidR="00483F3C" w:rsidRPr="00244961" w:rsidRDefault="00483F3C" w:rsidP="00577904">
            <w:pPr>
              <w:rPr>
                <w:rFonts w:cs="Calibri"/>
                <w:sz w:val="20"/>
              </w:rPr>
            </w:pPr>
            <w:r w:rsidRPr="00244961">
              <w:rPr>
                <w:rFonts w:cs="Calibri"/>
                <w:sz w:val="20"/>
              </w:rPr>
              <w:t>$9,974,972</w:t>
            </w:r>
          </w:p>
        </w:tc>
        <w:tc>
          <w:tcPr>
            <w:tcW w:w="1520" w:type="dxa"/>
            <w:noWrap/>
            <w:hideMark/>
          </w:tcPr>
          <w:p w14:paraId="5C5DCDB6" w14:textId="77777777" w:rsidR="00483F3C" w:rsidRPr="00244961" w:rsidRDefault="00483F3C" w:rsidP="00577904">
            <w:pPr>
              <w:rPr>
                <w:rFonts w:cs="Calibri"/>
                <w:sz w:val="20"/>
              </w:rPr>
            </w:pPr>
            <w:r w:rsidRPr="00244961">
              <w:rPr>
                <w:rFonts w:cs="Calibri"/>
                <w:sz w:val="20"/>
              </w:rPr>
              <w:t>$10,099,659</w:t>
            </w:r>
          </w:p>
        </w:tc>
        <w:tc>
          <w:tcPr>
            <w:tcW w:w="1300" w:type="dxa"/>
            <w:noWrap/>
            <w:hideMark/>
          </w:tcPr>
          <w:p w14:paraId="15A99C68" w14:textId="77777777" w:rsidR="00483F3C" w:rsidRPr="00244961" w:rsidRDefault="00483F3C" w:rsidP="00577904">
            <w:pPr>
              <w:rPr>
                <w:rFonts w:cs="Calibri"/>
                <w:sz w:val="20"/>
              </w:rPr>
            </w:pPr>
            <w:r w:rsidRPr="00244961">
              <w:rPr>
                <w:rFonts w:cs="Calibri"/>
                <w:sz w:val="20"/>
              </w:rPr>
              <w:t>$10,225,905</w:t>
            </w:r>
          </w:p>
        </w:tc>
        <w:tc>
          <w:tcPr>
            <w:tcW w:w="1480" w:type="dxa"/>
            <w:noWrap/>
            <w:hideMark/>
          </w:tcPr>
          <w:p w14:paraId="26E1FABB" w14:textId="77777777" w:rsidR="00483F3C" w:rsidRPr="00244961" w:rsidRDefault="00483F3C" w:rsidP="00577904">
            <w:pPr>
              <w:rPr>
                <w:rFonts w:cs="Calibri"/>
                <w:sz w:val="20"/>
              </w:rPr>
            </w:pPr>
            <w:r w:rsidRPr="00244961">
              <w:rPr>
                <w:rFonts w:cs="Calibri"/>
                <w:sz w:val="20"/>
              </w:rPr>
              <w:t>$10,353,729</w:t>
            </w:r>
          </w:p>
        </w:tc>
        <w:tc>
          <w:tcPr>
            <w:tcW w:w="1233" w:type="dxa"/>
            <w:noWrap/>
            <w:hideMark/>
          </w:tcPr>
          <w:p w14:paraId="465C8D35" w14:textId="77777777" w:rsidR="00483F3C" w:rsidRPr="00244961" w:rsidRDefault="00483F3C" w:rsidP="00577904">
            <w:pPr>
              <w:rPr>
                <w:rFonts w:cs="Calibri"/>
                <w:sz w:val="20"/>
              </w:rPr>
            </w:pPr>
            <w:r w:rsidRPr="00244961">
              <w:rPr>
                <w:rFonts w:cs="Calibri"/>
                <w:sz w:val="20"/>
              </w:rPr>
              <w:t>$10,483,150</w:t>
            </w:r>
          </w:p>
        </w:tc>
      </w:tr>
      <w:tr w:rsidR="00483F3C" w:rsidRPr="00244961" w14:paraId="3B15949C" w14:textId="77777777" w:rsidTr="00577904">
        <w:trPr>
          <w:trHeight w:val="300"/>
        </w:trPr>
        <w:tc>
          <w:tcPr>
            <w:tcW w:w="2560" w:type="dxa"/>
            <w:noWrap/>
            <w:hideMark/>
          </w:tcPr>
          <w:p w14:paraId="4E5B74B1" w14:textId="77777777" w:rsidR="00483F3C" w:rsidRPr="00244961" w:rsidRDefault="00483F3C" w:rsidP="00577904">
            <w:pPr>
              <w:rPr>
                <w:rFonts w:cs="Calibri"/>
                <w:sz w:val="20"/>
              </w:rPr>
            </w:pPr>
            <w:r w:rsidRPr="00244961">
              <w:rPr>
                <w:rFonts w:cs="Calibri"/>
                <w:sz w:val="20"/>
              </w:rPr>
              <w:t>Treatment</w:t>
            </w:r>
          </w:p>
        </w:tc>
        <w:tc>
          <w:tcPr>
            <w:tcW w:w="1400" w:type="dxa"/>
            <w:noWrap/>
            <w:hideMark/>
          </w:tcPr>
          <w:p w14:paraId="25988185" w14:textId="77777777" w:rsidR="00483F3C" w:rsidRPr="00244961" w:rsidRDefault="00483F3C" w:rsidP="00577904">
            <w:pPr>
              <w:rPr>
                <w:rFonts w:cs="Calibri"/>
                <w:sz w:val="20"/>
              </w:rPr>
            </w:pPr>
            <w:r w:rsidRPr="00244961">
              <w:rPr>
                <w:rFonts w:cs="Calibri"/>
                <w:sz w:val="20"/>
              </w:rPr>
              <w:t>$18,128,240</w:t>
            </w:r>
          </w:p>
        </w:tc>
        <w:tc>
          <w:tcPr>
            <w:tcW w:w="1520" w:type="dxa"/>
            <w:noWrap/>
            <w:hideMark/>
          </w:tcPr>
          <w:p w14:paraId="66AD8F46" w14:textId="77777777" w:rsidR="00483F3C" w:rsidRPr="00244961" w:rsidRDefault="00483F3C" w:rsidP="00577904">
            <w:pPr>
              <w:rPr>
                <w:rFonts w:cs="Calibri"/>
                <w:sz w:val="20"/>
              </w:rPr>
            </w:pPr>
            <w:r w:rsidRPr="00244961">
              <w:rPr>
                <w:rFonts w:cs="Calibri"/>
                <w:sz w:val="20"/>
              </w:rPr>
              <w:t>$18,354,843</w:t>
            </w:r>
          </w:p>
        </w:tc>
        <w:tc>
          <w:tcPr>
            <w:tcW w:w="1300" w:type="dxa"/>
            <w:noWrap/>
            <w:hideMark/>
          </w:tcPr>
          <w:p w14:paraId="2B5E66F8" w14:textId="77777777" w:rsidR="00483F3C" w:rsidRPr="00244961" w:rsidRDefault="00483F3C" w:rsidP="00577904">
            <w:pPr>
              <w:rPr>
                <w:rFonts w:cs="Calibri"/>
                <w:sz w:val="20"/>
              </w:rPr>
            </w:pPr>
            <w:r w:rsidRPr="00244961">
              <w:rPr>
                <w:rFonts w:cs="Calibri"/>
                <w:sz w:val="20"/>
              </w:rPr>
              <w:t>$18,584,278</w:t>
            </w:r>
          </w:p>
        </w:tc>
        <w:tc>
          <w:tcPr>
            <w:tcW w:w="1480" w:type="dxa"/>
            <w:noWrap/>
            <w:hideMark/>
          </w:tcPr>
          <w:p w14:paraId="5FA0F934" w14:textId="77777777" w:rsidR="00483F3C" w:rsidRPr="00244961" w:rsidRDefault="00483F3C" w:rsidP="00577904">
            <w:pPr>
              <w:rPr>
                <w:rFonts w:cs="Calibri"/>
                <w:sz w:val="20"/>
              </w:rPr>
            </w:pPr>
            <w:r w:rsidRPr="00244961">
              <w:rPr>
                <w:rFonts w:cs="Calibri"/>
                <w:sz w:val="20"/>
              </w:rPr>
              <w:t>$18,816,582</w:t>
            </w:r>
          </w:p>
        </w:tc>
        <w:tc>
          <w:tcPr>
            <w:tcW w:w="1233" w:type="dxa"/>
            <w:noWrap/>
            <w:hideMark/>
          </w:tcPr>
          <w:p w14:paraId="3D853A2D" w14:textId="77777777" w:rsidR="00483F3C" w:rsidRPr="00244961" w:rsidRDefault="00483F3C" w:rsidP="00577904">
            <w:pPr>
              <w:rPr>
                <w:rFonts w:cs="Calibri"/>
                <w:sz w:val="20"/>
              </w:rPr>
            </w:pPr>
            <w:r w:rsidRPr="00244961">
              <w:rPr>
                <w:rFonts w:cs="Calibri"/>
                <w:sz w:val="20"/>
              </w:rPr>
              <w:t>$19,051,789</w:t>
            </w:r>
          </w:p>
        </w:tc>
      </w:tr>
      <w:tr w:rsidR="00483F3C" w:rsidRPr="00244961" w14:paraId="389F293B" w14:textId="77777777" w:rsidTr="00577904">
        <w:trPr>
          <w:trHeight w:val="300"/>
        </w:trPr>
        <w:tc>
          <w:tcPr>
            <w:tcW w:w="2560" w:type="dxa"/>
            <w:noWrap/>
            <w:hideMark/>
          </w:tcPr>
          <w:p w14:paraId="45F2EA5B" w14:textId="77777777" w:rsidR="00483F3C" w:rsidRPr="00244961" w:rsidRDefault="00483F3C" w:rsidP="00577904">
            <w:pPr>
              <w:rPr>
                <w:rFonts w:cs="Calibri"/>
                <w:sz w:val="20"/>
              </w:rPr>
            </w:pPr>
            <w:r w:rsidRPr="00244961">
              <w:rPr>
                <w:rFonts w:cs="Calibri"/>
                <w:sz w:val="20"/>
              </w:rPr>
              <w:t>Verification</w:t>
            </w:r>
          </w:p>
        </w:tc>
        <w:tc>
          <w:tcPr>
            <w:tcW w:w="1400" w:type="dxa"/>
            <w:noWrap/>
            <w:hideMark/>
          </w:tcPr>
          <w:p w14:paraId="13157C0E" w14:textId="77777777" w:rsidR="00483F3C" w:rsidRPr="00244961" w:rsidRDefault="00483F3C" w:rsidP="00577904">
            <w:pPr>
              <w:rPr>
                <w:rFonts w:cs="Calibri"/>
                <w:sz w:val="20"/>
              </w:rPr>
            </w:pPr>
            <w:r w:rsidRPr="00244961">
              <w:rPr>
                <w:rFonts w:cs="Calibri"/>
                <w:sz w:val="20"/>
              </w:rPr>
              <w:t>$7,608,894</w:t>
            </w:r>
          </w:p>
        </w:tc>
        <w:tc>
          <w:tcPr>
            <w:tcW w:w="1520" w:type="dxa"/>
            <w:noWrap/>
            <w:hideMark/>
          </w:tcPr>
          <w:p w14:paraId="3A44D424" w14:textId="77777777" w:rsidR="00483F3C" w:rsidRPr="00244961" w:rsidRDefault="00483F3C" w:rsidP="00577904">
            <w:pPr>
              <w:rPr>
                <w:rFonts w:cs="Calibri"/>
                <w:sz w:val="20"/>
              </w:rPr>
            </w:pPr>
            <w:r w:rsidRPr="00244961">
              <w:rPr>
                <w:rFonts w:cs="Calibri"/>
                <w:sz w:val="20"/>
              </w:rPr>
              <w:t>$7,704,005</w:t>
            </w:r>
          </w:p>
        </w:tc>
        <w:tc>
          <w:tcPr>
            <w:tcW w:w="1300" w:type="dxa"/>
            <w:noWrap/>
            <w:hideMark/>
          </w:tcPr>
          <w:p w14:paraId="7D8B459C" w14:textId="77777777" w:rsidR="00483F3C" w:rsidRPr="00244961" w:rsidRDefault="00483F3C" w:rsidP="00577904">
            <w:pPr>
              <w:rPr>
                <w:rFonts w:cs="Calibri"/>
                <w:sz w:val="20"/>
              </w:rPr>
            </w:pPr>
            <w:r w:rsidRPr="00244961">
              <w:rPr>
                <w:rFonts w:cs="Calibri"/>
                <w:sz w:val="20"/>
              </w:rPr>
              <w:t>$7,800,305</w:t>
            </w:r>
          </w:p>
        </w:tc>
        <w:tc>
          <w:tcPr>
            <w:tcW w:w="1480" w:type="dxa"/>
            <w:noWrap/>
            <w:hideMark/>
          </w:tcPr>
          <w:p w14:paraId="62FA7E63" w14:textId="77777777" w:rsidR="00483F3C" w:rsidRPr="00244961" w:rsidRDefault="00483F3C" w:rsidP="00577904">
            <w:pPr>
              <w:rPr>
                <w:rFonts w:cs="Calibri"/>
                <w:sz w:val="20"/>
              </w:rPr>
            </w:pPr>
            <w:r w:rsidRPr="00244961">
              <w:rPr>
                <w:rFonts w:cs="Calibri"/>
                <w:sz w:val="20"/>
              </w:rPr>
              <w:t>$7,897,809</w:t>
            </w:r>
          </w:p>
        </w:tc>
        <w:tc>
          <w:tcPr>
            <w:tcW w:w="1233" w:type="dxa"/>
            <w:noWrap/>
            <w:hideMark/>
          </w:tcPr>
          <w:p w14:paraId="3ECF7A9A" w14:textId="77777777" w:rsidR="00483F3C" w:rsidRPr="00244961" w:rsidRDefault="00483F3C" w:rsidP="00577904">
            <w:pPr>
              <w:rPr>
                <w:rFonts w:cs="Calibri"/>
                <w:sz w:val="20"/>
              </w:rPr>
            </w:pPr>
            <w:r w:rsidRPr="00244961">
              <w:rPr>
                <w:rFonts w:cs="Calibri"/>
                <w:sz w:val="20"/>
              </w:rPr>
              <w:t>$7,996,532</w:t>
            </w:r>
          </w:p>
        </w:tc>
      </w:tr>
      <w:tr w:rsidR="00483F3C" w:rsidRPr="00244961" w14:paraId="544DF1F8" w14:textId="77777777" w:rsidTr="00577904">
        <w:trPr>
          <w:trHeight w:val="315"/>
        </w:trPr>
        <w:tc>
          <w:tcPr>
            <w:tcW w:w="2560" w:type="dxa"/>
            <w:shd w:val="clear" w:color="auto" w:fill="000000" w:themeFill="text1"/>
            <w:noWrap/>
            <w:hideMark/>
          </w:tcPr>
          <w:p w14:paraId="4CFD9A9E" w14:textId="77777777" w:rsidR="00483F3C" w:rsidRPr="00244961" w:rsidRDefault="00483F3C" w:rsidP="00577904">
            <w:pPr>
              <w:rPr>
                <w:rFonts w:cs="Calibri"/>
                <w:b/>
                <w:bCs/>
                <w:sz w:val="20"/>
              </w:rPr>
            </w:pPr>
            <w:r w:rsidRPr="00244961">
              <w:rPr>
                <w:rFonts w:cs="Calibri"/>
                <w:b/>
                <w:bCs/>
                <w:sz w:val="20"/>
              </w:rPr>
              <w:t>Sub-total costs</w:t>
            </w:r>
          </w:p>
        </w:tc>
        <w:tc>
          <w:tcPr>
            <w:tcW w:w="1400" w:type="dxa"/>
            <w:shd w:val="clear" w:color="auto" w:fill="000000" w:themeFill="text1"/>
            <w:noWrap/>
            <w:hideMark/>
          </w:tcPr>
          <w:p w14:paraId="3821859A" w14:textId="77777777" w:rsidR="00483F3C" w:rsidRPr="00244961" w:rsidRDefault="00483F3C" w:rsidP="00577904">
            <w:pPr>
              <w:rPr>
                <w:rFonts w:cs="Calibri"/>
                <w:b/>
                <w:bCs/>
                <w:sz w:val="20"/>
              </w:rPr>
            </w:pPr>
            <w:r w:rsidRPr="00244961">
              <w:rPr>
                <w:rFonts w:cs="Calibri"/>
                <w:sz w:val="20"/>
              </w:rPr>
              <w:t>$</w:t>
            </w:r>
            <w:r w:rsidRPr="00244961">
              <w:rPr>
                <w:rFonts w:cs="Calibri"/>
                <w:b/>
                <w:bCs/>
                <w:sz w:val="20"/>
              </w:rPr>
              <w:t>35,712,106</w:t>
            </w:r>
          </w:p>
        </w:tc>
        <w:tc>
          <w:tcPr>
            <w:tcW w:w="1520" w:type="dxa"/>
            <w:shd w:val="clear" w:color="auto" w:fill="000000" w:themeFill="text1"/>
            <w:noWrap/>
            <w:hideMark/>
          </w:tcPr>
          <w:p w14:paraId="790F357D" w14:textId="77777777" w:rsidR="00483F3C" w:rsidRPr="00244961" w:rsidRDefault="00483F3C" w:rsidP="00577904">
            <w:pPr>
              <w:rPr>
                <w:rFonts w:cs="Calibri"/>
                <w:b/>
                <w:bCs/>
                <w:sz w:val="20"/>
              </w:rPr>
            </w:pPr>
            <w:r w:rsidRPr="00244961">
              <w:rPr>
                <w:rFonts w:cs="Calibri"/>
                <w:sz w:val="20"/>
              </w:rPr>
              <w:t>$</w:t>
            </w:r>
            <w:r w:rsidRPr="00244961">
              <w:rPr>
                <w:rFonts w:cs="Calibri"/>
                <w:b/>
                <w:bCs/>
                <w:sz w:val="20"/>
              </w:rPr>
              <w:t>36,158,507</w:t>
            </w:r>
          </w:p>
        </w:tc>
        <w:tc>
          <w:tcPr>
            <w:tcW w:w="1300" w:type="dxa"/>
            <w:shd w:val="clear" w:color="auto" w:fill="000000" w:themeFill="text1"/>
            <w:noWrap/>
            <w:hideMark/>
          </w:tcPr>
          <w:p w14:paraId="578406BA" w14:textId="77777777" w:rsidR="00483F3C" w:rsidRPr="00244961" w:rsidRDefault="00483F3C" w:rsidP="00577904">
            <w:pPr>
              <w:rPr>
                <w:rFonts w:cs="Calibri"/>
                <w:b/>
                <w:bCs/>
                <w:sz w:val="20"/>
              </w:rPr>
            </w:pPr>
            <w:r w:rsidRPr="00244961">
              <w:rPr>
                <w:rFonts w:cs="Calibri"/>
                <w:sz w:val="20"/>
              </w:rPr>
              <w:t>$</w:t>
            </w:r>
            <w:r w:rsidRPr="00244961">
              <w:rPr>
                <w:rFonts w:cs="Calibri"/>
                <w:b/>
                <w:bCs/>
                <w:sz w:val="20"/>
              </w:rPr>
              <w:t>36,610,489</w:t>
            </w:r>
          </w:p>
        </w:tc>
        <w:tc>
          <w:tcPr>
            <w:tcW w:w="1480" w:type="dxa"/>
            <w:shd w:val="clear" w:color="auto" w:fill="000000" w:themeFill="text1"/>
            <w:noWrap/>
            <w:hideMark/>
          </w:tcPr>
          <w:p w14:paraId="7F02F365" w14:textId="77777777" w:rsidR="00483F3C" w:rsidRPr="00244961" w:rsidRDefault="00483F3C" w:rsidP="00577904">
            <w:pPr>
              <w:rPr>
                <w:rFonts w:cs="Calibri"/>
                <w:b/>
                <w:bCs/>
                <w:sz w:val="20"/>
              </w:rPr>
            </w:pPr>
            <w:r w:rsidRPr="00244961">
              <w:rPr>
                <w:rFonts w:cs="Calibri"/>
                <w:sz w:val="20"/>
              </w:rPr>
              <w:t>$</w:t>
            </w:r>
            <w:r w:rsidRPr="00244961">
              <w:rPr>
                <w:rFonts w:cs="Calibri"/>
                <w:b/>
                <w:bCs/>
                <w:sz w:val="20"/>
              </w:rPr>
              <w:t>37,068,120</w:t>
            </w:r>
          </w:p>
        </w:tc>
        <w:tc>
          <w:tcPr>
            <w:tcW w:w="1233" w:type="dxa"/>
            <w:shd w:val="clear" w:color="auto" w:fill="000000" w:themeFill="text1"/>
            <w:noWrap/>
            <w:hideMark/>
          </w:tcPr>
          <w:p w14:paraId="2F406420" w14:textId="77777777" w:rsidR="00483F3C" w:rsidRPr="00244961" w:rsidRDefault="00483F3C" w:rsidP="00577904">
            <w:pPr>
              <w:rPr>
                <w:rFonts w:cs="Calibri"/>
                <w:b/>
                <w:bCs/>
                <w:sz w:val="20"/>
              </w:rPr>
            </w:pPr>
            <w:r w:rsidRPr="00244961">
              <w:rPr>
                <w:rFonts w:cs="Calibri"/>
                <w:sz w:val="20"/>
              </w:rPr>
              <w:t>$</w:t>
            </w:r>
            <w:r w:rsidRPr="00244961">
              <w:rPr>
                <w:rFonts w:cs="Calibri"/>
                <w:b/>
                <w:bCs/>
                <w:sz w:val="20"/>
              </w:rPr>
              <w:t>37,531,471</w:t>
            </w:r>
          </w:p>
        </w:tc>
      </w:tr>
    </w:tbl>
    <w:p w14:paraId="715CEBF1" w14:textId="7C29F3A2" w:rsidR="00732E4E" w:rsidRDefault="00483F3C" w:rsidP="003817F4">
      <w:pPr>
        <w:pStyle w:val="Tablefootnotes"/>
      </w:pPr>
      <w:r w:rsidRPr="00244961">
        <w:t>Abbreviations: PBT, proton beam therapy; PRT, photon radiation therapy</w:t>
      </w:r>
      <w:r w:rsidR="00732E4E">
        <w:br w:type="page"/>
      </w:r>
    </w:p>
    <w:p w14:paraId="1CD9056C" w14:textId="565C2DF6" w:rsidR="006A0D97" w:rsidRPr="00F715D1" w:rsidRDefault="00EA18EA" w:rsidP="00F63B61">
      <w:pPr>
        <w:pStyle w:val="Heading1"/>
      </w:pPr>
      <w:r w:rsidDel="00483F3C">
        <w:lastRenderedPageBreak/>
        <w:t xml:space="preserve"> </w:t>
      </w:r>
      <w:r w:rsidR="006A0D97" w:rsidRPr="00F715D1" w:rsidDel="00EA18EA">
        <w:t>Key issues from ESC for MSAC</w:t>
      </w:r>
    </w:p>
    <w:tbl>
      <w:tblPr>
        <w:tblStyle w:val="TableGrid"/>
        <w:tblW w:w="0" w:type="auto"/>
        <w:tblLayout w:type="fixed"/>
        <w:tblLook w:val="04A0" w:firstRow="1" w:lastRow="0" w:firstColumn="1" w:lastColumn="0" w:noHBand="0" w:noVBand="1"/>
        <w:tblCaption w:val="Key issues from ESC to MSAC"/>
        <w:tblDescription w:val="Summary of key issues as highlighted by ESC to MSAC"/>
      </w:tblPr>
      <w:tblGrid>
        <w:gridCol w:w="2093"/>
        <w:gridCol w:w="6923"/>
      </w:tblGrid>
      <w:tr w:rsidR="000C73DE" w:rsidRPr="00B71C0A" w14:paraId="72D0EC3D" w14:textId="77777777" w:rsidTr="008A438A">
        <w:trPr>
          <w:tblHeader/>
        </w:trPr>
        <w:tc>
          <w:tcPr>
            <w:tcW w:w="2093" w:type="dxa"/>
          </w:tcPr>
          <w:p w14:paraId="4CB1D0DB" w14:textId="77777777" w:rsidR="000C73DE" w:rsidRPr="00B71C0A" w:rsidRDefault="000C73DE" w:rsidP="008C5258">
            <w:pPr>
              <w:pStyle w:val="TableHeading"/>
              <w:keepNext w:val="0"/>
              <w:widowControl w:val="0"/>
              <w:rPr>
                <w:rFonts w:ascii="Times New Roman" w:hAnsi="Times New Roman" w:cs="Times New Roman"/>
                <w:sz w:val="24"/>
                <w:szCs w:val="24"/>
              </w:rPr>
            </w:pPr>
            <w:r w:rsidRPr="00B71C0A">
              <w:rPr>
                <w:rFonts w:ascii="Times New Roman" w:hAnsi="Times New Roman" w:cs="Times New Roman"/>
                <w:sz w:val="24"/>
                <w:szCs w:val="24"/>
              </w:rPr>
              <w:t>ESC key issue</w:t>
            </w:r>
          </w:p>
        </w:tc>
        <w:tc>
          <w:tcPr>
            <w:tcW w:w="6923" w:type="dxa"/>
          </w:tcPr>
          <w:p w14:paraId="5CA64C7B" w14:textId="77777777" w:rsidR="000C73DE" w:rsidRPr="00B71C0A" w:rsidRDefault="000C73DE" w:rsidP="008C5258">
            <w:pPr>
              <w:pStyle w:val="TableHeading"/>
              <w:keepNext w:val="0"/>
              <w:widowControl w:val="0"/>
              <w:rPr>
                <w:rFonts w:ascii="Times New Roman" w:hAnsi="Times New Roman" w:cs="Times New Roman"/>
                <w:sz w:val="24"/>
                <w:szCs w:val="24"/>
              </w:rPr>
            </w:pPr>
            <w:r w:rsidRPr="00B71C0A">
              <w:rPr>
                <w:rFonts w:ascii="Times New Roman" w:hAnsi="Times New Roman" w:cs="Times New Roman"/>
                <w:sz w:val="24"/>
                <w:szCs w:val="24"/>
              </w:rPr>
              <w:t>ESC advice to MSAC</w:t>
            </w:r>
          </w:p>
        </w:tc>
      </w:tr>
      <w:tr w:rsidR="000C73DE" w:rsidRPr="00B71C0A" w14:paraId="704D1C62" w14:textId="77777777" w:rsidTr="008A438A">
        <w:trPr>
          <w:trHeight w:val="830"/>
        </w:trPr>
        <w:tc>
          <w:tcPr>
            <w:tcW w:w="2093" w:type="dxa"/>
            <w:hideMark/>
          </w:tcPr>
          <w:p w14:paraId="658DDAFE" w14:textId="77777777" w:rsidR="000C73DE" w:rsidRPr="00B71C0A" w:rsidRDefault="000C73DE" w:rsidP="008C5258">
            <w:pPr>
              <w:pStyle w:val="TableText"/>
              <w:keepNext w:val="0"/>
              <w:widowControl w:val="0"/>
              <w:rPr>
                <w:rFonts w:ascii="Times New Roman" w:hAnsi="Times New Roman" w:cs="Times New Roman"/>
                <w:sz w:val="24"/>
                <w:szCs w:val="24"/>
              </w:rPr>
            </w:pPr>
            <w:r w:rsidRPr="00B71C0A">
              <w:rPr>
                <w:rFonts w:ascii="Times New Roman" w:hAnsi="Times New Roman" w:cs="Times New Roman"/>
                <w:sz w:val="24"/>
                <w:szCs w:val="24"/>
              </w:rPr>
              <w:t>Evidence base</w:t>
            </w:r>
          </w:p>
        </w:tc>
        <w:tc>
          <w:tcPr>
            <w:tcW w:w="6923" w:type="dxa"/>
            <w:hideMark/>
          </w:tcPr>
          <w:p w14:paraId="0E1728A1" w14:textId="77777777" w:rsidR="000C73DE" w:rsidRPr="00B71C0A" w:rsidRDefault="000C73DE" w:rsidP="008C5258">
            <w:pPr>
              <w:pStyle w:val="TableText"/>
              <w:keepNext w:val="0"/>
              <w:widowControl w:val="0"/>
              <w:rPr>
                <w:rFonts w:ascii="Times New Roman" w:hAnsi="Times New Roman" w:cs="Times New Roman"/>
                <w:sz w:val="24"/>
                <w:szCs w:val="24"/>
              </w:rPr>
            </w:pPr>
            <w:r w:rsidRPr="00B71C0A">
              <w:rPr>
                <w:rFonts w:ascii="Times New Roman" w:hAnsi="Times New Roman" w:cs="Times New Roman"/>
                <w:sz w:val="24"/>
                <w:szCs w:val="24"/>
              </w:rPr>
              <w:t xml:space="preserve">There is no high-level evidence for clinical benefit despite </w:t>
            </w:r>
            <w:r w:rsidR="00FE2E14">
              <w:rPr>
                <w:rFonts w:ascii="Times New Roman" w:hAnsi="Times New Roman" w:cs="Times New Roman"/>
                <w:sz w:val="24"/>
                <w:szCs w:val="24"/>
              </w:rPr>
              <w:t xml:space="preserve">likely </w:t>
            </w:r>
            <w:r w:rsidR="008A438A">
              <w:rPr>
                <w:rFonts w:ascii="Times New Roman" w:hAnsi="Times New Roman" w:cs="Times New Roman"/>
                <w:sz w:val="24"/>
                <w:szCs w:val="24"/>
              </w:rPr>
              <w:t>dosimetric benefits.</w:t>
            </w:r>
          </w:p>
          <w:p w14:paraId="297E609C" w14:textId="77777777" w:rsidR="000C73DE" w:rsidRPr="00B71C0A" w:rsidRDefault="000C73DE" w:rsidP="00FE2E14">
            <w:pPr>
              <w:pStyle w:val="TableText"/>
              <w:keepNext w:val="0"/>
              <w:widowControl w:val="0"/>
              <w:rPr>
                <w:rFonts w:ascii="Times New Roman" w:hAnsi="Times New Roman" w:cs="Times New Roman"/>
                <w:sz w:val="24"/>
                <w:szCs w:val="24"/>
              </w:rPr>
            </w:pPr>
            <w:r w:rsidRPr="00B71C0A">
              <w:rPr>
                <w:rFonts w:ascii="Times New Roman" w:hAnsi="Times New Roman" w:cs="Times New Roman"/>
                <w:sz w:val="24"/>
                <w:szCs w:val="24"/>
                <w:lang w:val="en-GB"/>
              </w:rPr>
              <w:t>Accept that high-level evidence is unlikely in paediatric cases, but request data from prospective registries (lag time ~10 years) and more</w:t>
            </w:r>
            <w:r w:rsidR="00FE2E14">
              <w:rPr>
                <w:rFonts w:ascii="Times New Roman" w:hAnsi="Times New Roman" w:cs="Times New Roman"/>
                <w:sz w:val="24"/>
                <w:szCs w:val="24"/>
                <w:lang w:val="en-GB"/>
              </w:rPr>
              <w:t xml:space="preserve"> data from</w:t>
            </w:r>
            <w:r w:rsidR="008A438A">
              <w:rPr>
                <w:rFonts w:ascii="Times New Roman" w:hAnsi="Times New Roman" w:cs="Times New Roman"/>
                <w:sz w:val="24"/>
                <w:szCs w:val="24"/>
                <w:lang w:val="en-GB"/>
              </w:rPr>
              <w:t xml:space="preserve"> RCTs.</w:t>
            </w:r>
          </w:p>
        </w:tc>
      </w:tr>
      <w:tr w:rsidR="000C73DE" w:rsidRPr="00B71C0A" w14:paraId="51888D25" w14:textId="77777777" w:rsidTr="00EF47FC">
        <w:trPr>
          <w:trHeight w:val="1368"/>
        </w:trPr>
        <w:tc>
          <w:tcPr>
            <w:tcW w:w="2093" w:type="dxa"/>
          </w:tcPr>
          <w:p w14:paraId="5946C207" w14:textId="77777777" w:rsidR="000C73DE" w:rsidRPr="00B71C0A" w:rsidRDefault="000C73DE" w:rsidP="008C5258">
            <w:pPr>
              <w:pStyle w:val="TableText"/>
              <w:keepNext w:val="0"/>
              <w:widowControl w:val="0"/>
              <w:rPr>
                <w:rFonts w:ascii="Times New Roman" w:hAnsi="Times New Roman" w:cs="Times New Roman"/>
                <w:sz w:val="24"/>
                <w:szCs w:val="24"/>
              </w:rPr>
            </w:pPr>
            <w:r w:rsidRPr="00B71C0A">
              <w:rPr>
                <w:rFonts w:ascii="Times New Roman" w:hAnsi="Times New Roman" w:cs="Times New Roman"/>
                <w:sz w:val="24"/>
                <w:szCs w:val="24"/>
              </w:rPr>
              <w:t>Item descriptor</w:t>
            </w:r>
          </w:p>
        </w:tc>
        <w:tc>
          <w:tcPr>
            <w:tcW w:w="6923" w:type="dxa"/>
          </w:tcPr>
          <w:p w14:paraId="0A8E6C13" w14:textId="77777777" w:rsidR="000C73DE" w:rsidRPr="00B71C0A" w:rsidRDefault="000C73DE" w:rsidP="008C5258">
            <w:pPr>
              <w:pStyle w:val="TableText"/>
              <w:keepNext w:val="0"/>
              <w:widowControl w:val="0"/>
              <w:rPr>
                <w:rFonts w:ascii="Times New Roman" w:hAnsi="Times New Roman" w:cs="Times New Roman"/>
                <w:sz w:val="24"/>
                <w:szCs w:val="24"/>
              </w:rPr>
            </w:pPr>
            <w:r w:rsidRPr="00B71C0A">
              <w:rPr>
                <w:rFonts w:ascii="Times New Roman" w:hAnsi="Times New Roman" w:cs="Times New Roman"/>
                <w:sz w:val="24"/>
                <w:szCs w:val="24"/>
              </w:rPr>
              <w:t xml:space="preserve">An item descriptor has not been specified. </w:t>
            </w:r>
            <w:r w:rsidR="00FE2E14">
              <w:rPr>
                <w:rFonts w:ascii="Times New Roman" w:hAnsi="Times New Roman" w:cs="Times New Roman"/>
                <w:sz w:val="24"/>
                <w:szCs w:val="24"/>
              </w:rPr>
              <w:t>I</w:t>
            </w:r>
            <w:r w:rsidRPr="00B71C0A">
              <w:rPr>
                <w:rFonts w:ascii="Times New Roman" w:hAnsi="Times New Roman" w:cs="Times New Roman"/>
                <w:sz w:val="24"/>
                <w:szCs w:val="24"/>
              </w:rPr>
              <w:t>tem descriptors will need to be very population specific, apply only to protons (not other heavy particles)</w:t>
            </w:r>
            <w:r w:rsidR="00FD7374" w:rsidRPr="00B71C0A">
              <w:rPr>
                <w:rFonts w:ascii="Times New Roman" w:hAnsi="Times New Roman" w:cs="Times New Roman"/>
                <w:sz w:val="24"/>
                <w:szCs w:val="24"/>
              </w:rPr>
              <w:t>.</w:t>
            </w:r>
          </w:p>
          <w:p w14:paraId="14D4CD1A" w14:textId="77777777" w:rsidR="000C73DE" w:rsidRPr="00B71C0A" w:rsidRDefault="000C73DE" w:rsidP="008C5258">
            <w:pPr>
              <w:pStyle w:val="TableText"/>
              <w:keepNext w:val="0"/>
              <w:widowControl w:val="0"/>
              <w:rPr>
                <w:rFonts w:ascii="Times New Roman" w:hAnsi="Times New Roman" w:cs="Times New Roman"/>
                <w:sz w:val="24"/>
                <w:szCs w:val="24"/>
              </w:rPr>
            </w:pPr>
            <w:r w:rsidRPr="00B71C0A">
              <w:rPr>
                <w:rFonts w:ascii="Times New Roman" w:hAnsi="Times New Roman" w:cs="Times New Roman"/>
                <w:sz w:val="24"/>
                <w:szCs w:val="24"/>
                <w:lang w:val="en-GB"/>
              </w:rPr>
              <w:t>Note</w:t>
            </w:r>
            <w:r w:rsidRPr="00B71C0A">
              <w:rPr>
                <w:rFonts w:ascii="Times New Roman" w:hAnsi="Times New Roman" w:cs="Times New Roman"/>
                <w:sz w:val="24"/>
                <w:szCs w:val="24"/>
              </w:rPr>
              <w:t xml:space="preserve"> that an application for a re-irradiation population is likely to happen in future.</w:t>
            </w:r>
          </w:p>
          <w:p w14:paraId="42CD1AC3" w14:textId="77777777" w:rsidR="000C73DE" w:rsidRPr="00B71C0A" w:rsidRDefault="000C73DE" w:rsidP="008C5258">
            <w:pPr>
              <w:pStyle w:val="TableText"/>
              <w:keepNext w:val="0"/>
              <w:widowControl w:val="0"/>
              <w:rPr>
                <w:rFonts w:ascii="Times New Roman" w:hAnsi="Times New Roman" w:cs="Times New Roman"/>
                <w:sz w:val="24"/>
                <w:szCs w:val="24"/>
              </w:rPr>
            </w:pPr>
            <w:r w:rsidRPr="00B71C0A">
              <w:rPr>
                <w:rFonts w:ascii="Times New Roman" w:hAnsi="Times New Roman" w:cs="Times New Roman"/>
                <w:sz w:val="24"/>
                <w:szCs w:val="24"/>
              </w:rPr>
              <w:t>Item descriptor categories could match photon treatment.</w:t>
            </w:r>
          </w:p>
        </w:tc>
      </w:tr>
      <w:tr w:rsidR="000C73DE" w:rsidRPr="00B71C0A" w14:paraId="4822EE4D" w14:textId="77777777" w:rsidTr="00EF47FC">
        <w:trPr>
          <w:trHeight w:val="1446"/>
        </w:trPr>
        <w:tc>
          <w:tcPr>
            <w:tcW w:w="2093" w:type="dxa"/>
          </w:tcPr>
          <w:p w14:paraId="7E9BAA44" w14:textId="77777777" w:rsidR="000C73DE" w:rsidRPr="00B71C0A" w:rsidRDefault="000C73DE" w:rsidP="008C5258">
            <w:pPr>
              <w:pStyle w:val="TableText"/>
              <w:keepNext w:val="0"/>
              <w:widowControl w:val="0"/>
              <w:rPr>
                <w:rFonts w:ascii="Times New Roman" w:hAnsi="Times New Roman" w:cs="Times New Roman"/>
                <w:sz w:val="24"/>
                <w:szCs w:val="24"/>
              </w:rPr>
            </w:pPr>
            <w:r w:rsidRPr="00B71C0A">
              <w:rPr>
                <w:rFonts w:ascii="Times New Roman" w:hAnsi="Times New Roman" w:cs="Times New Roman"/>
                <w:sz w:val="24"/>
                <w:szCs w:val="24"/>
              </w:rPr>
              <w:t>Cost</w:t>
            </w:r>
          </w:p>
        </w:tc>
        <w:tc>
          <w:tcPr>
            <w:tcW w:w="6923" w:type="dxa"/>
          </w:tcPr>
          <w:p w14:paraId="34DFED23" w14:textId="77777777" w:rsidR="000C73DE" w:rsidRPr="00B71C0A" w:rsidRDefault="000C73DE" w:rsidP="008C5258">
            <w:pPr>
              <w:pStyle w:val="TableText"/>
              <w:keepNext w:val="0"/>
              <w:widowControl w:val="0"/>
              <w:rPr>
                <w:rFonts w:ascii="Times New Roman" w:hAnsi="Times New Roman" w:cs="Times New Roman"/>
                <w:sz w:val="24"/>
                <w:szCs w:val="24"/>
              </w:rPr>
            </w:pPr>
            <w:r w:rsidRPr="00B71C0A">
              <w:rPr>
                <w:rFonts w:ascii="Times New Roman" w:hAnsi="Times New Roman" w:cs="Times New Roman"/>
                <w:sz w:val="24"/>
                <w:szCs w:val="24"/>
              </w:rPr>
              <w:t>Explore cost implications for state/territory health budgets (travel/accommodation).</w:t>
            </w:r>
          </w:p>
          <w:p w14:paraId="0D992A10" w14:textId="12FD8497" w:rsidR="000C73DE" w:rsidRPr="00B71C0A" w:rsidRDefault="000C73DE" w:rsidP="008C5258">
            <w:pPr>
              <w:pStyle w:val="TableText"/>
              <w:keepNext w:val="0"/>
              <w:widowControl w:val="0"/>
              <w:rPr>
                <w:rFonts w:ascii="Times New Roman" w:hAnsi="Times New Roman" w:cs="Times New Roman"/>
                <w:sz w:val="24"/>
                <w:szCs w:val="24"/>
              </w:rPr>
            </w:pPr>
            <w:r w:rsidRPr="00B71C0A">
              <w:rPr>
                <w:rFonts w:ascii="Times New Roman" w:hAnsi="Times New Roman" w:cs="Times New Roman"/>
                <w:sz w:val="24"/>
                <w:szCs w:val="24"/>
              </w:rPr>
              <w:t xml:space="preserve">Significant cost is expected which is unquantifiable. Therefore, </w:t>
            </w:r>
            <w:r w:rsidRPr="00B71C0A">
              <w:rPr>
                <w:rFonts w:ascii="Times New Roman" w:hAnsi="Times New Roman" w:cs="Times New Roman"/>
                <w:bCs/>
                <w:sz w:val="24"/>
                <w:szCs w:val="24"/>
              </w:rPr>
              <w:t>request more accurate costing</w:t>
            </w:r>
            <w:r w:rsidRPr="00B71C0A">
              <w:rPr>
                <w:rFonts w:ascii="Times New Roman" w:hAnsi="Times New Roman" w:cs="Times New Roman"/>
                <w:sz w:val="24"/>
                <w:szCs w:val="24"/>
              </w:rPr>
              <w:t xml:space="preserve"> from relevant organisations (e.g. Bragg Centre)</w:t>
            </w:r>
            <w:r w:rsidR="00FD7374" w:rsidRPr="00B71C0A">
              <w:rPr>
                <w:rFonts w:ascii="Times New Roman" w:hAnsi="Times New Roman" w:cs="Times New Roman"/>
                <w:sz w:val="24"/>
                <w:szCs w:val="24"/>
              </w:rPr>
              <w:t>.</w:t>
            </w:r>
          </w:p>
          <w:p w14:paraId="47EF7331" w14:textId="77777777" w:rsidR="000C73DE" w:rsidRPr="00B71C0A" w:rsidRDefault="000C73DE" w:rsidP="008C5258">
            <w:pPr>
              <w:pStyle w:val="TableText"/>
              <w:keepNext w:val="0"/>
              <w:widowControl w:val="0"/>
              <w:rPr>
                <w:rFonts w:ascii="Times New Roman" w:hAnsi="Times New Roman" w:cs="Times New Roman"/>
                <w:sz w:val="24"/>
                <w:szCs w:val="24"/>
              </w:rPr>
            </w:pPr>
            <w:r w:rsidRPr="00B71C0A">
              <w:rPr>
                <w:rFonts w:ascii="Times New Roman" w:hAnsi="Times New Roman" w:cs="Times New Roman"/>
                <w:sz w:val="24"/>
                <w:szCs w:val="24"/>
              </w:rPr>
              <w:t xml:space="preserve">Explore PBT effect on Radiation </w:t>
            </w:r>
            <w:r w:rsidR="008A438A">
              <w:rPr>
                <w:rFonts w:ascii="Times New Roman" w:hAnsi="Times New Roman" w:cs="Times New Roman"/>
                <w:sz w:val="24"/>
                <w:szCs w:val="24"/>
              </w:rPr>
              <w:t>Oncology Health Program Grants.</w:t>
            </w:r>
          </w:p>
        </w:tc>
      </w:tr>
      <w:tr w:rsidR="000C73DE" w:rsidRPr="00B71C0A" w14:paraId="4ABA0F8A" w14:textId="77777777" w:rsidTr="00EF47FC">
        <w:trPr>
          <w:trHeight w:val="105"/>
        </w:trPr>
        <w:tc>
          <w:tcPr>
            <w:tcW w:w="2093" w:type="dxa"/>
          </w:tcPr>
          <w:p w14:paraId="7F1CCF18" w14:textId="77777777" w:rsidR="000C73DE" w:rsidRPr="00B71C0A" w:rsidRDefault="000C73DE" w:rsidP="008C5258">
            <w:pPr>
              <w:pStyle w:val="TableText"/>
              <w:keepNext w:val="0"/>
              <w:widowControl w:val="0"/>
              <w:rPr>
                <w:rFonts w:ascii="Times New Roman" w:hAnsi="Times New Roman" w:cs="Times New Roman"/>
                <w:sz w:val="24"/>
                <w:szCs w:val="24"/>
              </w:rPr>
            </w:pPr>
            <w:r w:rsidRPr="00B71C0A">
              <w:rPr>
                <w:rFonts w:ascii="Times New Roman" w:hAnsi="Times New Roman" w:cs="Times New Roman"/>
                <w:sz w:val="24"/>
                <w:szCs w:val="24"/>
              </w:rPr>
              <w:t>Numbers/demand</w:t>
            </w:r>
          </w:p>
        </w:tc>
        <w:tc>
          <w:tcPr>
            <w:tcW w:w="6923" w:type="dxa"/>
          </w:tcPr>
          <w:p w14:paraId="0F41C4BB" w14:textId="77777777" w:rsidR="000C73DE" w:rsidRPr="00B71C0A" w:rsidRDefault="000C73DE" w:rsidP="008C5258">
            <w:pPr>
              <w:pStyle w:val="TableText"/>
              <w:keepNext w:val="0"/>
              <w:widowControl w:val="0"/>
              <w:rPr>
                <w:rFonts w:ascii="Times New Roman" w:hAnsi="Times New Roman" w:cs="Times New Roman"/>
                <w:sz w:val="24"/>
                <w:szCs w:val="24"/>
              </w:rPr>
            </w:pPr>
            <w:r w:rsidRPr="00B71C0A">
              <w:rPr>
                <w:rFonts w:ascii="Times New Roman" w:hAnsi="Times New Roman" w:cs="Times New Roman"/>
                <w:sz w:val="24"/>
                <w:szCs w:val="24"/>
              </w:rPr>
              <w:t>It will be difficult to estimate or predict patient throughput.</w:t>
            </w:r>
          </w:p>
          <w:p w14:paraId="6924FAE5" w14:textId="77777777" w:rsidR="000C73DE" w:rsidRPr="00B71C0A" w:rsidRDefault="000C73DE" w:rsidP="008C5258">
            <w:pPr>
              <w:pStyle w:val="TableText"/>
              <w:keepNext w:val="0"/>
              <w:widowControl w:val="0"/>
              <w:rPr>
                <w:rFonts w:ascii="Times New Roman" w:hAnsi="Times New Roman" w:cs="Times New Roman"/>
                <w:sz w:val="24"/>
                <w:szCs w:val="24"/>
              </w:rPr>
            </w:pPr>
            <w:r w:rsidRPr="00B71C0A">
              <w:rPr>
                <w:rFonts w:ascii="Times New Roman" w:hAnsi="Times New Roman" w:cs="Times New Roman"/>
                <w:sz w:val="24"/>
                <w:szCs w:val="24"/>
              </w:rPr>
              <w:t>Existing linear accelerators may become underutilised (only if indications outside MTOP are expanded).</w:t>
            </w:r>
          </w:p>
        </w:tc>
      </w:tr>
      <w:tr w:rsidR="000C73DE" w:rsidRPr="00B71C0A" w14:paraId="4129E65F" w14:textId="77777777" w:rsidTr="00EF47FC">
        <w:trPr>
          <w:trHeight w:val="896"/>
        </w:trPr>
        <w:tc>
          <w:tcPr>
            <w:tcW w:w="2093" w:type="dxa"/>
          </w:tcPr>
          <w:p w14:paraId="5EF2EDA2" w14:textId="77777777" w:rsidR="000C73DE" w:rsidRPr="00B71C0A" w:rsidRDefault="000C73DE" w:rsidP="008C5258">
            <w:pPr>
              <w:pStyle w:val="TableText"/>
              <w:keepNext w:val="0"/>
              <w:widowControl w:val="0"/>
              <w:rPr>
                <w:rFonts w:ascii="Times New Roman" w:hAnsi="Times New Roman" w:cs="Times New Roman"/>
                <w:sz w:val="24"/>
                <w:szCs w:val="24"/>
              </w:rPr>
            </w:pPr>
            <w:r w:rsidRPr="00B71C0A">
              <w:rPr>
                <w:rFonts w:ascii="Times New Roman" w:hAnsi="Times New Roman" w:cs="Times New Roman"/>
                <w:sz w:val="24"/>
                <w:szCs w:val="24"/>
                <w:lang w:val="en-GB"/>
              </w:rPr>
              <w:t>Workforce</w:t>
            </w:r>
          </w:p>
        </w:tc>
        <w:tc>
          <w:tcPr>
            <w:tcW w:w="6923" w:type="dxa"/>
          </w:tcPr>
          <w:p w14:paraId="28934B27" w14:textId="77777777" w:rsidR="000C73DE" w:rsidRPr="00B71C0A" w:rsidRDefault="000C73DE" w:rsidP="008C5258">
            <w:pPr>
              <w:pStyle w:val="TableText"/>
              <w:keepNext w:val="0"/>
              <w:widowControl w:val="0"/>
              <w:rPr>
                <w:rFonts w:ascii="Times New Roman" w:hAnsi="Times New Roman" w:cs="Times New Roman"/>
                <w:sz w:val="24"/>
                <w:szCs w:val="24"/>
              </w:rPr>
            </w:pPr>
            <w:r w:rsidRPr="00B71C0A">
              <w:rPr>
                <w:rFonts w:ascii="Times New Roman" w:hAnsi="Times New Roman" w:cs="Times New Roman"/>
                <w:sz w:val="24"/>
                <w:szCs w:val="24"/>
              </w:rPr>
              <w:t>Ensure relevant colleges/organisations have processes for training, quality assurance and standards.</w:t>
            </w:r>
          </w:p>
          <w:p w14:paraId="35B6CED7" w14:textId="77777777" w:rsidR="000C73DE" w:rsidRPr="00B71C0A" w:rsidRDefault="000C73DE" w:rsidP="008C5258">
            <w:pPr>
              <w:pStyle w:val="TableText"/>
              <w:keepNext w:val="0"/>
              <w:widowControl w:val="0"/>
              <w:rPr>
                <w:rFonts w:ascii="Times New Roman" w:hAnsi="Times New Roman" w:cs="Times New Roman"/>
                <w:sz w:val="24"/>
                <w:szCs w:val="24"/>
              </w:rPr>
            </w:pPr>
            <w:r w:rsidRPr="00B71C0A">
              <w:rPr>
                <w:rFonts w:ascii="Times New Roman" w:hAnsi="Times New Roman" w:cs="Times New Roman"/>
                <w:sz w:val="24"/>
                <w:szCs w:val="24"/>
              </w:rPr>
              <w:t>Encourage/support collaboration/national reference group for coordination.</w:t>
            </w:r>
          </w:p>
        </w:tc>
      </w:tr>
    </w:tbl>
    <w:p w14:paraId="7F77A34C" w14:textId="77777777" w:rsidR="00FD7374" w:rsidRPr="00894134" w:rsidRDefault="00FD7374" w:rsidP="00894134">
      <w:pPr>
        <w:spacing w:before="240" w:after="240"/>
        <w:rPr>
          <w:b/>
        </w:rPr>
      </w:pPr>
      <w:r w:rsidRPr="008A438A">
        <w:rPr>
          <w:b/>
        </w:rPr>
        <w:t>ESC discussion</w:t>
      </w:r>
    </w:p>
    <w:p w14:paraId="2BC0A42E" w14:textId="77777777" w:rsidR="00FD7374" w:rsidRDefault="00FD7374" w:rsidP="00894134">
      <w:pPr>
        <w:spacing w:after="240"/>
      </w:pPr>
      <w:r>
        <w:t xml:space="preserve">ESC discussed that PBT is of particular interest in treating tumours deriving from craniospinal and ocular locations where conventional </w:t>
      </w:r>
      <w:r w:rsidRPr="00FA7D20">
        <w:t xml:space="preserve">photon radiation therapy </w:t>
      </w:r>
      <w:r>
        <w:t xml:space="preserve">(PRT) would impose a high risk of damage to surrounding critical organs to an unacceptable level. The advantage of PBT over other forms of radiotherapy is in improved radiation distribution (Bragg peak) which keeps the dosage away from nearby organs. The result is a higher dose of radiation to the tumour with fewer side effects. The technology has been around for 60 years and is used </w:t>
      </w:r>
      <w:r w:rsidR="007F2D7B">
        <w:t>overseas to treat many cancers.</w:t>
      </w:r>
    </w:p>
    <w:p w14:paraId="18673F12" w14:textId="77777777" w:rsidR="008A438A" w:rsidRDefault="00FD7374" w:rsidP="00894134">
      <w:pPr>
        <w:spacing w:after="240"/>
      </w:pPr>
      <w:r>
        <w:t>There have been only 66 approved applications in 20 years of the program running. In the past 5 years, the total cost has been approximately $2.8 million (approximately $140,000 per patient). However, ESC noted that there may be some Australians who do not know about the program or do not want to travel, particularly those with young children.</w:t>
      </w:r>
    </w:p>
    <w:p w14:paraId="4BEB5E85" w14:textId="77777777" w:rsidR="009C3B11" w:rsidRPr="00B71C0A" w:rsidRDefault="00FD7374" w:rsidP="00B71C0A">
      <w:pPr>
        <w:spacing w:after="120"/>
      </w:pPr>
      <w:r>
        <w:t>ESC also noted that the MTOP is unlike Medicare – it is tailored to a small number of patients, and a decision is made on a case-by-case basis as to whether the patient can be treated in Australia or overseas</w:t>
      </w:r>
      <w:r w:rsidRPr="00B71C0A">
        <w:t xml:space="preserve">. </w:t>
      </w:r>
      <w:r w:rsidR="009C3B11" w:rsidRPr="00B71C0A">
        <w:t>Applications for financial assistance under the MTOP for overseas PBT are submitted to the Department of Health. The Department of Health seek</w:t>
      </w:r>
      <w:r w:rsidR="007F3978" w:rsidRPr="00B71C0A">
        <w:t xml:space="preserve">s </w:t>
      </w:r>
      <w:r w:rsidR="009C3B11" w:rsidRPr="00B71C0A">
        <w:lastRenderedPageBreak/>
        <w:t>advice</w:t>
      </w:r>
      <w:r w:rsidR="007F3978" w:rsidRPr="00B71C0A">
        <w:t xml:space="preserve"> from </w:t>
      </w:r>
      <w:r w:rsidR="009C3B11" w:rsidRPr="00B71C0A">
        <w:t>the Faculty of Oncology within the Royal Australian and New Zealand College of Radiologists</w:t>
      </w:r>
      <w:r w:rsidR="007F3978" w:rsidRPr="00B71C0A">
        <w:t xml:space="preserve"> on</w:t>
      </w:r>
      <w:r w:rsidR="009C3B11" w:rsidRPr="00B71C0A">
        <w:t xml:space="preserve"> whether the application for PBT meets the following criteria:</w:t>
      </w:r>
    </w:p>
    <w:p w14:paraId="1F95EB03" w14:textId="77777777" w:rsidR="009C3B11" w:rsidRPr="00B71C0A" w:rsidRDefault="009C3B11" w:rsidP="00924B99">
      <w:pPr>
        <w:numPr>
          <w:ilvl w:val="0"/>
          <w:numId w:val="30"/>
        </w:numPr>
        <w:rPr>
          <w:lang w:val="en-US"/>
        </w:rPr>
      </w:pPr>
      <w:r w:rsidRPr="00B71C0A">
        <w:rPr>
          <w:lang w:val="en-US"/>
        </w:rPr>
        <w:t>the proposed overseas treatment or an effective alternative treatment must not be available in Australia in time to benefit the applicant;</w:t>
      </w:r>
    </w:p>
    <w:p w14:paraId="55658BA2" w14:textId="77777777" w:rsidR="009C3B11" w:rsidRPr="00B71C0A" w:rsidRDefault="009C3B11" w:rsidP="00924B99">
      <w:pPr>
        <w:numPr>
          <w:ilvl w:val="0"/>
          <w:numId w:val="30"/>
        </w:numPr>
        <w:rPr>
          <w:lang w:val="en-US"/>
        </w:rPr>
      </w:pPr>
      <w:r w:rsidRPr="00B71C0A">
        <w:rPr>
          <w:lang w:val="en-US"/>
        </w:rPr>
        <w:t>the treatment must be significantly life extending and potentially curative;</w:t>
      </w:r>
    </w:p>
    <w:p w14:paraId="33AAB2E0" w14:textId="77777777" w:rsidR="009C3B11" w:rsidRPr="00B71C0A" w:rsidRDefault="009C3B11" w:rsidP="00924B99">
      <w:pPr>
        <w:numPr>
          <w:ilvl w:val="0"/>
          <w:numId w:val="30"/>
        </w:numPr>
        <w:rPr>
          <w:lang w:val="en-US"/>
        </w:rPr>
      </w:pPr>
      <w:r w:rsidRPr="00B71C0A">
        <w:rPr>
          <w:lang w:val="en-US"/>
        </w:rPr>
        <w:t>there must be a real prospect of success for the applicant; and</w:t>
      </w:r>
    </w:p>
    <w:p w14:paraId="369CF9DE" w14:textId="77777777" w:rsidR="009C3B11" w:rsidRPr="00B71C0A" w:rsidRDefault="009C3B11" w:rsidP="00924B99">
      <w:pPr>
        <w:numPr>
          <w:ilvl w:val="0"/>
          <w:numId w:val="30"/>
        </w:numPr>
        <w:rPr>
          <w:lang w:val="en-US"/>
        </w:rPr>
      </w:pPr>
      <w:r w:rsidRPr="00B71C0A">
        <w:rPr>
          <w:lang w:val="en-US"/>
        </w:rPr>
        <w:t>the treatment must be accepted by the Australian medical profession as a standard form of treatment for the applicant’s condition.</w:t>
      </w:r>
    </w:p>
    <w:p w14:paraId="3F2A7FDB" w14:textId="77777777" w:rsidR="00FD7374" w:rsidRDefault="00316B23" w:rsidP="00894134">
      <w:pPr>
        <w:spacing w:before="120" w:after="240"/>
      </w:pPr>
      <w:r w:rsidRPr="00B71C0A">
        <w:t xml:space="preserve">Applications for financial assistance for PBT are </w:t>
      </w:r>
      <w:r w:rsidR="00FD7374" w:rsidRPr="00B71C0A">
        <w:t>not recommend</w:t>
      </w:r>
      <w:r w:rsidRPr="00B71C0A">
        <w:t>ed</w:t>
      </w:r>
      <w:r w:rsidR="00FD7374" w:rsidRPr="00B71C0A">
        <w:t xml:space="preserve"> in every case</w:t>
      </w:r>
      <w:r w:rsidRPr="00B71C0A">
        <w:t>.</w:t>
      </w:r>
    </w:p>
    <w:p w14:paraId="5C77D5F7" w14:textId="77777777" w:rsidR="00FD7374" w:rsidRDefault="00FD7374" w:rsidP="00894134">
      <w:pPr>
        <w:spacing w:after="240"/>
      </w:pPr>
      <w:r>
        <w:t>Currently, four Australian jurisdictions are considering building a PBT facility. One centre is under construction in South Australia (the Bragg Centre) which is expected to start treating patients in 2022. They expect 800 patients in the first year, with 25% from overseas.</w:t>
      </w:r>
    </w:p>
    <w:p w14:paraId="7C5843A9" w14:textId="77777777" w:rsidR="00FD7374" w:rsidRDefault="00FD7374" w:rsidP="00894134">
      <w:pPr>
        <w:spacing w:after="240"/>
      </w:pPr>
      <w:r>
        <w:t>ESC noted that no i</w:t>
      </w:r>
      <w:r w:rsidRPr="008A2ACB">
        <w:t xml:space="preserve">tem descriptor </w:t>
      </w:r>
      <w:r>
        <w:t>was</w:t>
      </w:r>
      <w:r w:rsidRPr="008A2ACB">
        <w:t xml:space="preserve"> available</w:t>
      </w:r>
      <w:r>
        <w:t xml:space="preserve"> or </w:t>
      </w:r>
      <w:r w:rsidRPr="008A2ACB">
        <w:t>provided</w:t>
      </w:r>
      <w:r>
        <w:t>, but, i</w:t>
      </w:r>
      <w:r w:rsidRPr="008A2ACB">
        <w:t xml:space="preserve">f approved, </w:t>
      </w:r>
      <w:r>
        <w:t xml:space="preserve">it </w:t>
      </w:r>
      <w:r w:rsidRPr="008A2ACB">
        <w:t>would be located in Category 3, Group T2 – Radiation Oncology</w:t>
      </w:r>
      <w:r>
        <w:t xml:space="preserve">. ESC noted that similar items would be required as those for PRT (planning, simulation, treatment, verification) but that there would be an increased cost because of </w:t>
      </w:r>
      <w:r w:rsidRPr="008A2ACB">
        <w:t>increase</w:t>
      </w:r>
      <w:r>
        <w:t>d</w:t>
      </w:r>
      <w:r w:rsidRPr="008A2ACB">
        <w:t xml:space="preserve"> staff time</w:t>
      </w:r>
      <w:r>
        <w:t xml:space="preserve"> required</w:t>
      </w:r>
      <w:r w:rsidRPr="008A2ACB">
        <w:t>, expensive software licen</w:t>
      </w:r>
      <w:r>
        <w:t>c</w:t>
      </w:r>
      <w:r w:rsidRPr="008A2ACB">
        <w:t>es, specialist/intensive maintenance, significant electrical energy demands</w:t>
      </w:r>
      <w:r>
        <w:t xml:space="preserve"> and</w:t>
      </w:r>
      <w:r w:rsidRPr="008A2ACB">
        <w:t xml:space="preserve"> senior specialised staff</w:t>
      </w:r>
      <w:r>
        <w:t>. The Bragg Centre has proposed costings of ab</w:t>
      </w:r>
      <w:r w:rsidR="007F2D7B">
        <w:t>out double those for PRT.</w:t>
      </w:r>
    </w:p>
    <w:p w14:paraId="6128AFEA" w14:textId="77777777" w:rsidR="007F2D7B" w:rsidRDefault="00FD7374" w:rsidP="00894134">
      <w:pPr>
        <w:spacing w:after="240"/>
      </w:pPr>
      <w:r>
        <w:t>ESC noted that there are 11 populations of rare cancers (based on those for PRT) with four PICO groups: adult brain/spinal (PICO</w:t>
      </w:r>
      <w:r w:rsidR="00477590">
        <w:t xml:space="preserve"> </w:t>
      </w:r>
      <w:r>
        <w:t>1), ocular (PICO</w:t>
      </w:r>
      <w:r w:rsidR="00477590">
        <w:t xml:space="preserve"> </w:t>
      </w:r>
      <w:r>
        <w:t>2), paediatric/adolescent (PICO</w:t>
      </w:r>
      <w:r w:rsidR="00477590">
        <w:t xml:space="preserve"> </w:t>
      </w:r>
      <w:r>
        <w:t>3) and other (nephroblastoma and adenoid cystic carcinoma)</w:t>
      </w:r>
      <w:r w:rsidRPr="00E77745">
        <w:t xml:space="preserve"> </w:t>
      </w:r>
      <w:r>
        <w:t>(PICO</w:t>
      </w:r>
      <w:r w:rsidR="00477590">
        <w:t xml:space="preserve"> </w:t>
      </w:r>
      <w:r>
        <w:t>4).</w:t>
      </w:r>
    </w:p>
    <w:p w14:paraId="70F19838" w14:textId="77777777" w:rsidR="00FD7374" w:rsidRDefault="00FD7374" w:rsidP="00894134">
      <w:pPr>
        <w:spacing w:after="240"/>
      </w:pPr>
      <w:r>
        <w:t>ESC noted that there are a few comparators, but only PRT is available in Australia.</w:t>
      </w:r>
    </w:p>
    <w:p w14:paraId="7F6991FA" w14:textId="77777777" w:rsidR="00FD7374" w:rsidRDefault="00FD7374" w:rsidP="00894134">
      <w:pPr>
        <w:spacing w:after="240"/>
      </w:pPr>
      <w:r>
        <w:t>ESC noted that PBT may also be the only viable curative modality available for selected paediatric and young adult cancers, where there is a critical requirement to reduce overall radiation toxicity and potential induction of secondary tumours. Case management is complex because of rarity of the cancer types, tumour location and the specialist requirements for paediatrics. The clinical case management is likely to vary based on the cancer type, disease staging, tumour location, patient prognosis, and whether the treatment intent is curative or salvage treatment.</w:t>
      </w:r>
    </w:p>
    <w:p w14:paraId="10122AEB" w14:textId="77777777" w:rsidR="008A438A" w:rsidRDefault="00FD7374" w:rsidP="00894134">
      <w:pPr>
        <w:spacing w:after="240"/>
      </w:pPr>
      <w:r>
        <w:t xml:space="preserve">ESC noted that the quality of clinical evidence </w:t>
      </w:r>
      <w:r w:rsidR="00FE2E14">
        <w:t xml:space="preserve">was </w:t>
      </w:r>
      <w:r>
        <w:t>low; only level 3 evidence is available. There were no RCTs, but this is unsurprising, given the rare nature of the conditions being investigated.</w:t>
      </w:r>
    </w:p>
    <w:p w14:paraId="24054008" w14:textId="77777777" w:rsidR="00FD7374" w:rsidRDefault="00FD7374" w:rsidP="00FD7374">
      <w:pPr>
        <w:pStyle w:val="NormalBeforeBullet"/>
      </w:pPr>
      <w:r>
        <w:t>ESC identified a number of problems with the clinical evidence:</w:t>
      </w:r>
    </w:p>
    <w:p w14:paraId="78763165" w14:textId="77777777" w:rsidR="00FD7374" w:rsidRDefault="00FD7374" w:rsidP="00FD7374">
      <w:pPr>
        <w:pStyle w:val="Bullet"/>
      </w:pPr>
      <w:r>
        <w:t>high risk of bias because</w:t>
      </w:r>
      <w:r w:rsidRPr="00E77745">
        <w:t xml:space="preserve"> </w:t>
      </w:r>
      <w:r>
        <w:t>t</w:t>
      </w:r>
      <w:r w:rsidRPr="00E77745">
        <w:t>he evidence base was largely comprised of retrospective primary studies, with a focus on comparative effectiveness studies</w:t>
      </w:r>
    </w:p>
    <w:p w14:paraId="6951DC43" w14:textId="77777777" w:rsidR="00FD7374" w:rsidRDefault="00FD7374" w:rsidP="00FD7374">
      <w:pPr>
        <w:pStyle w:val="Bullet"/>
      </w:pPr>
      <w:r>
        <w:t>marked heterogeneity because of the different conditions studied</w:t>
      </w:r>
    </w:p>
    <w:p w14:paraId="047BD7D3" w14:textId="77777777" w:rsidR="00FD7374" w:rsidRDefault="00FD7374" w:rsidP="00FD7374">
      <w:pPr>
        <w:pStyle w:val="Bullet"/>
      </w:pPr>
      <w:r>
        <w:t>small numbers because of the rarity of the conditions</w:t>
      </w:r>
    </w:p>
    <w:p w14:paraId="1E137932" w14:textId="77777777" w:rsidR="00FD7374" w:rsidRDefault="00FD7374" w:rsidP="00FD7374">
      <w:pPr>
        <w:pStyle w:val="Bullet"/>
      </w:pPr>
      <w:r>
        <w:t>outcomes/endpoints differ between studies</w:t>
      </w:r>
    </w:p>
    <w:p w14:paraId="6C1D27D6" w14:textId="77777777" w:rsidR="00FD7374" w:rsidRDefault="00FD7374" w:rsidP="00FD7374">
      <w:pPr>
        <w:pStyle w:val="Bullet"/>
      </w:pPr>
      <w:r>
        <w:t>no good publications comparing PBT versus PRT; given that PBT delivers radiation to the target site, it</w:t>
      </w:r>
      <w:r w:rsidR="00DF3734">
        <w:t xml:space="preserve"> </w:t>
      </w:r>
      <w:r w:rsidR="00FA75D3">
        <w:t>wa</w:t>
      </w:r>
      <w:r w:rsidR="00DF3734">
        <w:t>s asserted that</w:t>
      </w:r>
      <w:r>
        <w:t xml:space="preserve"> </w:t>
      </w:r>
      <w:r w:rsidR="00DF3734">
        <w:t xml:space="preserve">it </w:t>
      </w:r>
      <w:r>
        <w:t xml:space="preserve">would be unethical to allocate patients to the alternative treatment arm, knowing </w:t>
      </w:r>
      <w:r w:rsidR="007F2D7B">
        <w:t>that radiation can cause damage</w:t>
      </w:r>
    </w:p>
    <w:p w14:paraId="358E312F" w14:textId="77777777" w:rsidR="00FD7374" w:rsidRDefault="00FD7374" w:rsidP="00FD7374">
      <w:pPr>
        <w:pStyle w:val="Bullet"/>
      </w:pPr>
      <w:r>
        <w:t>not all tumour types were covered and there are no data for nephroblastoma</w:t>
      </w:r>
    </w:p>
    <w:p w14:paraId="2B01960B" w14:textId="77777777" w:rsidR="00FD7374" w:rsidRDefault="00FD7374" w:rsidP="00FD7374">
      <w:pPr>
        <w:pStyle w:val="Bullet"/>
      </w:pPr>
      <w:r>
        <w:lastRenderedPageBreak/>
        <w:t>safety data are not available and there is a lack of quality of life data</w:t>
      </w:r>
    </w:p>
    <w:p w14:paraId="76E5DFC9" w14:textId="77777777" w:rsidR="00FD7374" w:rsidRDefault="00FD7374" w:rsidP="00FD7374">
      <w:pPr>
        <w:pStyle w:val="Bullet"/>
      </w:pPr>
      <w:r>
        <w:t xml:space="preserve">the comparators were variable (e.g. mixed with other modalities such as surgery and thermotherapy) and PBT was combined with </w:t>
      </w:r>
      <w:r w:rsidR="004F5F5E">
        <w:t>PRT</w:t>
      </w:r>
    </w:p>
    <w:p w14:paraId="6BC72045" w14:textId="77777777" w:rsidR="00FD7374" w:rsidRDefault="00FD7374" w:rsidP="00FD7374">
      <w:pPr>
        <w:pStyle w:val="BulletLast"/>
      </w:pPr>
      <w:r>
        <w:t>the evidence base used old proton technology (passively scattered) whereas there is now better technology in the form of pencil beam scanning.</w:t>
      </w:r>
    </w:p>
    <w:p w14:paraId="512DF9D1" w14:textId="77777777" w:rsidR="00FD7374" w:rsidRDefault="00FD7374" w:rsidP="00FD7374">
      <w:r>
        <w:t xml:space="preserve">ESC noted that </w:t>
      </w:r>
      <w:r w:rsidR="00E67CB0">
        <w:t xml:space="preserve">the health technology assessment report prepared for the </w:t>
      </w:r>
      <w:r>
        <w:t xml:space="preserve">Washington State Health Care Authority (2014) </w:t>
      </w:r>
      <w:r w:rsidRPr="009458F1">
        <w:t xml:space="preserve">rated the net health benefit of PBT relative to alternative treatments to be </w:t>
      </w:r>
      <w:r>
        <w:t>‘s</w:t>
      </w:r>
      <w:r w:rsidRPr="009458F1">
        <w:t>uperior</w:t>
      </w:r>
      <w:r>
        <w:t>’</w:t>
      </w:r>
      <w:r w:rsidRPr="009458F1">
        <w:t xml:space="preserve"> (moderate</w:t>
      </w:r>
      <w:r>
        <w:t>–</w:t>
      </w:r>
      <w:r w:rsidRPr="009458F1">
        <w:t>large net health benefit) in ocular tumo</w:t>
      </w:r>
      <w:r>
        <w:t>u</w:t>
      </w:r>
      <w:r w:rsidRPr="009458F1">
        <w:t xml:space="preserve">rs and </w:t>
      </w:r>
      <w:r>
        <w:t>‘i</w:t>
      </w:r>
      <w:r w:rsidRPr="009458F1">
        <w:t>ncremental</w:t>
      </w:r>
      <w:r>
        <w:t>’</w:t>
      </w:r>
      <w:r w:rsidRPr="009458F1">
        <w:t xml:space="preserve"> (small net health benefit) in adult brain/spinal and p</w:t>
      </w:r>
      <w:r>
        <w:t>a</w:t>
      </w:r>
      <w:r w:rsidRPr="009458F1">
        <w:t>ediatric cancers</w:t>
      </w:r>
      <w:r w:rsidR="007F2D7B">
        <w:t>.</w:t>
      </w:r>
    </w:p>
    <w:p w14:paraId="6BD59F6A" w14:textId="77777777" w:rsidR="00AF3992" w:rsidRDefault="00FD7374" w:rsidP="00894134">
      <w:pPr>
        <w:spacing w:before="240" w:after="240"/>
      </w:pPr>
      <w:r>
        <w:t xml:space="preserve">The </w:t>
      </w:r>
      <w:r w:rsidR="00E67CB0">
        <w:t xml:space="preserve">health technology assessment report published by the </w:t>
      </w:r>
      <w:r w:rsidRPr="008B6B8E">
        <w:t xml:space="preserve">Canadian Agency for </w:t>
      </w:r>
      <w:r w:rsidRPr="00A6233E">
        <w:t>Drugs and Technologies in Health (CADTH; 2017) stated that, with the low-strength quality of included primary studies in the review, clear conclusions could not be drawn regarding the benefits or harms of PBT. The</w:t>
      </w:r>
      <w:r w:rsidR="002A5115">
        <w:t xml:space="preserve"> agenc</w:t>
      </w:r>
      <w:r w:rsidRPr="00A6233E">
        <w:t xml:space="preserve">y concluded that the added cost of PBT for limited clinical benefit meant that installing PBT facilities in Canada </w:t>
      </w:r>
      <w:r w:rsidR="00E67CB0">
        <w:t>wa</w:t>
      </w:r>
      <w:r w:rsidRPr="00A6233E">
        <w:t>s not well justified.</w:t>
      </w:r>
    </w:p>
    <w:p w14:paraId="7D519333" w14:textId="77777777" w:rsidR="00FD7374" w:rsidRPr="00BD1D56" w:rsidRDefault="00FD7374" w:rsidP="00FD7374">
      <w:r>
        <w:t xml:space="preserve">In summary, ESC noted </w:t>
      </w:r>
      <w:r w:rsidR="00B07141">
        <w:t>that despite t</w:t>
      </w:r>
      <w:r>
        <w:t>he documented dosimetric superiority of PBT over conventional radiotherapy</w:t>
      </w:r>
      <w:r w:rsidR="00B07141">
        <w:t xml:space="preserve">, only </w:t>
      </w:r>
      <w:r>
        <w:t>low quality of evidence</w:t>
      </w:r>
      <w:r w:rsidR="00B07141">
        <w:t xml:space="preserve"> is </w:t>
      </w:r>
      <w:r>
        <w:t xml:space="preserve">available </w:t>
      </w:r>
      <w:r w:rsidR="00B07141">
        <w:t xml:space="preserve">for </w:t>
      </w:r>
      <w:r>
        <w:t>comparative effectiveness</w:t>
      </w:r>
      <w:r w:rsidR="00B07141">
        <w:t>. In addition, the e</w:t>
      </w:r>
      <w:r>
        <w:t xml:space="preserve">vidence of comparative effectiveness is at the level of </w:t>
      </w:r>
      <w:r w:rsidR="00B07141">
        <w:t xml:space="preserve">certain </w:t>
      </w:r>
      <w:r>
        <w:t>individual tumour types and not for the PBT service as a whole.</w:t>
      </w:r>
    </w:p>
    <w:p w14:paraId="3D8908BC" w14:textId="77777777" w:rsidR="00FD7374" w:rsidRDefault="00FD7374" w:rsidP="007F2D7B">
      <w:pPr>
        <w:pStyle w:val="NormalBeforeBullet"/>
        <w:spacing w:before="240"/>
      </w:pPr>
      <w:r>
        <w:t>A number of significant issues were noted by ESC, which should be addressed:</w:t>
      </w:r>
    </w:p>
    <w:p w14:paraId="4D20DBDA" w14:textId="77777777" w:rsidR="00FD7374" w:rsidRPr="009458F1" w:rsidRDefault="00FD7374" w:rsidP="00FD7374">
      <w:pPr>
        <w:pStyle w:val="Bullet"/>
      </w:pPr>
      <w:r>
        <w:t xml:space="preserve">ESC acknowledged that having a PBT facility will be a good opportunity for research and to collect clinical data from trials, given the lack of existing data. It was noted that currently PBT is being used overseas, even with a lack of evidence, because of its perceived advantages. Therefore, </w:t>
      </w:r>
      <w:r w:rsidRPr="00C34B73">
        <w:t>there is the potential for</w:t>
      </w:r>
      <w:r w:rsidRPr="009458F1">
        <w:t xml:space="preserve"> treatment of patients with other cancers where there is no evidence of ‘advantage’</w:t>
      </w:r>
      <w:r>
        <w:t>.</w:t>
      </w:r>
    </w:p>
    <w:p w14:paraId="009F25F2" w14:textId="77777777" w:rsidR="00FD7374" w:rsidRDefault="00FD7374" w:rsidP="00FD7374">
      <w:pPr>
        <w:pStyle w:val="Bullet"/>
      </w:pPr>
      <w:r w:rsidRPr="009458F1">
        <w:t xml:space="preserve">Consultation feedback raised </w:t>
      </w:r>
      <w:r>
        <w:t xml:space="preserve">the issue that an </w:t>
      </w:r>
      <w:r w:rsidRPr="009458F1">
        <w:t>extra PICO population should be included</w:t>
      </w:r>
      <w:r>
        <w:t xml:space="preserve"> for</w:t>
      </w:r>
      <w:r w:rsidRPr="009458F1">
        <w:t xml:space="preserve"> re-treatment/re-irradiation</w:t>
      </w:r>
      <w:r>
        <w:t>. The numbers in this population are unknown but could be quite large.</w:t>
      </w:r>
    </w:p>
    <w:p w14:paraId="747F7008" w14:textId="77777777" w:rsidR="00FD7374" w:rsidRDefault="00FD7374" w:rsidP="00FD7374">
      <w:pPr>
        <w:pStyle w:val="Bullet"/>
      </w:pPr>
      <w:r>
        <w:t>ESC noted that PBT can be dangerous and requires a high level of training that is currently not available in Australia because there has been no PBT facility here until now. National standards and training programs will need to be established. There is a des</w:t>
      </w:r>
      <w:r w:rsidRPr="00C34B73">
        <w:t>ire from stakeholders for a national collaborative approach</w:t>
      </w:r>
      <w:r>
        <w:t>,</w:t>
      </w:r>
      <w:r w:rsidRPr="00C34B73">
        <w:t xml:space="preserve"> national registry and infrastructure to support this.</w:t>
      </w:r>
    </w:p>
    <w:p w14:paraId="57F9C8CF" w14:textId="77777777" w:rsidR="00FD7374" w:rsidRDefault="00FD7374" w:rsidP="00FD7374">
      <w:pPr>
        <w:pStyle w:val="Bullet"/>
      </w:pPr>
      <w:r>
        <w:t>Stakeholders also want a national approach to minimise the risk of uncoordinated oversupply resulting from too many Australian centres.</w:t>
      </w:r>
    </w:p>
    <w:p w14:paraId="249993C7" w14:textId="77777777" w:rsidR="00FD7374" w:rsidRPr="009458F1" w:rsidRDefault="00FD7374" w:rsidP="00FD7374">
      <w:pPr>
        <w:pStyle w:val="BulletLast"/>
      </w:pPr>
      <w:r w:rsidRPr="00C34B73">
        <w:t>Radiation Oncology Health Program Grant</w:t>
      </w:r>
      <w:r>
        <w:t>s</w:t>
      </w:r>
      <w:r w:rsidRPr="00C34B73">
        <w:t xml:space="preserve"> </w:t>
      </w:r>
      <w:r>
        <w:t>do not apply to</w:t>
      </w:r>
      <w:r w:rsidRPr="00C34B73">
        <w:t xml:space="preserve"> a PBT facility</w:t>
      </w:r>
      <w:r>
        <w:t>.</w:t>
      </w:r>
    </w:p>
    <w:p w14:paraId="32C70652" w14:textId="77777777" w:rsidR="007432E7" w:rsidRDefault="00FD7374" w:rsidP="00894134">
      <w:pPr>
        <w:spacing w:after="240"/>
      </w:pPr>
      <w:r>
        <w:t>For the economic evaluation, the PICO nominated cost-effectiveness or cost-utility on the basis of superior effectiveness and safety; however, the submission presented a cost-consequence analysis on the basis that superior effectiv</w:t>
      </w:r>
      <w:r w:rsidR="007432E7">
        <w:t>eness could not be ascertained.</w:t>
      </w:r>
    </w:p>
    <w:p w14:paraId="184A4724" w14:textId="77777777" w:rsidR="00FD7374" w:rsidRDefault="00FD7374" w:rsidP="00FD7374">
      <w:pPr>
        <w:pStyle w:val="NormalBeforeBullet"/>
      </w:pPr>
      <w:r>
        <w:t>ESC noted a number of problems with the economic evaluation:</w:t>
      </w:r>
    </w:p>
    <w:p w14:paraId="7497F143" w14:textId="77777777" w:rsidR="00FD7374" w:rsidRDefault="00FD7374" w:rsidP="00FD7374">
      <w:pPr>
        <w:pStyle w:val="Bullet"/>
      </w:pPr>
      <w:r>
        <w:t xml:space="preserve">No decision tree was included, which would have </w:t>
      </w:r>
      <w:r w:rsidRPr="00CB44BC">
        <w:t>inform</w:t>
      </w:r>
      <w:r>
        <w:t>ed</w:t>
      </w:r>
      <w:r w:rsidRPr="00CB44BC">
        <w:t xml:space="preserve"> the data to present for costs and consequences</w:t>
      </w:r>
      <w:r>
        <w:t>.</w:t>
      </w:r>
    </w:p>
    <w:p w14:paraId="040F9898" w14:textId="77777777" w:rsidR="00FD7374" w:rsidRDefault="00FD7374" w:rsidP="00FD7374">
      <w:pPr>
        <w:pStyle w:val="Bullet"/>
      </w:pPr>
      <w:r>
        <w:t>There were significant translation issues (limited data from small trials) with the results not generalisable to Australia.</w:t>
      </w:r>
    </w:p>
    <w:p w14:paraId="655DBF6E" w14:textId="77777777" w:rsidR="00FD7374" w:rsidRDefault="00FD7374" w:rsidP="00FD7374">
      <w:pPr>
        <w:pStyle w:val="Bullet"/>
      </w:pPr>
      <w:r>
        <w:lastRenderedPageBreak/>
        <w:t>The cost of simulation was not included in the economic analysis.</w:t>
      </w:r>
    </w:p>
    <w:p w14:paraId="5885D259" w14:textId="77777777" w:rsidR="00FD7374" w:rsidRDefault="00FD7374" w:rsidP="00FD7374">
      <w:pPr>
        <w:pStyle w:val="Bullet"/>
      </w:pPr>
      <w:r>
        <w:t>The cost of intervention was based on a comparison of the cost of PBT versus i</w:t>
      </w:r>
      <w:r w:rsidRPr="00F72DA1">
        <w:t xml:space="preserve">ntensity </w:t>
      </w:r>
      <w:r>
        <w:t>m</w:t>
      </w:r>
      <w:r w:rsidRPr="00F72DA1">
        <w:t xml:space="preserve">odulated </w:t>
      </w:r>
      <w:r>
        <w:t>r</w:t>
      </w:r>
      <w:r w:rsidRPr="00F72DA1">
        <w:t xml:space="preserve">adiation </w:t>
      </w:r>
      <w:r>
        <w:t>t</w:t>
      </w:r>
      <w:r w:rsidRPr="00F72DA1">
        <w:t xml:space="preserve">herapy </w:t>
      </w:r>
      <w:r>
        <w:t>(IMRT); the ratios (from six studies) ranged from 1.43 to 3.44, indicating the multiple of the cost for PRT. The submission used a ratio of 2.5 times the cost of PRT. However, ESC noted that this is not appropriate because there are four different items and some studies related to diseases like prostate cancer, which would not be treated under the proposed indications. Another large study (Peeters et al.) found a ratio of 3.2, so costs in the submission may be underestimated.</w:t>
      </w:r>
    </w:p>
    <w:p w14:paraId="20E3960C" w14:textId="77777777" w:rsidR="00FD7374" w:rsidRDefault="00FD7374" w:rsidP="00FD7374">
      <w:pPr>
        <w:pStyle w:val="Bullet"/>
      </w:pPr>
      <w:r w:rsidRPr="005005FA">
        <w:t>Potential cost offsets may be an underestimate</w:t>
      </w:r>
      <w:r>
        <w:t>,</w:t>
      </w:r>
      <w:r w:rsidRPr="005005FA">
        <w:t xml:space="preserve"> as not all </w:t>
      </w:r>
      <w:r>
        <w:t xml:space="preserve">were </w:t>
      </w:r>
      <w:r w:rsidRPr="005005FA">
        <w:t xml:space="preserve">included in the </w:t>
      </w:r>
      <w:r>
        <w:t>economic evaluation.</w:t>
      </w:r>
    </w:p>
    <w:p w14:paraId="56000B8C" w14:textId="77777777" w:rsidR="00FD7374" w:rsidRDefault="00FD7374" w:rsidP="00FD7374">
      <w:pPr>
        <w:pStyle w:val="Bullet"/>
      </w:pPr>
      <w:r>
        <w:t>Incremental costs were not included in the submission.</w:t>
      </w:r>
    </w:p>
    <w:p w14:paraId="5AC7D4BF" w14:textId="77777777" w:rsidR="00FD7374" w:rsidRDefault="00FD7374" w:rsidP="00FD7374">
      <w:pPr>
        <w:pStyle w:val="Bullet"/>
      </w:pPr>
      <w:r>
        <w:t>The cost of anaesthesia cannot be equal in the cost-consequence analysis if the population is expanding.</w:t>
      </w:r>
    </w:p>
    <w:p w14:paraId="3F3989E4" w14:textId="77777777" w:rsidR="00FD7374" w:rsidRDefault="00FD7374" w:rsidP="00FD7374">
      <w:pPr>
        <w:pStyle w:val="BulletLast"/>
      </w:pPr>
      <w:r>
        <w:t>Hypofractionation</w:t>
      </w:r>
      <w:r w:rsidRPr="00830F98">
        <w:t xml:space="preserve"> </w:t>
      </w:r>
      <w:r>
        <w:t>was</w:t>
      </w:r>
      <w:r w:rsidRPr="00830F98">
        <w:t xml:space="preserve"> not considered in </w:t>
      </w:r>
      <w:r>
        <w:t xml:space="preserve">the </w:t>
      </w:r>
      <w:r w:rsidRPr="00830F98">
        <w:t>economic evaluation</w:t>
      </w:r>
      <w:r>
        <w:t>. Because of the Bragg peak, fewer treatment sessions are needed. ESC noted that there is not a lot of data; however, if it is viable to reduce the number of treatments that would lead to cost savings.</w:t>
      </w:r>
    </w:p>
    <w:p w14:paraId="1D6BB5E3" w14:textId="77777777" w:rsidR="00FD7374" w:rsidRDefault="00FD7374" w:rsidP="00894134">
      <w:pPr>
        <w:spacing w:after="240"/>
      </w:pPr>
      <w:r>
        <w:t>ESC noted that paediatric cases (particularly brain tumours) require longer treatment times and more staff members, and incur higher supply and device costs. They are also likely to require anaesthesia requiring additional nursing and anaesthesia support (57% if similar to the USA; 100% was used in this submission). This may require different reimbursement to reflect the additional resources required.</w:t>
      </w:r>
    </w:p>
    <w:p w14:paraId="482D98EF" w14:textId="77777777" w:rsidR="00FD7374" w:rsidRDefault="00FD7374" w:rsidP="00894134">
      <w:pPr>
        <w:spacing w:after="240"/>
      </w:pPr>
      <w:r>
        <w:t>ESC noted that ANSTO has done its own modelling and estimated the cost to be approximately $50,000 per person per treatment, including capital costs and hypofractionation.</w:t>
      </w:r>
    </w:p>
    <w:p w14:paraId="1850F001" w14:textId="77777777" w:rsidR="00FD7374" w:rsidRDefault="00FD7374" w:rsidP="00894134">
      <w:pPr>
        <w:spacing w:after="240"/>
      </w:pPr>
      <w:r>
        <w:t xml:space="preserve">ESC noted that the assessment </w:t>
      </w:r>
      <w:r w:rsidR="007432E7">
        <w:t xml:space="preserve">report </w:t>
      </w:r>
      <w:r>
        <w:t xml:space="preserve">calculated the operating cost associated with PBT as roughly 1.5 to 2.5 times higher than conventional therapy in cost comparisons reported from other countries. Therefore, the adoption of PBT has the potential of expanding the expenditure for radiation should it cost 2 times more than PRT. However, ESC noted issues with the financial/budgetary impacts provided and thought that the numbers are highly uncertain. The </w:t>
      </w:r>
      <w:r w:rsidR="00BE0747">
        <w:t>assessment re</w:t>
      </w:r>
      <w:r>
        <w:t>port provided data from 2009 and extrapolated to estimate the population in 2016. This should have been updated with more recent data (e.g. from the Australian Institute of Health and Welfare).</w:t>
      </w:r>
    </w:p>
    <w:p w14:paraId="74140E68" w14:textId="4F10EF3B" w:rsidR="00FD7374" w:rsidRDefault="00FD7374" w:rsidP="00FD7374">
      <w:r>
        <w:t>From the consumer perspective, ESC noted that consumers should be aware of the risks of PBT associated with some cancers.</w:t>
      </w:r>
      <w:r w:rsidR="00EA18EA">
        <w:t xml:space="preserve"> </w:t>
      </w:r>
      <w:r>
        <w:t>ESC noted that there is strong support from Rare Cancers Australia to build a PBT facility in Australia. This will reduce the impact of isolation that arises from overseas travel, particularly for paediatric patients, and also reduce the costs associated with overseas travel.</w:t>
      </w:r>
    </w:p>
    <w:p w14:paraId="4079A6E4" w14:textId="77777777" w:rsidR="00D90A38" w:rsidRPr="00F715D1" w:rsidRDefault="00BC1364" w:rsidP="00F715D1">
      <w:pPr>
        <w:pStyle w:val="Heading1"/>
      </w:pPr>
      <w:r w:rsidRPr="00F715D1">
        <w:t>Other significant factors</w:t>
      </w:r>
    </w:p>
    <w:p w14:paraId="16043D17" w14:textId="77777777" w:rsidR="00BC1364" w:rsidRPr="009D0DDE" w:rsidRDefault="00BC1364" w:rsidP="00F715D1">
      <w:pPr>
        <w:spacing w:after="240"/>
        <w:rPr>
          <w:szCs w:val="24"/>
        </w:rPr>
      </w:pPr>
      <w:r w:rsidRPr="009D0DDE">
        <w:rPr>
          <w:szCs w:val="24"/>
        </w:rPr>
        <w:t>Nil</w:t>
      </w:r>
    </w:p>
    <w:p w14:paraId="3BA8610A" w14:textId="21BD994D" w:rsidR="00BC1364" w:rsidRDefault="00BC1364" w:rsidP="00F715D1">
      <w:pPr>
        <w:pStyle w:val="Heading1"/>
      </w:pPr>
      <w:r w:rsidRPr="00F715D1">
        <w:t xml:space="preserve">Applicant’s comments on MSAC’s </w:t>
      </w:r>
      <w:r w:rsidR="00DA56AA" w:rsidRPr="00F715D1">
        <w:t>Public Summary Document</w:t>
      </w:r>
    </w:p>
    <w:p w14:paraId="01AEDDFE" w14:textId="03EC5F84" w:rsidR="00EA18EA" w:rsidRPr="00B057B0" w:rsidRDefault="00EA18EA" w:rsidP="00732E4E">
      <w:r>
        <w:t>Nil</w:t>
      </w:r>
    </w:p>
    <w:p w14:paraId="15EF368C" w14:textId="4C8D5B4F" w:rsidR="00BC1364" w:rsidRPr="00F715D1" w:rsidRDefault="00577904" w:rsidP="00F715D1">
      <w:pPr>
        <w:pStyle w:val="Heading1"/>
      </w:pPr>
      <w:r>
        <w:rPr>
          <w:color w:val="00B0F0"/>
          <w:szCs w:val="24"/>
        </w:rPr>
        <w:lastRenderedPageBreak/>
        <w:t xml:space="preserve"> </w:t>
      </w:r>
      <w:r w:rsidR="00271F18" w:rsidRPr="00F715D1">
        <w:t>Further information on MSAC</w:t>
      </w:r>
    </w:p>
    <w:p w14:paraId="150C4F09"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6" w:tooltip="Link to Medical Services Advisory Committee website" w:history="1">
        <w:r w:rsidR="00BC2667" w:rsidRPr="00F715D1">
          <w:rPr>
            <w:rStyle w:val="Hyperlink"/>
            <w:szCs w:val="24"/>
          </w:rPr>
          <w:t>visit the MSAC website</w:t>
        </w:r>
      </w:hyperlink>
    </w:p>
    <w:sectPr w:rsidR="00BC1364" w:rsidRPr="00F715D1" w:rsidSect="00271F18">
      <w:headerReference w:type="even" r:id="rId17"/>
      <w:headerReference w:type="default" r:id="rId18"/>
      <w:footerReference w:type="even" r:id="rId19"/>
      <w:footerReference w:type="default" r:id="rId20"/>
      <w:headerReference w:type="first" r:id="rId21"/>
      <w:footerReference w:type="first" r:id="rId22"/>
      <w:pgSz w:w="11906" w:h="16838"/>
      <w:pgMar w:top="1134" w:right="1440" w:bottom="42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FB1667" w16cid:durableId="1FEDE767"/>
  <w16cid:commentId w16cid:paraId="77EC61E2" w16cid:durableId="1FEDE7AF"/>
  <w16cid:commentId w16cid:paraId="12CDCBA8" w16cid:durableId="1FEDE768"/>
  <w16cid:commentId w16cid:paraId="3C5FEDFF" w16cid:durableId="1FEDEA7D"/>
  <w16cid:commentId w16cid:paraId="7CCCB868" w16cid:durableId="1FEDE769"/>
  <w16cid:commentId w16cid:paraId="25FB734C" w16cid:durableId="1FEDE92B"/>
  <w16cid:commentId w16cid:paraId="308641C1" w16cid:durableId="1FEDEBAB"/>
  <w16cid:commentId w16cid:paraId="6A340990" w16cid:durableId="1FEDE76A"/>
  <w16cid:commentId w16cid:paraId="23815D80" w16cid:durableId="1FEDE76B"/>
  <w16cid:commentId w16cid:paraId="000F9C97" w16cid:durableId="1FEDE76C"/>
  <w16cid:commentId w16cid:paraId="152121D7" w16cid:durableId="1FEDE76D"/>
  <w16cid:commentId w16cid:paraId="48D1C249" w16cid:durableId="1FEDE76E"/>
  <w16cid:commentId w16cid:paraId="662ADB7C" w16cid:durableId="1FEDE76F"/>
  <w16cid:commentId w16cid:paraId="63ED11D6" w16cid:durableId="1FEDE770"/>
  <w16cid:commentId w16cid:paraId="42D70163" w16cid:durableId="1FEDE771"/>
  <w16cid:commentId w16cid:paraId="20539BCA" w16cid:durableId="1FEDE772"/>
  <w16cid:commentId w16cid:paraId="2CF95563" w16cid:durableId="1FEDE77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90AAA" w14:textId="77777777" w:rsidR="004E0DCA" w:rsidRDefault="004E0DCA" w:rsidP="00065623">
      <w:r>
        <w:separator/>
      </w:r>
    </w:p>
  </w:endnote>
  <w:endnote w:type="continuationSeparator" w:id="0">
    <w:p w14:paraId="2C5C1237" w14:textId="77777777" w:rsidR="004E0DCA" w:rsidRDefault="004E0DCA"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dvOT863180fb">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6252A" w14:textId="77777777" w:rsidR="0042185A" w:rsidRDefault="00421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4D5E17C6" w14:textId="3A638227" w:rsidR="004E0DCA" w:rsidRDefault="004E0DCA">
        <w:pPr>
          <w:pStyle w:val="Footer"/>
          <w:jc w:val="right"/>
        </w:pPr>
        <w:r>
          <w:fldChar w:fldCharType="begin"/>
        </w:r>
        <w:r>
          <w:instrText xml:space="preserve"> PAGE   \* MERGEFORMAT </w:instrText>
        </w:r>
        <w:r>
          <w:fldChar w:fldCharType="separate"/>
        </w:r>
        <w:r w:rsidR="0042185A">
          <w:rPr>
            <w:noProof/>
          </w:rPr>
          <w:t>7</w:t>
        </w:r>
        <w:r>
          <w:rPr>
            <w:noProof/>
          </w:rPr>
          <w:fldChar w:fldCharType="end"/>
        </w:r>
      </w:p>
    </w:sdtContent>
  </w:sdt>
  <w:p w14:paraId="2DC2DEF9" w14:textId="77777777" w:rsidR="004E0DCA" w:rsidRDefault="004E0D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AEDFF" w14:textId="77777777" w:rsidR="0042185A" w:rsidRDefault="00421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4951B" w14:textId="77777777" w:rsidR="004E0DCA" w:rsidRDefault="004E0DCA" w:rsidP="00065623">
      <w:r>
        <w:separator/>
      </w:r>
    </w:p>
  </w:footnote>
  <w:footnote w:type="continuationSeparator" w:id="0">
    <w:p w14:paraId="60810B7C" w14:textId="77777777" w:rsidR="004E0DCA" w:rsidRDefault="004E0DCA" w:rsidP="00065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DBDBA" w14:textId="77777777" w:rsidR="0042185A" w:rsidRDefault="004218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3EFE5" w14:textId="77777777" w:rsidR="0042185A" w:rsidRDefault="004218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65C7" w14:textId="77777777" w:rsidR="0042185A" w:rsidRDefault="00421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0AA8"/>
    <w:multiLevelType w:val="hybridMultilevel"/>
    <w:tmpl w:val="ECF4D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60795F"/>
    <w:multiLevelType w:val="hybridMultilevel"/>
    <w:tmpl w:val="20744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E94BBF"/>
    <w:multiLevelType w:val="hybridMultilevel"/>
    <w:tmpl w:val="3A505C14"/>
    <w:lvl w:ilvl="0" w:tplc="0C090019">
      <w:start w:val="1"/>
      <w:numFmt w:val="lowerLetter"/>
      <w:lvlText w:val="%1."/>
      <w:lvlJc w:val="left"/>
      <w:pPr>
        <w:ind w:left="1003" w:hanging="360"/>
      </w:pPr>
      <w:rPr>
        <w:rFonts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6"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788D1786"/>
    <w:multiLevelType w:val="hybridMultilevel"/>
    <w:tmpl w:val="3A505C14"/>
    <w:lvl w:ilvl="0" w:tplc="0C090019">
      <w:start w:val="1"/>
      <w:numFmt w:val="lowerLetter"/>
      <w:lvlText w:val="%1."/>
      <w:lvlJc w:val="left"/>
      <w:pPr>
        <w:ind w:left="1003" w:hanging="360"/>
      </w:pPr>
      <w:rPr>
        <w:rFonts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8"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4"/>
  </w:num>
  <w:num w:numId="3">
    <w:abstractNumId w:val="2"/>
  </w:num>
  <w:num w:numId="4">
    <w:abstractNumId w:val="17"/>
  </w:num>
  <w:num w:numId="5">
    <w:abstractNumId w:val="10"/>
  </w:num>
  <w:num w:numId="6">
    <w:abstractNumId w:val="15"/>
  </w:num>
  <w:num w:numId="7">
    <w:abstractNumId w:val="20"/>
  </w:num>
  <w:num w:numId="8">
    <w:abstractNumId w:val="11"/>
  </w:num>
  <w:num w:numId="9">
    <w:abstractNumId w:val="29"/>
  </w:num>
  <w:num w:numId="10">
    <w:abstractNumId w:val="1"/>
  </w:num>
  <w:num w:numId="11">
    <w:abstractNumId w:val="19"/>
  </w:num>
  <w:num w:numId="12">
    <w:abstractNumId w:val="21"/>
  </w:num>
  <w:num w:numId="13">
    <w:abstractNumId w:val="5"/>
  </w:num>
  <w:num w:numId="14">
    <w:abstractNumId w:val="26"/>
  </w:num>
  <w:num w:numId="15">
    <w:abstractNumId w:val="18"/>
  </w:num>
  <w:num w:numId="16">
    <w:abstractNumId w:val="22"/>
  </w:num>
  <w:num w:numId="17">
    <w:abstractNumId w:val="12"/>
  </w:num>
  <w:num w:numId="18">
    <w:abstractNumId w:val="13"/>
  </w:num>
  <w:num w:numId="19">
    <w:abstractNumId w:val="24"/>
  </w:num>
  <w:num w:numId="20">
    <w:abstractNumId w:val="23"/>
  </w:num>
  <w:num w:numId="21">
    <w:abstractNumId w:val="4"/>
  </w:num>
  <w:num w:numId="22">
    <w:abstractNumId w:val="9"/>
  </w:num>
  <w:num w:numId="23">
    <w:abstractNumId w:val="3"/>
  </w:num>
  <w:num w:numId="24">
    <w:abstractNumId w:val="8"/>
  </w:num>
  <w:num w:numId="25">
    <w:abstractNumId w:val="6"/>
  </w:num>
  <w:num w:numId="26">
    <w:abstractNumId w:val="27"/>
  </w:num>
  <w:num w:numId="27">
    <w:abstractNumId w:val="28"/>
  </w:num>
  <w:num w:numId="28">
    <w:abstractNumId w:val="0"/>
  </w:num>
  <w:num w:numId="29">
    <w:abstractNumId w:val="1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7312"/>
    <w:rsid w:val="00011A36"/>
    <w:rsid w:val="00016E24"/>
    <w:rsid w:val="00047606"/>
    <w:rsid w:val="00052B75"/>
    <w:rsid w:val="000534B4"/>
    <w:rsid w:val="00062F9A"/>
    <w:rsid w:val="00065623"/>
    <w:rsid w:val="00072934"/>
    <w:rsid w:val="000756B9"/>
    <w:rsid w:val="00096B67"/>
    <w:rsid w:val="00096DAF"/>
    <w:rsid w:val="000B3260"/>
    <w:rsid w:val="000C2F47"/>
    <w:rsid w:val="000C73DE"/>
    <w:rsid w:val="000D00F8"/>
    <w:rsid w:val="000D2B9A"/>
    <w:rsid w:val="000D6C00"/>
    <w:rsid w:val="000E4E04"/>
    <w:rsid w:val="000F14B4"/>
    <w:rsid w:val="000F6E03"/>
    <w:rsid w:val="000F75DF"/>
    <w:rsid w:val="0010075C"/>
    <w:rsid w:val="00100A51"/>
    <w:rsid w:val="001023DC"/>
    <w:rsid w:val="00117836"/>
    <w:rsid w:val="00132164"/>
    <w:rsid w:val="001328FA"/>
    <w:rsid w:val="00137444"/>
    <w:rsid w:val="00147AAF"/>
    <w:rsid w:val="0015367D"/>
    <w:rsid w:val="001552C0"/>
    <w:rsid w:val="001640B1"/>
    <w:rsid w:val="0018435E"/>
    <w:rsid w:val="001B2681"/>
    <w:rsid w:val="002041A1"/>
    <w:rsid w:val="002054F0"/>
    <w:rsid w:val="00212E75"/>
    <w:rsid w:val="0022002A"/>
    <w:rsid w:val="00230D6B"/>
    <w:rsid w:val="00232068"/>
    <w:rsid w:val="002328F3"/>
    <w:rsid w:val="00232BB6"/>
    <w:rsid w:val="002330F2"/>
    <w:rsid w:val="00243D9E"/>
    <w:rsid w:val="00253B66"/>
    <w:rsid w:val="00261DF1"/>
    <w:rsid w:val="00271F18"/>
    <w:rsid w:val="0028217D"/>
    <w:rsid w:val="00282779"/>
    <w:rsid w:val="0028334D"/>
    <w:rsid w:val="00293BDB"/>
    <w:rsid w:val="002A5115"/>
    <w:rsid w:val="002B3FE2"/>
    <w:rsid w:val="002B7FFA"/>
    <w:rsid w:val="002C25B9"/>
    <w:rsid w:val="002C2BCF"/>
    <w:rsid w:val="002F279D"/>
    <w:rsid w:val="002F2867"/>
    <w:rsid w:val="002F4281"/>
    <w:rsid w:val="002F43B8"/>
    <w:rsid w:val="0030290B"/>
    <w:rsid w:val="00316509"/>
    <w:rsid w:val="00316B23"/>
    <w:rsid w:val="003215F5"/>
    <w:rsid w:val="00336856"/>
    <w:rsid w:val="0034554D"/>
    <w:rsid w:val="00352224"/>
    <w:rsid w:val="003671E6"/>
    <w:rsid w:val="003741D0"/>
    <w:rsid w:val="003817F4"/>
    <w:rsid w:val="00384272"/>
    <w:rsid w:val="00386D63"/>
    <w:rsid w:val="00386D67"/>
    <w:rsid w:val="003945B8"/>
    <w:rsid w:val="003A12D2"/>
    <w:rsid w:val="003C5E6C"/>
    <w:rsid w:val="003D7F29"/>
    <w:rsid w:val="003E67E0"/>
    <w:rsid w:val="003F3135"/>
    <w:rsid w:val="00405A6B"/>
    <w:rsid w:val="00407B1F"/>
    <w:rsid w:val="0041184F"/>
    <w:rsid w:val="00414C57"/>
    <w:rsid w:val="0041758C"/>
    <w:rsid w:val="0042185A"/>
    <w:rsid w:val="004307FD"/>
    <w:rsid w:val="00434073"/>
    <w:rsid w:val="00440DEA"/>
    <w:rsid w:val="00450098"/>
    <w:rsid w:val="004539DE"/>
    <w:rsid w:val="0046771D"/>
    <w:rsid w:val="00477590"/>
    <w:rsid w:val="00483F3C"/>
    <w:rsid w:val="0048452B"/>
    <w:rsid w:val="004849A9"/>
    <w:rsid w:val="004A2CF1"/>
    <w:rsid w:val="004B7E0F"/>
    <w:rsid w:val="004C3035"/>
    <w:rsid w:val="004C307F"/>
    <w:rsid w:val="004E0DCA"/>
    <w:rsid w:val="004E4BA8"/>
    <w:rsid w:val="004E4CCE"/>
    <w:rsid w:val="004F340F"/>
    <w:rsid w:val="004F4590"/>
    <w:rsid w:val="004F5F5E"/>
    <w:rsid w:val="004F706B"/>
    <w:rsid w:val="004F7B7C"/>
    <w:rsid w:val="00510C52"/>
    <w:rsid w:val="0052135B"/>
    <w:rsid w:val="0052168F"/>
    <w:rsid w:val="0052243D"/>
    <w:rsid w:val="00532435"/>
    <w:rsid w:val="00532FEC"/>
    <w:rsid w:val="00550354"/>
    <w:rsid w:val="00571236"/>
    <w:rsid w:val="00577904"/>
    <w:rsid w:val="005953A1"/>
    <w:rsid w:val="005A4362"/>
    <w:rsid w:val="005B2A5C"/>
    <w:rsid w:val="005B44FF"/>
    <w:rsid w:val="005B5434"/>
    <w:rsid w:val="005D0332"/>
    <w:rsid w:val="005D0D8C"/>
    <w:rsid w:val="00601489"/>
    <w:rsid w:val="00646A1A"/>
    <w:rsid w:val="00650D18"/>
    <w:rsid w:val="00651174"/>
    <w:rsid w:val="00652384"/>
    <w:rsid w:val="00652618"/>
    <w:rsid w:val="00667BEF"/>
    <w:rsid w:val="00667CB4"/>
    <w:rsid w:val="0067212A"/>
    <w:rsid w:val="00676490"/>
    <w:rsid w:val="006776AE"/>
    <w:rsid w:val="006A0D97"/>
    <w:rsid w:val="006B1F86"/>
    <w:rsid w:val="006C0823"/>
    <w:rsid w:val="006C0A91"/>
    <w:rsid w:val="006F14C4"/>
    <w:rsid w:val="007054BB"/>
    <w:rsid w:val="00707064"/>
    <w:rsid w:val="00730683"/>
    <w:rsid w:val="00732E4E"/>
    <w:rsid w:val="007432E7"/>
    <w:rsid w:val="00747D85"/>
    <w:rsid w:val="0075261F"/>
    <w:rsid w:val="0075468E"/>
    <w:rsid w:val="00757CA3"/>
    <w:rsid w:val="00764489"/>
    <w:rsid w:val="007665D8"/>
    <w:rsid w:val="00766E36"/>
    <w:rsid w:val="0077342B"/>
    <w:rsid w:val="007765F4"/>
    <w:rsid w:val="00776633"/>
    <w:rsid w:val="00783AA7"/>
    <w:rsid w:val="00784D53"/>
    <w:rsid w:val="00797797"/>
    <w:rsid w:val="007A27A5"/>
    <w:rsid w:val="007A63C9"/>
    <w:rsid w:val="007B32D1"/>
    <w:rsid w:val="007B3311"/>
    <w:rsid w:val="007B3A18"/>
    <w:rsid w:val="007B7095"/>
    <w:rsid w:val="007B7438"/>
    <w:rsid w:val="007D24E1"/>
    <w:rsid w:val="007D6288"/>
    <w:rsid w:val="007E03EC"/>
    <w:rsid w:val="007E5E8B"/>
    <w:rsid w:val="007F2D7B"/>
    <w:rsid w:val="007F341F"/>
    <w:rsid w:val="007F3978"/>
    <w:rsid w:val="007F4CE9"/>
    <w:rsid w:val="007F4E20"/>
    <w:rsid w:val="00822C7E"/>
    <w:rsid w:val="00830C04"/>
    <w:rsid w:val="00845E3E"/>
    <w:rsid w:val="00847060"/>
    <w:rsid w:val="00847A36"/>
    <w:rsid w:val="00856A33"/>
    <w:rsid w:val="00866DCB"/>
    <w:rsid w:val="00892620"/>
    <w:rsid w:val="008927D9"/>
    <w:rsid w:val="00894134"/>
    <w:rsid w:val="008A438A"/>
    <w:rsid w:val="008A4CD7"/>
    <w:rsid w:val="008C5258"/>
    <w:rsid w:val="008C7D37"/>
    <w:rsid w:val="008D5885"/>
    <w:rsid w:val="008E7085"/>
    <w:rsid w:val="00905B55"/>
    <w:rsid w:val="00907E66"/>
    <w:rsid w:val="00923FA2"/>
    <w:rsid w:val="00924B99"/>
    <w:rsid w:val="0096060D"/>
    <w:rsid w:val="00963DF9"/>
    <w:rsid w:val="00974A50"/>
    <w:rsid w:val="0097585A"/>
    <w:rsid w:val="009910D5"/>
    <w:rsid w:val="009924B0"/>
    <w:rsid w:val="009942C9"/>
    <w:rsid w:val="009A3E9B"/>
    <w:rsid w:val="009B35C4"/>
    <w:rsid w:val="009C07AE"/>
    <w:rsid w:val="009C3B11"/>
    <w:rsid w:val="009C630A"/>
    <w:rsid w:val="009D0DDE"/>
    <w:rsid w:val="009D3D45"/>
    <w:rsid w:val="009E0D98"/>
    <w:rsid w:val="009F1A45"/>
    <w:rsid w:val="00A01B18"/>
    <w:rsid w:val="00A02816"/>
    <w:rsid w:val="00A068A1"/>
    <w:rsid w:val="00A1207D"/>
    <w:rsid w:val="00A12FD8"/>
    <w:rsid w:val="00A238E7"/>
    <w:rsid w:val="00A346FC"/>
    <w:rsid w:val="00A6233E"/>
    <w:rsid w:val="00A846F2"/>
    <w:rsid w:val="00A84F93"/>
    <w:rsid w:val="00A9203B"/>
    <w:rsid w:val="00AB1AC5"/>
    <w:rsid w:val="00AB2BE0"/>
    <w:rsid w:val="00AB3BFC"/>
    <w:rsid w:val="00AC4F2E"/>
    <w:rsid w:val="00AD0494"/>
    <w:rsid w:val="00AD0C37"/>
    <w:rsid w:val="00AD2AB8"/>
    <w:rsid w:val="00AD385F"/>
    <w:rsid w:val="00AE6E2A"/>
    <w:rsid w:val="00AF3992"/>
    <w:rsid w:val="00B03EAB"/>
    <w:rsid w:val="00B057B0"/>
    <w:rsid w:val="00B07141"/>
    <w:rsid w:val="00B13448"/>
    <w:rsid w:val="00B2294A"/>
    <w:rsid w:val="00B31E9C"/>
    <w:rsid w:val="00B35595"/>
    <w:rsid w:val="00B4201D"/>
    <w:rsid w:val="00B51A99"/>
    <w:rsid w:val="00B51C6D"/>
    <w:rsid w:val="00B57017"/>
    <w:rsid w:val="00B66F52"/>
    <w:rsid w:val="00B71C0A"/>
    <w:rsid w:val="00B77F91"/>
    <w:rsid w:val="00B83DD2"/>
    <w:rsid w:val="00B84C8D"/>
    <w:rsid w:val="00B8562F"/>
    <w:rsid w:val="00B86D64"/>
    <w:rsid w:val="00BA1634"/>
    <w:rsid w:val="00BA3BE6"/>
    <w:rsid w:val="00BA4AC5"/>
    <w:rsid w:val="00BC1364"/>
    <w:rsid w:val="00BC2667"/>
    <w:rsid w:val="00BC3354"/>
    <w:rsid w:val="00BC53B6"/>
    <w:rsid w:val="00BC7DE9"/>
    <w:rsid w:val="00BE0747"/>
    <w:rsid w:val="00BE66C3"/>
    <w:rsid w:val="00BF479B"/>
    <w:rsid w:val="00C02577"/>
    <w:rsid w:val="00C076FA"/>
    <w:rsid w:val="00C16C7C"/>
    <w:rsid w:val="00C204FB"/>
    <w:rsid w:val="00C20BEE"/>
    <w:rsid w:val="00C2158D"/>
    <w:rsid w:val="00C22246"/>
    <w:rsid w:val="00C46D21"/>
    <w:rsid w:val="00C574B2"/>
    <w:rsid w:val="00C66D02"/>
    <w:rsid w:val="00C67DD2"/>
    <w:rsid w:val="00C725CB"/>
    <w:rsid w:val="00C76F5C"/>
    <w:rsid w:val="00C8537E"/>
    <w:rsid w:val="00C96BAD"/>
    <w:rsid w:val="00CA0CEF"/>
    <w:rsid w:val="00CA63DF"/>
    <w:rsid w:val="00CA6944"/>
    <w:rsid w:val="00CB0F8E"/>
    <w:rsid w:val="00CB7E7D"/>
    <w:rsid w:val="00CC2911"/>
    <w:rsid w:val="00CF0C6D"/>
    <w:rsid w:val="00CF7307"/>
    <w:rsid w:val="00CF7C68"/>
    <w:rsid w:val="00D124FA"/>
    <w:rsid w:val="00D12AF1"/>
    <w:rsid w:val="00D23539"/>
    <w:rsid w:val="00D271FF"/>
    <w:rsid w:val="00D340DE"/>
    <w:rsid w:val="00D457C3"/>
    <w:rsid w:val="00D55723"/>
    <w:rsid w:val="00D62FAD"/>
    <w:rsid w:val="00D64355"/>
    <w:rsid w:val="00D70450"/>
    <w:rsid w:val="00D74533"/>
    <w:rsid w:val="00D83BFD"/>
    <w:rsid w:val="00D90A38"/>
    <w:rsid w:val="00DA0515"/>
    <w:rsid w:val="00DA056E"/>
    <w:rsid w:val="00DA171E"/>
    <w:rsid w:val="00DA4E4C"/>
    <w:rsid w:val="00DA56AA"/>
    <w:rsid w:val="00DB3D48"/>
    <w:rsid w:val="00DB5833"/>
    <w:rsid w:val="00DC4F45"/>
    <w:rsid w:val="00DD2858"/>
    <w:rsid w:val="00DF3734"/>
    <w:rsid w:val="00E03E33"/>
    <w:rsid w:val="00E059E0"/>
    <w:rsid w:val="00E20D9E"/>
    <w:rsid w:val="00E222F3"/>
    <w:rsid w:val="00E3642A"/>
    <w:rsid w:val="00E415C4"/>
    <w:rsid w:val="00E50016"/>
    <w:rsid w:val="00E50EAA"/>
    <w:rsid w:val="00E53B0E"/>
    <w:rsid w:val="00E656D6"/>
    <w:rsid w:val="00E67CB0"/>
    <w:rsid w:val="00E977EE"/>
    <w:rsid w:val="00EA18EA"/>
    <w:rsid w:val="00EA2F24"/>
    <w:rsid w:val="00EA67A2"/>
    <w:rsid w:val="00EB630F"/>
    <w:rsid w:val="00EB6B6F"/>
    <w:rsid w:val="00EC4F98"/>
    <w:rsid w:val="00EC6676"/>
    <w:rsid w:val="00ED4FBF"/>
    <w:rsid w:val="00ED6A2C"/>
    <w:rsid w:val="00EF47FC"/>
    <w:rsid w:val="00F0118F"/>
    <w:rsid w:val="00F12F02"/>
    <w:rsid w:val="00F13351"/>
    <w:rsid w:val="00F32E0D"/>
    <w:rsid w:val="00F35134"/>
    <w:rsid w:val="00F37B9C"/>
    <w:rsid w:val="00F41812"/>
    <w:rsid w:val="00F5424B"/>
    <w:rsid w:val="00F63B61"/>
    <w:rsid w:val="00F6759C"/>
    <w:rsid w:val="00F715D1"/>
    <w:rsid w:val="00F72715"/>
    <w:rsid w:val="00F73333"/>
    <w:rsid w:val="00F82133"/>
    <w:rsid w:val="00F95D8F"/>
    <w:rsid w:val="00FA75D3"/>
    <w:rsid w:val="00FB350A"/>
    <w:rsid w:val="00FB4C5D"/>
    <w:rsid w:val="00FC607C"/>
    <w:rsid w:val="00FD7374"/>
    <w:rsid w:val="00FE1C3F"/>
    <w:rsid w:val="00FE2E14"/>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2E20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basedOn w:val="TableNormal"/>
    <w:uiPriority w:val="59"/>
    <w:locked/>
    <w:rsid w:val="000C73D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link w:val="TableHeadingChar"/>
    <w:qFormat/>
    <w:rsid w:val="000C73DE"/>
    <w:pPr>
      <w:keepNext/>
      <w:spacing w:before="40" w:after="40"/>
    </w:pPr>
    <w:rPr>
      <w:rFonts w:ascii="Arial Narrow" w:hAnsi="Arial Narrow" w:cs="Tahoma"/>
      <w:b/>
      <w:sz w:val="20"/>
    </w:rPr>
  </w:style>
  <w:style w:type="character" w:customStyle="1" w:styleId="TableHeadingChar">
    <w:name w:val="TableHeading Char"/>
    <w:link w:val="TableHeading"/>
    <w:rsid w:val="000C73DE"/>
    <w:rPr>
      <w:rFonts w:ascii="Arial Narrow" w:eastAsia="Times New Roman" w:hAnsi="Arial Narrow" w:cs="Tahoma"/>
      <w:b/>
      <w:sz w:val="20"/>
      <w:szCs w:val="20"/>
    </w:rPr>
  </w:style>
  <w:style w:type="paragraph" w:customStyle="1" w:styleId="TableText">
    <w:name w:val="TableText"/>
    <w:basedOn w:val="Normal"/>
    <w:rsid w:val="000C73DE"/>
    <w:pPr>
      <w:keepNext/>
      <w:spacing w:before="60" w:after="60"/>
    </w:pPr>
    <w:rPr>
      <w:color w:val="000000"/>
      <w:sz w:val="21"/>
      <w:szCs w:val="21"/>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0C73DE"/>
    <w:pPr>
      <w:spacing w:after="200"/>
    </w:pPr>
    <w:rPr>
      <w:rFonts w:ascii="Arial Narrow" w:hAnsi="Arial Narrow"/>
      <w:b/>
      <w:bCs/>
      <w:sz w:val="20"/>
      <w:szCs w:val="18"/>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FD7374"/>
    <w:rPr>
      <w:rFonts w:ascii="Arial Narrow" w:eastAsia="Times New Roman" w:hAnsi="Arial Narrow"/>
      <w:b/>
      <w:bCs/>
      <w:sz w:val="20"/>
      <w:szCs w:val="18"/>
    </w:rPr>
  </w:style>
  <w:style w:type="paragraph" w:customStyle="1" w:styleId="BulletBeforeDash">
    <w:name w:val="BulletBeforeDash"/>
    <w:basedOn w:val="Normal"/>
    <w:rsid w:val="00FD7374"/>
    <w:pPr>
      <w:numPr>
        <w:numId w:val="27"/>
      </w:numPr>
    </w:pPr>
    <w:rPr>
      <w:color w:val="000000"/>
    </w:rPr>
  </w:style>
  <w:style w:type="paragraph" w:customStyle="1" w:styleId="Bullet">
    <w:name w:val="Bullet"/>
    <w:basedOn w:val="BulletBeforeDash"/>
    <w:qFormat/>
    <w:rsid w:val="00FD7374"/>
    <w:pPr>
      <w:spacing w:after="120"/>
    </w:pPr>
  </w:style>
  <w:style w:type="paragraph" w:customStyle="1" w:styleId="BulletLast">
    <w:name w:val="BulletLast"/>
    <w:basedOn w:val="Bullet"/>
    <w:qFormat/>
    <w:rsid w:val="00FD7374"/>
    <w:pPr>
      <w:spacing w:after="240"/>
    </w:pPr>
  </w:style>
  <w:style w:type="paragraph" w:customStyle="1" w:styleId="NormalBeforeBullet">
    <w:name w:val="NormalBeforeBullet"/>
    <w:basedOn w:val="Normal"/>
    <w:qFormat/>
    <w:rsid w:val="00FD7374"/>
    <w:pPr>
      <w:keepNext/>
      <w:spacing w:after="120"/>
    </w:pPr>
    <w:rPr>
      <w:color w:val="000000"/>
    </w:rPr>
  </w:style>
  <w:style w:type="paragraph" w:customStyle="1" w:styleId="TFAbbrevs18">
    <w:name w:val="TFAbbrevs+18"/>
    <w:basedOn w:val="Normal"/>
    <w:next w:val="Normal"/>
    <w:qFormat/>
    <w:rsid w:val="008927D9"/>
    <w:pPr>
      <w:keepNext/>
      <w:keepLines/>
      <w:spacing w:after="360"/>
    </w:pPr>
    <w:rPr>
      <w:rFonts w:ascii="Arial Narrow" w:hAnsi="Arial Narrow"/>
      <w:color w:val="000000"/>
      <w:sz w:val="18"/>
      <w:szCs w:val="18"/>
    </w:rPr>
  </w:style>
  <w:style w:type="paragraph" w:customStyle="1" w:styleId="01TableHEADINGleftaligned">
    <w:name w:val="01 Table HEADING left aligned"/>
    <w:basedOn w:val="BodyText"/>
    <w:qFormat/>
    <w:rsid w:val="008927D9"/>
    <w:pPr>
      <w:keepNext/>
      <w:spacing w:before="60" w:after="0"/>
      <w:ind w:left="57" w:right="57"/>
      <w:jc w:val="both"/>
    </w:pPr>
    <w:rPr>
      <w:rFonts w:ascii="Arial Narrow" w:eastAsia="Calibri" w:hAnsi="Arial Narrow"/>
      <w:b/>
      <w:sz w:val="18"/>
      <w:szCs w:val="24"/>
    </w:rPr>
  </w:style>
  <w:style w:type="paragraph" w:styleId="BodyText">
    <w:name w:val="Body Text"/>
    <w:basedOn w:val="Normal"/>
    <w:link w:val="BodyTextChar"/>
    <w:uiPriority w:val="99"/>
    <w:semiHidden/>
    <w:unhideWhenUsed/>
    <w:rsid w:val="008927D9"/>
    <w:pPr>
      <w:spacing w:after="120"/>
    </w:pPr>
  </w:style>
  <w:style w:type="character" w:customStyle="1" w:styleId="BodyTextChar">
    <w:name w:val="Body Text Char"/>
    <w:basedOn w:val="DefaultParagraphFont"/>
    <w:link w:val="BodyText"/>
    <w:uiPriority w:val="99"/>
    <w:semiHidden/>
    <w:rsid w:val="008927D9"/>
    <w:rPr>
      <w:rFonts w:eastAsia="Times New Roman"/>
      <w:sz w:val="24"/>
      <w:szCs w:val="20"/>
    </w:rPr>
  </w:style>
  <w:style w:type="paragraph" w:customStyle="1" w:styleId="Tabletext0">
    <w:name w:val="Table text"/>
    <w:basedOn w:val="Normal"/>
    <w:link w:val="TabletextChar"/>
    <w:qFormat/>
    <w:rsid w:val="00C66D02"/>
    <w:pPr>
      <w:keepNext/>
      <w:spacing w:before="40" w:after="40"/>
    </w:pPr>
    <w:rPr>
      <w:rFonts w:ascii="Arial Narrow" w:hAnsi="Arial Narrow" w:cs="Tahoma"/>
      <w:sz w:val="20"/>
    </w:rPr>
  </w:style>
  <w:style w:type="character" w:customStyle="1" w:styleId="TabletextChar">
    <w:name w:val="Table text Char"/>
    <w:link w:val="Tabletext0"/>
    <w:rsid w:val="00C66D02"/>
    <w:rPr>
      <w:rFonts w:ascii="Arial Narrow" w:eastAsia="Times New Roman" w:hAnsi="Arial Narrow" w:cs="Tahoma"/>
      <w:sz w:val="20"/>
      <w:szCs w:val="20"/>
    </w:rPr>
  </w:style>
  <w:style w:type="paragraph" w:customStyle="1" w:styleId="Tablenotes">
    <w:name w:val="Tablenotes"/>
    <w:basedOn w:val="Normal"/>
    <w:link w:val="TablenotesChar"/>
    <w:qFormat/>
    <w:rsid w:val="00C66D02"/>
    <w:pPr>
      <w:widowControl w:val="0"/>
      <w:spacing w:after="120"/>
      <w:contextualSpacing/>
      <w:jc w:val="both"/>
    </w:pPr>
    <w:rPr>
      <w:rFonts w:ascii="Arial Narrow" w:hAnsi="Arial Narrow" w:cs="Arial"/>
      <w:snapToGrid w:val="0"/>
      <w:sz w:val="18"/>
      <w:lang w:eastAsia="en-US"/>
    </w:rPr>
  </w:style>
  <w:style w:type="character" w:customStyle="1" w:styleId="TablenotesChar">
    <w:name w:val="Tablenotes Char"/>
    <w:basedOn w:val="DefaultParagraphFont"/>
    <w:link w:val="Tablenotes"/>
    <w:rsid w:val="00C66D02"/>
    <w:rPr>
      <w:rFonts w:ascii="Arial Narrow" w:eastAsia="Times New Roman" w:hAnsi="Arial Narrow" w:cs="Arial"/>
      <w:snapToGrid w:val="0"/>
      <w:sz w:val="18"/>
      <w:szCs w:val="20"/>
      <w:lang w:eastAsia="en-US"/>
    </w:rPr>
  </w:style>
  <w:style w:type="table" w:customStyle="1" w:styleId="TableGrid5">
    <w:name w:val="Table Grid5"/>
    <w:basedOn w:val="TableNormal"/>
    <w:next w:val="TableGrid"/>
    <w:uiPriority w:val="59"/>
    <w:rsid w:val="00C66D02"/>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6759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8C5258"/>
    <w:rPr>
      <w:i/>
      <w:iCs/>
      <w:color w:val="808080" w:themeColor="text1" w:themeTint="7F"/>
    </w:rPr>
  </w:style>
  <w:style w:type="character" w:styleId="Emphasis">
    <w:name w:val="Emphasis"/>
    <w:basedOn w:val="DefaultParagraphFont"/>
    <w:qFormat/>
    <w:locked/>
    <w:rsid w:val="008C5258"/>
    <w:rPr>
      <w:i/>
      <w:iCs/>
    </w:rPr>
  </w:style>
  <w:style w:type="paragraph" w:customStyle="1" w:styleId="paragraph">
    <w:name w:val="paragraph"/>
    <w:basedOn w:val="Normal"/>
    <w:rsid w:val="00062F9A"/>
    <w:pPr>
      <w:spacing w:before="100" w:beforeAutospacing="1" w:after="100" w:afterAutospacing="1"/>
    </w:pPr>
    <w:rPr>
      <w:szCs w:val="24"/>
    </w:rPr>
  </w:style>
  <w:style w:type="character" w:customStyle="1" w:styleId="normaltextrun">
    <w:name w:val="normaltextrun"/>
    <w:basedOn w:val="DefaultParagraphFont"/>
    <w:rsid w:val="00062F9A"/>
  </w:style>
  <w:style w:type="character" w:customStyle="1" w:styleId="eop">
    <w:name w:val="eop"/>
    <w:basedOn w:val="DefaultParagraphFont"/>
    <w:rsid w:val="00062F9A"/>
  </w:style>
  <w:style w:type="paragraph" w:styleId="Revision">
    <w:name w:val="Revision"/>
    <w:hidden/>
    <w:uiPriority w:val="99"/>
    <w:semiHidden/>
    <w:rsid w:val="008A4CD7"/>
    <w:rPr>
      <w:rFonts w:eastAsia="Times New Roman"/>
      <w:sz w:val="24"/>
      <w:szCs w:val="20"/>
    </w:rPr>
  </w:style>
  <w:style w:type="paragraph" w:customStyle="1" w:styleId="TableNotes0">
    <w:name w:val="TableNotes"/>
    <w:basedOn w:val="TableText"/>
    <w:link w:val="TableNotesChar0"/>
    <w:rsid w:val="009C07AE"/>
    <w:pPr>
      <w:keepNext w:val="0"/>
      <w:keepLines/>
      <w:spacing w:before="0" w:after="360" w:line="312" w:lineRule="auto"/>
      <w:ind w:left="720"/>
      <w:contextualSpacing/>
    </w:pPr>
    <w:rPr>
      <w:rFonts w:ascii="Arial Narrow" w:hAnsi="Arial Narrow" w:cs="Tahoma"/>
      <w:color w:val="auto"/>
      <w:sz w:val="16"/>
      <w:szCs w:val="22"/>
    </w:rPr>
  </w:style>
  <w:style w:type="character" w:customStyle="1" w:styleId="TableNotesChar0">
    <w:name w:val="TableNotes Char"/>
    <w:link w:val="TableNotes0"/>
    <w:rsid w:val="009C07AE"/>
    <w:rPr>
      <w:rFonts w:ascii="Arial Narrow" w:eastAsia="Times New Roman" w:hAnsi="Arial Narrow" w:cs="Tahoma"/>
      <w:sz w:val="16"/>
    </w:rPr>
  </w:style>
  <w:style w:type="paragraph" w:customStyle="1" w:styleId="Tablefootnotes">
    <w:name w:val="Table footnotes"/>
    <w:basedOn w:val="Normal"/>
    <w:link w:val="TablefootnotesChar"/>
    <w:qFormat/>
    <w:rsid w:val="009C07AE"/>
    <w:pPr>
      <w:spacing w:after="360"/>
      <w:contextualSpacing/>
    </w:pPr>
    <w:rPr>
      <w:rFonts w:ascii="Arial Narrow" w:eastAsiaTheme="minorHAnsi" w:hAnsi="Arial Narrow" w:cstheme="minorBidi"/>
      <w:snapToGrid w:val="0"/>
      <w:sz w:val="18"/>
      <w:szCs w:val="18"/>
    </w:rPr>
  </w:style>
  <w:style w:type="character" w:customStyle="1" w:styleId="TablefootnotesChar">
    <w:name w:val="Table footnotes Char"/>
    <w:basedOn w:val="DefaultParagraphFont"/>
    <w:link w:val="Tablefootnotes"/>
    <w:rsid w:val="009C07AE"/>
    <w:rPr>
      <w:rFonts w:ascii="Arial Narrow" w:eastAsiaTheme="minorHAnsi" w:hAnsi="Arial Narrow" w:cstheme="minorBidi"/>
      <w:snapToGrid w:val="0"/>
      <w:sz w:val="18"/>
      <w:szCs w:val="18"/>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link w:val="ListParagraph"/>
    <w:uiPriority w:val="34"/>
    <w:qFormat/>
    <w:locked/>
    <w:rsid w:val="00483F3C"/>
    <w:rPr>
      <w:rFonts w:eastAsia="Times New Roman"/>
      <w:sz w:val="24"/>
      <w:szCs w:val="20"/>
    </w:rPr>
  </w:style>
  <w:style w:type="table" w:customStyle="1" w:styleId="TableGrid1">
    <w:name w:val="Table Grid1"/>
    <w:basedOn w:val="TableNormal"/>
    <w:next w:val="TableGrid"/>
    <w:rsid w:val="00483F3C"/>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dvOT863180fb" w:hAnsi="AdvOT863180fb"/>
        <w:b w:val="0"/>
        <w:sz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95391">
      <w:marLeft w:val="0"/>
      <w:marRight w:val="0"/>
      <w:marTop w:val="0"/>
      <w:marBottom w:val="0"/>
      <w:divBdr>
        <w:top w:val="none" w:sz="0" w:space="0" w:color="auto"/>
        <w:left w:val="none" w:sz="0" w:space="0" w:color="auto"/>
        <w:bottom w:val="none" w:sz="0" w:space="0" w:color="auto"/>
        <w:right w:val="none" w:sz="0" w:space="0" w:color="auto"/>
      </w:divBdr>
    </w:div>
    <w:div w:id="1537498417">
      <w:bodyDiv w:val="1"/>
      <w:marLeft w:val="0"/>
      <w:marRight w:val="0"/>
      <w:marTop w:val="0"/>
      <w:marBottom w:val="0"/>
      <w:divBdr>
        <w:top w:val="none" w:sz="0" w:space="0" w:color="auto"/>
        <w:left w:val="none" w:sz="0" w:space="0" w:color="auto"/>
        <w:bottom w:val="none" w:sz="0" w:space="0" w:color="auto"/>
        <w:right w:val="none" w:sz="0" w:space="0" w:color="auto"/>
      </w:divBdr>
    </w:div>
    <w:div w:id="1584145362">
      <w:bodyDiv w:val="1"/>
      <w:marLeft w:val="0"/>
      <w:marRight w:val="0"/>
      <w:marTop w:val="0"/>
      <w:marBottom w:val="0"/>
      <w:divBdr>
        <w:top w:val="none" w:sz="0" w:space="0" w:color="auto"/>
        <w:left w:val="none" w:sz="0" w:space="0" w:color="auto"/>
        <w:bottom w:val="none" w:sz="0" w:space="0" w:color="auto"/>
        <w:right w:val="none" w:sz="0" w:space="0" w:color="auto"/>
      </w:divBdr>
    </w:div>
    <w:div w:id="1830175446">
      <w:bodyDiv w:val="1"/>
      <w:marLeft w:val="0"/>
      <w:marRight w:val="0"/>
      <w:marTop w:val="0"/>
      <w:marBottom w:val="0"/>
      <w:divBdr>
        <w:top w:val="none" w:sz="0" w:space="0" w:color="auto"/>
        <w:left w:val="none" w:sz="0" w:space="0" w:color="auto"/>
        <w:bottom w:val="none" w:sz="0" w:space="0" w:color="auto"/>
        <w:right w:val="none" w:sz="0" w:space="0" w:color="auto"/>
      </w:divBdr>
    </w:div>
    <w:div w:id="210464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bs.tga.gov.a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varian.com/" TargetMode="Externa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msa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tontherapy.com.au/proto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tif"/><Relationship Id="rId23" Type="http://schemas.openxmlformats.org/officeDocument/2006/relationships/fontTable" Target="fontTable.xml"/><Relationship Id="rId10" Type="http://schemas.openxmlformats.org/officeDocument/2006/relationships/hyperlink" Target="http://protontherapy.com.au/prot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image" Target="media/image2.ti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78BB2-96A4-42FF-BE06-6410282E7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6096</Words>
  <Characters>35179</Characters>
  <Application>Microsoft Office Word</Application>
  <DocSecurity>0</DocSecurity>
  <Lines>293</Lines>
  <Paragraphs>82</Paragraphs>
  <ScaleCrop>false</ScaleCrop>
  <Company/>
  <LinksUpToDate>false</LinksUpToDate>
  <CharactersWithSpaces>41193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1455 Final PSD</dc:title>
  <dc:creator/>
  <cp:lastModifiedBy/>
  <cp:revision>1</cp:revision>
  <dcterms:created xsi:type="dcterms:W3CDTF">2020-04-20T00:25:00Z</dcterms:created>
  <dcterms:modified xsi:type="dcterms:W3CDTF">2020-04-20T00:25:00Z</dcterms:modified>
</cp:coreProperties>
</file>