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BE389A" w14:textId="77777777" w:rsidR="0044715D" w:rsidRPr="00323092" w:rsidRDefault="0044715D" w:rsidP="0044715D">
      <w:pPr>
        <w:spacing w:before="120" w:after="120" w:line="312" w:lineRule="auto"/>
        <w:jc w:val="center"/>
      </w:pPr>
      <w:bookmarkStart w:id="0" w:name="_Toc403747457"/>
      <w:bookmarkStart w:id="1" w:name="_Toc412039297"/>
      <w:r w:rsidRPr="008D5584">
        <w:rPr>
          <w:b/>
          <w:noProof/>
          <w:lang w:eastAsia="en-AU"/>
        </w:rPr>
        <w:drawing>
          <wp:inline distT="0" distB="0" distL="0" distR="0" wp14:anchorId="313E2C0A" wp14:editId="392C3914">
            <wp:extent cx="1889760" cy="1226820"/>
            <wp:effectExtent l="0" t="0" r="0" b="0"/>
            <wp:docPr id="1" name="Picture 2" title="Department of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760" cy="1226820"/>
                    </a:xfrm>
                    <a:prstGeom prst="rect">
                      <a:avLst/>
                    </a:prstGeom>
                    <a:noFill/>
                    <a:ln>
                      <a:noFill/>
                    </a:ln>
                  </pic:spPr>
                </pic:pic>
              </a:graphicData>
            </a:graphic>
          </wp:inline>
        </w:drawing>
      </w:r>
    </w:p>
    <w:p w14:paraId="668E5B10" w14:textId="77777777" w:rsidR="00303C94" w:rsidRPr="00F4622B" w:rsidRDefault="00303C94" w:rsidP="00F4622B">
      <w:pPr>
        <w:pStyle w:val="Heading10"/>
        <w:jc w:val="center"/>
        <w:rPr>
          <w:sz w:val="120"/>
          <w:szCs w:val="120"/>
        </w:rPr>
      </w:pPr>
      <w:bookmarkStart w:id="2" w:name="_GoBack"/>
      <w:bookmarkEnd w:id="2"/>
    </w:p>
    <w:p w14:paraId="7E485CF6" w14:textId="77777777" w:rsidR="0044715D" w:rsidRDefault="005F4D2F" w:rsidP="00A601AC">
      <w:pPr>
        <w:pStyle w:val="Heading10"/>
        <w:jc w:val="center"/>
        <w:rPr>
          <w:sz w:val="48"/>
          <w:szCs w:val="48"/>
        </w:rPr>
      </w:pPr>
      <w:r>
        <w:rPr>
          <w:sz w:val="48"/>
          <w:szCs w:val="48"/>
        </w:rPr>
        <w:t xml:space="preserve">Application </w:t>
      </w:r>
      <w:r w:rsidR="00954504">
        <w:rPr>
          <w:sz w:val="48"/>
          <w:szCs w:val="48"/>
        </w:rPr>
        <w:t>1455</w:t>
      </w:r>
      <w:r w:rsidR="00303C94">
        <w:rPr>
          <w:sz w:val="48"/>
          <w:szCs w:val="48"/>
        </w:rPr>
        <w:t>:</w:t>
      </w:r>
    </w:p>
    <w:p w14:paraId="392335A4" w14:textId="77777777" w:rsidR="00303C94" w:rsidRPr="00303C94" w:rsidRDefault="00293849" w:rsidP="00A601AC">
      <w:pPr>
        <w:pStyle w:val="Heading10"/>
        <w:jc w:val="center"/>
        <w:rPr>
          <w:sz w:val="48"/>
          <w:szCs w:val="48"/>
        </w:rPr>
      </w:pPr>
      <w:r>
        <w:rPr>
          <w:color w:val="548DD4"/>
          <w:sz w:val="48"/>
          <w:szCs w:val="48"/>
        </w:rPr>
        <w:t>Proton Beam Therapy (PBT)</w:t>
      </w:r>
    </w:p>
    <w:p w14:paraId="16CD9A30" w14:textId="77777777" w:rsidR="0044715D" w:rsidRDefault="0044715D" w:rsidP="00F4622B">
      <w:pPr>
        <w:pStyle w:val="Heading10"/>
        <w:tabs>
          <w:tab w:val="left" w:pos="5613"/>
        </w:tabs>
        <w:jc w:val="center"/>
        <w:rPr>
          <w:sz w:val="72"/>
          <w:szCs w:val="72"/>
        </w:rPr>
      </w:pPr>
    </w:p>
    <w:p w14:paraId="68A0F375" w14:textId="77777777" w:rsidR="00D46C89" w:rsidRDefault="00D46C89" w:rsidP="003D699E">
      <w:pPr>
        <w:pStyle w:val="Heading10"/>
        <w:jc w:val="center"/>
        <w:rPr>
          <w:sz w:val="72"/>
          <w:szCs w:val="72"/>
        </w:rPr>
      </w:pPr>
      <w:r>
        <w:rPr>
          <w:sz w:val="72"/>
          <w:szCs w:val="72"/>
        </w:rPr>
        <w:t>PICO Confirmation</w:t>
      </w:r>
    </w:p>
    <w:p w14:paraId="01A8CF69" w14:textId="77777777" w:rsidR="003D699E" w:rsidRPr="00E85EEC" w:rsidRDefault="003D699E" w:rsidP="00E85EEC">
      <w:pPr>
        <w:pStyle w:val="Heading10"/>
        <w:jc w:val="center"/>
        <w:rPr>
          <w:rFonts w:ascii="Arial" w:hAnsi="Arial" w:cs="Arial"/>
          <w:sz w:val="32"/>
          <w:szCs w:val="32"/>
        </w:rPr>
      </w:pPr>
      <w:r w:rsidRPr="00E85EEC">
        <w:rPr>
          <w:rFonts w:ascii="Arial" w:hAnsi="Arial" w:cs="Arial"/>
          <w:sz w:val="32"/>
          <w:szCs w:val="32"/>
        </w:rPr>
        <w:t>(</w:t>
      </w:r>
      <w:proofErr w:type="gramStart"/>
      <w:r w:rsidR="00A84A56" w:rsidRPr="00E85EEC">
        <w:rPr>
          <w:rFonts w:ascii="Arial" w:hAnsi="Arial" w:cs="Arial"/>
          <w:sz w:val="32"/>
          <w:szCs w:val="32"/>
        </w:rPr>
        <w:t>t</w:t>
      </w:r>
      <w:r w:rsidR="00382875" w:rsidRPr="00E85EEC">
        <w:rPr>
          <w:rFonts w:ascii="Arial" w:hAnsi="Arial" w:cs="Arial"/>
          <w:sz w:val="32"/>
          <w:szCs w:val="32"/>
        </w:rPr>
        <w:t>o</w:t>
      </w:r>
      <w:proofErr w:type="gramEnd"/>
      <w:r w:rsidR="00382875" w:rsidRPr="00E85EEC">
        <w:rPr>
          <w:rFonts w:ascii="Arial" w:hAnsi="Arial" w:cs="Arial"/>
          <w:sz w:val="32"/>
          <w:szCs w:val="32"/>
        </w:rPr>
        <w:t xml:space="preserve"> guide a new application to MSAC</w:t>
      </w:r>
      <w:r w:rsidRPr="00E85EEC">
        <w:rPr>
          <w:rFonts w:ascii="Arial" w:hAnsi="Arial" w:cs="Arial"/>
          <w:sz w:val="32"/>
          <w:szCs w:val="32"/>
        </w:rPr>
        <w:t>)</w:t>
      </w:r>
    </w:p>
    <w:p w14:paraId="4429A4F1" w14:textId="77777777" w:rsidR="00EE7A1F" w:rsidRPr="00E85EEC" w:rsidRDefault="00EE7A1F" w:rsidP="00E85EEC">
      <w:pPr>
        <w:pStyle w:val="Heading10"/>
        <w:jc w:val="center"/>
        <w:rPr>
          <w:rFonts w:ascii="Arial" w:hAnsi="Arial" w:cs="Arial"/>
          <w:sz w:val="32"/>
          <w:szCs w:val="32"/>
        </w:rPr>
      </w:pPr>
      <w:r w:rsidRPr="00E85EEC">
        <w:rPr>
          <w:rFonts w:ascii="Arial" w:hAnsi="Arial" w:cs="Arial"/>
          <w:sz w:val="32"/>
          <w:szCs w:val="32"/>
        </w:rPr>
        <w:t xml:space="preserve">(Version </w:t>
      </w:r>
      <w:r w:rsidR="005C7B58" w:rsidRPr="00E85EEC">
        <w:rPr>
          <w:rFonts w:ascii="Arial" w:hAnsi="Arial" w:cs="Arial"/>
          <w:sz w:val="32"/>
          <w:szCs w:val="32"/>
        </w:rPr>
        <w:t>1</w:t>
      </w:r>
      <w:r w:rsidRPr="00E85EEC">
        <w:rPr>
          <w:rFonts w:ascii="Arial" w:hAnsi="Arial" w:cs="Arial"/>
          <w:sz w:val="32"/>
          <w:szCs w:val="32"/>
        </w:rPr>
        <w:t>.</w:t>
      </w:r>
      <w:r w:rsidR="005C7B58" w:rsidRPr="00E85EEC">
        <w:rPr>
          <w:rFonts w:ascii="Arial" w:hAnsi="Arial" w:cs="Arial"/>
          <w:sz w:val="32"/>
          <w:szCs w:val="32"/>
        </w:rPr>
        <w:t>0</w:t>
      </w:r>
      <w:r w:rsidRPr="00E85EEC">
        <w:rPr>
          <w:rFonts w:ascii="Arial" w:hAnsi="Arial" w:cs="Arial"/>
          <w:sz w:val="32"/>
          <w:szCs w:val="32"/>
        </w:rPr>
        <w:t>)</w:t>
      </w:r>
    </w:p>
    <w:p w14:paraId="0CA99B6E" w14:textId="77777777" w:rsidR="00EE7A1F" w:rsidRPr="00606857" w:rsidRDefault="00EE7A1F" w:rsidP="00382875">
      <w:pPr>
        <w:spacing w:before="180"/>
        <w:jc w:val="center"/>
        <w:rPr>
          <w:rFonts w:ascii="Arial" w:hAnsi="Arial" w:cs="Arial"/>
          <w:b/>
          <w:sz w:val="32"/>
          <w:szCs w:val="32"/>
        </w:rPr>
      </w:pPr>
    </w:p>
    <w:p w14:paraId="61BC7CC9" w14:textId="77777777" w:rsidR="003D699E" w:rsidRDefault="003D699E" w:rsidP="009262D2">
      <w:pPr>
        <w:pStyle w:val="BodyText2"/>
      </w:pPr>
      <w:r w:rsidRPr="00154B00">
        <w:t xml:space="preserve">This </w:t>
      </w:r>
      <w:r w:rsidR="00292DE9">
        <w:t xml:space="preserve">PICO Confirmation </w:t>
      </w:r>
      <w:r>
        <w:t>Template</w:t>
      </w:r>
      <w:r w:rsidRPr="00154B00">
        <w:t xml:space="preserve"> is </w:t>
      </w:r>
      <w:r w:rsidR="00276CAC" w:rsidRPr="00154B00">
        <w:t xml:space="preserve">to be completed </w:t>
      </w:r>
      <w:r w:rsidR="004D1D41">
        <w:t xml:space="preserve">to guide a </w:t>
      </w:r>
      <w:r w:rsidR="00276CAC" w:rsidRPr="00154B00">
        <w:t xml:space="preserve">new </w:t>
      </w:r>
      <w:r w:rsidR="00276CAC">
        <w:t xml:space="preserve">request for public funding </w:t>
      </w:r>
      <w:r w:rsidR="004D1D41">
        <w:t>for new or amended medical service</w:t>
      </w:r>
      <w:r w:rsidR="00303C94">
        <w:t>(s)</w:t>
      </w:r>
      <w:r w:rsidR="004D1D41">
        <w:t xml:space="preserve"> </w:t>
      </w:r>
      <w:r w:rsidR="00276CAC">
        <w:t>(including</w:t>
      </w:r>
      <w:r w:rsidR="00303C94">
        <w:t>,</w:t>
      </w:r>
      <w:r w:rsidR="00276CAC">
        <w:t xml:space="preserve"> </w:t>
      </w:r>
      <w:r w:rsidR="00276CAC" w:rsidRPr="009262D2">
        <w:t>but</w:t>
      </w:r>
      <w:r w:rsidR="00276CAC">
        <w:t xml:space="preserve"> not limited to the </w:t>
      </w:r>
      <w:r w:rsidR="00276CAC" w:rsidRPr="00154B00">
        <w:t>Medicare Benefits Schedule (MBS)</w:t>
      </w:r>
      <w:r w:rsidR="00276CAC">
        <w:t>)</w:t>
      </w:r>
      <w:r w:rsidR="00276CAC" w:rsidRPr="00154B00">
        <w:t xml:space="preserve">. </w:t>
      </w:r>
      <w:r w:rsidR="00EF6479">
        <w:t>It is relevant to proposals for both therapeutic and investigative medical services.</w:t>
      </w:r>
      <w:r w:rsidR="00276CAC" w:rsidRPr="00154B00">
        <w:t xml:space="preserve"> </w:t>
      </w:r>
    </w:p>
    <w:p w14:paraId="170C2335" w14:textId="795F4218" w:rsidR="003D699E" w:rsidRDefault="003D699E" w:rsidP="00DD54B8">
      <w:pPr>
        <w:pStyle w:val="BodyText2"/>
      </w:pPr>
      <w:r w:rsidRPr="00154B00">
        <w:t>Please complete all questions that are applicable to the proposed service, provid</w:t>
      </w:r>
      <w:r w:rsidR="008B38E2">
        <w:t>ing relevant information only.</w:t>
      </w:r>
    </w:p>
    <w:p w14:paraId="47AF6937" w14:textId="77777777" w:rsidR="003D699E" w:rsidRPr="00154B00" w:rsidRDefault="003D699E" w:rsidP="00DD54B8">
      <w:pPr>
        <w:pStyle w:val="BodyText2"/>
      </w:pPr>
      <w:r w:rsidRPr="00154B00">
        <w:t>Should you require any further assistance, departmental staff are available through the Health Technology Assessment (</w:t>
      </w:r>
      <w:r w:rsidR="00303C94">
        <w:t>HTA Team) on the contact number</w:t>
      </w:r>
      <w:r w:rsidRPr="00154B00">
        <w:t xml:space="preserve"> and email below to discuss the application form, or any other component of the Medical Services Advisory Committee process.</w:t>
      </w:r>
    </w:p>
    <w:p w14:paraId="3A5DDDC9" w14:textId="7AE67FFD" w:rsidR="007E7E23" w:rsidRDefault="003D699E" w:rsidP="008B38E2">
      <w:pPr>
        <w:pStyle w:val="BodyText2"/>
        <w:spacing w:after="0"/>
        <w:rPr>
          <w:szCs w:val="20"/>
        </w:rPr>
      </w:pPr>
      <w:r w:rsidRPr="00154B00">
        <w:t>Phone:  +61 2 6289 7550</w:t>
      </w:r>
      <w:r w:rsidR="008B38E2">
        <w:br/>
      </w:r>
      <w:r w:rsidRPr="00154B00">
        <w:t xml:space="preserve">Email:  </w:t>
      </w:r>
      <w:hyperlink r:id="rId10" w:history="1">
        <w:r w:rsidRPr="00154B00">
          <w:rPr>
            <w:rStyle w:val="Hyperlink"/>
            <w:szCs w:val="20"/>
          </w:rPr>
          <w:t>hta@health.gov.au</w:t>
        </w:r>
      </w:hyperlink>
      <w:r w:rsidR="008B38E2">
        <w:br/>
      </w:r>
      <w:r w:rsidR="00DD54B8">
        <w:t xml:space="preserve">Website: </w:t>
      </w:r>
      <w:hyperlink r:id="rId11" w:tooltip="Link to the Medical Services Avisory Committee Website" w:history="1">
        <w:r w:rsidR="007E7E23" w:rsidRPr="0041368D">
          <w:rPr>
            <w:rStyle w:val="Hyperlink"/>
            <w:szCs w:val="20"/>
          </w:rPr>
          <w:t>http://www.msac.gov.au</w:t>
        </w:r>
      </w:hyperlink>
      <w:r w:rsidR="008B38E2">
        <w:rPr>
          <w:rStyle w:val="Hyperlink"/>
          <w:szCs w:val="20"/>
        </w:rPr>
        <w:t xml:space="preserve"> </w:t>
      </w:r>
      <w:r w:rsidR="007E7E23">
        <w:rPr>
          <w:szCs w:val="20"/>
        </w:rPr>
        <w:br w:type="page"/>
      </w:r>
    </w:p>
    <w:p w14:paraId="22B90798" w14:textId="5849D208" w:rsidR="0044715D" w:rsidRPr="00C07700" w:rsidRDefault="0044715D" w:rsidP="00475CBC">
      <w:pPr>
        <w:pStyle w:val="Heading2"/>
        <w:rPr>
          <w:b w:val="0"/>
          <w:i w:val="0"/>
        </w:rPr>
      </w:pPr>
      <w:r w:rsidRPr="00F12E59">
        <w:lastRenderedPageBreak/>
        <w:t>Summary of PICO</w:t>
      </w:r>
      <w:r w:rsidR="00A84A56" w:rsidRPr="00F12E59">
        <w:t>/PPICO</w:t>
      </w:r>
      <w:r w:rsidRPr="00F12E59">
        <w:t xml:space="preserve"> criteria</w:t>
      </w:r>
      <w:bookmarkEnd w:id="0"/>
      <w:bookmarkEnd w:id="1"/>
      <w:r w:rsidR="00F12E59" w:rsidRPr="00F12E59">
        <w:t xml:space="preserve"> to define </w:t>
      </w:r>
      <w:r w:rsidR="00F12E59" w:rsidRPr="00475CBC">
        <w:t>the</w:t>
      </w:r>
      <w:r w:rsidR="00F12E59" w:rsidRPr="00F12E59">
        <w:t xml:space="preserve"> question(s) to be addressed in an Assessment Report to the Medical Services Advisory Committee (MSAC)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8"/>
        <w:gridCol w:w="7384"/>
      </w:tblGrid>
      <w:tr w:rsidR="0044715D" w:rsidRPr="00084393" w14:paraId="0F9A8352" w14:textId="77777777" w:rsidTr="00121045">
        <w:trPr>
          <w:tblHeader/>
        </w:trPr>
        <w:tc>
          <w:tcPr>
            <w:tcW w:w="1005" w:type="pct"/>
            <w:shd w:val="clear" w:color="auto" w:fill="D9D9D9"/>
          </w:tcPr>
          <w:p w14:paraId="2F6522B1" w14:textId="77777777" w:rsidR="0044715D" w:rsidRPr="00084393" w:rsidRDefault="00A84A56" w:rsidP="009262D2">
            <w:pPr>
              <w:pStyle w:val="01TableHEADINGleftaligned"/>
            </w:pPr>
            <w:r>
              <w:t>Component</w:t>
            </w:r>
          </w:p>
        </w:tc>
        <w:tc>
          <w:tcPr>
            <w:tcW w:w="3995" w:type="pct"/>
            <w:shd w:val="clear" w:color="auto" w:fill="D9D9D9"/>
          </w:tcPr>
          <w:p w14:paraId="55F0BD49" w14:textId="77777777" w:rsidR="0044715D" w:rsidRPr="00084393" w:rsidRDefault="0044715D" w:rsidP="009262D2">
            <w:pPr>
              <w:pStyle w:val="01TableHEADINGleftaligned"/>
            </w:pPr>
            <w:r>
              <w:t>Description</w:t>
            </w:r>
          </w:p>
        </w:tc>
      </w:tr>
      <w:tr w:rsidR="0044715D" w:rsidRPr="00084393" w14:paraId="7ADB2506" w14:textId="77777777" w:rsidTr="00121045">
        <w:tc>
          <w:tcPr>
            <w:tcW w:w="1005" w:type="pct"/>
          </w:tcPr>
          <w:p w14:paraId="35ACA68C" w14:textId="77777777" w:rsidR="0044715D" w:rsidRPr="00084393" w:rsidRDefault="0044715D" w:rsidP="009262D2">
            <w:pPr>
              <w:pStyle w:val="BodyText2"/>
            </w:pPr>
            <w:r w:rsidRPr="00084393">
              <w:t>Patients</w:t>
            </w:r>
          </w:p>
        </w:tc>
        <w:tc>
          <w:tcPr>
            <w:tcW w:w="3995" w:type="pct"/>
          </w:tcPr>
          <w:p w14:paraId="3B7E26D2" w14:textId="105655A2" w:rsidR="00A31595" w:rsidRDefault="00A31595" w:rsidP="00847B40">
            <w:pPr>
              <w:pStyle w:val="BodyText2"/>
              <w:spacing w:after="120" w:line="276" w:lineRule="auto"/>
            </w:pPr>
            <w:r>
              <w:t xml:space="preserve">Patients </w:t>
            </w:r>
            <w:r w:rsidR="002D3C3B">
              <w:t xml:space="preserve">who are currently eligible to access </w:t>
            </w:r>
            <w:r w:rsidR="008E321F">
              <w:t>proton beam therapy (</w:t>
            </w:r>
            <w:r w:rsidR="00AF42B9">
              <w:t>PBT</w:t>
            </w:r>
            <w:r w:rsidR="008E321F">
              <w:t>)</w:t>
            </w:r>
            <w:r w:rsidR="00AF42B9">
              <w:t xml:space="preserve"> under the Medi</w:t>
            </w:r>
            <w:r w:rsidR="002D3C3B">
              <w:t xml:space="preserve">cal Treatment Overseas </w:t>
            </w:r>
            <w:r w:rsidR="00C531F2">
              <w:t xml:space="preserve">(MTO) </w:t>
            </w:r>
            <w:r w:rsidR="002D3C3B">
              <w:t>Program</w:t>
            </w:r>
            <w:r w:rsidR="00847B40">
              <w:t xml:space="preserve"> due to a diagnosis of one of the following conditions</w:t>
            </w:r>
            <w:r>
              <w:t>:</w:t>
            </w:r>
          </w:p>
          <w:p w14:paraId="71A41795" w14:textId="50E39BA3" w:rsidR="00A31595" w:rsidRPr="00475CBC" w:rsidRDefault="00266ABC" w:rsidP="00475CBC">
            <w:pPr>
              <w:pStyle w:val="ListBullet2"/>
            </w:pPr>
            <w:proofErr w:type="spellStart"/>
            <w:r w:rsidRPr="00475CBC">
              <w:t>Chordoma</w:t>
            </w:r>
            <w:proofErr w:type="spellEnd"/>
            <w:r w:rsidRPr="00475CBC">
              <w:t xml:space="preserve"> of the </w:t>
            </w:r>
            <w:r w:rsidR="0057781A" w:rsidRPr="00475CBC">
              <w:t>axial skeleton (defined as the skull, vertebral column and bony pelvis)</w:t>
            </w:r>
          </w:p>
          <w:p w14:paraId="3F29B267" w14:textId="7D701BB3" w:rsidR="0057781A" w:rsidRPr="00475CBC" w:rsidRDefault="0057781A" w:rsidP="00475CBC">
            <w:pPr>
              <w:pStyle w:val="ListBullet2"/>
            </w:pPr>
            <w:r w:rsidRPr="00475CBC">
              <w:t>Sarcoma of the axial skeleton</w:t>
            </w:r>
          </w:p>
          <w:p w14:paraId="3DADFC40" w14:textId="7F33B33D" w:rsidR="0057781A" w:rsidRPr="00475CBC" w:rsidRDefault="0057781A" w:rsidP="00475CBC">
            <w:pPr>
              <w:pStyle w:val="ListBullet2"/>
            </w:pPr>
            <w:r w:rsidRPr="00475CBC">
              <w:t xml:space="preserve">Paediatric </w:t>
            </w:r>
            <w:r w:rsidR="008E321F" w:rsidRPr="00475CBC">
              <w:t>central nervous system (</w:t>
            </w:r>
            <w:r w:rsidRPr="00475CBC">
              <w:t>CNS</w:t>
            </w:r>
            <w:r w:rsidR="008E321F" w:rsidRPr="00475CBC">
              <w:t>)</w:t>
            </w:r>
            <w:r w:rsidR="0018630C" w:rsidRPr="00475CBC">
              <w:t xml:space="preserve"> tumour</w:t>
            </w:r>
          </w:p>
          <w:p w14:paraId="56B2ED21" w14:textId="77777777" w:rsidR="0057781A" w:rsidRPr="00475CBC" w:rsidRDefault="0057781A" w:rsidP="00475CBC">
            <w:pPr>
              <w:pStyle w:val="ListBullet2"/>
            </w:pPr>
            <w:r w:rsidRPr="00475CBC">
              <w:t>Ocular melanoma</w:t>
            </w:r>
          </w:p>
          <w:p w14:paraId="293FE893" w14:textId="77777777" w:rsidR="0057781A" w:rsidRPr="00475CBC" w:rsidRDefault="0057781A" w:rsidP="00475CBC">
            <w:pPr>
              <w:pStyle w:val="ListBullet2"/>
            </w:pPr>
            <w:r w:rsidRPr="00475CBC">
              <w:t>Retinoblastoma</w:t>
            </w:r>
          </w:p>
          <w:p w14:paraId="13CA2439" w14:textId="74BA028D" w:rsidR="0057781A" w:rsidRDefault="0057781A" w:rsidP="00475CBC">
            <w:pPr>
              <w:pStyle w:val="ListBullet2"/>
            </w:pPr>
            <w:r w:rsidRPr="00475CBC">
              <w:t xml:space="preserve">Soft tissue sarcoma in close proximity to the axial skeleton (to include </w:t>
            </w:r>
            <w:proofErr w:type="spellStart"/>
            <w:r w:rsidRPr="00475CBC">
              <w:t>rhabdomyosarcoma</w:t>
            </w:r>
            <w:proofErr w:type="spellEnd"/>
            <w:r w:rsidRPr="00475CBC">
              <w:t>)</w:t>
            </w:r>
          </w:p>
          <w:p w14:paraId="23F30E80" w14:textId="4835F1B7" w:rsidR="007D31F4" w:rsidRPr="00475CBC" w:rsidRDefault="007D31F4" w:rsidP="007D31F4">
            <w:pPr>
              <w:pStyle w:val="ListBullet2"/>
            </w:pPr>
            <w:r>
              <w:t>A</w:t>
            </w:r>
            <w:r w:rsidRPr="007D31F4">
              <w:t>denoid cystic carcinoma of the lacrimal or salivary glands</w:t>
            </w:r>
          </w:p>
          <w:p w14:paraId="4CDC69DC" w14:textId="317F1E4B" w:rsidR="0057781A" w:rsidRPr="00475CBC" w:rsidRDefault="0018630C" w:rsidP="00475CBC">
            <w:pPr>
              <w:pStyle w:val="ListBullet2"/>
            </w:pPr>
            <w:proofErr w:type="spellStart"/>
            <w:r w:rsidRPr="00475CBC">
              <w:t>Craniopharyngioma</w:t>
            </w:r>
            <w:proofErr w:type="spellEnd"/>
          </w:p>
          <w:p w14:paraId="3ED5FDE1" w14:textId="3C355CE1" w:rsidR="0057781A" w:rsidRPr="00475CBC" w:rsidRDefault="0018630C" w:rsidP="00475CBC">
            <w:pPr>
              <w:pStyle w:val="ListBullet2"/>
            </w:pPr>
            <w:r w:rsidRPr="00475CBC">
              <w:t>Intracranial germ cell tumour</w:t>
            </w:r>
          </w:p>
          <w:p w14:paraId="32797C3A" w14:textId="6ED79E23" w:rsidR="0057781A" w:rsidRPr="00475CBC" w:rsidRDefault="0018630C" w:rsidP="00475CBC">
            <w:pPr>
              <w:pStyle w:val="ListBullet2"/>
            </w:pPr>
            <w:proofErr w:type="spellStart"/>
            <w:r w:rsidRPr="00475CBC">
              <w:t>Neuroblastoma</w:t>
            </w:r>
            <w:proofErr w:type="spellEnd"/>
          </w:p>
          <w:p w14:paraId="792E28AB" w14:textId="30461D93" w:rsidR="0044715D" w:rsidRPr="002D3C3B" w:rsidRDefault="0057781A" w:rsidP="00475CBC">
            <w:pPr>
              <w:pStyle w:val="ListBullet2"/>
            </w:pPr>
            <w:proofErr w:type="spellStart"/>
            <w:r w:rsidRPr="00475CBC">
              <w:t>Nephroblastoma</w:t>
            </w:r>
            <w:proofErr w:type="spellEnd"/>
          </w:p>
        </w:tc>
      </w:tr>
      <w:tr w:rsidR="00A84A56" w:rsidRPr="00084393" w14:paraId="1FA0E59C" w14:textId="77777777" w:rsidTr="00121045">
        <w:tc>
          <w:tcPr>
            <w:tcW w:w="1005" w:type="pct"/>
          </w:tcPr>
          <w:p w14:paraId="44284F97" w14:textId="2475C996" w:rsidR="00A84A56" w:rsidRPr="00084393" w:rsidRDefault="00A84A56" w:rsidP="009262D2">
            <w:pPr>
              <w:pStyle w:val="BodyText2"/>
            </w:pPr>
            <w:r w:rsidRPr="00084393">
              <w:t>Intervention</w:t>
            </w:r>
          </w:p>
        </w:tc>
        <w:tc>
          <w:tcPr>
            <w:tcW w:w="3995" w:type="pct"/>
          </w:tcPr>
          <w:p w14:paraId="1AA1E046" w14:textId="13C9FD87" w:rsidR="007E1A67" w:rsidRDefault="008E321F" w:rsidP="00847B40">
            <w:pPr>
              <w:pStyle w:val="BodyText2"/>
              <w:spacing w:after="120" w:line="276" w:lineRule="auto"/>
            </w:pPr>
            <w:r>
              <w:t>PBT</w:t>
            </w:r>
            <w:r w:rsidR="007E1A67">
              <w:t xml:space="preserve"> </w:t>
            </w:r>
            <w:r w:rsidR="00871343">
              <w:t>with curative intent (primary treatment of the condition) or as salvage treatment (for recurrent disease or after failure of initial therapy):</w:t>
            </w:r>
          </w:p>
          <w:p w14:paraId="2F38AB51" w14:textId="5A812FA7" w:rsidR="007E1A67" w:rsidRDefault="00871343" w:rsidP="00DD54B8">
            <w:pPr>
              <w:pStyle w:val="ListBullet2"/>
            </w:pPr>
            <w:r>
              <w:t xml:space="preserve">as </w:t>
            </w:r>
            <w:proofErr w:type="spellStart"/>
            <w:r w:rsidR="007E1A67">
              <w:t>monotherapy</w:t>
            </w:r>
            <w:proofErr w:type="spellEnd"/>
            <w:r>
              <w:t>;</w:t>
            </w:r>
          </w:p>
          <w:p w14:paraId="209902CF" w14:textId="290E1287" w:rsidR="007E1A67" w:rsidRDefault="007E1A67" w:rsidP="00DD54B8">
            <w:pPr>
              <w:pStyle w:val="ListBullet2"/>
            </w:pPr>
            <w:r>
              <w:t>as a ‘boost’</w:t>
            </w:r>
            <w:r w:rsidRPr="00351BB4">
              <w:t xml:space="preserve"> mechanism to conv</w:t>
            </w:r>
            <w:r>
              <w:t>entional radiation therapy</w:t>
            </w:r>
            <w:r w:rsidR="00871343">
              <w:t>; or</w:t>
            </w:r>
          </w:p>
          <w:p w14:paraId="64475551" w14:textId="625E5936" w:rsidR="00A84A56" w:rsidRPr="002D3C3B" w:rsidRDefault="007E1A67" w:rsidP="00DD54B8">
            <w:pPr>
              <w:pStyle w:val="ListBullet2"/>
            </w:pPr>
            <w:proofErr w:type="gramStart"/>
            <w:r>
              <w:t>in</w:t>
            </w:r>
            <w:proofErr w:type="gramEnd"/>
            <w:r>
              <w:t xml:space="preserve"> </w:t>
            </w:r>
            <w:r w:rsidRPr="00351BB4">
              <w:t xml:space="preserve">combination </w:t>
            </w:r>
            <w:r w:rsidR="00871343">
              <w:t xml:space="preserve">with other modalities, </w:t>
            </w:r>
            <w:r w:rsidRPr="00351BB4">
              <w:t>s</w:t>
            </w:r>
            <w:r>
              <w:t>uch as chemotherapy and/or surgery</w:t>
            </w:r>
            <w:r w:rsidR="00871343">
              <w:t>.</w:t>
            </w:r>
          </w:p>
        </w:tc>
      </w:tr>
      <w:tr w:rsidR="00A84A56" w:rsidRPr="00084393" w14:paraId="002C7240" w14:textId="77777777" w:rsidTr="00121045">
        <w:tc>
          <w:tcPr>
            <w:tcW w:w="1005" w:type="pct"/>
          </w:tcPr>
          <w:p w14:paraId="7A955BB3" w14:textId="4F259D31" w:rsidR="00A84A56" w:rsidRPr="00084393" w:rsidRDefault="00A84A56" w:rsidP="009262D2">
            <w:pPr>
              <w:pStyle w:val="BodyText2"/>
            </w:pPr>
            <w:r w:rsidRPr="00084393">
              <w:t>Comparator</w:t>
            </w:r>
            <w:r w:rsidR="00D47F98">
              <w:t>s</w:t>
            </w:r>
          </w:p>
        </w:tc>
        <w:tc>
          <w:tcPr>
            <w:tcW w:w="3995" w:type="pct"/>
          </w:tcPr>
          <w:p w14:paraId="2C49F65E" w14:textId="49FA02BB" w:rsidR="002313EB" w:rsidRDefault="000949B2" w:rsidP="00847B40">
            <w:pPr>
              <w:pStyle w:val="BodyText2"/>
              <w:spacing w:after="120" w:line="276" w:lineRule="auto"/>
            </w:pPr>
            <w:r>
              <w:t>Usual s</w:t>
            </w:r>
            <w:r w:rsidR="002313EB">
              <w:t>tandard of care, which may include:</w:t>
            </w:r>
          </w:p>
          <w:p w14:paraId="4EEBCD8D" w14:textId="4DAAF083" w:rsidR="0019494F" w:rsidRDefault="002313EB" w:rsidP="00DD54B8">
            <w:pPr>
              <w:pStyle w:val="ListBullet2"/>
            </w:pPr>
            <w:r>
              <w:t>r</w:t>
            </w:r>
            <w:r w:rsidR="0019494F">
              <w:t>adiation therapy alternatives</w:t>
            </w:r>
            <w:r w:rsidR="00871343">
              <w:t xml:space="preserve">, such as </w:t>
            </w:r>
            <w:r w:rsidR="00213A72">
              <w:t>i</w:t>
            </w:r>
            <w:r w:rsidR="008D32E0">
              <w:t xml:space="preserve">ntensity </w:t>
            </w:r>
            <w:r w:rsidR="004B2CE9" w:rsidRPr="004B2CE9">
              <w:t>modulated radiation therapy</w:t>
            </w:r>
            <w:r w:rsidR="00213A72">
              <w:t xml:space="preserve"> </w:t>
            </w:r>
            <w:r w:rsidR="00871343">
              <w:t>(</w:t>
            </w:r>
            <w:r w:rsidR="00325330">
              <w:t>IMRT</w:t>
            </w:r>
            <w:r w:rsidR="00871343">
              <w:t>)</w:t>
            </w:r>
            <w:r w:rsidR="00DB2559">
              <w:t>, ste</w:t>
            </w:r>
            <w:r w:rsidR="000949B2">
              <w:t>reotactic radiation techniques or other external beam therapies</w:t>
            </w:r>
            <w:r w:rsidR="00DC427F">
              <w:t>, and also brachytherapy</w:t>
            </w:r>
            <w:r>
              <w:t xml:space="preserve">; </w:t>
            </w:r>
          </w:p>
          <w:p w14:paraId="38D34C72" w14:textId="77777777" w:rsidR="00A84A56" w:rsidRDefault="002313EB" w:rsidP="00DD54B8">
            <w:pPr>
              <w:pStyle w:val="ListBullet2"/>
            </w:pPr>
            <w:r>
              <w:t>o</w:t>
            </w:r>
            <w:r w:rsidR="0019494F">
              <w:t>ther treatment options</w:t>
            </w:r>
            <w:r w:rsidR="00D47F98">
              <w:t xml:space="preserve"> specific to the clinical condition</w:t>
            </w:r>
            <w:r w:rsidR="00871343">
              <w:t xml:space="preserve"> (e.g. </w:t>
            </w:r>
            <w:r w:rsidR="0019494F">
              <w:t>surgery, chemotherapy</w:t>
            </w:r>
            <w:r w:rsidR="00871343">
              <w:t xml:space="preserve">, </w:t>
            </w:r>
            <w:r w:rsidR="00DB2559">
              <w:t>other devices such as laser therapy for ocular tumo</w:t>
            </w:r>
            <w:r w:rsidR="00213A72">
              <w:t>u</w:t>
            </w:r>
            <w:r w:rsidR="00DB2559">
              <w:t>rs</w:t>
            </w:r>
            <w:r>
              <w:t>); or</w:t>
            </w:r>
          </w:p>
          <w:p w14:paraId="473966E0" w14:textId="433F6615" w:rsidR="002313EB" w:rsidRPr="0019494F" w:rsidRDefault="002313EB" w:rsidP="00DD54B8">
            <w:pPr>
              <w:pStyle w:val="ListBullet2"/>
            </w:pPr>
            <w:proofErr w:type="gramStart"/>
            <w:r>
              <w:t>no</w:t>
            </w:r>
            <w:proofErr w:type="gramEnd"/>
            <w:r>
              <w:t xml:space="preserve"> treatment alternatives.</w:t>
            </w:r>
          </w:p>
        </w:tc>
      </w:tr>
      <w:tr w:rsidR="00A84A56" w:rsidRPr="00084393" w14:paraId="5B5C68E7" w14:textId="77777777" w:rsidTr="00121045">
        <w:tc>
          <w:tcPr>
            <w:tcW w:w="1005" w:type="pct"/>
          </w:tcPr>
          <w:p w14:paraId="4427B0AE" w14:textId="1D287DEB" w:rsidR="00A84A56" w:rsidRPr="00084393" w:rsidRDefault="00A84A56" w:rsidP="009262D2">
            <w:pPr>
              <w:pStyle w:val="BodyText2"/>
            </w:pPr>
            <w:r w:rsidRPr="00084393">
              <w:t>Outcomes</w:t>
            </w:r>
          </w:p>
        </w:tc>
        <w:tc>
          <w:tcPr>
            <w:tcW w:w="3995" w:type="pct"/>
          </w:tcPr>
          <w:p w14:paraId="41B1DC3A" w14:textId="5F0FB5CC" w:rsidR="0019494F" w:rsidRPr="009262D2" w:rsidRDefault="000C5A61" w:rsidP="009262D2">
            <w:pPr>
              <w:pStyle w:val="BodyText2"/>
              <w:spacing w:after="120" w:line="240" w:lineRule="auto"/>
              <w:rPr>
                <w:i/>
              </w:rPr>
            </w:pPr>
            <w:r>
              <w:rPr>
                <w:i/>
              </w:rPr>
              <w:t>Effectiveness</w:t>
            </w:r>
            <w:r w:rsidR="002779E2" w:rsidRPr="009262D2">
              <w:rPr>
                <w:i/>
              </w:rPr>
              <w:t>:</w:t>
            </w:r>
          </w:p>
          <w:p w14:paraId="5F5A7D34" w14:textId="7ACD0560" w:rsidR="0019494F" w:rsidRDefault="00430A0C" w:rsidP="00DD54B8">
            <w:pPr>
              <w:pStyle w:val="ListBullet2"/>
            </w:pPr>
            <w:r>
              <w:t>Disease-free and/or overall survival</w:t>
            </w:r>
          </w:p>
          <w:p w14:paraId="2654283E" w14:textId="05988973" w:rsidR="00430A0C" w:rsidRDefault="00430A0C" w:rsidP="00DD54B8">
            <w:pPr>
              <w:pStyle w:val="ListBullet2"/>
            </w:pPr>
            <w:r>
              <w:t>Disease-related and/or all-cause mortality</w:t>
            </w:r>
          </w:p>
          <w:p w14:paraId="1B1740B3" w14:textId="77777777" w:rsidR="00A241CF" w:rsidRDefault="00A241CF" w:rsidP="00DD54B8">
            <w:pPr>
              <w:pStyle w:val="ListBullet2"/>
            </w:pPr>
            <w:r>
              <w:t>Disease progression</w:t>
            </w:r>
          </w:p>
          <w:p w14:paraId="47DDB9B9" w14:textId="49AB9D65" w:rsidR="00430A0C" w:rsidRDefault="00D262C1" w:rsidP="00DD54B8">
            <w:pPr>
              <w:pStyle w:val="ListBullet2"/>
            </w:pPr>
            <w:r>
              <w:t>Local t</w:t>
            </w:r>
            <w:r w:rsidR="00224228">
              <w:t>umour control</w:t>
            </w:r>
            <w:r w:rsidR="00430A0C">
              <w:t xml:space="preserve"> </w:t>
            </w:r>
            <w:r w:rsidR="00224228">
              <w:t>(</w:t>
            </w:r>
            <w:r w:rsidR="00430A0C">
              <w:t>regression</w:t>
            </w:r>
            <w:r w:rsidR="00A241CF">
              <w:t>/remission</w:t>
            </w:r>
            <w:r w:rsidR="00224228">
              <w:t>)</w:t>
            </w:r>
            <w:r w:rsidR="00430A0C">
              <w:t xml:space="preserve"> </w:t>
            </w:r>
          </w:p>
          <w:p w14:paraId="248E42EE" w14:textId="245808B4" w:rsidR="00430A0C" w:rsidRDefault="00430A0C" w:rsidP="00DD54B8">
            <w:pPr>
              <w:pStyle w:val="ListBullet2"/>
            </w:pPr>
            <w:r>
              <w:t>Incidence of metastases</w:t>
            </w:r>
          </w:p>
          <w:p w14:paraId="7197ADA1" w14:textId="0CE94287" w:rsidR="0019494F" w:rsidRDefault="00430A0C" w:rsidP="00DD54B8">
            <w:pPr>
              <w:pStyle w:val="ListBullet2"/>
            </w:pPr>
            <w:r>
              <w:t>H</w:t>
            </w:r>
            <w:r w:rsidR="0019494F">
              <w:t>ealth-related quality of life</w:t>
            </w:r>
          </w:p>
          <w:p w14:paraId="62ECE72E" w14:textId="3383E2B9" w:rsidR="0019494F" w:rsidRPr="00D47F98" w:rsidRDefault="0019494F" w:rsidP="00DD54B8">
            <w:pPr>
              <w:pStyle w:val="ListBullet2"/>
            </w:pPr>
            <w:r w:rsidRPr="00D47F98">
              <w:t>Other patient-relevant outcomes</w:t>
            </w:r>
            <w:r w:rsidR="00D47F98" w:rsidRPr="00D47F98">
              <w:t xml:space="preserve"> (e.g. visual acuity for ocular tumours)</w:t>
            </w:r>
          </w:p>
          <w:p w14:paraId="356DCCEB" w14:textId="3997B1FA" w:rsidR="0019494F" w:rsidRPr="009262D2" w:rsidRDefault="00117337" w:rsidP="00B239D0">
            <w:pPr>
              <w:pStyle w:val="BodyText2"/>
              <w:keepNext/>
              <w:spacing w:after="120" w:line="240" w:lineRule="auto"/>
              <w:rPr>
                <w:i/>
              </w:rPr>
            </w:pPr>
            <w:r w:rsidRPr="009262D2">
              <w:rPr>
                <w:i/>
              </w:rPr>
              <w:t>Safety</w:t>
            </w:r>
            <w:r w:rsidR="002779E2" w:rsidRPr="009262D2">
              <w:rPr>
                <w:i/>
              </w:rPr>
              <w:t>:</w:t>
            </w:r>
          </w:p>
          <w:p w14:paraId="505B1ADA" w14:textId="77777777" w:rsidR="00117337" w:rsidRDefault="00D37626" w:rsidP="00B239D0">
            <w:pPr>
              <w:pStyle w:val="ListBullet2"/>
              <w:keepNext/>
            </w:pPr>
            <w:r>
              <w:t xml:space="preserve">Acute </w:t>
            </w:r>
            <w:r w:rsidR="000B1D3E">
              <w:t xml:space="preserve">radiation-related </w:t>
            </w:r>
            <w:r>
              <w:t>toxicities (i.e. within the first 90 days after treatment)</w:t>
            </w:r>
          </w:p>
          <w:p w14:paraId="522201F9" w14:textId="77777777" w:rsidR="00D37626" w:rsidRDefault="00D37626" w:rsidP="00B239D0">
            <w:pPr>
              <w:pStyle w:val="ListBullet2"/>
              <w:keepNext/>
            </w:pPr>
            <w:r>
              <w:t>Late</w:t>
            </w:r>
            <w:r w:rsidR="000B1D3E">
              <w:t xml:space="preserve"> radiation-related</w:t>
            </w:r>
            <w:r>
              <w:t xml:space="preserve"> toxicities (i.e. &gt;90 days after treatment)</w:t>
            </w:r>
          </w:p>
          <w:p w14:paraId="7DB2930E" w14:textId="3D17A95B" w:rsidR="00D37626" w:rsidRDefault="00D37626" w:rsidP="00B239D0">
            <w:pPr>
              <w:pStyle w:val="ListBullet2"/>
              <w:keepNext/>
            </w:pPr>
            <w:r>
              <w:t>Syst</w:t>
            </w:r>
            <w:r w:rsidR="007D4D8F">
              <w:t>emic effects such as fatigue,</w:t>
            </w:r>
            <w:r>
              <w:t xml:space="preserve"> erythema</w:t>
            </w:r>
            <w:r w:rsidR="007D4D8F">
              <w:t xml:space="preserve"> or hair loss</w:t>
            </w:r>
          </w:p>
          <w:p w14:paraId="46C08BFA" w14:textId="06B971F8" w:rsidR="00D37626" w:rsidRDefault="00D37626" w:rsidP="00DD54B8">
            <w:pPr>
              <w:pStyle w:val="ListBullet2"/>
            </w:pPr>
            <w:r>
              <w:lastRenderedPageBreak/>
              <w:t>Toxicities specific to each cancer type</w:t>
            </w:r>
            <w:r w:rsidR="008F320C">
              <w:t xml:space="preserve"> (e.g. neurocognitive impairment in paediatric patients treated for brain cancers)</w:t>
            </w:r>
          </w:p>
          <w:p w14:paraId="63C6D474" w14:textId="6CF37400" w:rsidR="00D37626" w:rsidRDefault="00A241CF" w:rsidP="00DD54B8">
            <w:pPr>
              <w:pStyle w:val="ListBullet2"/>
            </w:pPr>
            <w:r>
              <w:t>S</w:t>
            </w:r>
            <w:r w:rsidR="00D37626">
              <w:t>econdary malignancy</w:t>
            </w:r>
          </w:p>
          <w:p w14:paraId="41EED691" w14:textId="4060701D" w:rsidR="00D37626" w:rsidRDefault="00D37626" w:rsidP="00DD54B8">
            <w:pPr>
              <w:pStyle w:val="ListBullet2"/>
            </w:pPr>
            <w:r>
              <w:t>Radiation dose</w:t>
            </w:r>
          </w:p>
          <w:p w14:paraId="103210A6" w14:textId="7F86342B" w:rsidR="00A84A56" w:rsidRPr="009262D2" w:rsidRDefault="00492DF3" w:rsidP="009262D2">
            <w:pPr>
              <w:pStyle w:val="BodyText2"/>
              <w:spacing w:after="120" w:line="240" w:lineRule="auto"/>
              <w:rPr>
                <w:i/>
              </w:rPr>
            </w:pPr>
            <w:r w:rsidRPr="009262D2">
              <w:rPr>
                <w:i/>
              </w:rPr>
              <w:t>Healthcare resource use:</w:t>
            </w:r>
          </w:p>
          <w:p w14:paraId="182C9F07" w14:textId="77777777" w:rsidR="007F7E9A" w:rsidRPr="00DD54B8" w:rsidRDefault="007F7E9A" w:rsidP="00DD54B8">
            <w:pPr>
              <w:pStyle w:val="ListBullet2"/>
            </w:pPr>
            <w:r w:rsidRPr="00DD54B8">
              <w:t>Number of treatment sessions</w:t>
            </w:r>
          </w:p>
          <w:p w14:paraId="02DD8007" w14:textId="77777777" w:rsidR="007F7E9A" w:rsidRPr="00DD54B8" w:rsidRDefault="007F7E9A" w:rsidP="00DD54B8">
            <w:pPr>
              <w:pStyle w:val="ListBullet2"/>
            </w:pPr>
            <w:r w:rsidRPr="00DD54B8">
              <w:t>Requirements for subsequent therapy</w:t>
            </w:r>
          </w:p>
          <w:p w14:paraId="06852DAA" w14:textId="77777777" w:rsidR="007F7E9A" w:rsidRPr="00DD54B8" w:rsidRDefault="007F7E9A" w:rsidP="00DD54B8">
            <w:pPr>
              <w:pStyle w:val="ListBullet2"/>
            </w:pPr>
            <w:r w:rsidRPr="00DD54B8">
              <w:t>Resource use and cost of planning and treatment stages for delivery of PBT</w:t>
            </w:r>
          </w:p>
          <w:p w14:paraId="3E35912D" w14:textId="77777777" w:rsidR="007F7E9A" w:rsidRPr="00DD54B8" w:rsidRDefault="007F7E9A" w:rsidP="00DD54B8">
            <w:pPr>
              <w:pStyle w:val="ListBullet2"/>
            </w:pPr>
            <w:r w:rsidRPr="00DD54B8">
              <w:t>Cost-effectiveness of PBT</w:t>
            </w:r>
          </w:p>
          <w:p w14:paraId="28F85EDF" w14:textId="5457219D" w:rsidR="00A84A56" w:rsidRPr="00492DF3" w:rsidRDefault="007F7E9A" w:rsidP="00DD54B8">
            <w:pPr>
              <w:pStyle w:val="ListBullet2"/>
            </w:pPr>
            <w:r w:rsidRPr="00DD54B8">
              <w:t>Total Australian Government healthcare costs</w:t>
            </w:r>
          </w:p>
        </w:tc>
      </w:tr>
    </w:tbl>
    <w:p w14:paraId="0331423C" w14:textId="582369DB" w:rsidR="002A4909" w:rsidRDefault="002A4909" w:rsidP="009262D2">
      <w:pPr>
        <w:pStyle w:val="BodyText"/>
      </w:pPr>
    </w:p>
    <w:p w14:paraId="13C6A2E2" w14:textId="77777777" w:rsidR="00F12E59" w:rsidRDefault="00F12E59" w:rsidP="00AB7087">
      <w:pPr>
        <w:pStyle w:val="BodyText"/>
      </w:pPr>
      <w:r>
        <w:br w:type="page"/>
      </w:r>
    </w:p>
    <w:p w14:paraId="46637C97" w14:textId="77777777" w:rsidR="007F4E20" w:rsidRPr="00E364F7" w:rsidRDefault="00E364F7" w:rsidP="00475CBC">
      <w:pPr>
        <w:pStyle w:val="Heading2"/>
      </w:pPr>
      <w:r w:rsidRPr="00E364F7">
        <w:lastRenderedPageBreak/>
        <w:t>PICO</w:t>
      </w:r>
      <w:r w:rsidR="00953ED7">
        <w:t xml:space="preserve"> or PPICO</w:t>
      </w:r>
      <w:r w:rsidRPr="00E364F7">
        <w:t xml:space="preserve"> rationale</w:t>
      </w:r>
      <w:r w:rsidR="006D1643">
        <w:t xml:space="preserve"> for therapeutic </w:t>
      </w:r>
      <w:r w:rsidR="00B45971">
        <w:t xml:space="preserve">and investigative </w:t>
      </w:r>
      <w:r w:rsidR="00BA63AA">
        <w:t>medical services only</w:t>
      </w:r>
    </w:p>
    <w:p w14:paraId="71AF7815" w14:textId="77777777" w:rsidR="00896845" w:rsidRDefault="00896845" w:rsidP="009262D2">
      <w:pPr>
        <w:pStyle w:val="Heading3"/>
      </w:pPr>
      <w:r w:rsidRPr="00E364F7">
        <w:t>Population</w:t>
      </w:r>
    </w:p>
    <w:p w14:paraId="381C5378" w14:textId="3451A4FB" w:rsidR="00A128EE" w:rsidRDefault="00262C3F" w:rsidP="006000F0">
      <w:pPr>
        <w:pStyle w:val="BodyText"/>
      </w:pPr>
      <w:r>
        <w:t>The proposed population include</w:t>
      </w:r>
      <w:r w:rsidR="00A128EE">
        <w:t>s</w:t>
      </w:r>
      <w:r>
        <w:t xml:space="preserve"> p</w:t>
      </w:r>
      <w:r w:rsidR="006000F0">
        <w:t xml:space="preserve">atients who are currently eligible to </w:t>
      </w:r>
      <w:r w:rsidR="00A128EE">
        <w:t>receive</w:t>
      </w:r>
      <w:r w:rsidR="006000F0">
        <w:t xml:space="preserve"> proton beam therapy (PBT) under the </w:t>
      </w:r>
      <w:r w:rsidR="00A128EE" w:rsidRPr="004E6F6F">
        <w:t xml:space="preserve">Australian Government funded </w:t>
      </w:r>
      <w:r w:rsidR="006000F0">
        <w:t xml:space="preserve">Medical Treatment Overseas </w:t>
      </w:r>
      <w:r>
        <w:t>(MTO) Program</w:t>
      </w:r>
      <w:r w:rsidR="006000F0">
        <w:t xml:space="preserve">. </w:t>
      </w:r>
      <w:r w:rsidR="00A128EE" w:rsidRPr="004E6F6F">
        <w:t>Currently, the</w:t>
      </w:r>
      <w:r w:rsidR="00A128EE">
        <w:t>re are</w:t>
      </w:r>
      <w:r w:rsidR="00A128EE" w:rsidRPr="004E6F6F">
        <w:t xml:space="preserve"> very small numbers of patients in Australia who </w:t>
      </w:r>
      <w:r w:rsidR="00A128EE">
        <w:t>access</w:t>
      </w:r>
      <w:r w:rsidR="00A128EE" w:rsidRPr="004E6F6F">
        <w:t xml:space="preserve"> PBT</w:t>
      </w:r>
      <w:r w:rsidR="00A128EE">
        <w:t xml:space="preserve"> under</w:t>
      </w:r>
      <w:r w:rsidR="00A128EE" w:rsidRPr="004E6F6F">
        <w:t xml:space="preserve"> the MTO</w:t>
      </w:r>
      <w:r w:rsidR="00A128EE">
        <w:t xml:space="preserve"> </w:t>
      </w:r>
      <w:r w:rsidR="00A128EE" w:rsidRPr="004E6F6F">
        <w:t>P</w:t>
      </w:r>
      <w:r w:rsidR="00A128EE">
        <w:t xml:space="preserve">rogram, averaging just four patients per year. </w:t>
      </w:r>
    </w:p>
    <w:p w14:paraId="16BEE48E" w14:textId="1547056C" w:rsidR="00A128EE" w:rsidRDefault="00A128EE" w:rsidP="006000F0">
      <w:pPr>
        <w:pStyle w:val="BodyText"/>
      </w:pPr>
      <w:r>
        <w:t xml:space="preserve">The main group of patients are those suffering from </w:t>
      </w:r>
      <w:proofErr w:type="spellStart"/>
      <w:r>
        <w:t>chordoma</w:t>
      </w:r>
      <w:proofErr w:type="spellEnd"/>
      <w:r>
        <w:t xml:space="preserve"> or </w:t>
      </w:r>
      <w:proofErr w:type="spellStart"/>
      <w:r>
        <w:t>chondrosarcoma</w:t>
      </w:r>
      <w:proofErr w:type="spellEnd"/>
      <w:r>
        <w:t xml:space="preserve"> of the axial skeleton. The other main group is a small subpopulation of children with brain tumours. Formerly, the main treatment group was patients with eye malignancy, either retinoblastoma in children or melanoma in adults, but this patient population is now successfully treated with stereotactic radiosurgery within Australia.</w:t>
      </w:r>
    </w:p>
    <w:p w14:paraId="005BECC3" w14:textId="528F76E1" w:rsidR="006000F0" w:rsidRDefault="006000F0" w:rsidP="006000F0">
      <w:pPr>
        <w:pStyle w:val="BodyText"/>
      </w:pPr>
      <w:r>
        <w:t>In consultation with the Faculty of Radiation Oncology, the Department has agreed that the following clinical indications for PBT services are to be included</w:t>
      </w:r>
      <w:r w:rsidR="00A128EE">
        <w:t xml:space="preserve"> in the assessment</w:t>
      </w:r>
      <w:r>
        <w:t>:</w:t>
      </w:r>
    </w:p>
    <w:p w14:paraId="7075F986" w14:textId="422178DE" w:rsidR="006000F0" w:rsidRDefault="00475CBC" w:rsidP="006000F0">
      <w:pPr>
        <w:pStyle w:val="BodyText"/>
        <w:numPr>
          <w:ilvl w:val="0"/>
          <w:numId w:val="29"/>
        </w:numPr>
      </w:pPr>
      <w:proofErr w:type="spellStart"/>
      <w:r>
        <w:t>chordoma</w:t>
      </w:r>
      <w:proofErr w:type="spellEnd"/>
      <w:r w:rsidR="006000F0">
        <w:t xml:space="preserve"> of the axial skeleton (defined as the skull, vertebral column and bony pelvis);</w:t>
      </w:r>
    </w:p>
    <w:p w14:paraId="7F550C68" w14:textId="7CB250E6" w:rsidR="006000F0" w:rsidRDefault="00475CBC" w:rsidP="006000F0">
      <w:pPr>
        <w:pStyle w:val="BodyText"/>
        <w:numPr>
          <w:ilvl w:val="0"/>
          <w:numId w:val="29"/>
        </w:numPr>
      </w:pPr>
      <w:r>
        <w:t>sarcoma</w:t>
      </w:r>
      <w:r w:rsidR="006000F0">
        <w:t xml:space="preserve"> of the axial skeleton;</w:t>
      </w:r>
    </w:p>
    <w:p w14:paraId="125DB519" w14:textId="431D5AEB" w:rsidR="006000F0" w:rsidRDefault="00475CBC" w:rsidP="006000F0">
      <w:pPr>
        <w:pStyle w:val="BodyText"/>
        <w:numPr>
          <w:ilvl w:val="0"/>
          <w:numId w:val="29"/>
        </w:numPr>
      </w:pPr>
      <w:r>
        <w:t>paediatric CNS tumour</w:t>
      </w:r>
      <w:r w:rsidR="006000F0">
        <w:t>;</w:t>
      </w:r>
    </w:p>
    <w:p w14:paraId="4A742A35" w14:textId="5AF0C8C3" w:rsidR="006000F0" w:rsidRDefault="006000F0" w:rsidP="006000F0">
      <w:pPr>
        <w:pStyle w:val="BodyText"/>
        <w:numPr>
          <w:ilvl w:val="0"/>
          <w:numId w:val="29"/>
        </w:numPr>
      </w:pPr>
      <w:r>
        <w:t>ocular melanoma</w:t>
      </w:r>
      <w:bookmarkStart w:id="3" w:name="_Ref469835241"/>
      <w:r w:rsidR="007E7593">
        <w:rPr>
          <w:rStyle w:val="FootnoteReference"/>
        </w:rPr>
        <w:footnoteReference w:id="1"/>
      </w:r>
      <w:bookmarkEnd w:id="3"/>
      <w:r>
        <w:t>;</w:t>
      </w:r>
    </w:p>
    <w:p w14:paraId="3D358554" w14:textId="3DC61A39" w:rsidR="006000F0" w:rsidRDefault="006000F0" w:rsidP="006000F0">
      <w:pPr>
        <w:pStyle w:val="BodyText"/>
        <w:numPr>
          <w:ilvl w:val="0"/>
          <w:numId w:val="29"/>
        </w:numPr>
      </w:pPr>
      <w:r>
        <w:t>retinoblastoma</w:t>
      </w:r>
      <w:r w:rsidR="00A128EE" w:rsidRPr="00A128EE">
        <w:rPr>
          <w:vertAlign w:val="superscript"/>
        </w:rPr>
        <w:fldChar w:fldCharType="begin"/>
      </w:r>
      <w:r w:rsidR="00A128EE" w:rsidRPr="00A128EE">
        <w:rPr>
          <w:vertAlign w:val="superscript"/>
        </w:rPr>
        <w:instrText xml:space="preserve"> NOTEREF _Ref469835241 \h </w:instrText>
      </w:r>
      <w:r w:rsidR="00A128EE">
        <w:rPr>
          <w:vertAlign w:val="superscript"/>
        </w:rPr>
        <w:instrText xml:space="preserve"> \* MERGEFORMAT </w:instrText>
      </w:r>
      <w:r w:rsidR="00A128EE" w:rsidRPr="00A128EE">
        <w:rPr>
          <w:vertAlign w:val="superscript"/>
        </w:rPr>
      </w:r>
      <w:r w:rsidR="00A128EE" w:rsidRPr="00A128EE">
        <w:rPr>
          <w:vertAlign w:val="superscript"/>
        </w:rPr>
        <w:fldChar w:fldCharType="separate"/>
      </w:r>
      <w:r w:rsidR="00D262C1">
        <w:rPr>
          <w:vertAlign w:val="superscript"/>
        </w:rPr>
        <w:t>1</w:t>
      </w:r>
      <w:r w:rsidR="00A128EE" w:rsidRPr="00A128EE">
        <w:rPr>
          <w:vertAlign w:val="superscript"/>
        </w:rPr>
        <w:fldChar w:fldCharType="end"/>
      </w:r>
      <w:r>
        <w:t>;</w:t>
      </w:r>
    </w:p>
    <w:p w14:paraId="4970A6E7" w14:textId="2032EFF1" w:rsidR="006000F0" w:rsidRDefault="00475CBC" w:rsidP="006000F0">
      <w:pPr>
        <w:pStyle w:val="BodyText"/>
        <w:numPr>
          <w:ilvl w:val="0"/>
          <w:numId w:val="29"/>
        </w:numPr>
      </w:pPr>
      <w:r>
        <w:t>soft tissue sarcoma</w:t>
      </w:r>
      <w:r w:rsidR="006000F0">
        <w:t xml:space="preserve"> in close proximity to the axial skeleton (to include </w:t>
      </w:r>
      <w:proofErr w:type="spellStart"/>
      <w:r w:rsidR="006000F0">
        <w:t>rhabdomyosarcoma</w:t>
      </w:r>
      <w:proofErr w:type="spellEnd"/>
      <w:r w:rsidR="006000F0">
        <w:t>);</w:t>
      </w:r>
    </w:p>
    <w:p w14:paraId="25D25411" w14:textId="6E2C531E" w:rsidR="006000F0" w:rsidRDefault="00475CBC" w:rsidP="006000F0">
      <w:pPr>
        <w:pStyle w:val="BodyText"/>
        <w:numPr>
          <w:ilvl w:val="0"/>
          <w:numId w:val="29"/>
        </w:numPr>
      </w:pPr>
      <w:r>
        <w:t>adenoid cystic carcinoma</w:t>
      </w:r>
      <w:r w:rsidR="006000F0">
        <w:t xml:space="preserve"> of the lacrimal or salivary glands;</w:t>
      </w:r>
    </w:p>
    <w:p w14:paraId="1F6D5B82" w14:textId="2EDBB678" w:rsidR="006000F0" w:rsidRDefault="00475CBC" w:rsidP="006000F0">
      <w:pPr>
        <w:pStyle w:val="BodyText"/>
        <w:numPr>
          <w:ilvl w:val="0"/>
          <w:numId w:val="29"/>
        </w:numPr>
      </w:pPr>
      <w:proofErr w:type="spellStart"/>
      <w:r>
        <w:t>craniopharyngioma</w:t>
      </w:r>
      <w:proofErr w:type="spellEnd"/>
      <w:r w:rsidR="006000F0">
        <w:t>;</w:t>
      </w:r>
    </w:p>
    <w:p w14:paraId="0F067937" w14:textId="50BAF2EC" w:rsidR="006000F0" w:rsidRDefault="006000F0" w:rsidP="006000F0">
      <w:pPr>
        <w:pStyle w:val="BodyText"/>
        <w:numPr>
          <w:ilvl w:val="0"/>
          <w:numId w:val="29"/>
        </w:numPr>
      </w:pPr>
      <w:r>
        <w:t>intracranial ge</w:t>
      </w:r>
      <w:r w:rsidR="00475CBC">
        <w:t>rm cell tumour</w:t>
      </w:r>
      <w:r>
        <w:t>;</w:t>
      </w:r>
    </w:p>
    <w:p w14:paraId="13E38ED8" w14:textId="2F061C41" w:rsidR="006000F0" w:rsidRDefault="006000F0" w:rsidP="006000F0">
      <w:pPr>
        <w:pStyle w:val="BodyText"/>
        <w:numPr>
          <w:ilvl w:val="0"/>
          <w:numId w:val="29"/>
        </w:numPr>
      </w:pPr>
      <w:proofErr w:type="spellStart"/>
      <w:r>
        <w:t>neuroblastoma</w:t>
      </w:r>
      <w:proofErr w:type="spellEnd"/>
      <w:r>
        <w:t>; and</w:t>
      </w:r>
    </w:p>
    <w:p w14:paraId="403890E7" w14:textId="1F04CB3B" w:rsidR="006000F0" w:rsidRDefault="006000F0" w:rsidP="003B5960">
      <w:pPr>
        <w:pStyle w:val="BodyText"/>
        <w:numPr>
          <w:ilvl w:val="0"/>
          <w:numId w:val="29"/>
        </w:numPr>
        <w:spacing w:after="240"/>
        <w:ind w:left="714" w:hanging="357"/>
      </w:pPr>
      <w:proofErr w:type="spellStart"/>
      <w:proofErr w:type="gramStart"/>
      <w:r>
        <w:t>nephroblastoma</w:t>
      </w:r>
      <w:proofErr w:type="spellEnd"/>
      <w:proofErr w:type="gramEnd"/>
      <w:r>
        <w:t>.</w:t>
      </w:r>
    </w:p>
    <w:p w14:paraId="0E702322" w14:textId="77777777" w:rsidR="00E364F7" w:rsidRPr="00475CBC" w:rsidRDefault="002B3338" w:rsidP="00475CBC">
      <w:pPr>
        <w:pStyle w:val="BodyText"/>
        <w:rPr>
          <w:i/>
          <w:u w:val="single"/>
        </w:rPr>
      </w:pPr>
      <w:r w:rsidRPr="00475CBC">
        <w:rPr>
          <w:i/>
          <w:u w:val="single"/>
        </w:rPr>
        <w:t>Rationale</w:t>
      </w:r>
    </w:p>
    <w:p w14:paraId="3F838553" w14:textId="7DC7F36E" w:rsidR="00262C3F" w:rsidRDefault="004E6F6F" w:rsidP="00262C3F">
      <w:pPr>
        <w:pStyle w:val="BodyText"/>
      </w:pPr>
      <w:r>
        <w:t xml:space="preserve">The MTO Program provides financial assistance for Australians with a life-threatening medical condition to receive proven life-saving medical treatment overseas where effective treatment is not available in Australia. </w:t>
      </w:r>
      <w:r w:rsidR="00262C3F">
        <w:t xml:space="preserve">Since the </w:t>
      </w:r>
      <w:proofErr w:type="gramStart"/>
      <w:r w:rsidR="00262C3F">
        <w:t>inception of the MTO Program in 1995, there have</w:t>
      </w:r>
      <w:proofErr w:type="gramEnd"/>
      <w:r w:rsidR="00262C3F">
        <w:t xml:space="preserve"> been </w:t>
      </w:r>
      <w:r w:rsidR="009D6181">
        <w:t>74</w:t>
      </w:r>
      <w:r w:rsidR="00262C3F">
        <w:t xml:space="preserve"> </w:t>
      </w:r>
      <w:r w:rsidR="00A031D4">
        <w:t>applicants for PBT from 1998 to 2016</w:t>
      </w:r>
      <w:r w:rsidR="007A6154">
        <w:t xml:space="preserve"> (</w:t>
      </w:r>
      <w:r w:rsidR="00A031D4">
        <w:t xml:space="preserve">66 applications </w:t>
      </w:r>
      <w:r w:rsidR="007A6154">
        <w:t>approved</w:t>
      </w:r>
      <w:r w:rsidR="00262C3F">
        <w:t>, four applications rejected</w:t>
      </w:r>
      <w:r w:rsidR="007A6154">
        <w:t xml:space="preserve">, </w:t>
      </w:r>
      <w:r w:rsidR="00A031D4">
        <w:t>one application withdrawn</w:t>
      </w:r>
      <w:r w:rsidR="007A6154">
        <w:t>,</w:t>
      </w:r>
      <w:r w:rsidR="00A031D4">
        <w:t xml:space="preserve"> and </w:t>
      </w:r>
      <w:r w:rsidR="007A6154">
        <w:t>three</w:t>
      </w:r>
      <w:r w:rsidR="00A031D4">
        <w:t xml:space="preserve"> are currently under assessment)</w:t>
      </w:r>
      <w:r w:rsidR="00262C3F">
        <w:t xml:space="preserve">. </w:t>
      </w:r>
    </w:p>
    <w:p w14:paraId="1A1ACFB9" w14:textId="460A737F" w:rsidR="004E6F6F" w:rsidRDefault="004E6F6F" w:rsidP="004E6F6F">
      <w:pPr>
        <w:pStyle w:val="BodyText"/>
      </w:pPr>
      <w:r>
        <w:t>To be eligible for the Program, the patient must meet the four mandatory medical criteria (as assessed by a panel of Departmental Medical Advisers) and their application must be supported by the treating Australian specialist</w:t>
      </w:r>
      <w:r w:rsidR="005D405B">
        <w:t xml:space="preserve"> and the Faculty of Radiation Oncology</w:t>
      </w:r>
      <w:r>
        <w:t>. It is the treating Australian specialist that nominates where their patient would be best treated. The assessment process takes a minimum of six weeks.</w:t>
      </w:r>
      <w:r w:rsidR="00874097">
        <w:t xml:space="preserve"> </w:t>
      </w:r>
    </w:p>
    <w:p w14:paraId="119FBBB6" w14:textId="77777777" w:rsidR="004E6F6F" w:rsidRDefault="004E6F6F" w:rsidP="004E6F6F">
      <w:pPr>
        <w:pStyle w:val="BodyText"/>
      </w:pPr>
      <w:r>
        <w:lastRenderedPageBreak/>
        <w:t xml:space="preserve">A condition of the MTO Program eligibility is that alternative treatment is not available in Australia. Once a PBT facility is built in Australia, those assessed as requiring this treatment modality will no longer have access to MTO funding under current Program Guidelines. </w:t>
      </w:r>
    </w:p>
    <w:p w14:paraId="4753B97E" w14:textId="4B0FFFBF" w:rsidR="004E6F6F" w:rsidRDefault="004E6F6F" w:rsidP="00E248C3">
      <w:pPr>
        <w:pStyle w:val="BodyText"/>
      </w:pPr>
      <w:r w:rsidRPr="004E6F6F">
        <w:t xml:space="preserve">Currently there are </w:t>
      </w:r>
      <w:r>
        <w:t xml:space="preserve">no PBT facilities in Australia; </w:t>
      </w:r>
      <w:r w:rsidRPr="004E6F6F">
        <w:t>however</w:t>
      </w:r>
      <w:r>
        <w:t>,</w:t>
      </w:r>
      <w:r w:rsidRPr="004E6F6F">
        <w:t xml:space="preserve"> </w:t>
      </w:r>
      <w:r w:rsidR="00D262C1">
        <w:t>four</w:t>
      </w:r>
      <w:r w:rsidRPr="004E6F6F">
        <w:t xml:space="preserve"> states including </w:t>
      </w:r>
      <w:r w:rsidR="00D262C1">
        <w:t xml:space="preserve">New South Wales, </w:t>
      </w:r>
      <w:r w:rsidRPr="004E6F6F">
        <w:t xml:space="preserve">South Australia, Queensland, and Victoria are considering investing in PBT facilities within the next </w:t>
      </w:r>
      <w:r>
        <w:t xml:space="preserve">three to five years. </w:t>
      </w:r>
      <w:r w:rsidRPr="004E6F6F">
        <w:t xml:space="preserve">Given the prospect of up to </w:t>
      </w:r>
      <w:r w:rsidR="00D262C1">
        <w:t>four</w:t>
      </w:r>
      <w:r w:rsidRPr="004E6F6F">
        <w:t xml:space="preserve"> PBT centres opening in Australia, there is a risk that patients currently eligible for financial assistance under the MTO</w:t>
      </w:r>
      <w:r>
        <w:t xml:space="preserve"> </w:t>
      </w:r>
      <w:r w:rsidRPr="004E6F6F">
        <w:t>P</w:t>
      </w:r>
      <w:r>
        <w:t>rogram</w:t>
      </w:r>
      <w:r w:rsidRPr="004E6F6F">
        <w:t xml:space="preserve"> will no longer be eligible for reimbursement of their treatment costs as they will no longer meet the mandatory MTO eligibility criteria, if</w:t>
      </w:r>
      <w:r w:rsidR="00F6417C">
        <w:t xml:space="preserve"> PBT is available in Australia. </w:t>
      </w:r>
      <w:r w:rsidRPr="004E6F6F">
        <w:t>On 12</w:t>
      </w:r>
      <w:r w:rsidR="007E77F3" w:rsidRPr="007E77F3">
        <w:rPr>
          <w:vertAlign w:val="superscript"/>
        </w:rPr>
        <w:t>th</w:t>
      </w:r>
      <w:r w:rsidRPr="004E6F6F">
        <w:t xml:space="preserve"> April 2016</w:t>
      </w:r>
      <w:r w:rsidR="007E77F3">
        <w:t>,</w:t>
      </w:r>
      <w:r w:rsidRPr="004E6F6F">
        <w:t xml:space="preserve"> the Minister for</w:t>
      </w:r>
      <w:r w:rsidR="007E77F3">
        <w:t xml:space="preserve"> Health wrote to the </w:t>
      </w:r>
      <w:r w:rsidR="00E369CE">
        <w:t>Medical Services Advisory Committee (</w:t>
      </w:r>
      <w:r w:rsidR="007E77F3">
        <w:t>MSAC</w:t>
      </w:r>
      <w:r w:rsidR="00E369CE">
        <w:t>)</w:t>
      </w:r>
      <w:r w:rsidR="007E77F3">
        <w:t xml:space="preserve"> Chair </w:t>
      </w:r>
      <w:r w:rsidRPr="004E6F6F">
        <w:t xml:space="preserve">requesting </w:t>
      </w:r>
      <w:r w:rsidR="007E77F3">
        <w:t xml:space="preserve">MSAC to </w:t>
      </w:r>
      <w:r w:rsidRPr="004E6F6F">
        <w:t xml:space="preserve">consider future public funding arrangements for PBT for the limited clinical indications supported by the </w:t>
      </w:r>
      <w:r w:rsidR="007E77F3">
        <w:t>MTO</w:t>
      </w:r>
      <w:r w:rsidRPr="004E6F6F">
        <w:t xml:space="preserve"> Program.</w:t>
      </w:r>
    </w:p>
    <w:p w14:paraId="0B1DF614" w14:textId="12113814" w:rsidR="00124944" w:rsidRDefault="00262C3F" w:rsidP="00E248C3">
      <w:pPr>
        <w:pStyle w:val="BodyText"/>
      </w:pPr>
      <w:r>
        <w:t>From 1</w:t>
      </w:r>
      <w:r w:rsidRPr="007E77F3">
        <w:rPr>
          <w:vertAlign w:val="superscript"/>
        </w:rPr>
        <w:t>st</w:t>
      </w:r>
      <w:r>
        <w:t xml:space="preserve"> J</w:t>
      </w:r>
      <w:r w:rsidR="00A031D4">
        <w:t xml:space="preserve">anuary </w:t>
      </w:r>
      <w:r>
        <w:t>201</w:t>
      </w:r>
      <w:r w:rsidR="00D06B8E">
        <w:t>2</w:t>
      </w:r>
      <w:r>
        <w:t xml:space="preserve"> to 31</w:t>
      </w:r>
      <w:r w:rsidR="007A6154" w:rsidRPr="007A6154">
        <w:rPr>
          <w:vertAlign w:val="superscript"/>
        </w:rPr>
        <w:t>st</w:t>
      </w:r>
      <w:r>
        <w:t xml:space="preserve"> December 201</w:t>
      </w:r>
      <w:r w:rsidR="00A031D4">
        <w:t>6</w:t>
      </w:r>
      <w:r>
        <w:t>, the Department provided financial assistance to 2</w:t>
      </w:r>
      <w:r w:rsidR="00A031D4">
        <w:t>0</w:t>
      </w:r>
      <w:r>
        <w:t xml:space="preserve"> patients to access PBT overseas</w:t>
      </w:r>
      <w:r w:rsidR="0085771B">
        <w:t>.</w:t>
      </w:r>
      <w:r w:rsidR="0085771B">
        <w:rPr>
          <w:rStyle w:val="FootnoteReference"/>
        </w:rPr>
        <w:footnoteReference w:id="2"/>
      </w:r>
      <w:r w:rsidR="0085771B">
        <w:t xml:space="preserve"> The indications for </w:t>
      </w:r>
      <w:r w:rsidR="00686178">
        <w:t xml:space="preserve">PBT under the MTO Program </w:t>
      </w:r>
      <w:r w:rsidR="009F4339">
        <w:t xml:space="preserve">have </w:t>
      </w:r>
      <w:r w:rsidR="0085771B">
        <w:t xml:space="preserve">included </w:t>
      </w:r>
      <w:proofErr w:type="spellStart"/>
      <w:r w:rsidR="0085771B">
        <w:t>clival</w:t>
      </w:r>
      <w:proofErr w:type="spellEnd"/>
      <w:r w:rsidR="0085771B">
        <w:t xml:space="preserve"> </w:t>
      </w:r>
      <w:proofErr w:type="spellStart"/>
      <w:r w:rsidR="0085771B">
        <w:t>chordoma</w:t>
      </w:r>
      <w:proofErr w:type="spellEnd"/>
      <w:r w:rsidR="0085771B">
        <w:t xml:space="preserve">, spinal thoracic </w:t>
      </w:r>
      <w:proofErr w:type="spellStart"/>
      <w:r w:rsidR="0085771B">
        <w:t>chordoma</w:t>
      </w:r>
      <w:proofErr w:type="spellEnd"/>
      <w:r w:rsidR="0085771B">
        <w:t xml:space="preserve">, atypical </w:t>
      </w:r>
      <w:proofErr w:type="spellStart"/>
      <w:r w:rsidR="0085771B">
        <w:t>teratoid</w:t>
      </w:r>
      <w:proofErr w:type="spellEnd"/>
      <w:r w:rsidR="0085771B">
        <w:t xml:space="preserve"> </w:t>
      </w:r>
      <w:proofErr w:type="spellStart"/>
      <w:r w:rsidR="0085771B">
        <w:t>rhabdoid</w:t>
      </w:r>
      <w:proofErr w:type="spellEnd"/>
      <w:r w:rsidR="0085771B">
        <w:t xml:space="preserve"> tumour, </w:t>
      </w:r>
      <w:proofErr w:type="spellStart"/>
      <w:r w:rsidR="0085771B">
        <w:t>craniopharyngioma</w:t>
      </w:r>
      <w:proofErr w:type="spellEnd"/>
      <w:r w:rsidR="0085771B">
        <w:t xml:space="preserve">, pelvic osteosarcoma, </w:t>
      </w:r>
      <w:proofErr w:type="spellStart"/>
      <w:r w:rsidR="0085771B">
        <w:t>supratentorial</w:t>
      </w:r>
      <w:proofErr w:type="spellEnd"/>
      <w:r w:rsidR="0085771B">
        <w:t xml:space="preserve"> anaplastic </w:t>
      </w:r>
      <w:proofErr w:type="spellStart"/>
      <w:r w:rsidR="0085771B">
        <w:t>ependymoma</w:t>
      </w:r>
      <w:proofErr w:type="spellEnd"/>
      <w:r w:rsidR="0085771B">
        <w:t xml:space="preserve">, skull base </w:t>
      </w:r>
      <w:proofErr w:type="spellStart"/>
      <w:r w:rsidR="0085771B">
        <w:t>chondrosarcoma</w:t>
      </w:r>
      <w:proofErr w:type="spellEnd"/>
      <w:r w:rsidR="0085771B">
        <w:t xml:space="preserve">, </w:t>
      </w:r>
      <w:proofErr w:type="spellStart"/>
      <w:r w:rsidR="0085771B">
        <w:t>chondrosarcoma</w:t>
      </w:r>
      <w:proofErr w:type="spellEnd"/>
      <w:r w:rsidR="0085771B">
        <w:t xml:space="preserve"> of the cervical spine, </w:t>
      </w:r>
      <w:proofErr w:type="spellStart"/>
      <w:r w:rsidR="0085771B">
        <w:t>perimeningeal</w:t>
      </w:r>
      <w:proofErr w:type="spellEnd"/>
      <w:r w:rsidR="0085771B">
        <w:t xml:space="preserve"> </w:t>
      </w:r>
      <w:proofErr w:type="spellStart"/>
      <w:r w:rsidR="0085771B">
        <w:t>rhabdomyosarcoma</w:t>
      </w:r>
      <w:proofErr w:type="spellEnd"/>
      <w:r w:rsidR="0085771B">
        <w:t xml:space="preserve">, </w:t>
      </w:r>
      <w:proofErr w:type="gramStart"/>
      <w:r w:rsidR="0085771B">
        <w:t>adenoid</w:t>
      </w:r>
      <w:proofErr w:type="gramEnd"/>
      <w:r w:rsidR="0085771B">
        <w:t xml:space="preserve"> cystic carcinoma on the lacrimal gland, ocular melanoma and </w:t>
      </w:r>
      <w:proofErr w:type="spellStart"/>
      <w:r w:rsidR="0085771B">
        <w:t>choroidal</w:t>
      </w:r>
      <w:proofErr w:type="spellEnd"/>
      <w:r w:rsidR="0085771B">
        <w:t xml:space="preserve"> melanoma</w:t>
      </w:r>
      <w:r w:rsidR="00DA75B5">
        <w:t>.</w:t>
      </w:r>
      <w:r w:rsidR="0085771B">
        <w:rPr>
          <w:rStyle w:val="FootnoteReference"/>
        </w:rPr>
        <w:footnoteReference w:id="3"/>
      </w:r>
      <w:r w:rsidR="0085771B">
        <w:t xml:space="preserve"> </w:t>
      </w:r>
      <w:r w:rsidR="003B7A9E">
        <w:t>Patients who received PBT overseas ranged in age from 17 months to 63 years old.</w:t>
      </w:r>
    </w:p>
    <w:p w14:paraId="16B9AF36" w14:textId="04E86A6A" w:rsidR="00F6417C" w:rsidRDefault="00987B80" w:rsidP="00E248C3">
      <w:pPr>
        <w:pStyle w:val="BodyText"/>
      </w:pPr>
      <w:r>
        <w:t xml:space="preserve">There </w:t>
      </w:r>
      <w:r w:rsidR="009F4339">
        <w:t>is also evidence for the use of PBT in the treatment of other conditions, including</w:t>
      </w:r>
      <w:r>
        <w:t xml:space="preserve"> gastrointestinal malignancies (oesophagus, liver, </w:t>
      </w:r>
      <w:proofErr w:type="gramStart"/>
      <w:r>
        <w:t>pancreas</w:t>
      </w:r>
      <w:proofErr w:type="gramEnd"/>
      <w:r>
        <w:t xml:space="preserve">), malignant lymphoma, breast cancer, lung cancer and prostate cancer. </w:t>
      </w:r>
      <w:r w:rsidR="006E7CE7">
        <w:t>As t</w:t>
      </w:r>
      <w:r w:rsidR="002D11AB">
        <w:t>here are competing treatment m</w:t>
      </w:r>
      <w:r w:rsidR="006E7CE7">
        <w:t xml:space="preserve">odalities for these indications, applications under the MTO </w:t>
      </w:r>
      <w:r w:rsidR="00C526DC">
        <w:t>Program would not be supported.</w:t>
      </w:r>
      <w:r w:rsidR="000D2EB3">
        <w:t xml:space="preserve"> Appendix A lists the radiation therapy options for various tumour types, taken from the </w:t>
      </w:r>
      <w:r w:rsidR="000D2EB3" w:rsidRPr="004A1AA1">
        <w:t xml:space="preserve">Faculty of Radiation Oncology Position Paper on Particle Therapy </w:t>
      </w:r>
      <w:r w:rsidR="000D2EB3">
        <w:t>(RANZCR, 2015).</w:t>
      </w:r>
    </w:p>
    <w:p w14:paraId="1DAEA2EE" w14:textId="77777777" w:rsidR="00896845" w:rsidRPr="00E364F7" w:rsidRDefault="00896845" w:rsidP="009262D2">
      <w:pPr>
        <w:pStyle w:val="Heading3"/>
      </w:pPr>
      <w:r w:rsidRPr="00E364F7">
        <w:t>Intervention</w:t>
      </w:r>
    </w:p>
    <w:p w14:paraId="02D52881" w14:textId="7F9BD660" w:rsidR="00C531F2" w:rsidRDefault="0097606E" w:rsidP="00C74102">
      <w:pPr>
        <w:pStyle w:val="BodyText"/>
      </w:pPr>
      <w:r>
        <w:t xml:space="preserve">PBT </w:t>
      </w:r>
      <w:r w:rsidR="007F7E9A">
        <w:t xml:space="preserve">is a form of external beam radiation therapy that uses </w:t>
      </w:r>
      <w:r w:rsidR="007C6BAA">
        <w:t>heavier particles (</w:t>
      </w:r>
      <w:r w:rsidR="007F7E9A">
        <w:t>protons</w:t>
      </w:r>
      <w:r w:rsidR="007C6BAA">
        <w:t>)</w:t>
      </w:r>
      <w:r w:rsidR="007F7E9A">
        <w:t xml:space="preserve"> instead </w:t>
      </w:r>
      <w:r w:rsidR="004472B9">
        <w:t>of X-rays (photons), which are used in conventional radiotherapy</w:t>
      </w:r>
      <w:r w:rsidR="007F7E9A">
        <w:t xml:space="preserve">. </w:t>
      </w:r>
      <w:r w:rsidR="007C6BAA">
        <w:t>PBT</w:t>
      </w:r>
      <w:r w:rsidR="007F7E9A">
        <w:t xml:space="preserve"> </w:t>
      </w:r>
      <w:r>
        <w:t xml:space="preserve">may be used as primary treatment or </w:t>
      </w:r>
      <w:r w:rsidR="002B06A4">
        <w:t xml:space="preserve">as salvage therapy </w:t>
      </w:r>
      <w:r w:rsidR="007C6BAA">
        <w:t>(</w:t>
      </w:r>
      <w:r w:rsidR="002B06A4">
        <w:t>in the case of</w:t>
      </w:r>
      <w:r>
        <w:t xml:space="preserve"> recurrent disease or after failure of initial therapy</w:t>
      </w:r>
      <w:r w:rsidR="007C6BAA">
        <w:t>)</w:t>
      </w:r>
      <w:r>
        <w:t xml:space="preserve">. </w:t>
      </w:r>
      <w:r w:rsidR="004472B9">
        <w:t>It</w:t>
      </w:r>
      <w:r w:rsidR="00C531F2">
        <w:t xml:space="preserve"> </w:t>
      </w:r>
      <w:r w:rsidR="008D32E0">
        <w:t>is</w:t>
      </w:r>
      <w:r w:rsidR="007D4D8F">
        <w:t xml:space="preserve"> typically delivered </w:t>
      </w:r>
      <w:r w:rsidR="007B03FA">
        <w:t xml:space="preserve">on an outpatient basis </w:t>
      </w:r>
      <w:r w:rsidR="007D4D8F">
        <w:t>in daily frac</w:t>
      </w:r>
      <w:r>
        <w:t>tions (Monday through Friday), with e</w:t>
      </w:r>
      <w:r w:rsidR="007D4D8F">
        <w:t xml:space="preserve">ach treatment session </w:t>
      </w:r>
      <w:r>
        <w:t>taking</w:t>
      </w:r>
      <w:r w:rsidR="007D4D8F">
        <w:t xml:space="preserve"> 15-60 minutes depending on the type and location of the tumour</w:t>
      </w:r>
      <w:r w:rsidR="005118A5">
        <w:t xml:space="preserve"> (Washington </w:t>
      </w:r>
      <w:r w:rsidR="00AC2DD2">
        <w:t>State Health Care Authority</w:t>
      </w:r>
      <w:r w:rsidR="005118A5">
        <w:t>, 2014)</w:t>
      </w:r>
      <w:r w:rsidR="007D4D8F">
        <w:t xml:space="preserve">. The total duration of the treatment course </w:t>
      </w:r>
      <w:r>
        <w:t>varies</w:t>
      </w:r>
      <w:r w:rsidR="007D4D8F">
        <w:t xml:space="preserve"> by type and location of the tumour, and may last up to </w:t>
      </w:r>
      <w:r w:rsidR="00373398">
        <w:t>eight</w:t>
      </w:r>
      <w:r w:rsidR="007D4D8F">
        <w:t xml:space="preserve"> weeks.</w:t>
      </w:r>
      <w:r>
        <w:t xml:space="preserve"> </w:t>
      </w:r>
    </w:p>
    <w:p w14:paraId="37A2552E" w14:textId="3ADD2914" w:rsidR="00C531F2" w:rsidRDefault="00C531F2" w:rsidP="00C74102">
      <w:pPr>
        <w:pStyle w:val="BodyText"/>
      </w:pPr>
      <w:r>
        <w:t xml:space="preserve">While PBT is often used as </w:t>
      </w:r>
      <w:proofErr w:type="spellStart"/>
      <w:r>
        <w:t>monotherapy</w:t>
      </w:r>
      <w:proofErr w:type="spellEnd"/>
      <w:r>
        <w:t xml:space="preserve">, it </w:t>
      </w:r>
      <w:r w:rsidR="00DA6968">
        <w:t>is</w:t>
      </w:r>
      <w:r>
        <w:t xml:space="preserve"> also used as a ‘boost’ mechanism to conventional radiation therapy, </w:t>
      </w:r>
      <w:r w:rsidR="002B06A4">
        <w:t>or</w:t>
      </w:r>
      <w:r>
        <w:t xml:space="preserve"> in combination with other modalities such as chemotherapy and surgery</w:t>
      </w:r>
      <w:r w:rsidR="00E67CAD">
        <w:t xml:space="preserve"> (Washington State Health Care Authority, 2014)</w:t>
      </w:r>
      <w:r>
        <w:t>.</w:t>
      </w:r>
      <w:r w:rsidR="004A152B">
        <w:t xml:space="preserve"> Traditionally, PBT has been delivered via passively scattered beam technology, typically using a fixed beam. However, newer proton delivery systems use pencil scanning technology which allows intensity modulated proton therapy (IMPT).</w:t>
      </w:r>
    </w:p>
    <w:p w14:paraId="73278F20" w14:textId="77777777" w:rsidR="006974BB" w:rsidRDefault="008C67D8" w:rsidP="00C74102">
      <w:pPr>
        <w:pStyle w:val="BodyText"/>
      </w:pPr>
      <w:r w:rsidRPr="008C67D8">
        <w:lastRenderedPageBreak/>
        <w:t>Radiation therapy requires a multidisciplinary team including radiation oncologists, medical physicists and radiation therapists. Some site-specific cancers may also involve a diagnostic radiologist and/or surgeon.</w:t>
      </w:r>
      <w:r>
        <w:t xml:space="preserve"> </w:t>
      </w:r>
      <w:r w:rsidR="00D5011A">
        <w:t>The service is provided at PBT centres after referral from the radiation oncologist caring for the patient. Prior to PBT, patients will have undergone diagnostic imaging and pathology, and in some cases may have had surgery or other treatment</w:t>
      </w:r>
      <w:r>
        <w:t xml:space="preserve"> such as chemotherapy</w:t>
      </w:r>
      <w:r w:rsidR="00D5011A">
        <w:t xml:space="preserve">. </w:t>
      </w:r>
    </w:p>
    <w:p w14:paraId="40E00265" w14:textId="528096BC" w:rsidR="008A4DB4" w:rsidRPr="006974BB" w:rsidRDefault="008A4DB4" w:rsidP="00C74102">
      <w:pPr>
        <w:pStyle w:val="BodyText"/>
      </w:pPr>
      <w:r w:rsidRPr="006974BB">
        <w:t xml:space="preserve">PBT can allow for radiation treatment plans that are highly conformal to the target volume. PBT planning defines the necessary field sizes, gantry angles, and beam energies needed to achieve the desired radiation dose distribution. PBT treatment planning is a multi-step process and shares functions common to other forms of external </w:t>
      </w:r>
      <w:r w:rsidR="001F2F14" w:rsidRPr="006974BB">
        <w:t>beam radiotherapy planning.</w:t>
      </w:r>
    </w:p>
    <w:p w14:paraId="6400216B" w14:textId="003E16C2" w:rsidR="006974BB" w:rsidRDefault="006974BB" w:rsidP="006974BB">
      <w:pPr>
        <w:pStyle w:val="BodyText"/>
        <w:numPr>
          <w:ilvl w:val="0"/>
          <w:numId w:val="30"/>
        </w:numPr>
      </w:pPr>
      <w:r w:rsidRPr="006974BB">
        <w:rPr>
          <w:b/>
        </w:rPr>
        <w:t>Simulation and imaging</w:t>
      </w:r>
      <w:r>
        <w:t>: Three-dimensi</w:t>
      </w:r>
      <w:r w:rsidRPr="006974BB">
        <w:t>onal acquisition of the target region by simulation employing magnetic resonance imaging (MRI) or computed tomography (CT), with or without positron emission tomography (PET) is an essential prerequisite to PBT treatment planning.</w:t>
      </w:r>
    </w:p>
    <w:p w14:paraId="532AA538" w14:textId="36F936E1" w:rsidR="006974BB" w:rsidRDefault="006974BB" w:rsidP="006974BB">
      <w:pPr>
        <w:pStyle w:val="BodyText"/>
        <w:numPr>
          <w:ilvl w:val="0"/>
          <w:numId w:val="30"/>
        </w:numPr>
      </w:pPr>
      <w:r w:rsidRPr="006974BB">
        <w:rPr>
          <w:b/>
        </w:rPr>
        <w:t>Contouring</w:t>
      </w:r>
      <w:r>
        <w:t xml:space="preserve">: </w:t>
      </w:r>
      <w:r w:rsidR="0089545D">
        <w:t>The radiation oncologist defines a margin around the Gross T</w:t>
      </w:r>
      <w:r>
        <w:t xml:space="preserve">umour </w:t>
      </w:r>
      <w:r w:rsidR="0089545D">
        <w:t>V</w:t>
      </w:r>
      <w:r>
        <w:t xml:space="preserve">olume (if there has not been previous treatment with surgery or chemotherapy), </w:t>
      </w:r>
      <w:r w:rsidR="0089545D">
        <w:t>the Clinical Target V</w:t>
      </w:r>
      <w:r>
        <w:t xml:space="preserve">olume (which encompasses the areas at risk for microscopic disease) and nearby normal structures that could potentially be harmed by radiation. </w:t>
      </w:r>
    </w:p>
    <w:p w14:paraId="491DF9F9" w14:textId="42076D68" w:rsidR="006974BB" w:rsidRDefault="006974BB" w:rsidP="006974BB">
      <w:pPr>
        <w:pStyle w:val="BodyText"/>
        <w:numPr>
          <w:ilvl w:val="0"/>
          <w:numId w:val="30"/>
        </w:numPr>
      </w:pPr>
      <w:r w:rsidRPr="0089545D">
        <w:rPr>
          <w:b/>
        </w:rPr>
        <w:t>Radiation dose prescribing</w:t>
      </w:r>
      <w:r>
        <w:t xml:space="preserve">: </w:t>
      </w:r>
      <w:r w:rsidR="0089545D">
        <w:t>Specific dose coverage requirements are assigned by the radiation oncologist for the Clinical Target Volume to maximise the potential for disease control and minimise the risk of radiation injury to normal tissue.</w:t>
      </w:r>
    </w:p>
    <w:p w14:paraId="2EA1F4AE" w14:textId="76F4087C" w:rsidR="0089545D" w:rsidRDefault="0089545D" w:rsidP="006974BB">
      <w:pPr>
        <w:pStyle w:val="BodyText"/>
        <w:numPr>
          <w:ilvl w:val="0"/>
          <w:numId w:val="30"/>
        </w:numPr>
      </w:pPr>
      <w:proofErr w:type="spellStart"/>
      <w:r>
        <w:rPr>
          <w:b/>
        </w:rPr>
        <w:t>Dosimetric</w:t>
      </w:r>
      <w:proofErr w:type="spellEnd"/>
      <w:r>
        <w:rPr>
          <w:b/>
        </w:rPr>
        <w:t xml:space="preserve"> planning and calculations</w:t>
      </w:r>
      <w:r w:rsidRPr="0089545D">
        <w:t>:</w:t>
      </w:r>
      <w:r>
        <w:t xml:space="preserve"> A qualified medical physicist or a supervised </w:t>
      </w:r>
      <w:proofErr w:type="spellStart"/>
      <w:r>
        <w:t>dosimetrist</w:t>
      </w:r>
      <w:proofErr w:type="spellEnd"/>
      <w:r>
        <w:t xml:space="preserve"> calculates a treatment plan to deliver the prescribed radiation dose t</w:t>
      </w:r>
      <w:r w:rsidR="00264ABC">
        <w:t>o the Clinical Target V</w:t>
      </w:r>
      <w:r>
        <w:t>olume</w:t>
      </w:r>
      <w:r w:rsidR="00264ABC">
        <w:t xml:space="preserve"> while simultaneously satisfying normal tissue constraints. The treatment plan specifies a</w:t>
      </w:r>
      <w:r>
        <w:t xml:space="preserve">ll delivery parameters and/or field specific hardware </w:t>
      </w:r>
      <w:r w:rsidR="00264ABC">
        <w:t>as well as the</w:t>
      </w:r>
      <w:r>
        <w:t xml:space="preserve"> expected dose distribution.</w:t>
      </w:r>
      <w:r w:rsidR="00264ABC">
        <w:t xml:space="preserve"> </w:t>
      </w:r>
      <w:r w:rsidR="00373398">
        <w:t xml:space="preserve">After completion of </w:t>
      </w:r>
      <w:proofErr w:type="spellStart"/>
      <w:r w:rsidR="00373398">
        <w:t>isodose</w:t>
      </w:r>
      <w:proofErr w:type="spellEnd"/>
      <w:r w:rsidR="00373398">
        <w:t xml:space="preserve"> planning, an independent verification of the radiation dose should be performed by a medical </w:t>
      </w:r>
      <w:proofErr w:type="spellStart"/>
      <w:r w:rsidR="00373398">
        <w:t>dosimetrist</w:t>
      </w:r>
      <w:proofErr w:type="spellEnd"/>
      <w:r w:rsidR="00373398">
        <w:t xml:space="preserve"> or physicist. </w:t>
      </w:r>
      <w:r w:rsidR="00264ABC">
        <w:t>As PBT dose distributions are sensitive to changes in target depth and shape, changes in patient anatomy during treatment may require repeat planning.</w:t>
      </w:r>
    </w:p>
    <w:p w14:paraId="779DA32F" w14:textId="675A41D9" w:rsidR="00264ABC" w:rsidRDefault="00373398" w:rsidP="003B7A9E">
      <w:pPr>
        <w:pStyle w:val="BodyText"/>
      </w:pPr>
      <w:r>
        <w:t>For every treatment fraction, i</w:t>
      </w:r>
      <w:r w:rsidR="00264ABC">
        <w:t xml:space="preserve">maging techniques such as stereotactic X-ray or CT scan </w:t>
      </w:r>
      <w:r>
        <w:t>(collectively referred to as Image Guided Radiation Therapy) are</w:t>
      </w:r>
      <w:r w:rsidR="00264ABC">
        <w:t xml:space="preserve"> used to verify accurate and consistent patient and target setup</w:t>
      </w:r>
      <w:r>
        <w:t>.</w:t>
      </w:r>
    </w:p>
    <w:p w14:paraId="5087D6B8" w14:textId="2ACC4871" w:rsidR="003B7A9E" w:rsidRDefault="00903C0D" w:rsidP="003B7A9E">
      <w:pPr>
        <w:pStyle w:val="BodyText"/>
      </w:pPr>
      <w:r>
        <w:t>From 1</w:t>
      </w:r>
      <w:r w:rsidRPr="007E77F3">
        <w:rPr>
          <w:vertAlign w:val="superscript"/>
        </w:rPr>
        <w:t>st</w:t>
      </w:r>
      <w:r>
        <w:t xml:space="preserve"> J</w:t>
      </w:r>
      <w:r w:rsidR="00C62782">
        <w:t>anuary 2012</w:t>
      </w:r>
      <w:r>
        <w:t xml:space="preserve"> to 31</w:t>
      </w:r>
      <w:r w:rsidR="007A6154" w:rsidRPr="007A6154">
        <w:rPr>
          <w:vertAlign w:val="superscript"/>
        </w:rPr>
        <w:t>st</w:t>
      </w:r>
      <w:r>
        <w:t xml:space="preserve"> December 201</w:t>
      </w:r>
      <w:r w:rsidR="00C62782">
        <w:t>6</w:t>
      </w:r>
      <w:r>
        <w:t xml:space="preserve">, the total treatment cost for PBT under the MTO Program </w:t>
      </w:r>
      <w:r w:rsidR="00C62782">
        <w:t xml:space="preserve">(including travel reimbursement) </w:t>
      </w:r>
      <w:r w:rsidR="003B7A9E">
        <w:t>was</w:t>
      </w:r>
      <w:r w:rsidR="00C62782">
        <w:t xml:space="preserve"> approximately</w:t>
      </w:r>
      <w:r w:rsidR="003B7A9E">
        <w:t xml:space="preserve"> $AUD</w:t>
      </w:r>
      <w:r w:rsidR="00C62782">
        <w:t>2.8m</w:t>
      </w:r>
      <w:r w:rsidR="003B7A9E">
        <w:t>, which equates to an average cost of $14</w:t>
      </w:r>
      <w:r w:rsidR="00C62782">
        <w:t>0,000</w:t>
      </w:r>
      <w:r w:rsidR="003B7A9E">
        <w:t xml:space="preserve"> per patient. The cost of treatment with PBT depends on the regimen (the number of fractions per treatment ranged from 6 to 40) and </w:t>
      </w:r>
      <w:r w:rsidR="00D5011A">
        <w:t xml:space="preserve">whether PBT was performed as </w:t>
      </w:r>
      <w:proofErr w:type="spellStart"/>
      <w:r w:rsidR="00D5011A">
        <w:t>monotherapy</w:t>
      </w:r>
      <w:proofErr w:type="spellEnd"/>
      <w:r w:rsidR="00D5011A">
        <w:t xml:space="preserve"> or as</w:t>
      </w:r>
      <w:r w:rsidR="003B7A9E">
        <w:t xml:space="preserve"> multi-modal treatment (i.e. PBT plus adjuvant chemotherapy, or PBT plus surgery). Total treatment costs have ranged from $AUD19</w:t>
      </w:r>
      <w:proofErr w:type="gramStart"/>
      <w:r w:rsidR="003B7A9E">
        <w:t>,000</w:t>
      </w:r>
      <w:proofErr w:type="gramEnd"/>
      <w:r w:rsidR="003B7A9E">
        <w:t xml:space="preserve"> to $270,000; however other costs (including accommodation, airfares and other treatment-related eligible expenses) bring the total cost to $AUD27,000 to $300,000. </w:t>
      </w:r>
    </w:p>
    <w:p w14:paraId="67A5AAE9" w14:textId="187C18FD" w:rsidR="00D5011A" w:rsidRDefault="00D5011A" w:rsidP="00D5011A">
      <w:pPr>
        <w:pStyle w:val="BodyText"/>
      </w:pPr>
      <w:r w:rsidRPr="00E248C3">
        <w:t xml:space="preserve">The construction of cyclotrons at the </w:t>
      </w:r>
      <w:r>
        <w:t>core</w:t>
      </w:r>
      <w:r w:rsidRPr="00E248C3">
        <w:t xml:space="preserve"> of proton beam facilities is very expensive</w:t>
      </w:r>
      <w:r>
        <w:t>;</w:t>
      </w:r>
      <w:r w:rsidRPr="00E248C3">
        <w:t xml:space="preserve"> however, </w:t>
      </w:r>
      <w:r>
        <w:t xml:space="preserve">there is </w:t>
      </w:r>
      <w:r w:rsidRPr="00E248C3">
        <w:t xml:space="preserve">potential </w:t>
      </w:r>
      <w:r>
        <w:t xml:space="preserve">for considerable growth in </w:t>
      </w:r>
      <w:r w:rsidRPr="00E248C3">
        <w:t>pa</w:t>
      </w:r>
      <w:r>
        <w:t xml:space="preserve">tient numbers and reimbursement as </w:t>
      </w:r>
      <w:r w:rsidRPr="00E248C3">
        <w:t xml:space="preserve">the use of PBT </w:t>
      </w:r>
      <w:r>
        <w:t>expands</w:t>
      </w:r>
      <w:r w:rsidRPr="00E248C3">
        <w:t xml:space="preserve"> in many settin</w:t>
      </w:r>
      <w:r>
        <w:t xml:space="preserve">gs to treat more common cancers, </w:t>
      </w:r>
      <w:r w:rsidRPr="00E248C3">
        <w:t xml:space="preserve">such as those of the prostate, breast, liver, </w:t>
      </w:r>
      <w:r w:rsidRPr="00E248C3">
        <w:lastRenderedPageBreak/>
        <w:t>and lung</w:t>
      </w:r>
      <w:r>
        <w:t>. In recent years, the number of proton centre</w:t>
      </w:r>
      <w:r w:rsidRPr="00E248C3">
        <w:t>s has grown substantially</w:t>
      </w:r>
      <w:r>
        <w:t xml:space="preserve"> and proton beam units have become more affordable and commercially available (Washington </w:t>
      </w:r>
      <w:r w:rsidR="009C0BB2">
        <w:t>State Health Care Authority</w:t>
      </w:r>
      <w:r>
        <w:t>, 2014). A number of alternative treatment facilities have emerged overseas that charge substantially lower costs with the same level of outcome. The Department does not have preferred provider arrangements with any PBT facility overseas.</w:t>
      </w:r>
    </w:p>
    <w:p w14:paraId="224F45DD" w14:textId="77777777" w:rsidR="002B3338" w:rsidRPr="00475CBC" w:rsidRDefault="002B3338" w:rsidP="00475CBC">
      <w:pPr>
        <w:pStyle w:val="BodyText"/>
        <w:rPr>
          <w:i/>
          <w:u w:val="single"/>
        </w:rPr>
      </w:pPr>
      <w:r w:rsidRPr="00475CBC">
        <w:rPr>
          <w:i/>
          <w:u w:val="single"/>
        </w:rPr>
        <w:t>Rationale</w:t>
      </w:r>
    </w:p>
    <w:p w14:paraId="18406284" w14:textId="6BD772E8" w:rsidR="00F156CD" w:rsidRDefault="00D95F1A" w:rsidP="007B135A">
      <w:pPr>
        <w:pStyle w:val="BodyText"/>
      </w:pPr>
      <w:r>
        <w:t>Protons are positively-</w:t>
      </w:r>
      <w:r w:rsidRPr="00E248C3">
        <w:t xml:space="preserve">charged subatomic particles that have been in clinical use as a form of external beam radiotherapy for over 60 years. </w:t>
      </w:r>
      <w:r>
        <w:t xml:space="preserve">As for all external beam radiotherapy, the goal is to deliver sufficient radiation to the target tumour while mitigating the effects on adjacent normal tissue. This has been a challenge for conventional photon therapy as </w:t>
      </w:r>
      <w:r w:rsidRPr="00E248C3">
        <w:t xml:space="preserve">radiation </w:t>
      </w:r>
      <w:r>
        <w:t xml:space="preserve">is delivered </w:t>
      </w:r>
      <w:r w:rsidRPr="00E248C3">
        <w:t>across tissue depths on the way toward the target tumo</w:t>
      </w:r>
      <w:r>
        <w:t xml:space="preserve">ur and </w:t>
      </w:r>
      <w:r w:rsidRPr="00E248C3">
        <w:t>to deeper tissue depths beyond the target</w:t>
      </w:r>
      <w:r>
        <w:t xml:space="preserve"> (Washington </w:t>
      </w:r>
      <w:r w:rsidR="009C0BB2">
        <w:t>State Health Care Authority</w:t>
      </w:r>
      <w:r>
        <w:t>, 2014)</w:t>
      </w:r>
      <w:r w:rsidRPr="00E248C3">
        <w:t xml:space="preserve">. </w:t>
      </w:r>
    </w:p>
    <w:p w14:paraId="7D8C6494" w14:textId="2545954C" w:rsidR="007B135A" w:rsidRDefault="00D95F1A" w:rsidP="007B135A">
      <w:pPr>
        <w:pStyle w:val="BodyText"/>
      </w:pPr>
      <w:r>
        <w:t>In contrast</w:t>
      </w:r>
      <w:r w:rsidRPr="00E248C3">
        <w:t xml:space="preserve">, </w:t>
      </w:r>
      <w:r w:rsidR="004472B9">
        <w:t xml:space="preserve">the physical profile of a beam of proton particles allows for the majority of its energy to be deposited over a very narrow range of tissue at a depth largely determined by the energy of the </w:t>
      </w:r>
      <w:r w:rsidRPr="00E248C3">
        <w:t>proton beam</w:t>
      </w:r>
      <w:r w:rsidR="004472B9">
        <w:t xml:space="preserve">. </w:t>
      </w:r>
      <w:proofErr w:type="gramStart"/>
      <w:r w:rsidR="00F156CD">
        <w:t>Compared with a photon beam, a proton beam deposits relatively less radiation energy upon entering the body.</w:t>
      </w:r>
      <w:proofErr w:type="gramEnd"/>
      <w:r w:rsidR="00F156CD">
        <w:t xml:space="preserve"> The energy deposition of the proton beam then rapidly increases over a narrow range of tissue at the desired depth to produce an intense dose distribution pattern, which is known as the </w:t>
      </w:r>
      <w:r w:rsidRPr="00E248C3">
        <w:t>Bragg peak (Larsson</w:t>
      </w:r>
      <w:r w:rsidR="00203986">
        <w:t xml:space="preserve"> et al</w:t>
      </w:r>
      <w:r w:rsidRPr="00E248C3">
        <w:t xml:space="preserve">, 1958). </w:t>
      </w:r>
      <w:r w:rsidR="007B135A">
        <w:t xml:space="preserve">Beyond the Bragg peak, </w:t>
      </w:r>
      <w:r w:rsidR="00F156CD">
        <w:t>energy and dose deposition rapidly decrease, resulting in the absence of any significant exit dose deposited in normal tissue beyond the target.</w:t>
      </w:r>
    </w:p>
    <w:p w14:paraId="05B17BA8" w14:textId="5B9103FF" w:rsidR="00C87145" w:rsidRDefault="00203986" w:rsidP="007B135A">
      <w:pPr>
        <w:pStyle w:val="BodyText"/>
      </w:pPr>
      <w:r>
        <w:t>T</w:t>
      </w:r>
      <w:r w:rsidR="00C87145">
        <w:t xml:space="preserve">he physical </w:t>
      </w:r>
      <w:proofErr w:type="gramStart"/>
      <w:r w:rsidR="00C87145">
        <w:t xml:space="preserve">characteristics of protons </w:t>
      </w:r>
      <w:r>
        <w:t xml:space="preserve">therefore </w:t>
      </w:r>
      <w:r w:rsidR="004A1AA1">
        <w:t>offer</w:t>
      </w:r>
      <w:r w:rsidR="007B135A">
        <w:t>s</w:t>
      </w:r>
      <w:proofErr w:type="gramEnd"/>
      <w:r w:rsidR="004A1AA1">
        <w:t xml:space="preserve"> potential benefits over</w:t>
      </w:r>
      <w:r w:rsidR="00C87145">
        <w:t xml:space="preserve"> photon</w:t>
      </w:r>
      <w:r w:rsidR="004A1AA1">
        <w:t xml:space="preserve"> X-ray therapy</w:t>
      </w:r>
      <w:r w:rsidR="00C87145">
        <w:t xml:space="preserve">. </w:t>
      </w:r>
      <w:r w:rsidR="004A1AA1">
        <w:t>These</w:t>
      </w:r>
      <w:r w:rsidR="00C87145">
        <w:t xml:space="preserve"> </w:t>
      </w:r>
      <w:r w:rsidR="004A1AA1">
        <w:t>potential benefits</w:t>
      </w:r>
      <w:r w:rsidR="007B135A">
        <w:t>, which remain to be proven clinically,</w:t>
      </w:r>
      <w:r w:rsidR="004A1AA1">
        <w:t xml:space="preserve"> are outlined in the </w:t>
      </w:r>
      <w:r w:rsidR="004A1AA1" w:rsidRPr="004A1AA1">
        <w:t xml:space="preserve">Faculty of Radiation Oncology Position Paper on Particle Therapy </w:t>
      </w:r>
      <w:r w:rsidR="004A1AA1">
        <w:t>(RANZCR, 2015)</w:t>
      </w:r>
      <w:r w:rsidR="00C87145">
        <w:t>:</w:t>
      </w:r>
    </w:p>
    <w:p w14:paraId="5924A1C1" w14:textId="23E63C7E" w:rsidR="000C3A4D" w:rsidRPr="009262D2" w:rsidRDefault="004A1AA1" w:rsidP="009262D2">
      <w:pPr>
        <w:pStyle w:val="ListBullet"/>
      </w:pPr>
      <w:r w:rsidRPr="009262D2">
        <w:t>F</w:t>
      </w:r>
      <w:r w:rsidR="00C87145" w:rsidRPr="009262D2">
        <w:t xml:space="preserve">ewer early and late side effects compared to photons, depending on the nature of the photon therapy (e.g. </w:t>
      </w:r>
      <w:r w:rsidR="00E369CE" w:rsidRPr="009262D2">
        <w:t>stereotactic body radiation therapy [SBRT]</w:t>
      </w:r>
      <w:r w:rsidR="00C87145" w:rsidRPr="009262D2">
        <w:t xml:space="preserve">, </w:t>
      </w:r>
      <w:r w:rsidR="008D32E0" w:rsidRPr="009262D2">
        <w:t>intensity modulated radiation therapy [</w:t>
      </w:r>
      <w:r w:rsidR="00C87145" w:rsidRPr="009262D2">
        <w:t>IMRT</w:t>
      </w:r>
      <w:r w:rsidR="008D32E0" w:rsidRPr="009262D2">
        <w:t>]</w:t>
      </w:r>
      <w:r w:rsidR="00C87145" w:rsidRPr="009262D2">
        <w:t xml:space="preserve">), </w:t>
      </w:r>
      <w:r w:rsidR="00F156CD" w:rsidRPr="009262D2">
        <w:t xml:space="preserve">the </w:t>
      </w:r>
      <w:r w:rsidR="000C3A4D" w:rsidRPr="009262D2">
        <w:t xml:space="preserve">type of </w:t>
      </w:r>
      <w:r w:rsidR="00C87145" w:rsidRPr="009262D2">
        <w:t>proton treatment (</w:t>
      </w:r>
      <w:r w:rsidR="000C3A4D" w:rsidRPr="009262D2">
        <w:t xml:space="preserve">e.g. </w:t>
      </w:r>
      <w:r w:rsidR="00C87145" w:rsidRPr="009262D2">
        <w:t>in</w:t>
      </w:r>
      <w:r w:rsidR="000C3A4D" w:rsidRPr="009262D2">
        <w:t>tensity modulated or fixed beam</w:t>
      </w:r>
      <w:r w:rsidR="00C87145" w:rsidRPr="009262D2">
        <w:t>)</w:t>
      </w:r>
      <w:r w:rsidR="000C3A4D" w:rsidRPr="009262D2">
        <w:t xml:space="preserve">, </w:t>
      </w:r>
      <w:r w:rsidR="00490D55" w:rsidRPr="009262D2">
        <w:t xml:space="preserve">clinical </w:t>
      </w:r>
      <w:r w:rsidR="00C87145" w:rsidRPr="009262D2">
        <w:t>exp</w:t>
      </w:r>
      <w:r w:rsidR="000C3A4D" w:rsidRPr="009262D2">
        <w:t xml:space="preserve">erience with the use of protons, and </w:t>
      </w:r>
      <w:r w:rsidR="00C87145" w:rsidRPr="009262D2">
        <w:t>the use of imaging verification of treatment set-up</w:t>
      </w:r>
      <w:r w:rsidRPr="009262D2">
        <w:t>.</w:t>
      </w:r>
    </w:p>
    <w:p w14:paraId="33693192" w14:textId="468BC06D" w:rsidR="000C3A4D" w:rsidRPr="009262D2" w:rsidRDefault="00F156CD" w:rsidP="009262D2">
      <w:pPr>
        <w:pStyle w:val="ListBullet"/>
      </w:pPr>
      <w:r w:rsidRPr="009262D2">
        <w:t>A r</w:t>
      </w:r>
      <w:r w:rsidR="000C3A4D" w:rsidRPr="009262D2">
        <w:t>eduction in risk of treatment-</w:t>
      </w:r>
      <w:r w:rsidR="00C87145" w:rsidRPr="009262D2">
        <w:t>induced benign or malignant tumours in tissues away from</w:t>
      </w:r>
      <w:r w:rsidR="000C3A4D" w:rsidRPr="009262D2">
        <w:t xml:space="preserve"> </w:t>
      </w:r>
      <w:r w:rsidR="00C87145" w:rsidRPr="009262D2">
        <w:t>the tumour</w:t>
      </w:r>
      <w:r w:rsidR="004A1AA1" w:rsidRPr="009262D2">
        <w:t>.</w:t>
      </w:r>
    </w:p>
    <w:p w14:paraId="3B84ACCA" w14:textId="1C72F31C" w:rsidR="000C3A4D" w:rsidRPr="009262D2" w:rsidRDefault="00F156CD" w:rsidP="009262D2">
      <w:pPr>
        <w:pStyle w:val="ListBullet"/>
      </w:pPr>
      <w:r w:rsidRPr="009262D2">
        <w:t>A r</w:t>
      </w:r>
      <w:r w:rsidR="00C87145" w:rsidRPr="009262D2">
        <w:t xml:space="preserve">eduction in the </w:t>
      </w:r>
      <w:r w:rsidR="000C3A4D" w:rsidRPr="009262D2">
        <w:t xml:space="preserve">radiation </w:t>
      </w:r>
      <w:r w:rsidR="00C87145" w:rsidRPr="009262D2">
        <w:t>dose to surro</w:t>
      </w:r>
      <w:r w:rsidR="000C3A4D" w:rsidRPr="009262D2">
        <w:t xml:space="preserve">unding normal tissues, which may allow </w:t>
      </w:r>
      <w:r w:rsidR="00C87145" w:rsidRPr="009262D2">
        <w:t>an adequate dose to a tumour in close proximity to critical structures</w:t>
      </w:r>
      <w:r w:rsidR="000C3A4D" w:rsidRPr="009262D2">
        <w:t xml:space="preserve"> and </w:t>
      </w:r>
      <w:r w:rsidR="00C87145" w:rsidRPr="009262D2">
        <w:t>dose escalation to a tumour to improve disease control</w:t>
      </w:r>
      <w:r w:rsidR="004A1AA1" w:rsidRPr="009262D2">
        <w:t>.</w:t>
      </w:r>
    </w:p>
    <w:p w14:paraId="4AFC3CE7" w14:textId="73FCE1D1" w:rsidR="00C87145" w:rsidRPr="009262D2" w:rsidRDefault="00F156CD" w:rsidP="009262D2">
      <w:pPr>
        <w:pStyle w:val="ListBullet"/>
      </w:pPr>
      <w:r w:rsidRPr="009262D2">
        <w:t>A r</w:t>
      </w:r>
      <w:r w:rsidR="00C87145" w:rsidRPr="009262D2">
        <w:t>eduction in the number of required treatments</w:t>
      </w:r>
      <w:r w:rsidR="000C3A4D" w:rsidRPr="009262D2">
        <w:t>.</w:t>
      </w:r>
    </w:p>
    <w:p w14:paraId="25589795" w14:textId="77777777" w:rsidR="008B4FC2" w:rsidRDefault="008B4FC2" w:rsidP="008B4FC2">
      <w:pPr>
        <w:pStyle w:val="BodyText"/>
      </w:pPr>
      <w:r>
        <w:t>While it is assumed that the biologic effects of protons are equivalent to photons, specific relative biological effectiveness (RBE) values of protons in relation to photons are not known with absolute certainty for all types of tissues and fractionation schemes (</w:t>
      </w:r>
      <w:proofErr w:type="spellStart"/>
      <w:r>
        <w:t>Paganetti</w:t>
      </w:r>
      <w:proofErr w:type="spellEnd"/>
      <w:r>
        <w:t xml:space="preserve"> et al, 2002).</w:t>
      </w:r>
    </w:p>
    <w:p w14:paraId="11438A83" w14:textId="436015AF" w:rsidR="000C3A4D" w:rsidRDefault="000C3A4D" w:rsidP="00203986">
      <w:pPr>
        <w:pStyle w:val="BodyText"/>
      </w:pPr>
      <w:r>
        <w:t>Initial use of PBT focused on cancers or noncancerous malformations of the brain stem, eye, or spinal cord, where sparing very sensitive adjacent normal tissues was felt to be of utmost importance. PBT</w:t>
      </w:r>
      <w:r w:rsidRPr="00E248C3">
        <w:t xml:space="preserve"> </w:t>
      </w:r>
      <w:r>
        <w:t>has</w:t>
      </w:r>
      <w:r w:rsidRPr="00E248C3">
        <w:t xml:space="preserve"> </w:t>
      </w:r>
      <w:r>
        <w:t xml:space="preserve">also been </w:t>
      </w:r>
      <w:r w:rsidRPr="00E248C3">
        <w:t>advocated for many p</w:t>
      </w:r>
      <w:r>
        <w:t>a</w:t>
      </w:r>
      <w:r w:rsidRPr="00E248C3">
        <w:t>ediatric tumo</w:t>
      </w:r>
      <w:r>
        <w:t xml:space="preserve">urs due to </w:t>
      </w:r>
      <w:r w:rsidRPr="00E248C3">
        <w:t xml:space="preserve">long-standing concerns regarding radiation’s potential to cause acute and long-term toxicity </w:t>
      </w:r>
      <w:r>
        <w:t xml:space="preserve">to normal tissues, </w:t>
      </w:r>
      <w:r w:rsidRPr="00E248C3">
        <w:t xml:space="preserve">secondary malignancy later in life, </w:t>
      </w:r>
      <w:r>
        <w:t>and other</w:t>
      </w:r>
      <w:r w:rsidRPr="00E248C3">
        <w:t xml:space="preserve"> more nuanced effects in children, such as </w:t>
      </w:r>
      <w:r w:rsidRPr="00E248C3">
        <w:lastRenderedPageBreak/>
        <w:t xml:space="preserve">neurocognitive impairment </w:t>
      </w:r>
      <w:r>
        <w:t>after</w:t>
      </w:r>
      <w:r w:rsidRPr="00E248C3">
        <w:t xml:space="preserve"> radiotherapy for brain cancers</w:t>
      </w:r>
      <w:r>
        <w:t xml:space="preserve"> (Washington </w:t>
      </w:r>
      <w:r w:rsidR="00DC55D3">
        <w:t>State Health Care Authority</w:t>
      </w:r>
      <w:r>
        <w:t>, 2014)</w:t>
      </w:r>
      <w:r w:rsidRPr="00E248C3">
        <w:t xml:space="preserve">. </w:t>
      </w:r>
    </w:p>
    <w:p w14:paraId="2C679BB2" w14:textId="77777777" w:rsidR="00896845" w:rsidRPr="00E364F7" w:rsidRDefault="00896845" w:rsidP="009262D2">
      <w:pPr>
        <w:pStyle w:val="Heading3"/>
      </w:pPr>
      <w:r w:rsidRPr="00E364F7">
        <w:t>Comparator</w:t>
      </w:r>
    </w:p>
    <w:p w14:paraId="23C63237" w14:textId="77777777" w:rsidR="00147852" w:rsidRDefault="00147852" w:rsidP="00147852">
      <w:pPr>
        <w:pStyle w:val="BodyText"/>
      </w:pPr>
      <w:r>
        <w:t>The comparator is usual standard care, which may include:</w:t>
      </w:r>
    </w:p>
    <w:p w14:paraId="36CFBE05" w14:textId="4F83578C" w:rsidR="00147852" w:rsidRDefault="00147852" w:rsidP="00147852">
      <w:pPr>
        <w:pStyle w:val="ListBullet"/>
      </w:pPr>
      <w:r>
        <w:t>radiation therapy alternatives, such as IMRT, SBRT or other external beam therapies</w:t>
      </w:r>
      <w:r w:rsidR="00DC427F">
        <w:t>, and also brachytherapy</w:t>
      </w:r>
      <w:r>
        <w:t xml:space="preserve">; </w:t>
      </w:r>
    </w:p>
    <w:p w14:paraId="5AB9A8A5" w14:textId="4893804F" w:rsidR="00147852" w:rsidRDefault="00147852" w:rsidP="00147852">
      <w:pPr>
        <w:pStyle w:val="ListBullet"/>
      </w:pPr>
      <w:r>
        <w:t>other treatment options specific to the clinical condition (e.g. surgery, chemotherapy, other devices such as laser therapy for ocular tumours); or</w:t>
      </w:r>
    </w:p>
    <w:p w14:paraId="656D96B7" w14:textId="2D3EA592" w:rsidR="00AE73C4" w:rsidRDefault="008E01D8" w:rsidP="00147852">
      <w:pPr>
        <w:pStyle w:val="ListBullet"/>
      </w:pPr>
      <w:proofErr w:type="gramStart"/>
      <w:r>
        <w:t>no</w:t>
      </w:r>
      <w:proofErr w:type="gramEnd"/>
      <w:r>
        <w:t xml:space="preserve"> treatment alternative</w:t>
      </w:r>
      <w:r w:rsidR="00147852">
        <w:t>.</w:t>
      </w:r>
    </w:p>
    <w:p w14:paraId="257991F6" w14:textId="77777777" w:rsidR="00896845" w:rsidRPr="00475CBC" w:rsidRDefault="002B3338" w:rsidP="00475CBC">
      <w:pPr>
        <w:pStyle w:val="BodyText"/>
        <w:rPr>
          <w:i/>
          <w:u w:val="single"/>
        </w:rPr>
      </w:pPr>
      <w:r w:rsidRPr="00475CBC">
        <w:rPr>
          <w:i/>
          <w:u w:val="single"/>
        </w:rPr>
        <w:t>Rationale</w:t>
      </w:r>
    </w:p>
    <w:p w14:paraId="0828FA81" w14:textId="4F0E92A9" w:rsidR="00536A26" w:rsidRDefault="00147852" w:rsidP="00536A26">
      <w:pPr>
        <w:pStyle w:val="BodyText"/>
      </w:pPr>
      <w:r>
        <w:t xml:space="preserve">While PBT treatment planning and delivery have evolved, so too have other approaches to radiotherapy. </w:t>
      </w:r>
      <w:r w:rsidR="004002F5">
        <w:t xml:space="preserve">In April 2015, MSAC supported public funding of IMRT for cancer treatment delivery on a cost neutral basis </w:t>
      </w:r>
      <w:proofErr w:type="gramStart"/>
      <w:r w:rsidR="004002F5">
        <w:t xml:space="preserve">relative to </w:t>
      </w:r>
      <w:r w:rsidR="000225AE">
        <w:t>three dimensional conformal radiotherapy (3D-CRT)</w:t>
      </w:r>
      <w:proofErr w:type="gramEnd"/>
      <w:r w:rsidR="004002F5">
        <w:t xml:space="preserve">. </w:t>
      </w:r>
      <w:r w:rsidR="00536A26">
        <w:t>The Public Summary Document noted that the intensity of the beams generated by IMRT is able to be modulated, resulting in a customisable radiation dose to target a tumour better</w:t>
      </w:r>
      <w:r w:rsidR="000225AE">
        <w:t>,</w:t>
      </w:r>
      <w:r w:rsidR="00536A26">
        <w:t xml:space="preserve"> while sparing surrounding non-tumour tissues</w:t>
      </w:r>
      <w:r w:rsidR="000225AE">
        <w:t>.</w:t>
      </w:r>
      <w:r w:rsidR="00536A26">
        <w:t xml:space="preserve"> </w:t>
      </w:r>
      <w:r w:rsidR="000225AE">
        <w:t>This</w:t>
      </w:r>
      <w:r w:rsidR="00536A26">
        <w:t xml:space="preserve"> potentially improv</w:t>
      </w:r>
      <w:r w:rsidR="000225AE">
        <w:t>es</w:t>
      </w:r>
      <w:r w:rsidR="00536A26">
        <w:t xml:space="preserve"> treatment outcomes</w:t>
      </w:r>
      <w:r w:rsidR="000225AE" w:rsidRPr="000225AE">
        <w:t xml:space="preserve"> </w:t>
      </w:r>
      <w:r w:rsidR="000225AE">
        <w:t>compared with 3D-CRT, including reduced incidence and severity of side effects such as acute and late toxicity</w:t>
      </w:r>
      <w:r w:rsidR="00536A26">
        <w:t xml:space="preserve">. MSAC noted the capacity to sculpt the radiation around complex tumour volumes to avoid adjacent structures may provide a treatment advantage in some patients, such as those with small volume tumours located near critical organs. Both IMRT and 3D-CRT are delivered using a linear accelerator and are widespread </w:t>
      </w:r>
      <w:r w:rsidR="00536A26" w:rsidRPr="00536A26">
        <w:t>throughout Australian radiation therapy departments</w:t>
      </w:r>
      <w:r w:rsidR="00536A26">
        <w:t>.</w:t>
      </w:r>
    </w:p>
    <w:p w14:paraId="59632FEA" w14:textId="17173F63" w:rsidR="00147852" w:rsidRDefault="00147852" w:rsidP="0041222E">
      <w:pPr>
        <w:pStyle w:val="BodyText"/>
      </w:pPr>
      <w:r>
        <w:t xml:space="preserve">Appendix A lists the treatment options for various tumour types, taken from the </w:t>
      </w:r>
      <w:r w:rsidRPr="004A1AA1">
        <w:t xml:space="preserve">Faculty of Radiation Oncology Position Paper on Particle Therapy </w:t>
      </w:r>
      <w:r>
        <w:t>(RANZCR, 2015).</w:t>
      </w:r>
      <w:r w:rsidR="00536A26">
        <w:t xml:space="preserve"> IMRT has become standard of care for many of the clinical indications of interest</w:t>
      </w:r>
      <w:r w:rsidR="009B5A63">
        <w:t xml:space="preserve"> and is funded on the </w:t>
      </w:r>
      <w:r w:rsidR="00490D55">
        <w:t>Medical Benefits Schedule (</w:t>
      </w:r>
      <w:r w:rsidR="009B5A63">
        <w:t>MBS</w:t>
      </w:r>
      <w:r w:rsidR="00490D55">
        <w:t>)</w:t>
      </w:r>
      <w:r w:rsidR="009B5A63">
        <w:t xml:space="preserve"> using item 15275</w:t>
      </w:r>
      <w:r w:rsidR="00F156CD">
        <w:t>. IMRT s</w:t>
      </w:r>
      <w:r w:rsidR="009B5A63">
        <w:t xml:space="preserve">imulation, preparation </w:t>
      </w:r>
      <w:r w:rsidR="00462FF6">
        <w:t xml:space="preserve">of a </w:t>
      </w:r>
      <w:proofErr w:type="spellStart"/>
      <w:r w:rsidR="00462FF6">
        <w:t>dosimetry</w:t>
      </w:r>
      <w:proofErr w:type="spellEnd"/>
      <w:r w:rsidR="00462FF6">
        <w:t xml:space="preserve"> plan</w:t>
      </w:r>
      <w:r w:rsidR="00F156CD">
        <w:t>,</w:t>
      </w:r>
      <w:r w:rsidR="00462FF6">
        <w:t xml:space="preserve"> </w:t>
      </w:r>
      <w:r w:rsidR="009B5A63">
        <w:t xml:space="preserve">and </w:t>
      </w:r>
      <w:r w:rsidR="00462FF6">
        <w:t xml:space="preserve">treatment </w:t>
      </w:r>
      <w:r w:rsidR="009B5A63">
        <w:t xml:space="preserve">verification are available using MBS items </w:t>
      </w:r>
      <w:r w:rsidR="00462FF6">
        <w:t>15555, 155</w:t>
      </w:r>
      <w:r w:rsidR="00F156CD">
        <w:t>65 and 15715</w:t>
      </w:r>
      <w:r w:rsidR="00536A26">
        <w:t>.</w:t>
      </w:r>
      <w:r w:rsidR="009B5A63">
        <w:t xml:space="preserve"> Stereotactic surgery (i</w:t>
      </w:r>
      <w:r w:rsidR="009B5A63" w:rsidRPr="009B5A63">
        <w:t xml:space="preserve">ncluding all radiation oncology consultations, planning, simulation, </w:t>
      </w:r>
      <w:proofErr w:type="spellStart"/>
      <w:r w:rsidR="009B5A63" w:rsidRPr="009B5A63">
        <w:t>dosimetry</w:t>
      </w:r>
      <w:proofErr w:type="spellEnd"/>
      <w:r w:rsidR="009B5A63" w:rsidRPr="009B5A63">
        <w:t xml:space="preserve"> and treatment</w:t>
      </w:r>
      <w:r w:rsidR="009B5A63">
        <w:t>) is funded on the MBS using item 15600.</w:t>
      </w:r>
    </w:p>
    <w:p w14:paraId="190D5E15" w14:textId="17BECF66" w:rsidR="0041222E" w:rsidRPr="0041222E" w:rsidRDefault="0041222E" w:rsidP="0041222E">
      <w:pPr>
        <w:pStyle w:val="BodyText"/>
      </w:pPr>
      <w:r>
        <w:t xml:space="preserve">Other particle therapy, such as carbon ion therapy, is not as widely used </w:t>
      </w:r>
      <w:r w:rsidR="00797CB6">
        <w:t xml:space="preserve">around the world </w:t>
      </w:r>
      <w:r>
        <w:t>and remains more expensive than PBT because a larger accelerator and more shielding is required. Carbon ions are normally produced by a synchrotron; however, cyclotrons capable of producing more than one particle type are being developed (RANZCR, 2015).</w:t>
      </w:r>
    </w:p>
    <w:p w14:paraId="75743401" w14:textId="77777777" w:rsidR="00896845" w:rsidRDefault="00896845" w:rsidP="009262D2">
      <w:pPr>
        <w:pStyle w:val="Heading3"/>
      </w:pPr>
      <w:r w:rsidRPr="00E364F7">
        <w:t>Outcomes</w:t>
      </w:r>
    </w:p>
    <w:p w14:paraId="4A6E1432" w14:textId="36465F78" w:rsidR="0019247C" w:rsidRDefault="00845B4B" w:rsidP="00091B49">
      <w:pPr>
        <w:pStyle w:val="BodyText"/>
      </w:pPr>
      <w:r>
        <w:t xml:space="preserve">The potential benefits of proton therapy are a consequence of </w:t>
      </w:r>
      <w:r w:rsidR="0019247C" w:rsidRPr="0019247C">
        <w:t>normal tissues</w:t>
      </w:r>
      <w:r>
        <w:t xml:space="preserve"> </w:t>
      </w:r>
      <w:r w:rsidR="0019247C" w:rsidRPr="0019247C">
        <w:t>around the target (tumour) rec</w:t>
      </w:r>
      <w:r>
        <w:t xml:space="preserve">eiving very little radiation dose. This could result in fewer side effects compared with other forms of radiation therapy and a reduction in risk </w:t>
      </w:r>
      <w:r w:rsidR="00091B49">
        <w:t>of second</w:t>
      </w:r>
      <w:r w:rsidR="00870D55">
        <w:t>ary</w:t>
      </w:r>
      <w:r w:rsidR="00091B49">
        <w:t xml:space="preserve"> malignant tumours. A </w:t>
      </w:r>
      <w:r>
        <w:t>reduction in the radiation dose to surro</w:t>
      </w:r>
      <w:r w:rsidR="00091B49">
        <w:t xml:space="preserve">unding normal tissues </w:t>
      </w:r>
      <w:r>
        <w:t xml:space="preserve">may </w:t>
      </w:r>
      <w:r w:rsidR="00091B49">
        <w:t xml:space="preserve">also </w:t>
      </w:r>
      <w:r>
        <w:t xml:space="preserve">allow an adequate dose to </w:t>
      </w:r>
      <w:r w:rsidR="00091B49">
        <w:t xml:space="preserve">be delivered to </w:t>
      </w:r>
      <w:r>
        <w:t>tumour</w:t>
      </w:r>
      <w:r w:rsidR="00091B49">
        <w:t>s</w:t>
      </w:r>
      <w:r>
        <w:t xml:space="preserve"> in close proximity to critical structures</w:t>
      </w:r>
      <w:r w:rsidR="00091B49">
        <w:t>,</w:t>
      </w:r>
      <w:r>
        <w:t xml:space="preserve"> and dose escalation to improve disease control.</w:t>
      </w:r>
    </w:p>
    <w:p w14:paraId="6F489D02" w14:textId="4FBC497D" w:rsidR="00091B49" w:rsidRPr="00091B49" w:rsidRDefault="00091B49" w:rsidP="00091B49">
      <w:pPr>
        <w:pStyle w:val="BodyText"/>
      </w:pPr>
      <w:r>
        <w:t>The outcomes of interest to the assessment are listed below.</w:t>
      </w:r>
    </w:p>
    <w:p w14:paraId="05FBF4EA" w14:textId="77777777" w:rsidR="002A66BD" w:rsidRPr="00475CBC" w:rsidRDefault="002A66BD" w:rsidP="001F2E94">
      <w:pPr>
        <w:pStyle w:val="BodyText"/>
        <w:keepNext/>
        <w:rPr>
          <w:i/>
          <w:u w:val="single"/>
        </w:rPr>
      </w:pPr>
      <w:r w:rsidRPr="00475CBC">
        <w:rPr>
          <w:i/>
          <w:u w:val="single"/>
        </w:rPr>
        <w:lastRenderedPageBreak/>
        <w:t>Patient relevant</w:t>
      </w:r>
    </w:p>
    <w:p w14:paraId="05555B57" w14:textId="53C22446" w:rsidR="0019247C" w:rsidRPr="0019247C" w:rsidRDefault="0019247C" w:rsidP="001F2E94">
      <w:pPr>
        <w:pStyle w:val="BodyText"/>
        <w:keepNext/>
      </w:pPr>
      <w:r>
        <w:t>Effe</w:t>
      </w:r>
      <w:r w:rsidRPr="0019247C">
        <w:t>c</w:t>
      </w:r>
      <w:r>
        <w:t>tiveness</w:t>
      </w:r>
      <w:r w:rsidRPr="0019247C">
        <w:t>:</w:t>
      </w:r>
    </w:p>
    <w:p w14:paraId="369DDA05" w14:textId="59F67096" w:rsidR="0019247C" w:rsidRPr="0019247C" w:rsidRDefault="0019247C" w:rsidP="0019247C">
      <w:pPr>
        <w:pStyle w:val="ListBullet"/>
      </w:pPr>
      <w:r w:rsidRPr="0019247C">
        <w:t>Disease-free and/or overall survival</w:t>
      </w:r>
    </w:p>
    <w:p w14:paraId="60C1BB3F" w14:textId="5E4A1E8E" w:rsidR="0019247C" w:rsidRPr="0019247C" w:rsidRDefault="0019247C" w:rsidP="0019247C">
      <w:pPr>
        <w:pStyle w:val="ListBullet"/>
      </w:pPr>
      <w:r w:rsidRPr="0019247C">
        <w:t>Disease-related and/or all-cause mortality</w:t>
      </w:r>
    </w:p>
    <w:p w14:paraId="03393A08" w14:textId="5C831549" w:rsidR="0019247C" w:rsidRPr="0019247C" w:rsidRDefault="0019247C" w:rsidP="0019247C">
      <w:pPr>
        <w:pStyle w:val="ListBullet"/>
      </w:pPr>
      <w:r w:rsidRPr="0019247C">
        <w:t>Disease progression</w:t>
      </w:r>
    </w:p>
    <w:p w14:paraId="4573E5BA" w14:textId="484150C0" w:rsidR="0019247C" w:rsidRPr="0019247C" w:rsidRDefault="00D262C1" w:rsidP="0019247C">
      <w:pPr>
        <w:pStyle w:val="ListBullet"/>
      </w:pPr>
      <w:r>
        <w:t>Local t</w:t>
      </w:r>
      <w:r w:rsidR="0019247C" w:rsidRPr="0019247C">
        <w:t xml:space="preserve">umour control (regression/remission) </w:t>
      </w:r>
    </w:p>
    <w:p w14:paraId="0A40D97B" w14:textId="1166603B" w:rsidR="0019247C" w:rsidRPr="0019247C" w:rsidRDefault="0019247C" w:rsidP="0019247C">
      <w:pPr>
        <w:pStyle w:val="ListBullet"/>
      </w:pPr>
      <w:r w:rsidRPr="0019247C">
        <w:t>Incidence of metastases</w:t>
      </w:r>
    </w:p>
    <w:p w14:paraId="6A7C1B52" w14:textId="05A5DCF4" w:rsidR="0019247C" w:rsidRPr="0019247C" w:rsidRDefault="0019247C" w:rsidP="0019247C">
      <w:pPr>
        <w:pStyle w:val="ListBullet"/>
      </w:pPr>
      <w:r w:rsidRPr="0019247C">
        <w:t>Health-related quality of life</w:t>
      </w:r>
    </w:p>
    <w:p w14:paraId="36310669" w14:textId="471A3A9B" w:rsidR="0019247C" w:rsidRPr="0019247C" w:rsidRDefault="0019247C" w:rsidP="0019247C">
      <w:pPr>
        <w:pStyle w:val="ListBullet"/>
      </w:pPr>
      <w:r w:rsidRPr="0019247C">
        <w:t>Other patient-relevant outcomes (e.g. visual acuity for ocular tumours)</w:t>
      </w:r>
    </w:p>
    <w:p w14:paraId="11CFBA05" w14:textId="77777777" w:rsidR="0019247C" w:rsidRPr="0019247C" w:rsidRDefault="0019247C" w:rsidP="0019247C">
      <w:pPr>
        <w:pStyle w:val="BodyText"/>
      </w:pPr>
      <w:r w:rsidRPr="0019247C">
        <w:t>Safety:</w:t>
      </w:r>
    </w:p>
    <w:p w14:paraId="69201D6B" w14:textId="46EA0529" w:rsidR="0019247C" w:rsidRPr="0019247C" w:rsidRDefault="0019247C" w:rsidP="0019247C">
      <w:pPr>
        <w:pStyle w:val="ListBullet"/>
      </w:pPr>
      <w:r w:rsidRPr="0019247C">
        <w:t>Acute radiation-related toxicities (i.e. within the first 90 days after treatment)</w:t>
      </w:r>
    </w:p>
    <w:p w14:paraId="10157647" w14:textId="1AD4CDA3" w:rsidR="0019247C" w:rsidRPr="0019247C" w:rsidRDefault="0019247C" w:rsidP="0019247C">
      <w:pPr>
        <w:pStyle w:val="ListBullet"/>
      </w:pPr>
      <w:r w:rsidRPr="0019247C">
        <w:t>Late radiation-related toxicities (i.e. &gt;90 days after treatment)</w:t>
      </w:r>
    </w:p>
    <w:p w14:paraId="2267448E" w14:textId="70E1B496" w:rsidR="0019247C" w:rsidRPr="0019247C" w:rsidRDefault="0019247C" w:rsidP="0019247C">
      <w:pPr>
        <w:pStyle w:val="ListBullet"/>
      </w:pPr>
      <w:r w:rsidRPr="0019247C">
        <w:t>Systemic effects such as fatigue, erythema or hair loss</w:t>
      </w:r>
    </w:p>
    <w:p w14:paraId="6EBDCF5A" w14:textId="1DD9DE8C" w:rsidR="0019247C" w:rsidRPr="0019247C" w:rsidRDefault="0019247C" w:rsidP="0019247C">
      <w:pPr>
        <w:pStyle w:val="ListBullet"/>
      </w:pPr>
      <w:r w:rsidRPr="0019247C">
        <w:t>Toxicities specific to each cancer type (e.g. neurocognitive impairment in paediatric patients treated for brain cancers)</w:t>
      </w:r>
    </w:p>
    <w:p w14:paraId="02C8B2C0" w14:textId="4A3B64AB" w:rsidR="0019247C" w:rsidRPr="0019247C" w:rsidRDefault="0019247C" w:rsidP="0019247C">
      <w:pPr>
        <w:pStyle w:val="ListBullet"/>
      </w:pPr>
      <w:r w:rsidRPr="0019247C">
        <w:t>Secondary malignancy</w:t>
      </w:r>
    </w:p>
    <w:p w14:paraId="687E1763" w14:textId="6391DCB8" w:rsidR="0019247C" w:rsidRPr="0019247C" w:rsidRDefault="0019247C" w:rsidP="0019247C">
      <w:pPr>
        <w:pStyle w:val="ListBullet"/>
      </w:pPr>
      <w:r w:rsidRPr="0019247C">
        <w:t>Radiation dose</w:t>
      </w:r>
    </w:p>
    <w:p w14:paraId="0144019E" w14:textId="77777777" w:rsidR="003E0382" w:rsidRPr="00BE1F15" w:rsidRDefault="002A66BD" w:rsidP="00BE1F15">
      <w:pPr>
        <w:pStyle w:val="BodyText"/>
        <w:rPr>
          <w:i/>
          <w:u w:val="single"/>
        </w:rPr>
      </w:pPr>
      <w:r w:rsidRPr="00BE1F15">
        <w:rPr>
          <w:i/>
          <w:u w:val="single"/>
        </w:rPr>
        <w:t>Health</w:t>
      </w:r>
      <w:r w:rsidR="00752491" w:rsidRPr="00BE1F15">
        <w:rPr>
          <w:i/>
          <w:u w:val="single"/>
        </w:rPr>
        <w:t>care</w:t>
      </w:r>
      <w:r w:rsidRPr="00BE1F15">
        <w:rPr>
          <w:i/>
          <w:u w:val="single"/>
        </w:rPr>
        <w:t xml:space="preserve"> system</w:t>
      </w:r>
    </w:p>
    <w:p w14:paraId="055C32AE" w14:textId="66D24AD9" w:rsidR="00091B49" w:rsidRDefault="00091B49" w:rsidP="0019247C">
      <w:pPr>
        <w:pStyle w:val="ListBullet"/>
      </w:pPr>
      <w:r>
        <w:t>Number of treatment sessions</w:t>
      </w:r>
    </w:p>
    <w:p w14:paraId="7AA0CA53" w14:textId="3D10F0C3" w:rsidR="0019247C" w:rsidRPr="0019247C" w:rsidRDefault="0019247C" w:rsidP="0019247C">
      <w:pPr>
        <w:pStyle w:val="ListBullet"/>
      </w:pPr>
      <w:r w:rsidRPr="0019247C">
        <w:t>Requirements for subsequent therapy</w:t>
      </w:r>
    </w:p>
    <w:p w14:paraId="057EB908" w14:textId="3479DB48" w:rsidR="0019247C" w:rsidRPr="0019247C" w:rsidRDefault="000069FD" w:rsidP="0019247C">
      <w:pPr>
        <w:pStyle w:val="ListBullet"/>
      </w:pPr>
      <w:r>
        <w:t>Resource use and cost of planning and treatment stages for delivery of PBT</w:t>
      </w:r>
    </w:p>
    <w:p w14:paraId="2D77CDDE" w14:textId="5CFD3E1B" w:rsidR="0019247C" w:rsidRDefault="0019247C" w:rsidP="0019247C">
      <w:pPr>
        <w:pStyle w:val="ListBullet"/>
      </w:pPr>
      <w:r w:rsidRPr="0019247C">
        <w:t>Cost-effectiveness of PBT</w:t>
      </w:r>
    </w:p>
    <w:p w14:paraId="7A446B6B" w14:textId="0C380569" w:rsidR="00091B49" w:rsidRPr="0019247C" w:rsidRDefault="0073760A" w:rsidP="0019247C">
      <w:pPr>
        <w:pStyle w:val="ListBullet"/>
      </w:pPr>
      <w:r>
        <w:t>Total Australian</w:t>
      </w:r>
      <w:r w:rsidR="00091B49">
        <w:t xml:space="preserve"> Government </w:t>
      </w:r>
      <w:r>
        <w:t>healthcare costs</w:t>
      </w:r>
    </w:p>
    <w:p w14:paraId="4E84BA9B" w14:textId="224EADDB" w:rsidR="00CB7057" w:rsidRPr="00CB7057" w:rsidRDefault="00CB7057" w:rsidP="00CB7057">
      <w:pPr>
        <w:pStyle w:val="BodyText"/>
      </w:pPr>
      <w:r>
        <w:t>If one or more PBT facilities become available in Australia, and PBT services are recommended by MSAC, costs will shift from the MTO Program</w:t>
      </w:r>
      <w:r w:rsidR="00797CB6">
        <w:t xml:space="preserve"> to the MBS.</w:t>
      </w:r>
    </w:p>
    <w:p w14:paraId="5B904FF1" w14:textId="77777777" w:rsidR="00896845" w:rsidRDefault="00896845" w:rsidP="001E0A5C">
      <w:pPr>
        <w:pStyle w:val="Heading2"/>
        <w:keepLines w:val="0"/>
        <w:spacing w:before="240"/>
      </w:pPr>
      <w:r w:rsidRPr="00896845">
        <w:t>Current</w:t>
      </w:r>
      <w:r>
        <w:t xml:space="preserve"> clinical</w:t>
      </w:r>
      <w:r w:rsidRPr="00896845">
        <w:t xml:space="preserve"> </w:t>
      </w:r>
      <w:r w:rsidRPr="00475CBC">
        <w:t>management</w:t>
      </w:r>
      <w:r>
        <w:t xml:space="preserve"> algorithm</w:t>
      </w:r>
      <w:r w:rsidR="002B3338">
        <w:t xml:space="preserve"> for identified population</w:t>
      </w:r>
    </w:p>
    <w:p w14:paraId="0AA9FC3A" w14:textId="25256424" w:rsidR="00DD5B2C" w:rsidRDefault="00117071" w:rsidP="001E0A5C">
      <w:pPr>
        <w:pStyle w:val="BodyText"/>
      </w:pPr>
      <w:r>
        <w:t xml:space="preserve">PBT is an alternative treatment delivery method to existing forms of radiation therapy. Currently, there are no PBT facilities within Australia and patients must travel overseas for treatment. While not all patients will require PBT, there are circumstances where this treatment would be preferred over other techniques such as IMRT or SBRT. The decision to pursue PBT would be based on the treating physicians’ consideration of individual patient circumstances and assessment of superiority of PBT over alternative treatment options. </w:t>
      </w:r>
      <w:r w:rsidR="00DD5B2C">
        <w:t>When considering an application for PBT, all diagnostic, imaging, operation and pathology reports are necessary for the Committee to review the case. A planning CT scan with photon plan should also be provided if possible.</w:t>
      </w:r>
    </w:p>
    <w:p w14:paraId="726272A8" w14:textId="77777777" w:rsidR="00874097" w:rsidRDefault="00117071" w:rsidP="00874097">
      <w:pPr>
        <w:pStyle w:val="BodyText"/>
        <w:keepNext/>
      </w:pPr>
      <w:r>
        <w:lastRenderedPageBreak/>
        <w:t xml:space="preserve">The clinical algorithm below is a generalised representation of PBT with curative intent. </w:t>
      </w:r>
      <w:r w:rsidR="001E0A5C">
        <w:t>In practice, treatment of the cancers of interest may be multi-modal (e.g. radiation therapy may be used in combination with surgery).</w:t>
      </w:r>
      <w:r w:rsidR="00874097">
        <w:t xml:space="preserve"> </w:t>
      </w:r>
    </w:p>
    <w:p w14:paraId="6EAEFD19" w14:textId="7B246828" w:rsidR="008B4FB7" w:rsidRDefault="00975D90" w:rsidP="001E0A5C">
      <w:pPr>
        <w:pStyle w:val="Picturewithbox"/>
        <w:keepNext/>
      </w:pPr>
      <w:r>
        <w:rPr>
          <w:noProof/>
          <w:lang w:eastAsia="en-AU"/>
        </w:rPr>
        <w:drawing>
          <wp:inline distT="0" distB="0" distL="0" distR="0" wp14:anchorId="3EBCB786" wp14:editId="0B5FE4F6">
            <wp:extent cx="5731510" cy="5337810"/>
            <wp:effectExtent l="0" t="0" r="2540" b="0"/>
            <wp:docPr id="3" name="Picture 3" descr="Current clinical management algorithm for identified population - refer to above text for expla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BT treatment algorithm_Current_20Dec2016.tif"/>
                    <pic:cNvPicPr/>
                  </pic:nvPicPr>
                  <pic:blipFill>
                    <a:blip r:embed="rId12">
                      <a:extLst>
                        <a:ext uri="{28A0092B-C50C-407E-A947-70E740481C1C}">
                          <a14:useLocalDpi xmlns:a14="http://schemas.microsoft.com/office/drawing/2010/main" val="0"/>
                        </a:ext>
                      </a:extLst>
                    </a:blip>
                    <a:stretch>
                      <a:fillRect/>
                    </a:stretch>
                  </pic:blipFill>
                  <pic:spPr>
                    <a:xfrm>
                      <a:off x="0" y="0"/>
                      <a:ext cx="5731510" cy="5337810"/>
                    </a:xfrm>
                    <a:prstGeom prst="rect">
                      <a:avLst/>
                    </a:prstGeom>
                  </pic:spPr>
                </pic:pic>
              </a:graphicData>
            </a:graphic>
          </wp:inline>
        </w:drawing>
      </w:r>
    </w:p>
    <w:p w14:paraId="02552E44" w14:textId="77777777" w:rsidR="00117071" w:rsidRDefault="00117071" w:rsidP="00117071">
      <w:pPr>
        <w:pStyle w:val="FootnoteText"/>
      </w:pPr>
    </w:p>
    <w:p w14:paraId="23276DDC" w14:textId="77777777" w:rsidR="00896845" w:rsidRDefault="00896845" w:rsidP="00F31EA3">
      <w:pPr>
        <w:pStyle w:val="Heading2"/>
        <w:spacing w:before="240"/>
      </w:pPr>
      <w:r w:rsidRPr="00896845">
        <w:lastRenderedPageBreak/>
        <w:t xml:space="preserve">Proposed </w:t>
      </w:r>
      <w:r>
        <w:t>clinical</w:t>
      </w:r>
      <w:r w:rsidRPr="00896845">
        <w:t xml:space="preserve"> management</w:t>
      </w:r>
      <w:r>
        <w:t xml:space="preserve"> algorithm</w:t>
      </w:r>
      <w:r w:rsidR="002B3338">
        <w:t xml:space="preserve"> for identified population</w:t>
      </w:r>
    </w:p>
    <w:p w14:paraId="2E2AAD36" w14:textId="15403A4C" w:rsidR="00874097" w:rsidRDefault="001E0A5C" w:rsidP="001E0A5C">
      <w:pPr>
        <w:pStyle w:val="BodyText"/>
        <w:keepNext/>
      </w:pPr>
      <w:r>
        <w:t xml:space="preserve">The proposed clinical management algorithm assumes that PBT will </w:t>
      </w:r>
      <w:r w:rsidR="00074611">
        <w:t>be included on the MBS</w:t>
      </w:r>
      <w:r>
        <w:t xml:space="preserve"> </w:t>
      </w:r>
      <w:r w:rsidR="00074611">
        <w:t xml:space="preserve">after facilities become operational in Australia, </w:t>
      </w:r>
      <w:r>
        <w:t xml:space="preserve">and </w:t>
      </w:r>
      <w:r w:rsidR="00074611">
        <w:t xml:space="preserve">will provide patients with </w:t>
      </w:r>
      <w:r>
        <w:t xml:space="preserve">an alternative to </w:t>
      </w:r>
      <w:r w:rsidR="00074611">
        <w:t xml:space="preserve">the </w:t>
      </w:r>
      <w:r>
        <w:t xml:space="preserve">existing </w:t>
      </w:r>
      <w:r w:rsidR="00745418">
        <w:t>treatments</w:t>
      </w:r>
      <w:r w:rsidR="00074611">
        <w:t xml:space="preserve"> available in Australia</w:t>
      </w:r>
      <w:r>
        <w:t>.</w:t>
      </w:r>
      <w:r w:rsidR="00797CB6">
        <w:t xml:space="preserve"> </w:t>
      </w:r>
    </w:p>
    <w:p w14:paraId="5EE38162" w14:textId="422659A5" w:rsidR="00C32389" w:rsidRDefault="00C32389" w:rsidP="00C32389">
      <w:pPr>
        <w:pStyle w:val="Picturewithbox"/>
      </w:pPr>
      <w:r>
        <w:rPr>
          <w:noProof/>
          <w:lang w:eastAsia="en-AU"/>
        </w:rPr>
        <w:drawing>
          <wp:inline distT="0" distB="0" distL="0" distR="0" wp14:anchorId="5449D4C6" wp14:editId="35745590">
            <wp:extent cx="5731510" cy="4436110"/>
            <wp:effectExtent l="0" t="0" r="2540" b="2540"/>
            <wp:docPr id="6" name="Picture 6" descr="Current clinical management algorithm for identified population - refer to above text for explan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BT treatment algorithm_Proposed_20Dec2016.tif"/>
                    <pic:cNvPicPr/>
                  </pic:nvPicPr>
                  <pic:blipFill>
                    <a:blip r:embed="rId13">
                      <a:extLst>
                        <a:ext uri="{28A0092B-C50C-407E-A947-70E740481C1C}">
                          <a14:useLocalDpi xmlns:a14="http://schemas.microsoft.com/office/drawing/2010/main" val="0"/>
                        </a:ext>
                      </a:extLst>
                    </a:blip>
                    <a:stretch>
                      <a:fillRect/>
                    </a:stretch>
                  </pic:blipFill>
                  <pic:spPr>
                    <a:xfrm>
                      <a:off x="0" y="0"/>
                      <a:ext cx="5731510" cy="4436110"/>
                    </a:xfrm>
                    <a:prstGeom prst="rect">
                      <a:avLst/>
                    </a:prstGeom>
                  </pic:spPr>
                </pic:pic>
              </a:graphicData>
            </a:graphic>
          </wp:inline>
        </w:drawing>
      </w:r>
    </w:p>
    <w:p w14:paraId="13154518" w14:textId="77777777" w:rsidR="001E0A5C" w:rsidRPr="001E0A5C" w:rsidRDefault="001E0A5C" w:rsidP="001E0A5C">
      <w:pPr>
        <w:pStyle w:val="FootnoteText"/>
      </w:pPr>
    </w:p>
    <w:p w14:paraId="4E206515" w14:textId="77777777" w:rsidR="00E968F6" w:rsidRDefault="003E0382" w:rsidP="00F31EA3">
      <w:pPr>
        <w:pStyle w:val="Heading2"/>
        <w:spacing w:before="240"/>
      </w:pPr>
      <w:r>
        <w:t xml:space="preserve">Proposed </w:t>
      </w:r>
      <w:r w:rsidR="002B226C" w:rsidRPr="00475CBC">
        <w:t>economic</w:t>
      </w:r>
      <w:r w:rsidR="002B226C">
        <w:t xml:space="preserve"> </w:t>
      </w:r>
      <w:r w:rsidR="009E5295">
        <w:t>evaluation</w:t>
      </w:r>
    </w:p>
    <w:p w14:paraId="1F3659DE" w14:textId="0BA6329F" w:rsidR="008868D8" w:rsidRDefault="008868D8" w:rsidP="008868D8">
      <w:pPr>
        <w:pStyle w:val="BodyText"/>
      </w:pPr>
      <w:r>
        <w:t xml:space="preserve">The clinical claim is that </w:t>
      </w:r>
      <w:r w:rsidR="008E01D8">
        <w:t xml:space="preserve">PBT is </w:t>
      </w:r>
      <w:r>
        <w:t xml:space="preserve">superior in clinical effectiveness </w:t>
      </w:r>
      <w:r w:rsidR="008E01D8">
        <w:t xml:space="preserve">and either non‐inferior or superior in safety </w:t>
      </w:r>
      <w:r>
        <w:t xml:space="preserve">to </w:t>
      </w:r>
      <w:r w:rsidR="008E01D8">
        <w:t xml:space="preserve">usual standard of care (which includes radiation therapy alternatives, other treatment options specific to the clinical condition, or no treatment alternative). </w:t>
      </w:r>
      <w:proofErr w:type="gramStart"/>
      <w:r w:rsidR="008E01D8">
        <w:t xml:space="preserve">According to the </w:t>
      </w:r>
      <w:r w:rsidR="00074611">
        <w:rPr>
          <w:i/>
        </w:rPr>
        <w:t>Technical Guidelines for Preparing Assessment R</w:t>
      </w:r>
      <w:r w:rsidRPr="008E01D8">
        <w:rPr>
          <w:i/>
        </w:rPr>
        <w:t>eports for the Medic</w:t>
      </w:r>
      <w:r w:rsidR="008E01D8" w:rsidRPr="008E01D8">
        <w:rPr>
          <w:i/>
        </w:rPr>
        <w:t>al Services Advisory Committee</w:t>
      </w:r>
      <w:r w:rsidR="00074611">
        <w:rPr>
          <w:i/>
        </w:rPr>
        <w:t xml:space="preserve"> – Service Type</w:t>
      </w:r>
      <w:r w:rsidR="008E01D8" w:rsidRPr="008E01D8">
        <w:rPr>
          <w:i/>
        </w:rPr>
        <w:t xml:space="preserve">: </w:t>
      </w:r>
      <w:r w:rsidR="00074611">
        <w:rPr>
          <w:i/>
        </w:rPr>
        <w:t>Therapeutic</w:t>
      </w:r>
      <w:r w:rsidR="008E01D8">
        <w:t xml:space="preserve">, </w:t>
      </w:r>
      <w:r>
        <w:t>the required economic analysis is therefore a cost‐</w:t>
      </w:r>
      <w:r w:rsidR="008E01D8">
        <w:t xml:space="preserve">utility or a cost‐effectiveness </w:t>
      </w:r>
      <w:r>
        <w:t>analysis.</w:t>
      </w:r>
      <w:proofErr w:type="gramEnd"/>
    </w:p>
    <w:p w14:paraId="4C2E14CA" w14:textId="77777777" w:rsidR="00752491" w:rsidRDefault="00752491" w:rsidP="00073D07">
      <w:pPr>
        <w:pStyle w:val="Heading2"/>
        <w:spacing w:before="240"/>
      </w:pPr>
      <w:r w:rsidRPr="00475CBC">
        <w:t>Proposed</w:t>
      </w:r>
      <w:r>
        <w:t xml:space="preserve"> item descriptor</w:t>
      </w:r>
    </w:p>
    <w:p w14:paraId="21A49127" w14:textId="6B11B2AD" w:rsidR="004002F5" w:rsidRDefault="00A647B8" w:rsidP="004002F5">
      <w:pPr>
        <w:pStyle w:val="BodyText"/>
      </w:pPr>
      <w:r>
        <w:t xml:space="preserve">Although </w:t>
      </w:r>
      <w:r w:rsidR="00D746DA">
        <w:t xml:space="preserve">PBT </w:t>
      </w:r>
      <w:r>
        <w:t>is not yet</w:t>
      </w:r>
      <w:r w:rsidR="00D746DA">
        <w:t xml:space="preserve"> available in Australia</w:t>
      </w:r>
      <w:r>
        <w:t>, it is expected that one or more proton beam facilities may be operational within three to five years. If</w:t>
      </w:r>
      <w:r w:rsidR="004002F5">
        <w:t xml:space="preserve"> public funding </w:t>
      </w:r>
      <w:r w:rsidR="00373398">
        <w:t>is</w:t>
      </w:r>
      <w:r w:rsidR="004002F5">
        <w:t xml:space="preserve"> sought through the MBS</w:t>
      </w:r>
      <w:r>
        <w:t xml:space="preserve"> for the specific clinical indications currently funded under the MTO Program</w:t>
      </w:r>
      <w:r w:rsidR="00373398">
        <w:t xml:space="preserve">, the </w:t>
      </w:r>
      <w:r>
        <w:t xml:space="preserve">relevant </w:t>
      </w:r>
      <w:r w:rsidR="00D746DA">
        <w:t xml:space="preserve">MBS item will </w:t>
      </w:r>
      <w:r>
        <w:t>be located in</w:t>
      </w:r>
      <w:r w:rsidR="00D746DA">
        <w:t xml:space="preserve"> Category 3, Group T2 – Radiation Oncology. Separate items may be necessary for pre-treatment planning and simulation, and for treatment delivery </w:t>
      </w:r>
      <w:r>
        <w:t>with imaging guidance</w:t>
      </w:r>
      <w:r w:rsidR="00D746DA">
        <w:t>.</w:t>
      </w:r>
      <w:r>
        <w:t xml:space="preserve"> </w:t>
      </w:r>
    </w:p>
    <w:p w14:paraId="260F0A01" w14:textId="4A330DC9" w:rsidR="00D34E94" w:rsidRPr="00D34E94" w:rsidRDefault="00D34E94" w:rsidP="001F2E94">
      <w:pPr>
        <w:pStyle w:val="Heading3"/>
      </w:pPr>
      <w:r w:rsidRPr="00D34E94">
        <w:lastRenderedPageBreak/>
        <w:t>References</w:t>
      </w:r>
    </w:p>
    <w:p w14:paraId="29FF8236" w14:textId="373758FC" w:rsidR="00D34E94" w:rsidRDefault="00D34E94" w:rsidP="001F2E94">
      <w:pPr>
        <w:pStyle w:val="BodyText"/>
        <w:keepNext/>
      </w:pPr>
      <w:r w:rsidRPr="00D34E94">
        <w:t xml:space="preserve">Larsson B, </w:t>
      </w:r>
      <w:proofErr w:type="spellStart"/>
      <w:r w:rsidRPr="00D34E94">
        <w:t>Leksell</w:t>
      </w:r>
      <w:proofErr w:type="spellEnd"/>
      <w:r w:rsidRPr="00D34E94">
        <w:t xml:space="preserve"> L, </w:t>
      </w:r>
      <w:proofErr w:type="spellStart"/>
      <w:r w:rsidRPr="00D34E94">
        <w:t>Rexed</w:t>
      </w:r>
      <w:proofErr w:type="spellEnd"/>
      <w:r w:rsidRPr="00D34E94">
        <w:t xml:space="preserve"> B, </w:t>
      </w:r>
      <w:proofErr w:type="spellStart"/>
      <w:r w:rsidRPr="00D34E94">
        <w:t>Sourander</w:t>
      </w:r>
      <w:proofErr w:type="spellEnd"/>
      <w:r w:rsidRPr="00D34E94">
        <w:t xml:space="preserve"> P, </w:t>
      </w:r>
      <w:proofErr w:type="spellStart"/>
      <w:r w:rsidRPr="00D34E94">
        <w:t>Mair</w:t>
      </w:r>
      <w:proofErr w:type="spellEnd"/>
      <w:r w:rsidRPr="00D34E94">
        <w:t xml:space="preserve"> W, </w:t>
      </w:r>
      <w:proofErr w:type="spellStart"/>
      <w:r w:rsidRPr="00D34E94">
        <w:t>Andersson</w:t>
      </w:r>
      <w:proofErr w:type="spellEnd"/>
      <w:r w:rsidRPr="00D34E94">
        <w:t xml:space="preserve"> B</w:t>
      </w:r>
      <w:r>
        <w:t xml:space="preserve"> (1958)</w:t>
      </w:r>
      <w:r w:rsidRPr="00D34E94">
        <w:t xml:space="preserve">. </w:t>
      </w:r>
      <w:proofErr w:type="gramStart"/>
      <w:r w:rsidRPr="00D34E94">
        <w:t>The high-energy proton beam as a neurosurgical tool.</w:t>
      </w:r>
      <w:proofErr w:type="gramEnd"/>
      <w:r w:rsidRPr="00D34E94">
        <w:t xml:space="preserve"> </w:t>
      </w:r>
      <w:proofErr w:type="gramStart"/>
      <w:r w:rsidRPr="00D34E94">
        <w:t>Nature.</w:t>
      </w:r>
      <w:proofErr w:type="gramEnd"/>
      <w:r w:rsidRPr="00D34E94">
        <w:t xml:space="preserve"> 182:1222-1223.</w:t>
      </w:r>
    </w:p>
    <w:p w14:paraId="2E8FB9F2" w14:textId="2C6195A2" w:rsidR="004A1AA1" w:rsidRDefault="004A1AA1" w:rsidP="009262D2">
      <w:pPr>
        <w:pStyle w:val="BodyText"/>
      </w:pPr>
      <w:proofErr w:type="spellStart"/>
      <w:r w:rsidRPr="004A1AA1">
        <w:t>Paganetti</w:t>
      </w:r>
      <w:proofErr w:type="spellEnd"/>
      <w:r w:rsidRPr="004A1AA1">
        <w:t xml:space="preserve"> H, </w:t>
      </w:r>
      <w:proofErr w:type="spellStart"/>
      <w:r w:rsidRPr="004A1AA1">
        <w:t>Niemierko</w:t>
      </w:r>
      <w:proofErr w:type="spellEnd"/>
      <w:r w:rsidRPr="004A1AA1">
        <w:t xml:space="preserve"> A, </w:t>
      </w:r>
      <w:proofErr w:type="spellStart"/>
      <w:r w:rsidRPr="004A1AA1">
        <w:t>Ancukiewicz</w:t>
      </w:r>
      <w:proofErr w:type="spellEnd"/>
      <w:r w:rsidRPr="004A1AA1">
        <w:t xml:space="preserve"> M, </w:t>
      </w:r>
      <w:proofErr w:type="spellStart"/>
      <w:r>
        <w:t>Gerweck</w:t>
      </w:r>
      <w:proofErr w:type="spellEnd"/>
      <w:r>
        <w:t xml:space="preserve"> LE, </w:t>
      </w:r>
      <w:proofErr w:type="spellStart"/>
      <w:r>
        <w:t>Goitein</w:t>
      </w:r>
      <w:proofErr w:type="spellEnd"/>
      <w:r>
        <w:t xml:space="preserve"> M, </w:t>
      </w:r>
      <w:proofErr w:type="spellStart"/>
      <w:r>
        <w:t>Loeffler</w:t>
      </w:r>
      <w:proofErr w:type="spellEnd"/>
      <w:r>
        <w:t xml:space="preserve"> JS, Suit HD (2002)</w:t>
      </w:r>
      <w:r w:rsidRPr="004A1AA1">
        <w:t xml:space="preserve">. Relative biological effectiveness (RBE) values for proton beam therapy. </w:t>
      </w:r>
      <w:proofErr w:type="spellStart"/>
      <w:r w:rsidRPr="004A1AA1">
        <w:t>Int</w:t>
      </w:r>
      <w:proofErr w:type="spellEnd"/>
      <w:r w:rsidRPr="004A1AA1">
        <w:t xml:space="preserve"> J </w:t>
      </w:r>
      <w:proofErr w:type="spellStart"/>
      <w:r w:rsidRPr="004A1AA1">
        <w:t>Radiat</w:t>
      </w:r>
      <w:proofErr w:type="spellEnd"/>
      <w:r w:rsidRPr="004A1AA1">
        <w:t xml:space="preserve"> </w:t>
      </w:r>
      <w:proofErr w:type="spellStart"/>
      <w:r w:rsidRPr="004A1AA1">
        <w:t>Oncol</w:t>
      </w:r>
      <w:proofErr w:type="spellEnd"/>
      <w:r w:rsidRPr="004A1AA1">
        <w:t xml:space="preserve"> </w:t>
      </w:r>
      <w:proofErr w:type="spellStart"/>
      <w:r w:rsidRPr="004A1AA1">
        <w:t>Biol</w:t>
      </w:r>
      <w:proofErr w:type="spellEnd"/>
      <w:r w:rsidRPr="004A1AA1">
        <w:t xml:space="preserve"> Phys. 53:407-421.</w:t>
      </w:r>
    </w:p>
    <w:p w14:paraId="02C095C4" w14:textId="14AE2DF0" w:rsidR="00DE7839" w:rsidRDefault="00203986" w:rsidP="009262D2">
      <w:pPr>
        <w:pStyle w:val="BodyText"/>
      </w:pPr>
      <w:proofErr w:type="gramStart"/>
      <w:r w:rsidRPr="00203986">
        <w:t>The Royal Australian and New Zealand College of Radiologists</w:t>
      </w:r>
      <w:r>
        <w:t>.</w:t>
      </w:r>
      <w:proofErr w:type="gramEnd"/>
      <w:r>
        <w:t xml:space="preserve"> </w:t>
      </w:r>
      <w:r w:rsidR="000C3A4D" w:rsidRPr="000C3A4D">
        <w:t>Faculty of Radiation Oncology Position Paper on Particle Therapy</w:t>
      </w:r>
      <w:r>
        <w:t>, October 2015.</w:t>
      </w:r>
    </w:p>
    <w:p w14:paraId="6FC90EC4" w14:textId="5566961B" w:rsidR="00AC2DD2" w:rsidRDefault="00AC2DD2" w:rsidP="009262D2">
      <w:pPr>
        <w:pStyle w:val="BodyText"/>
      </w:pPr>
      <w:proofErr w:type="gramStart"/>
      <w:r>
        <w:t>Washington State Health Care Authority (2014).</w:t>
      </w:r>
      <w:proofErr w:type="gramEnd"/>
      <w:r>
        <w:t xml:space="preserve"> Proton beam therapy: final evidence report. Olympia, Washington.</w:t>
      </w:r>
    </w:p>
    <w:p w14:paraId="50E00EC5" w14:textId="77777777" w:rsidR="00CE4EF6" w:rsidRDefault="00CE4EF6" w:rsidP="00E364F7">
      <w:pPr>
        <w:rPr>
          <w:b/>
        </w:rPr>
      </w:pPr>
      <w:r>
        <w:rPr>
          <w:b/>
        </w:rPr>
        <w:br w:type="page"/>
      </w:r>
    </w:p>
    <w:p w14:paraId="13B30AAF" w14:textId="0F51D188" w:rsidR="00147852" w:rsidRPr="00147852" w:rsidRDefault="00147852" w:rsidP="00073D07">
      <w:pPr>
        <w:pStyle w:val="Heading3"/>
      </w:pPr>
      <w:r w:rsidRPr="00147852">
        <w:lastRenderedPageBreak/>
        <w:t>Appendix A</w:t>
      </w:r>
    </w:p>
    <w:tbl>
      <w:tblPr>
        <w:tblStyle w:val="TableGrid"/>
        <w:tblW w:w="0" w:type="auto"/>
        <w:tblLook w:val="04A0" w:firstRow="1" w:lastRow="0" w:firstColumn="1" w:lastColumn="0" w:noHBand="0" w:noVBand="1"/>
        <w:tblDescription w:val="Appendix A lists the radiation therapy options for various tumour types, taken from the Faculty of Radiation Oncology Position Paper on Particle Therapy (RANZCR, 2015)."/>
      </w:tblPr>
      <w:tblGrid>
        <w:gridCol w:w="1980"/>
        <w:gridCol w:w="1417"/>
        <w:gridCol w:w="1418"/>
        <w:gridCol w:w="2268"/>
        <w:gridCol w:w="1933"/>
      </w:tblGrid>
      <w:tr w:rsidR="0031594C" w14:paraId="1DF90CAC" w14:textId="77777777" w:rsidTr="007F1EC4">
        <w:trPr>
          <w:tblHeader/>
        </w:trPr>
        <w:tc>
          <w:tcPr>
            <w:tcW w:w="1980" w:type="dxa"/>
            <w:shd w:val="clear" w:color="auto" w:fill="D9D9D9"/>
          </w:tcPr>
          <w:p w14:paraId="5965AF85" w14:textId="6AED8135" w:rsidR="00147852" w:rsidRPr="00CE4EF6" w:rsidRDefault="00147852" w:rsidP="00073D07">
            <w:pPr>
              <w:pStyle w:val="01TableHEADINGleftaligned"/>
              <w:spacing w:before="0"/>
              <w:ind w:left="0" w:right="0"/>
            </w:pPr>
            <w:r w:rsidRPr="00CE4EF6">
              <w:t>Tumour type</w:t>
            </w:r>
          </w:p>
        </w:tc>
        <w:tc>
          <w:tcPr>
            <w:tcW w:w="1417" w:type="dxa"/>
            <w:shd w:val="clear" w:color="auto" w:fill="D9D9D9"/>
          </w:tcPr>
          <w:p w14:paraId="2D0B766E" w14:textId="3482C7A4" w:rsidR="00147852" w:rsidRPr="00CE4EF6" w:rsidRDefault="00147852" w:rsidP="00073D07">
            <w:pPr>
              <w:pStyle w:val="01TableHEADINGleftaligned"/>
              <w:spacing w:before="0"/>
              <w:ind w:left="0" w:right="0"/>
            </w:pPr>
            <w:r w:rsidRPr="00CE4EF6">
              <w:t>Target population</w:t>
            </w:r>
          </w:p>
        </w:tc>
        <w:tc>
          <w:tcPr>
            <w:tcW w:w="1418" w:type="dxa"/>
            <w:shd w:val="clear" w:color="auto" w:fill="D9D9D9"/>
          </w:tcPr>
          <w:p w14:paraId="2BCB3021" w14:textId="462360A4" w:rsidR="00147852" w:rsidRPr="00CE4EF6" w:rsidRDefault="00147852" w:rsidP="00073D07">
            <w:pPr>
              <w:pStyle w:val="01TableHEADINGleftaligned"/>
              <w:spacing w:before="0"/>
              <w:ind w:left="0" w:right="0"/>
            </w:pPr>
            <w:r w:rsidRPr="00CE4EF6">
              <w:t>Particle treatment currently used abroad</w:t>
            </w:r>
          </w:p>
        </w:tc>
        <w:tc>
          <w:tcPr>
            <w:tcW w:w="2268" w:type="dxa"/>
            <w:shd w:val="clear" w:color="auto" w:fill="D9D9D9"/>
          </w:tcPr>
          <w:p w14:paraId="2D02377C" w14:textId="563F3AD5" w:rsidR="00147852" w:rsidRPr="00CE4EF6" w:rsidRDefault="00147852" w:rsidP="00073D07">
            <w:pPr>
              <w:pStyle w:val="01TableHEADINGleftaligned"/>
              <w:spacing w:before="0"/>
              <w:ind w:left="0" w:right="0"/>
            </w:pPr>
            <w:r w:rsidRPr="00CE4EF6">
              <w:t>Treatment options</w:t>
            </w:r>
          </w:p>
        </w:tc>
        <w:tc>
          <w:tcPr>
            <w:tcW w:w="1933" w:type="dxa"/>
            <w:shd w:val="clear" w:color="auto" w:fill="D9D9D9"/>
          </w:tcPr>
          <w:p w14:paraId="49174D30" w14:textId="52C0F39D" w:rsidR="00147852" w:rsidRPr="00CE4EF6" w:rsidRDefault="00147852" w:rsidP="00073D07">
            <w:pPr>
              <w:pStyle w:val="01TableHEADINGleftaligned"/>
              <w:spacing w:before="0"/>
              <w:ind w:left="0" w:right="0"/>
            </w:pPr>
            <w:r w:rsidRPr="00CE4EF6">
              <w:t>Category</w:t>
            </w:r>
          </w:p>
        </w:tc>
      </w:tr>
      <w:tr w:rsidR="0031594C" w14:paraId="15E184AF" w14:textId="77777777" w:rsidTr="000D2EB3">
        <w:tc>
          <w:tcPr>
            <w:tcW w:w="1980" w:type="dxa"/>
          </w:tcPr>
          <w:p w14:paraId="7667DAFA" w14:textId="78E43CC6" w:rsidR="00147852" w:rsidRDefault="00147852" w:rsidP="00073D07">
            <w:pPr>
              <w:pStyle w:val="05Tabletext"/>
              <w:spacing w:before="0"/>
              <w:ind w:left="0" w:right="0"/>
            </w:pPr>
            <w:proofErr w:type="spellStart"/>
            <w:r>
              <w:t>Chordoma</w:t>
            </w:r>
            <w:proofErr w:type="spellEnd"/>
            <w:r>
              <w:t>/</w:t>
            </w:r>
            <w:r w:rsidR="00CE4EF6">
              <w:t xml:space="preserve"> </w:t>
            </w:r>
            <w:proofErr w:type="spellStart"/>
            <w:r>
              <w:t>chondrosarcoma</w:t>
            </w:r>
            <w:proofErr w:type="spellEnd"/>
            <w:r>
              <w:t xml:space="preserve"> base of skull or spine</w:t>
            </w:r>
          </w:p>
        </w:tc>
        <w:tc>
          <w:tcPr>
            <w:tcW w:w="1417" w:type="dxa"/>
          </w:tcPr>
          <w:p w14:paraId="1B28A468" w14:textId="77777777" w:rsidR="00147852" w:rsidRDefault="00147852" w:rsidP="00073D07">
            <w:pPr>
              <w:pStyle w:val="05Tabletext"/>
              <w:spacing w:before="0"/>
              <w:ind w:left="0" w:right="0"/>
            </w:pPr>
            <w:r>
              <w:t>Paediatric</w:t>
            </w:r>
          </w:p>
          <w:p w14:paraId="0948A761" w14:textId="597A6444" w:rsidR="00147852" w:rsidRDefault="00147852" w:rsidP="00073D07">
            <w:pPr>
              <w:pStyle w:val="05Tabletext"/>
              <w:spacing w:before="0"/>
              <w:ind w:left="0" w:right="0"/>
            </w:pPr>
            <w:r>
              <w:t>Adult</w:t>
            </w:r>
          </w:p>
        </w:tc>
        <w:tc>
          <w:tcPr>
            <w:tcW w:w="1418" w:type="dxa"/>
          </w:tcPr>
          <w:p w14:paraId="47656164" w14:textId="77777777" w:rsidR="00147852" w:rsidRDefault="00147852" w:rsidP="00073D07">
            <w:pPr>
              <w:pStyle w:val="05Tabletext"/>
              <w:spacing w:before="0"/>
              <w:ind w:left="0" w:right="0"/>
            </w:pPr>
            <w:r>
              <w:t>Yes</w:t>
            </w:r>
          </w:p>
          <w:p w14:paraId="4349DFC6" w14:textId="5C18EB11" w:rsidR="00147852" w:rsidRDefault="00147852" w:rsidP="00073D07">
            <w:pPr>
              <w:pStyle w:val="05Tabletext"/>
              <w:spacing w:before="0"/>
              <w:ind w:left="0" w:right="0"/>
            </w:pPr>
            <w:r>
              <w:t>Yes</w:t>
            </w:r>
          </w:p>
        </w:tc>
        <w:tc>
          <w:tcPr>
            <w:tcW w:w="2268" w:type="dxa"/>
          </w:tcPr>
          <w:p w14:paraId="041A76DD" w14:textId="42FEDD4B" w:rsidR="00147852" w:rsidRDefault="00147852" w:rsidP="00073D07">
            <w:pPr>
              <w:pStyle w:val="05Tabletext"/>
              <w:spacing w:before="0"/>
              <w:ind w:left="0" w:right="0"/>
            </w:pPr>
            <w:r>
              <w:t>IMRT, stereotactic techniques</w:t>
            </w:r>
          </w:p>
        </w:tc>
        <w:tc>
          <w:tcPr>
            <w:tcW w:w="1933" w:type="dxa"/>
            <w:shd w:val="clear" w:color="auto" w:fill="00B0F0"/>
          </w:tcPr>
          <w:p w14:paraId="064EBE27" w14:textId="50673BFA" w:rsidR="00147852" w:rsidRDefault="007C5563" w:rsidP="00073D07">
            <w:pPr>
              <w:pStyle w:val="05Tabletext"/>
              <w:spacing w:before="0"/>
              <w:ind w:left="0" w:right="0"/>
            </w:pPr>
            <w:r>
              <w:t>May be suitable for particle therapy</w:t>
            </w:r>
          </w:p>
        </w:tc>
      </w:tr>
      <w:tr w:rsidR="0031594C" w14:paraId="0EE376A4" w14:textId="77777777" w:rsidTr="000D2EB3">
        <w:tc>
          <w:tcPr>
            <w:tcW w:w="1980" w:type="dxa"/>
          </w:tcPr>
          <w:p w14:paraId="07ABEEFE" w14:textId="2A6B3597" w:rsidR="00147852" w:rsidRDefault="00147852" w:rsidP="00073D07">
            <w:pPr>
              <w:pStyle w:val="05Tabletext"/>
              <w:spacing w:before="0"/>
              <w:ind w:left="0" w:right="0"/>
            </w:pPr>
            <w:r>
              <w:t>Intra-ocular melanoma</w:t>
            </w:r>
          </w:p>
        </w:tc>
        <w:tc>
          <w:tcPr>
            <w:tcW w:w="1417" w:type="dxa"/>
          </w:tcPr>
          <w:p w14:paraId="69FC2956" w14:textId="2B23694E" w:rsidR="00147852" w:rsidRDefault="0031594C" w:rsidP="00073D07">
            <w:pPr>
              <w:pStyle w:val="05Tabletext"/>
              <w:spacing w:before="0"/>
              <w:ind w:left="0" w:right="0"/>
            </w:pPr>
            <w:r>
              <w:t>Paediatric</w:t>
            </w:r>
          </w:p>
        </w:tc>
        <w:tc>
          <w:tcPr>
            <w:tcW w:w="1418" w:type="dxa"/>
          </w:tcPr>
          <w:p w14:paraId="09CAC8BF" w14:textId="1143CE2B" w:rsidR="00147852" w:rsidRDefault="0031594C" w:rsidP="00073D07">
            <w:pPr>
              <w:pStyle w:val="05Tabletext"/>
              <w:spacing w:before="0"/>
              <w:ind w:left="0" w:right="0"/>
            </w:pPr>
            <w:r>
              <w:t>Yes</w:t>
            </w:r>
          </w:p>
        </w:tc>
        <w:tc>
          <w:tcPr>
            <w:tcW w:w="2268" w:type="dxa"/>
          </w:tcPr>
          <w:p w14:paraId="43840E92" w14:textId="44C65576" w:rsidR="00147852" w:rsidRDefault="0031594C" w:rsidP="00073D07">
            <w:pPr>
              <w:pStyle w:val="05Tabletext"/>
              <w:spacing w:before="0"/>
              <w:ind w:left="0" w:right="0"/>
            </w:pPr>
            <w:r>
              <w:t>IMRT, stereotactic techniques</w:t>
            </w:r>
          </w:p>
        </w:tc>
        <w:tc>
          <w:tcPr>
            <w:tcW w:w="1933" w:type="dxa"/>
            <w:shd w:val="clear" w:color="auto" w:fill="00B0F0"/>
          </w:tcPr>
          <w:p w14:paraId="3C2FBFF2" w14:textId="634E923C" w:rsidR="00147852" w:rsidRDefault="007C5563" w:rsidP="00073D07">
            <w:pPr>
              <w:pStyle w:val="05Tabletext"/>
              <w:spacing w:before="0"/>
              <w:ind w:left="0" w:right="0"/>
            </w:pPr>
            <w:r>
              <w:t>May be suitable for particle therapy</w:t>
            </w:r>
          </w:p>
        </w:tc>
      </w:tr>
      <w:tr w:rsidR="0031594C" w14:paraId="40FB163E" w14:textId="77777777" w:rsidTr="000D2EB3">
        <w:tc>
          <w:tcPr>
            <w:tcW w:w="1980" w:type="dxa"/>
          </w:tcPr>
          <w:p w14:paraId="474B2F3E" w14:textId="6DF3B65F" w:rsidR="00147852" w:rsidRDefault="00147852" w:rsidP="00073D07">
            <w:pPr>
              <w:pStyle w:val="05Tabletext"/>
              <w:spacing w:before="0"/>
              <w:ind w:left="0" w:right="0"/>
            </w:pPr>
            <w:proofErr w:type="spellStart"/>
            <w:r>
              <w:t>Medulloblastoma</w:t>
            </w:r>
            <w:proofErr w:type="spellEnd"/>
          </w:p>
        </w:tc>
        <w:tc>
          <w:tcPr>
            <w:tcW w:w="1417" w:type="dxa"/>
          </w:tcPr>
          <w:p w14:paraId="2A604A2C" w14:textId="6DE3D006" w:rsidR="00147852" w:rsidRDefault="0031594C" w:rsidP="00073D07">
            <w:pPr>
              <w:pStyle w:val="05Tabletext"/>
              <w:spacing w:before="0"/>
              <w:ind w:left="0" w:right="0"/>
            </w:pPr>
            <w:r>
              <w:t>Paediatric</w:t>
            </w:r>
          </w:p>
        </w:tc>
        <w:tc>
          <w:tcPr>
            <w:tcW w:w="1418" w:type="dxa"/>
          </w:tcPr>
          <w:p w14:paraId="4B0A3BFF" w14:textId="71491518" w:rsidR="00147852" w:rsidRDefault="0031594C" w:rsidP="00073D07">
            <w:pPr>
              <w:pStyle w:val="05Tabletext"/>
              <w:spacing w:before="0"/>
              <w:ind w:left="0" w:right="0"/>
            </w:pPr>
            <w:r>
              <w:t>Yes</w:t>
            </w:r>
          </w:p>
        </w:tc>
        <w:tc>
          <w:tcPr>
            <w:tcW w:w="2268" w:type="dxa"/>
          </w:tcPr>
          <w:p w14:paraId="62AC8073" w14:textId="56A6E18E" w:rsidR="00147852" w:rsidRDefault="0031594C" w:rsidP="00073D07">
            <w:pPr>
              <w:pStyle w:val="05Tabletext"/>
              <w:spacing w:before="0"/>
              <w:ind w:left="0" w:right="0"/>
            </w:pPr>
            <w:r>
              <w:t>IMRT, photon/electron spinal fields</w:t>
            </w:r>
          </w:p>
        </w:tc>
        <w:tc>
          <w:tcPr>
            <w:tcW w:w="1933" w:type="dxa"/>
            <w:shd w:val="clear" w:color="auto" w:fill="00B0F0"/>
          </w:tcPr>
          <w:p w14:paraId="0EC89B50" w14:textId="584CE588" w:rsidR="00147852" w:rsidRDefault="007C5563" w:rsidP="00073D07">
            <w:pPr>
              <w:pStyle w:val="05Tabletext"/>
              <w:spacing w:before="0"/>
              <w:ind w:left="0" w:right="0"/>
            </w:pPr>
            <w:r>
              <w:t>May be suitable for particle therapy</w:t>
            </w:r>
          </w:p>
        </w:tc>
      </w:tr>
      <w:tr w:rsidR="0031594C" w14:paraId="5C378B85" w14:textId="77777777" w:rsidTr="000D2EB3">
        <w:tc>
          <w:tcPr>
            <w:tcW w:w="1980" w:type="dxa"/>
          </w:tcPr>
          <w:p w14:paraId="7B911B9E" w14:textId="39A85685" w:rsidR="00147852" w:rsidRDefault="00147852" w:rsidP="00073D07">
            <w:pPr>
              <w:pStyle w:val="05Tabletext"/>
              <w:spacing w:before="0"/>
              <w:ind w:left="0" w:right="0"/>
            </w:pPr>
            <w:proofErr w:type="spellStart"/>
            <w:r>
              <w:t>Ependymoma</w:t>
            </w:r>
            <w:proofErr w:type="spellEnd"/>
          </w:p>
        </w:tc>
        <w:tc>
          <w:tcPr>
            <w:tcW w:w="1417" w:type="dxa"/>
          </w:tcPr>
          <w:p w14:paraId="08DD671A" w14:textId="57B05E41" w:rsidR="00147852" w:rsidRDefault="0031594C" w:rsidP="00073D07">
            <w:pPr>
              <w:pStyle w:val="05Tabletext"/>
              <w:spacing w:before="0"/>
              <w:ind w:left="0" w:right="0"/>
            </w:pPr>
            <w:r>
              <w:t>Paediatric</w:t>
            </w:r>
          </w:p>
        </w:tc>
        <w:tc>
          <w:tcPr>
            <w:tcW w:w="1418" w:type="dxa"/>
          </w:tcPr>
          <w:p w14:paraId="30C8F6BC" w14:textId="1BBB32E1" w:rsidR="00147852" w:rsidRDefault="0031594C" w:rsidP="00073D07">
            <w:pPr>
              <w:pStyle w:val="05Tabletext"/>
              <w:spacing w:before="0"/>
              <w:ind w:left="0" w:right="0"/>
            </w:pPr>
            <w:r>
              <w:t>Yes</w:t>
            </w:r>
          </w:p>
        </w:tc>
        <w:tc>
          <w:tcPr>
            <w:tcW w:w="2268" w:type="dxa"/>
          </w:tcPr>
          <w:p w14:paraId="28AE5D2B" w14:textId="147F118A" w:rsidR="00147852" w:rsidRDefault="0031594C" w:rsidP="00073D07">
            <w:pPr>
              <w:pStyle w:val="05Tabletext"/>
              <w:spacing w:before="0"/>
              <w:ind w:left="0" w:right="0"/>
            </w:pPr>
            <w:r>
              <w:t>IMRT, stereotactic techniques</w:t>
            </w:r>
          </w:p>
        </w:tc>
        <w:tc>
          <w:tcPr>
            <w:tcW w:w="1933" w:type="dxa"/>
            <w:shd w:val="clear" w:color="auto" w:fill="00B0F0"/>
          </w:tcPr>
          <w:p w14:paraId="4439106A" w14:textId="190E752A" w:rsidR="00147852" w:rsidRDefault="007C5563" w:rsidP="00073D07">
            <w:pPr>
              <w:pStyle w:val="05Tabletext"/>
              <w:spacing w:before="0"/>
              <w:ind w:left="0" w:right="0"/>
            </w:pPr>
            <w:r>
              <w:t>May be suitable for particle therapy</w:t>
            </w:r>
          </w:p>
        </w:tc>
      </w:tr>
      <w:tr w:rsidR="0031594C" w14:paraId="49E73521" w14:textId="77777777" w:rsidTr="000D2EB3">
        <w:tc>
          <w:tcPr>
            <w:tcW w:w="1980" w:type="dxa"/>
          </w:tcPr>
          <w:p w14:paraId="59F0656D" w14:textId="73AE47FA" w:rsidR="00147852" w:rsidRDefault="0031594C" w:rsidP="00073D07">
            <w:pPr>
              <w:pStyle w:val="05Tabletext"/>
              <w:spacing w:before="0"/>
              <w:ind w:left="0" w:right="0"/>
            </w:pPr>
            <w:proofErr w:type="spellStart"/>
            <w:r>
              <w:t>Craniopharyngioma</w:t>
            </w:r>
            <w:proofErr w:type="spellEnd"/>
          </w:p>
        </w:tc>
        <w:tc>
          <w:tcPr>
            <w:tcW w:w="1417" w:type="dxa"/>
          </w:tcPr>
          <w:p w14:paraId="766FE6F4" w14:textId="241CC8FE" w:rsidR="00147852" w:rsidRDefault="0031594C" w:rsidP="00073D07">
            <w:pPr>
              <w:pStyle w:val="05Tabletext"/>
              <w:spacing w:before="0"/>
              <w:ind w:left="0" w:right="0"/>
            </w:pPr>
            <w:r>
              <w:t>Paediatric</w:t>
            </w:r>
          </w:p>
        </w:tc>
        <w:tc>
          <w:tcPr>
            <w:tcW w:w="1418" w:type="dxa"/>
          </w:tcPr>
          <w:p w14:paraId="3DFC0F1C" w14:textId="779BB0A2" w:rsidR="00147852" w:rsidRDefault="0031594C" w:rsidP="00073D07">
            <w:pPr>
              <w:pStyle w:val="05Tabletext"/>
              <w:spacing w:before="0"/>
              <w:ind w:left="0" w:right="0"/>
            </w:pPr>
            <w:r>
              <w:t>Yes</w:t>
            </w:r>
          </w:p>
        </w:tc>
        <w:tc>
          <w:tcPr>
            <w:tcW w:w="2268" w:type="dxa"/>
          </w:tcPr>
          <w:p w14:paraId="09DC7161" w14:textId="69D084F1" w:rsidR="00147852" w:rsidRDefault="0031594C" w:rsidP="00073D07">
            <w:pPr>
              <w:pStyle w:val="05Tabletext"/>
              <w:spacing w:before="0"/>
              <w:ind w:left="0" w:right="0"/>
            </w:pPr>
            <w:r>
              <w:t>IMRT, stereotactic techniques</w:t>
            </w:r>
          </w:p>
        </w:tc>
        <w:tc>
          <w:tcPr>
            <w:tcW w:w="1933" w:type="dxa"/>
            <w:shd w:val="clear" w:color="auto" w:fill="00B0F0"/>
          </w:tcPr>
          <w:p w14:paraId="68F63F4C" w14:textId="5AB18F2B" w:rsidR="00147852" w:rsidRDefault="007C5563" w:rsidP="00073D07">
            <w:pPr>
              <w:pStyle w:val="05Tabletext"/>
              <w:spacing w:before="0"/>
              <w:ind w:left="0" w:right="0"/>
            </w:pPr>
            <w:r>
              <w:t>May be suitable for particle therapy</w:t>
            </w:r>
          </w:p>
        </w:tc>
      </w:tr>
      <w:tr w:rsidR="0031594C" w14:paraId="5FE0CE1B" w14:textId="77777777" w:rsidTr="000D2EB3">
        <w:tc>
          <w:tcPr>
            <w:tcW w:w="1980" w:type="dxa"/>
          </w:tcPr>
          <w:p w14:paraId="45EE09C1" w14:textId="000C44E0" w:rsidR="00147852" w:rsidRDefault="0031594C" w:rsidP="00073D07">
            <w:pPr>
              <w:pStyle w:val="05Tabletext"/>
              <w:spacing w:before="0"/>
              <w:ind w:left="0" w:right="0"/>
            </w:pPr>
            <w:r>
              <w:t xml:space="preserve">Low grade </w:t>
            </w:r>
            <w:proofErr w:type="spellStart"/>
            <w:r>
              <w:t>gliomas</w:t>
            </w:r>
            <w:proofErr w:type="spellEnd"/>
            <w:r>
              <w:t>, including optic pathway</w:t>
            </w:r>
          </w:p>
        </w:tc>
        <w:tc>
          <w:tcPr>
            <w:tcW w:w="1417" w:type="dxa"/>
          </w:tcPr>
          <w:p w14:paraId="57F917FD" w14:textId="7F5788E5" w:rsidR="00147852" w:rsidRDefault="0031594C" w:rsidP="00073D07">
            <w:pPr>
              <w:pStyle w:val="05Tabletext"/>
              <w:spacing w:before="0"/>
              <w:ind w:left="0" w:right="0"/>
            </w:pPr>
            <w:r>
              <w:t>Paediatric</w:t>
            </w:r>
          </w:p>
        </w:tc>
        <w:tc>
          <w:tcPr>
            <w:tcW w:w="1418" w:type="dxa"/>
          </w:tcPr>
          <w:p w14:paraId="0A1A2DD0" w14:textId="2AD44152" w:rsidR="00147852" w:rsidRDefault="0031594C" w:rsidP="00073D07">
            <w:pPr>
              <w:pStyle w:val="05Tabletext"/>
              <w:spacing w:before="0"/>
              <w:ind w:left="0" w:right="0"/>
            </w:pPr>
            <w:r>
              <w:t>Yes</w:t>
            </w:r>
          </w:p>
        </w:tc>
        <w:tc>
          <w:tcPr>
            <w:tcW w:w="2268" w:type="dxa"/>
          </w:tcPr>
          <w:p w14:paraId="295C436E" w14:textId="7F88F906" w:rsidR="00147852" w:rsidRDefault="0031594C" w:rsidP="00073D07">
            <w:pPr>
              <w:pStyle w:val="05Tabletext"/>
              <w:spacing w:before="0"/>
              <w:ind w:left="0" w:right="0"/>
            </w:pPr>
            <w:r>
              <w:t>IMRT, stereotactic techniques</w:t>
            </w:r>
          </w:p>
        </w:tc>
        <w:tc>
          <w:tcPr>
            <w:tcW w:w="1933" w:type="dxa"/>
            <w:shd w:val="clear" w:color="auto" w:fill="00B0F0"/>
          </w:tcPr>
          <w:p w14:paraId="539395A5" w14:textId="68CE4653" w:rsidR="00147852" w:rsidRDefault="007C5563" w:rsidP="00073D07">
            <w:pPr>
              <w:pStyle w:val="05Tabletext"/>
              <w:spacing w:before="0"/>
              <w:ind w:left="0" w:right="0"/>
            </w:pPr>
            <w:r>
              <w:t>May be suitable for particle therapy</w:t>
            </w:r>
          </w:p>
        </w:tc>
      </w:tr>
      <w:tr w:rsidR="0031594C" w14:paraId="68F7C3DA" w14:textId="77777777" w:rsidTr="000D2EB3">
        <w:tc>
          <w:tcPr>
            <w:tcW w:w="1980" w:type="dxa"/>
          </w:tcPr>
          <w:p w14:paraId="4E4FC29E" w14:textId="71BAED02" w:rsidR="00147852" w:rsidRDefault="0031594C" w:rsidP="00073D07">
            <w:pPr>
              <w:pStyle w:val="05Tabletext"/>
              <w:spacing w:before="0"/>
              <w:ind w:left="0" w:right="0"/>
            </w:pPr>
            <w:r>
              <w:t>Intracranial germ cell tumour</w:t>
            </w:r>
          </w:p>
        </w:tc>
        <w:tc>
          <w:tcPr>
            <w:tcW w:w="1417" w:type="dxa"/>
          </w:tcPr>
          <w:p w14:paraId="64E9F4F3" w14:textId="5C2BA41D" w:rsidR="00147852" w:rsidRDefault="0031594C" w:rsidP="00073D07">
            <w:pPr>
              <w:pStyle w:val="05Tabletext"/>
              <w:spacing w:before="0"/>
              <w:ind w:left="0" w:right="0"/>
            </w:pPr>
            <w:r>
              <w:t>Paediatric</w:t>
            </w:r>
          </w:p>
        </w:tc>
        <w:tc>
          <w:tcPr>
            <w:tcW w:w="1418" w:type="dxa"/>
          </w:tcPr>
          <w:p w14:paraId="7E66E80A" w14:textId="2BDAB40B" w:rsidR="00147852" w:rsidRDefault="0031594C" w:rsidP="00073D07">
            <w:pPr>
              <w:pStyle w:val="05Tabletext"/>
              <w:spacing w:before="0"/>
              <w:ind w:left="0" w:right="0"/>
            </w:pPr>
            <w:r>
              <w:t>Yes</w:t>
            </w:r>
          </w:p>
        </w:tc>
        <w:tc>
          <w:tcPr>
            <w:tcW w:w="2268" w:type="dxa"/>
          </w:tcPr>
          <w:p w14:paraId="4CE0B8B3" w14:textId="5B27E11F" w:rsidR="00147852" w:rsidRDefault="0031594C" w:rsidP="00073D07">
            <w:pPr>
              <w:pStyle w:val="05Tabletext"/>
              <w:spacing w:before="0"/>
              <w:ind w:left="0" w:right="0"/>
            </w:pPr>
            <w:r>
              <w:t>IMRT</w:t>
            </w:r>
          </w:p>
        </w:tc>
        <w:tc>
          <w:tcPr>
            <w:tcW w:w="1933" w:type="dxa"/>
            <w:shd w:val="clear" w:color="auto" w:fill="00B0F0"/>
          </w:tcPr>
          <w:p w14:paraId="641A889C" w14:textId="4C6CD8F6" w:rsidR="00147852" w:rsidRDefault="007C5563" w:rsidP="00073D07">
            <w:pPr>
              <w:pStyle w:val="05Tabletext"/>
              <w:spacing w:before="0"/>
              <w:ind w:left="0" w:right="0"/>
            </w:pPr>
            <w:r>
              <w:t>May be suitable for particle therapy</w:t>
            </w:r>
          </w:p>
        </w:tc>
      </w:tr>
      <w:tr w:rsidR="0031594C" w14:paraId="48CBAF87" w14:textId="77777777" w:rsidTr="000D2EB3">
        <w:tc>
          <w:tcPr>
            <w:tcW w:w="1980" w:type="dxa"/>
          </w:tcPr>
          <w:p w14:paraId="30FC5674" w14:textId="2E32D7CF" w:rsidR="0031594C" w:rsidRDefault="0031594C" w:rsidP="00073D07">
            <w:pPr>
              <w:pStyle w:val="05Tabletext"/>
              <w:spacing w:before="0"/>
              <w:ind w:left="0" w:right="0"/>
            </w:pPr>
            <w:r>
              <w:t>Ewing sarcoma</w:t>
            </w:r>
          </w:p>
        </w:tc>
        <w:tc>
          <w:tcPr>
            <w:tcW w:w="1417" w:type="dxa"/>
          </w:tcPr>
          <w:p w14:paraId="7BAB25F0" w14:textId="77777777" w:rsidR="0031594C" w:rsidRDefault="0031594C" w:rsidP="00073D07">
            <w:pPr>
              <w:pStyle w:val="05Tabletext"/>
              <w:spacing w:before="0"/>
              <w:ind w:left="0" w:right="0"/>
            </w:pPr>
            <w:r>
              <w:t>Paediatric</w:t>
            </w:r>
          </w:p>
          <w:p w14:paraId="5B8D6094" w14:textId="50C7847C" w:rsidR="0031594C" w:rsidRDefault="0031594C" w:rsidP="00073D07">
            <w:pPr>
              <w:pStyle w:val="05Tabletext"/>
              <w:spacing w:before="0"/>
              <w:ind w:left="0" w:right="0"/>
            </w:pPr>
            <w:r>
              <w:t>Adult</w:t>
            </w:r>
          </w:p>
        </w:tc>
        <w:tc>
          <w:tcPr>
            <w:tcW w:w="1418" w:type="dxa"/>
          </w:tcPr>
          <w:p w14:paraId="59BEEFB2" w14:textId="6524D6BD" w:rsidR="0031594C" w:rsidRDefault="0031594C" w:rsidP="00073D07">
            <w:pPr>
              <w:pStyle w:val="05Tabletext"/>
              <w:spacing w:before="0"/>
              <w:ind w:left="0" w:right="0"/>
            </w:pPr>
            <w:r>
              <w:t>Yes</w:t>
            </w:r>
          </w:p>
        </w:tc>
        <w:tc>
          <w:tcPr>
            <w:tcW w:w="2268" w:type="dxa"/>
          </w:tcPr>
          <w:p w14:paraId="0CFE6904" w14:textId="25439EE1" w:rsidR="0031594C" w:rsidRDefault="0031594C" w:rsidP="00073D07">
            <w:pPr>
              <w:pStyle w:val="05Tabletext"/>
              <w:spacing w:before="0"/>
              <w:ind w:left="0" w:right="0"/>
            </w:pPr>
            <w:r>
              <w:t>IMRT</w:t>
            </w:r>
          </w:p>
        </w:tc>
        <w:tc>
          <w:tcPr>
            <w:tcW w:w="1933" w:type="dxa"/>
            <w:shd w:val="clear" w:color="auto" w:fill="00B0F0"/>
          </w:tcPr>
          <w:p w14:paraId="170F80C4" w14:textId="06CC240C" w:rsidR="0031594C" w:rsidRDefault="007C5563" w:rsidP="00073D07">
            <w:pPr>
              <w:pStyle w:val="05Tabletext"/>
              <w:spacing w:before="0"/>
              <w:ind w:left="0" w:right="0"/>
            </w:pPr>
            <w:r>
              <w:t>May be suitable for particle therapy</w:t>
            </w:r>
          </w:p>
        </w:tc>
      </w:tr>
      <w:tr w:rsidR="0031594C" w14:paraId="13C32099" w14:textId="77777777" w:rsidTr="000D2EB3">
        <w:tc>
          <w:tcPr>
            <w:tcW w:w="1980" w:type="dxa"/>
          </w:tcPr>
          <w:p w14:paraId="49199D18" w14:textId="6FDB7294" w:rsidR="0031594C" w:rsidRDefault="0031594C" w:rsidP="00073D07">
            <w:pPr>
              <w:pStyle w:val="05Tabletext"/>
              <w:spacing w:before="0"/>
              <w:ind w:left="0" w:right="0"/>
            </w:pPr>
            <w:r>
              <w:t>Spinal/</w:t>
            </w:r>
            <w:proofErr w:type="spellStart"/>
            <w:r>
              <w:t>paraspinal</w:t>
            </w:r>
            <w:proofErr w:type="spellEnd"/>
            <w:r>
              <w:t xml:space="preserve"> bone and soft tissue sarcoma (non-Ewing)</w:t>
            </w:r>
          </w:p>
        </w:tc>
        <w:tc>
          <w:tcPr>
            <w:tcW w:w="1417" w:type="dxa"/>
          </w:tcPr>
          <w:p w14:paraId="645DBC6E" w14:textId="77777777" w:rsidR="0031594C" w:rsidRDefault="0031594C" w:rsidP="00073D07">
            <w:pPr>
              <w:pStyle w:val="05Tabletext"/>
              <w:spacing w:before="0"/>
              <w:ind w:left="0" w:right="0"/>
            </w:pPr>
            <w:r>
              <w:t>Paediatric</w:t>
            </w:r>
          </w:p>
          <w:p w14:paraId="76AC6D65" w14:textId="7B12A94A" w:rsidR="0031594C" w:rsidRDefault="0031594C" w:rsidP="00073D07">
            <w:pPr>
              <w:pStyle w:val="05Tabletext"/>
              <w:spacing w:before="0"/>
              <w:ind w:left="0" w:right="0"/>
            </w:pPr>
            <w:r>
              <w:t>Adult</w:t>
            </w:r>
          </w:p>
        </w:tc>
        <w:tc>
          <w:tcPr>
            <w:tcW w:w="1418" w:type="dxa"/>
          </w:tcPr>
          <w:p w14:paraId="4FEDA710" w14:textId="514F0ED7" w:rsidR="0031594C" w:rsidRDefault="0031594C" w:rsidP="00073D07">
            <w:pPr>
              <w:pStyle w:val="05Tabletext"/>
              <w:spacing w:before="0"/>
              <w:ind w:left="0" w:right="0"/>
            </w:pPr>
            <w:r>
              <w:t>Yes</w:t>
            </w:r>
          </w:p>
        </w:tc>
        <w:tc>
          <w:tcPr>
            <w:tcW w:w="2268" w:type="dxa"/>
          </w:tcPr>
          <w:p w14:paraId="6B2EF5E3" w14:textId="50D1C858" w:rsidR="0031594C" w:rsidRDefault="0031594C" w:rsidP="00073D07">
            <w:pPr>
              <w:pStyle w:val="05Tabletext"/>
              <w:spacing w:before="0"/>
              <w:ind w:left="0" w:right="0"/>
            </w:pPr>
            <w:r>
              <w:t>IMRT</w:t>
            </w:r>
          </w:p>
        </w:tc>
        <w:tc>
          <w:tcPr>
            <w:tcW w:w="1933" w:type="dxa"/>
            <w:shd w:val="clear" w:color="auto" w:fill="00B0F0"/>
          </w:tcPr>
          <w:p w14:paraId="039C06F2" w14:textId="608F8932" w:rsidR="0031594C" w:rsidRDefault="007C5563" w:rsidP="00073D07">
            <w:pPr>
              <w:pStyle w:val="05Tabletext"/>
              <w:spacing w:before="0"/>
              <w:ind w:left="0" w:right="0"/>
            </w:pPr>
            <w:r>
              <w:t>May be suitable for particle therapy</w:t>
            </w:r>
          </w:p>
        </w:tc>
      </w:tr>
      <w:tr w:rsidR="0031594C" w14:paraId="0006E521" w14:textId="77777777" w:rsidTr="000D2EB3">
        <w:tc>
          <w:tcPr>
            <w:tcW w:w="1980" w:type="dxa"/>
          </w:tcPr>
          <w:p w14:paraId="3FC64747" w14:textId="172EDB98" w:rsidR="0031594C" w:rsidRDefault="0031594C" w:rsidP="00073D07">
            <w:pPr>
              <w:pStyle w:val="05Tabletext"/>
              <w:spacing w:before="0"/>
              <w:ind w:left="0" w:right="0"/>
            </w:pPr>
            <w:proofErr w:type="spellStart"/>
            <w:r>
              <w:t>Rhabdomyosarcoma</w:t>
            </w:r>
            <w:proofErr w:type="spellEnd"/>
            <w:r>
              <w:t xml:space="preserve">: orbit, </w:t>
            </w:r>
            <w:proofErr w:type="spellStart"/>
            <w:r>
              <w:t>parameningeal</w:t>
            </w:r>
            <w:proofErr w:type="spellEnd"/>
            <w:r>
              <w:t>/ head and neck, pelvis</w:t>
            </w:r>
          </w:p>
        </w:tc>
        <w:tc>
          <w:tcPr>
            <w:tcW w:w="1417" w:type="dxa"/>
          </w:tcPr>
          <w:p w14:paraId="34A94363" w14:textId="0DBEA0A0" w:rsidR="0031594C" w:rsidRDefault="0031594C" w:rsidP="00073D07">
            <w:pPr>
              <w:pStyle w:val="05Tabletext"/>
              <w:spacing w:before="0"/>
              <w:ind w:left="0" w:right="0"/>
            </w:pPr>
            <w:r>
              <w:t>Paediatric</w:t>
            </w:r>
          </w:p>
        </w:tc>
        <w:tc>
          <w:tcPr>
            <w:tcW w:w="1418" w:type="dxa"/>
          </w:tcPr>
          <w:p w14:paraId="5C8B0993" w14:textId="60F92372" w:rsidR="0031594C" w:rsidRDefault="0031594C" w:rsidP="00073D07">
            <w:pPr>
              <w:pStyle w:val="05Tabletext"/>
              <w:spacing w:before="0"/>
              <w:ind w:left="0" w:right="0"/>
            </w:pPr>
            <w:r>
              <w:t>Yes</w:t>
            </w:r>
          </w:p>
        </w:tc>
        <w:tc>
          <w:tcPr>
            <w:tcW w:w="2268" w:type="dxa"/>
          </w:tcPr>
          <w:p w14:paraId="5CFB39B9" w14:textId="1AFFC272" w:rsidR="0031594C" w:rsidRDefault="0031594C" w:rsidP="00073D07">
            <w:pPr>
              <w:pStyle w:val="05Tabletext"/>
              <w:spacing w:before="0"/>
              <w:ind w:left="0" w:right="0"/>
            </w:pPr>
            <w:r>
              <w:t>IMRT</w:t>
            </w:r>
          </w:p>
        </w:tc>
        <w:tc>
          <w:tcPr>
            <w:tcW w:w="1933" w:type="dxa"/>
            <w:shd w:val="clear" w:color="auto" w:fill="00B0F0"/>
          </w:tcPr>
          <w:p w14:paraId="2CE24892" w14:textId="7D8F1CC6" w:rsidR="0031594C" w:rsidRDefault="007C5563" w:rsidP="00073D07">
            <w:pPr>
              <w:pStyle w:val="05Tabletext"/>
              <w:spacing w:before="0"/>
              <w:ind w:left="0" w:right="0"/>
            </w:pPr>
            <w:r>
              <w:t>May be suitable for particle therapy</w:t>
            </w:r>
          </w:p>
        </w:tc>
      </w:tr>
      <w:tr w:rsidR="0031594C" w14:paraId="346A89C2" w14:textId="77777777" w:rsidTr="000D2EB3">
        <w:tc>
          <w:tcPr>
            <w:tcW w:w="1980" w:type="dxa"/>
          </w:tcPr>
          <w:p w14:paraId="2390DF88" w14:textId="60D34729" w:rsidR="0031594C" w:rsidRDefault="0031594C" w:rsidP="00073D07">
            <w:pPr>
              <w:pStyle w:val="05Tabletext"/>
              <w:spacing w:before="0"/>
              <w:ind w:left="0" w:right="0"/>
            </w:pPr>
            <w:r>
              <w:t>Retinoblastoma</w:t>
            </w:r>
          </w:p>
        </w:tc>
        <w:tc>
          <w:tcPr>
            <w:tcW w:w="1417" w:type="dxa"/>
          </w:tcPr>
          <w:p w14:paraId="07DC3542" w14:textId="3DDFF9A8" w:rsidR="0031594C" w:rsidRDefault="0031594C" w:rsidP="00073D07">
            <w:pPr>
              <w:pStyle w:val="05Tabletext"/>
              <w:spacing w:before="0"/>
              <w:ind w:left="0" w:right="0"/>
            </w:pPr>
            <w:r>
              <w:t>Paediatric</w:t>
            </w:r>
          </w:p>
        </w:tc>
        <w:tc>
          <w:tcPr>
            <w:tcW w:w="1418" w:type="dxa"/>
          </w:tcPr>
          <w:p w14:paraId="25F3E5B7" w14:textId="1EE09951" w:rsidR="0031594C" w:rsidRDefault="0031594C" w:rsidP="00073D07">
            <w:pPr>
              <w:pStyle w:val="05Tabletext"/>
              <w:spacing w:before="0"/>
              <w:ind w:left="0" w:right="0"/>
            </w:pPr>
            <w:r>
              <w:t>Yes</w:t>
            </w:r>
          </w:p>
        </w:tc>
        <w:tc>
          <w:tcPr>
            <w:tcW w:w="2268" w:type="dxa"/>
          </w:tcPr>
          <w:p w14:paraId="18C074ED" w14:textId="5D4B604A" w:rsidR="0031594C" w:rsidRDefault="0031594C" w:rsidP="00073D07">
            <w:pPr>
              <w:pStyle w:val="05Tabletext"/>
              <w:spacing w:before="0"/>
              <w:ind w:left="0" w:right="0"/>
            </w:pPr>
            <w:r>
              <w:t>IMRT, stereotactic techniques</w:t>
            </w:r>
          </w:p>
        </w:tc>
        <w:tc>
          <w:tcPr>
            <w:tcW w:w="1933" w:type="dxa"/>
            <w:shd w:val="clear" w:color="auto" w:fill="00B0F0"/>
          </w:tcPr>
          <w:p w14:paraId="2A525A9A" w14:textId="764FE16C" w:rsidR="0031594C" w:rsidRDefault="007C5563" w:rsidP="00073D07">
            <w:pPr>
              <w:pStyle w:val="05Tabletext"/>
              <w:spacing w:before="0"/>
              <w:ind w:left="0" w:right="0"/>
            </w:pPr>
            <w:r>
              <w:t>May be suitable for particle therapy</w:t>
            </w:r>
          </w:p>
        </w:tc>
      </w:tr>
      <w:tr w:rsidR="0031594C" w14:paraId="44FA5569" w14:textId="77777777" w:rsidTr="000D2EB3">
        <w:tc>
          <w:tcPr>
            <w:tcW w:w="1980" w:type="dxa"/>
          </w:tcPr>
          <w:p w14:paraId="763399B6" w14:textId="245DCF21" w:rsidR="0031594C" w:rsidRDefault="0031594C" w:rsidP="00073D07">
            <w:pPr>
              <w:pStyle w:val="05Tabletext"/>
              <w:spacing w:before="0"/>
              <w:ind w:left="0" w:right="0"/>
            </w:pPr>
            <w:r>
              <w:t>Hepatocellular cancer</w:t>
            </w:r>
          </w:p>
        </w:tc>
        <w:tc>
          <w:tcPr>
            <w:tcW w:w="1417" w:type="dxa"/>
          </w:tcPr>
          <w:p w14:paraId="349CCAD6" w14:textId="6FC99125" w:rsidR="0031594C" w:rsidRDefault="0031594C" w:rsidP="00073D07">
            <w:pPr>
              <w:pStyle w:val="05Tabletext"/>
              <w:spacing w:before="0"/>
              <w:ind w:left="0" w:right="0"/>
            </w:pPr>
            <w:r>
              <w:t>Adult</w:t>
            </w:r>
          </w:p>
        </w:tc>
        <w:tc>
          <w:tcPr>
            <w:tcW w:w="1418" w:type="dxa"/>
          </w:tcPr>
          <w:p w14:paraId="7E1E46FC" w14:textId="0996F7B5" w:rsidR="0031594C" w:rsidRDefault="0031594C" w:rsidP="00073D07">
            <w:pPr>
              <w:pStyle w:val="05Tabletext"/>
              <w:spacing w:before="0"/>
              <w:ind w:left="0" w:right="0"/>
            </w:pPr>
            <w:r>
              <w:t>Yes, both protons and carbon ions</w:t>
            </w:r>
          </w:p>
        </w:tc>
        <w:tc>
          <w:tcPr>
            <w:tcW w:w="2268" w:type="dxa"/>
          </w:tcPr>
          <w:p w14:paraId="6A962A2E" w14:textId="2FB9E51B" w:rsidR="0031594C" w:rsidRDefault="0031594C" w:rsidP="00073D07">
            <w:pPr>
              <w:pStyle w:val="05Tabletext"/>
              <w:spacing w:before="0"/>
              <w:ind w:left="0" w:right="0"/>
            </w:pPr>
            <w:r>
              <w:t>Stereotactic techniques</w:t>
            </w:r>
          </w:p>
        </w:tc>
        <w:tc>
          <w:tcPr>
            <w:tcW w:w="1933" w:type="dxa"/>
            <w:shd w:val="clear" w:color="auto" w:fill="00B0F0"/>
          </w:tcPr>
          <w:p w14:paraId="1DDD11A3" w14:textId="7187D20F" w:rsidR="0031594C" w:rsidRDefault="007C5563" w:rsidP="00073D07">
            <w:pPr>
              <w:pStyle w:val="05Tabletext"/>
              <w:spacing w:before="0"/>
              <w:ind w:left="0" w:right="0"/>
            </w:pPr>
            <w:r>
              <w:t>May be suitable for particle therapy</w:t>
            </w:r>
          </w:p>
        </w:tc>
      </w:tr>
      <w:tr w:rsidR="0031594C" w14:paraId="35B2BE84" w14:textId="77777777" w:rsidTr="000D2EB3">
        <w:tc>
          <w:tcPr>
            <w:tcW w:w="1980" w:type="dxa"/>
          </w:tcPr>
          <w:p w14:paraId="52AB63A7" w14:textId="22D22F34" w:rsidR="0031594C" w:rsidRDefault="0031594C" w:rsidP="00073D07">
            <w:pPr>
              <w:pStyle w:val="05Tabletext"/>
              <w:spacing w:before="0"/>
              <w:ind w:left="0" w:right="0"/>
            </w:pPr>
            <w:r>
              <w:t>Oesophageal cancer</w:t>
            </w:r>
          </w:p>
        </w:tc>
        <w:tc>
          <w:tcPr>
            <w:tcW w:w="1417" w:type="dxa"/>
          </w:tcPr>
          <w:p w14:paraId="141AD496" w14:textId="7469B3FB" w:rsidR="0031594C" w:rsidRDefault="0031594C" w:rsidP="00073D07">
            <w:pPr>
              <w:pStyle w:val="05Tabletext"/>
              <w:spacing w:before="0"/>
              <w:ind w:left="0" w:right="0"/>
            </w:pPr>
            <w:r>
              <w:t>Adult</w:t>
            </w:r>
          </w:p>
        </w:tc>
        <w:tc>
          <w:tcPr>
            <w:tcW w:w="1418" w:type="dxa"/>
          </w:tcPr>
          <w:p w14:paraId="645A4CF1" w14:textId="162A9913" w:rsidR="0031594C" w:rsidRDefault="0031594C" w:rsidP="00073D07">
            <w:pPr>
              <w:pStyle w:val="05Tabletext"/>
              <w:spacing w:before="0"/>
              <w:ind w:left="0" w:right="0"/>
            </w:pPr>
            <w:r>
              <w:t>Yes</w:t>
            </w:r>
          </w:p>
        </w:tc>
        <w:tc>
          <w:tcPr>
            <w:tcW w:w="2268" w:type="dxa"/>
          </w:tcPr>
          <w:p w14:paraId="77469A35" w14:textId="75FB1A3F" w:rsidR="0031594C" w:rsidRDefault="0031594C" w:rsidP="00073D07">
            <w:pPr>
              <w:pStyle w:val="05Tabletext"/>
              <w:spacing w:before="0"/>
              <w:ind w:left="0" w:right="0"/>
            </w:pPr>
            <w:r>
              <w:t xml:space="preserve">IMRT, </w:t>
            </w:r>
            <w:r w:rsidR="00490D55">
              <w:t>3D-CRT</w:t>
            </w:r>
          </w:p>
        </w:tc>
        <w:tc>
          <w:tcPr>
            <w:tcW w:w="1933" w:type="dxa"/>
            <w:shd w:val="clear" w:color="auto" w:fill="FFFF00"/>
          </w:tcPr>
          <w:p w14:paraId="6A96C93B" w14:textId="49DD273E" w:rsidR="0031594C" w:rsidRDefault="007C5563" w:rsidP="00073D07">
            <w:pPr>
              <w:pStyle w:val="05Tabletext"/>
              <w:spacing w:before="0"/>
              <w:ind w:left="0" w:right="0"/>
            </w:pPr>
            <w:r>
              <w:t>May become suitable for particle therapy in the future</w:t>
            </w:r>
          </w:p>
        </w:tc>
      </w:tr>
      <w:tr w:rsidR="0031594C" w14:paraId="398D9B50" w14:textId="77777777" w:rsidTr="000D2EB3">
        <w:tc>
          <w:tcPr>
            <w:tcW w:w="1980" w:type="dxa"/>
          </w:tcPr>
          <w:p w14:paraId="59BF1EAA" w14:textId="0B9D4552" w:rsidR="0031594C" w:rsidRDefault="0031594C" w:rsidP="00073D07">
            <w:pPr>
              <w:pStyle w:val="05Tabletext"/>
              <w:spacing w:before="0"/>
              <w:ind w:left="0" w:right="0"/>
            </w:pPr>
            <w:r>
              <w:t>Pancreatic cancer</w:t>
            </w:r>
          </w:p>
        </w:tc>
        <w:tc>
          <w:tcPr>
            <w:tcW w:w="1417" w:type="dxa"/>
          </w:tcPr>
          <w:p w14:paraId="140849C9" w14:textId="6A7D94DA" w:rsidR="0031594C" w:rsidRDefault="0031594C" w:rsidP="00073D07">
            <w:pPr>
              <w:pStyle w:val="05Tabletext"/>
              <w:spacing w:before="0"/>
              <w:ind w:left="0" w:right="0"/>
            </w:pPr>
            <w:r>
              <w:t>Adult</w:t>
            </w:r>
          </w:p>
        </w:tc>
        <w:tc>
          <w:tcPr>
            <w:tcW w:w="1418" w:type="dxa"/>
          </w:tcPr>
          <w:p w14:paraId="1D035852" w14:textId="2B792365" w:rsidR="0031594C" w:rsidRDefault="0031594C" w:rsidP="00073D07">
            <w:pPr>
              <w:pStyle w:val="05Tabletext"/>
              <w:spacing w:before="0"/>
              <w:ind w:left="0" w:right="0"/>
            </w:pPr>
            <w:r>
              <w:t>Yes, both protons and carbon ions</w:t>
            </w:r>
          </w:p>
        </w:tc>
        <w:tc>
          <w:tcPr>
            <w:tcW w:w="2268" w:type="dxa"/>
          </w:tcPr>
          <w:p w14:paraId="24601363" w14:textId="167E4788" w:rsidR="0031594C" w:rsidRDefault="0031594C" w:rsidP="00073D07">
            <w:pPr>
              <w:pStyle w:val="05Tabletext"/>
              <w:spacing w:before="0"/>
              <w:ind w:left="0" w:right="0"/>
            </w:pPr>
            <w:r>
              <w:t xml:space="preserve">IMRT, </w:t>
            </w:r>
            <w:r w:rsidR="00490D55">
              <w:t>3D-CRT</w:t>
            </w:r>
          </w:p>
        </w:tc>
        <w:tc>
          <w:tcPr>
            <w:tcW w:w="1933" w:type="dxa"/>
            <w:shd w:val="clear" w:color="auto" w:fill="FFFF00"/>
          </w:tcPr>
          <w:p w14:paraId="14D48F64" w14:textId="6EB7B97E" w:rsidR="0031594C" w:rsidRDefault="007C5563" w:rsidP="00073D07">
            <w:pPr>
              <w:pStyle w:val="05Tabletext"/>
              <w:spacing w:before="0"/>
              <w:ind w:left="0" w:right="0"/>
            </w:pPr>
            <w:r>
              <w:t>May become suitable for particle therapy in the future</w:t>
            </w:r>
          </w:p>
        </w:tc>
      </w:tr>
      <w:tr w:rsidR="0031594C" w14:paraId="09937B12" w14:textId="77777777" w:rsidTr="000D2EB3">
        <w:tc>
          <w:tcPr>
            <w:tcW w:w="1980" w:type="dxa"/>
          </w:tcPr>
          <w:p w14:paraId="088C1772" w14:textId="614FB3E7" w:rsidR="0031594C" w:rsidRDefault="0031594C" w:rsidP="00073D07">
            <w:pPr>
              <w:pStyle w:val="05Tabletext"/>
              <w:spacing w:before="0"/>
              <w:ind w:left="0" w:right="0"/>
            </w:pPr>
            <w:r>
              <w:t>Lymphoma</w:t>
            </w:r>
          </w:p>
        </w:tc>
        <w:tc>
          <w:tcPr>
            <w:tcW w:w="1417" w:type="dxa"/>
          </w:tcPr>
          <w:p w14:paraId="016C198E" w14:textId="49B5996E" w:rsidR="0031594C" w:rsidRDefault="0031594C" w:rsidP="00073D07">
            <w:pPr>
              <w:pStyle w:val="05Tabletext"/>
              <w:spacing w:before="0"/>
              <w:ind w:left="0" w:right="0"/>
            </w:pPr>
            <w:r>
              <w:t>Paediatric</w:t>
            </w:r>
          </w:p>
        </w:tc>
        <w:tc>
          <w:tcPr>
            <w:tcW w:w="1418" w:type="dxa"/>
          </w:tcPr>
          <w:p w14:paraId="2B1D0559" w14:textId="56CBFC1B" w:rsidR="0031594C" w:rsidRDefault="0031594C" w:rsidP="00073D07">
            <w:pPr>
              <w:pStyle w:val="05Tabletext"/>
              <w:spacing w:before="0"/>
              <w:ind w:left="0" w:right="0"/>
            </w:pPr>
            <w:r>
              <w:t>Yes, photons</w:t>
            </w:r>
          </w:p>
        </w:tc>
        <w:tc>
          <w:tcPr>
            <w:tcW w:w="2268" w:type="dxa"/>
          </w:tcPr>
          <w:p w14:paraId="1362F9FB" w14:textId="3DCF7AD9" w:rsidR="0031594C" w:rsidRDefault="0031594C" w:rsidP="00073D07">
            <w:pPr>
              <w:pStyle w:val="05Tabletext"/>
              <w:spacing w:before="0"/>
              <w:ind w:left="0" w:right="0"/>
            </w:pPr>
            <w:r>
              <w:t xml:space="preserve">IMRT, </w:t>
            </w:r>
            <w:r w:rsidR="00490D55">
              <w:t>3D-CRT</w:t>
            </w:r>
          </w:p>
        </w:tc>
        <w:tc>
          <w:tcPr>
            <w:tcW w:w="1933" w:type="dxa"/>
            <w:shd w:val="clear" w:color="auto" w:fill="FFFF00"/>
          </w:tcPr>
          <w:p w14:paraId="571CDE92" w14:textId="1953FF87" w:rsidR="0031594C" w:rsidRDefault="007C5563" w:rsidP="00073D07">
            <w:pPr>
              <w:pStyle w:val="05Tabletext"/>
              <w:spacing w:before="0"/>
              <w:ind w:left="0" w:right="0"/>
            </w:pPr>
            <w:r>
              <w:t>May become suitable for particle therapy in the future</w:t>
            </w:r>
          </w:p>
        </w:tc>
      </w:tr>
      <w:tr w:rsidR="0031594C" w14:paraId="2B2715DC" w14:textId="77777777" w:rsidTr="000D2EB3">
        <w:tc>
          <w:tcPr>
            <w:tcW w:w="1980" w:type="dxa"/>
          </w:tcPr>
          <w:p w14:paraId="79E50C3F" w14:textId="39C5CD93" w:rsidR="0031594C" w:rsidRDefault="0031594C" w:rsidP="00073D07">
            <w:pPr>
              <w:pStyle w:val="05Tabletext"/>
              <w:spacing w:before="0"/>
              <w:ind w:left="0" w:right="0"/>
            </w:pPr>
            <w:r>
              <w:t>Re-irradiation</w:t>
            </w:r>
          </w:p>
        </w:tc>
        <w:tc>
          <w:tcPr>
            <w:tcW w:w="1417" w:type="dxa"/>
          </w:tcPr>
          <w:p w14:paraId="746C5871" w14:textId="77777777" w:rsidR="0031594C" w:rsidRDefault="0031594C" w:rsidP="00073D07">
            <w:pPr>
              <w:pStyle w:val="05Tabletext"/>
              <w:spacing w:before="0"/>
              <w:ind w:left="0" w:right="0"/>
            </w:pPr>
            <w:r>
              <w:t>Paediatric</w:t>
            </w:r>
          </w:p>
          <w:p w14:paraId="6313BB41" w14:textId="712F4053" w:rsidR="0031594C" w:rsidRDefault="0031594C" w:rsidP="00073D07">
            <w:pPr>
              <w:pStyle w:val="05Tabletext"/>
              <w:spacing w:before="0"/>
              <w:ind w:left="0" w:right="0"/>
            </w:pPr>
            <w:r>
              <w:t>Adult</w:t>
            </w:r>
          </w:p>
        </w:tc>
        <w:tc>
          <w:tcPr>
            <w:tcW w:w="1418" w:type="dxa"/>
          </w:tcPr>
          <w:p w14:paraId="07039BE3" w14:textId="0850DB9D" w:rsidR="0031594C" w:rsidRDefault="0031594C" w:rsidP="00073D07">
            <w:pPr>
              <w:pStyle w:val="05Tabletext"/>
              <w:spacing w:before="0"/>
              <w:ind w:left="0" w:right="0"/>
            </w:pPr>
            <w:r>
              <w:t>Yes, both protons and carbon ions</w:t>
            </w:r>
          </w:p>
        </w:tc>
        <w:tc>
          <w:tcPr>
            <w:tcW w:w="2268" w:type="dxa"/>
          </w:tcPr>
          <w:p w14:paraId="307FFCD4" w14:textId="72382086" w:rsidR="0031594C" w:rsidRDefault="0031594C" w:rsidP="00073D07">
            <w:pPr>
              <w:pStyle w:val="05Tabletext"/>
              <w:spacing w:before="0"/>
              <w:ind w:left="0" w:right="0"/>
            </w:pPr>
            <w:r>
              <w:t xml:space="preserve">IMRT, </w:t>
            </w:r>
            <w:r w:rsidR="00490D55">
              <w:t>3D-CRT</w:t>
            </w:r>
            <w:r>
              <w:t>, stereotactic techniques, brachytherapy</w:t>
            </w:r>
          </w:p>
        </w:tc>
        <w:tc>
          <w:tcPr>
            <w:tcW w:w="1933" w:type="dxa"/>
            <w:shd w:val="clear" w:color="auto" w:fill="FFFF00"/>
          </w:tcPr>
          <w:p w14:paraId="39130EAF" w14:textId="467E8F1F" w:rsidR="0031594C" w:rsidRDefault="007C5563" w:rsidP="00073D07">
            <w:pPr>
              <w:pStyle w:val="05Tabletext"/>
              <w:spacing w:before="0"/>
              <w:ind w:left="0" w:right="0"/>
            </w:pPr>
            <w:r>
              <w:t>May become suitable for particle therapy in the future</w:t>
            </w:r>
          </w:p>
        </w:tc>
      </w:tr>
      <w:tr w:rsidR="0031594C" w14:paraId="34364B49" w14:textId="77777777" w:rsidTr="000D2EB3">
        <w:tc>
          <w:tcPr>
            <w:tcW w:w="1980" w:type="dxa"/>
          </w:tcPr>
          <w:p w14:paraId="157E5AF0" w14:textId="00D44AE3" w:rsidR="0031594C" w:rsidRDefault="0031594C" w:rsidP="00073D07">
            <w:pPr>
              <w:pStyle w:val="05Tabletext"/>
              <w:spacing w:before="0"/>
              <w:ind w:left="0" w:right="0"/>
            </w:pPr>
            <w:r>
              <w:t>Prostate cancer</w:t>
            </w:r>
          </w:p>
        </w:tc>
        <w:tc>
          <w:tcPr>
            <w:tcW w:w="1417" w:type="dxa"/>
          </w:tcPr>
          <w:p w14:paraId="2B735DA4" w14:textId="6B498E8D" w:rsidR="0031594C" w:rsidRDefault="0031594C" w:rsidP="00073D07">
            <w:pPr>
              <w:pStyle w:val="05Tabletext"/>
              <w:spacing w:before="0"/>
              <w:ind w:left="0" w:right="0"/>
            </w:pPr>
            <w:r>
              <w:t>Adult</w:t>
            </w:r>
          </w:p>
        </w:tc>
        <w:tc>
          <w:tcPr>
            <w:tcW w:w="1418" w:type="dxa"/>
          </w:tcPr>
          <w:p w14:paraId="03DC15C1" w14:textId="7FEE97E1" w:rsidR="0031594C" w:rsidRDefault="0031594C" w:rsidP="00073D07">
            <w:pPr>
              <w:pStyle w:val="05Tabletext"/>
              <w:spacing w:before="0"/>
              <w:ind w:left="0" w:right="0"/>
            </w:pPr>
            <w:r>
              <w:t>Yes</w:t>
            </w:r>
          </w:p>
        </w:tc>
        <w:tc>
          <w:tcPr>
            <w:tcW w:w="2268" w:type="dxa"/>
          </w:tcPr>
          <w:p w14:paraId="2D3B30EE" w14:textId="5AD98AEC" w:rsidR="0031594C" w:rsidRDefault="0031594C" w:rsidP="00073D07">
            <w:pPr>
              <w:pStyle w:val="05Tabletext"/>
              <w:spacing w:before="0"/>
              <w:ind w:left="0" w:right="0"/>
            </w:pPr>
            <w:r>
              <w:t xml:space="preserve">IMRT, </w:t>
            </w:r>
            <w:r w:rsidR="00490D55">
              <w:t>3D-CRT</w:t>
            </w:r>
            <w:r>
              <w:t xml:space="preserve">, </w:t>
            </w:r>
            <w:r w:rsidR="007C5563">
              <w:t>brachytherapy</w:t>
            </w:r>
          </w:p>
        </w:tc>
        <w:tc>
          <w:tcPr>
            <w:tcW w:w="1933" w:type="dxa"/>
            <w:shd w:val="clear" w:color="auto" w:fill="FF0000"/>
          </w:tcPr>
          <w:p w14:paraId="52D0ED8E" w14:textId="00457122" w:rsidR="0031594C" w:rsidRDefault="007C5563" w:rsidP="00073D07">
            <w:pPr>
              <w:pStyle w:val="05Tabletext"/>
              <w:spacing w:before="0"/>
              <w:ind w:left="0" w:right="0"/>
            </w:pPr>
            <w:r>
              <w:t>Treat with photons</w:t>
            </w:r>
          </w:p>
        </w:tc>
      </w:tr>
      <w:tr w:rsidR="0031594C" w14:paraId="3BE7A7F1" w14:textId="77777777" w:rsidTr="000D2EB3">
        <w:tc>
          <w:tcPr>
            <w:tcW w:w="1980" w:type="dxa"/>
          </w:tcPr>
          <w:p w14:paraId="21F2FC2C" w14:textId="4F7498D7" w:rsidR="0031594C" w:rsidRDefault="007C5563" w:rsidP="00073D07">
            <w:pPr>
              <w:pStyle w:val="05Tabletext"/>
              <w:spacing w:before="0"/>
              <w:ind w:left="0" w:right="0"/>
            </w:pPr>
            <w:r>
              <w:t>Lung</w:t>
            </w:r>
          </w:p>
        </w:tc>
        <w:tc>
          <w:tcPr>
            <w:tcW w:w="1417" w:type="dxa"/>
          </w:tcPr>
          <w:p w14:paraId="01C0F6DC" w14:textId="47185B7A" w:rsidR="0031594C" w:rsidRDefault="007C5563" w:rsidP="00073D07">
            <w:pPr>
              <w:pStyle w:val="05Tabletext"/>
              <w:spacing w:before="0"/>
              <w:ind w:left="0" w:right="0"/>
            </w:pPr>
            <w:r>
              <w:t>Adult</w:t>
            </w:r>
          </w:p>
        </w:tc>
        <w:tc>
          <w:tcPr>
            <w:tcW w:w="1418" w:type="dxa"/>
          </w:tcPr>
          <w:p w14:paraId="62CB055A" w14:textId="77777777" w:rsidR="0031594C" w:rsidRDefault="0031594C" w:rsidP="00073D07">
            <w:pPr>
              <w:pStyle w:val="05Tabletext"/>
              <w:spacing w:before="0"/>
              <w:ind w:left="0" w:right="0"/>
            </w:pPr>
          </w:p>
        </w:tc>
        <w:tc>
          <w:tcPr>
            <w:tcW w:w="2268" w:type="dxa"/>
          </w:tcPr>
          <w:p w14:paraId="219926B7" w14:textId="0AC21F98" w:rsidR="0031594C" w:rsidRDefault="007C5563" w:rsidP="00073D07">
            <w:pPr>
              <w:pStyle w:val="05Tabletext"/>
              <w:spacing w:before="0"/>
              <w:ind w:left="0" w:right="0"/>
            </w:pPr>
            <w:r>
              <w:t xml:space="preserve">IMRT, </w:t>
            </w:r>
            <w:r w:rsidR="00490D55">
              <w:t>3D-CRT</w:t>
            </w:r>
            <w:r>
              <w:t>, stereotactic techniques</w:t>
            </w:r>
          </w:p>
        </w:tc>
        <w:tc>
          <w:tcPr>
            <w:tcW w:w="1933" w:type="dxa"/>
            <w:shd w:val="clear" w:color="auto" w:fill="FF0000"/>
          </w:tcPr>
          <w:p w14:paraId="0B6EFCDF" w14:textId="313AC1D9" w:rsidR="0031594C" w:rsidRDefault="007C5563" w:rsidP="00073D07">
            <w:pPr>
              <w:pStyle w:val="05Tabletext"/>
              <w:spacing w:before="0"/>
              <w:ind w:left="0" w:right="0"/>
            </w:pPr>
            <w:r>
              <w:t>Treat with photons</w:t>
            </w:r>
          </w:p>
        </w:tc>
      </w:tr>
      <w:tr w:rsidR="007C5563" w14:paraId="259B3F4F" w14:textId="77777777" w:rsidTr="000D2EB3">
        <w:tc>
          <w:tcPr>
            <w:tcW w:w="1980" w:type="dxa"/>
          </w:tcPr>
          <w:p w14:paraId="448A67FD" w14:textId="4FD88E5E" w:rsidR="007C5563" w:rsidRDefault="007C5563" w:rsidP="00073D07">
            <w:pPr>
              <w:pStyle w:val="05Tabletext"/>
              <w:spacing w:before="0"/>
              <w:ind w:left="0" w:right="0"/>
            </w:pPr>
            <w:r>
              <w:t>Breast</w:t>
            </w:r>
          </w:p>
        </w:tc>
        <w:tc>
          <w:tcPr>
            <w:tcW w:w="1417" w:type="dxa"/>
          </w:tcPr>
          <w:p w14:paraId="0CC42A42" w14:textId="41DA8FBA" w:rsidR="007C5563" w:rsidRDefault="007C5563" w:rsidP="00073D07">
            <w:pPr>
              <w:pStyle w:val="05Tabletext"/>
              <w:spacing w:before="0"/>
              <w:ind w:left="0" w:right="0"/>
            </w:pPr>
            <w:r>
              <w:t>Adult</w:t>
            </w:r>
          </w:p>
        </w:tc>
        <w:tc>
          <w:tcPr>
            <w:tcW w:w="1418" w:type="dxa"/>
          </w:tcPr>
          <w:p w14:paraId="5C95D52E" w14:textId="78C8BBC4" w:rsidR="007C5563" w:rsidRDefault="007C5563" w:rsidP="00073D07">
            <w:pPr>
              <w:pStyle w:val="05Tabletext"/>
              <w:spacing w:before="0"/>
              <w:ind w:left="0" w:right="0"/>
            </w:pPr>
            <w:r>
              <w:t>Yes</w:t>
            </w:r>
          </w:p>
        </w:tc>
        <w:tc>
          <w:tcPr>
            <w:tcW w:w="2268" w:type="dxa"/>
          </w:tcPr>
          <w:p w14:paraId="7B20302E" w14:textId="1F34EA2F" w:rsidR="007C5563" w:rsidRDefault="007C5563" w:rsidP="00073D07">
            <w:pPr>
              <w:pStyle w:val="05Tabletext"/>
              <w:spacing w:before="0"/>
              <w:ind w:left="0" w:right="0"/>
            </w:pPr>
            <w:r>
              <w:t xml:space="preserve">IMRT, </w:t>
            </w:r>
            <w:r w:rsidR="00490D55">
              <w:t>3D-CRT</w:t>
            </w:r>
          </w:p>
        </w:tc>
        <w:tc>
          <w:tcPr>
            <w:tcW w:w="1933" w:type="dxa"/>
            <w:shd w:val="clear" w:color="auto" w:fill="FF0000"/>
          </w:tcPr>
          <w:p w14:paraId="1CE55930" w14:textId="362B7048" w:rsidR="007C5563" w:rsidRDefault="007C5563" w:rsidP="00073D07">
            <w:pPr>
              <w:pStyle w:val="05Tabletext"/>
              <w:spacing w:before="0"/>
              <w:ind w:left="0" w:right="0"/>
            </w:pPr>
            <w:r>
              <w:t>Treat with photons</w:t>
            </w:r>
          </w:p>
        </w:tc>
      </w:tr>
    </w:tbl>
    <w:p w14:paraId="56ADA9A6" w14:textId="1FCBC38B" w:rsidR="00147852" w:rsidRDefault="007C5563" w:rsidP="007C5563">
      <w:pPr>
        <w:pStyle w:val="FootnoteText"/>
        <w:rPr>
          <w:sz w:val="18"/>
          <w:szCs w:val="18"/>
          <w:vertAlign w:val="subscript"/>
        </w:rPr>
      </w:pPr>
      <w:r w:rsidRPr="000D2EB3">
        <w:rPr>
          <w:sz w:val="18"/>
          <w:szCs w:val="18"/>
          <w:vertAlign w:val="subscript"/>
        </w:rPr>
        <w:t>Source: RANZCR, 2015 (Table 3, page 19)</w:t>
      </w:r>
    </w:p>
    <w:p w14:paraId="2100879E" w14:textId="439ACEB3" w:rsidR="00A647B8" w:rsidRPr="000D2EB3" w:rsidRDefault="00A647B8" w:rsidP="007C5563">
      <w:pPr>
        <w:pStyle w:val="FootnoteText"/>
        <w:rPr>
          <w:sz w:val="18"/>
          <w:szCs w:val="18"/>
          <w:vertAlign w:val="subscript"/>
        </w:rPr>
      </w:pPr>
      <w:r>
        <w:rPr>
          <w:sz w:val="18"/>
          <w:szCs w:val="18"/>
          <w:vertAlign w:val="subscript"/>
        </w:rPr>
        <w:t>Abbreviations:</w:t>
      </w:r>
      <w:r w:rsidR="00490D55">
        <w:rPr>
          <w:sz w:val="18"/>
          <w:szCs w:val="18"/>
          <w:vertAlign w:val="subscript"/>
        </w:rPr>
        <w:t xml:space="preserve"> 3D-CRT, three dimensional conformal radiotherapy; </w:t>
      </w:r>
      <w:r>
        <w:rPr>
          <w:sz w:val="18"/>
          <w:szCs w:val="18"/>
          <w:vertAlign w:val="subscript"/>
        </w:rPr>
        <w:t xml:space="preserve">IMRT, </w:t>
      </w:r>
      <w:r w:rsidR="00490D55" w:rsidRPr="00490D55">
        <w:rPr>
          <w:sz w:val="18"/>
          <w:szCs w:val="18"/>
          <w:vertAlign w:val="subscript"/>
        </w:rPr>
        <w:t>intensity modulated radiation therapy</w:t>
      </w:r>
      <w:r w:rsidR="00490D55">
        <w:rPr>
          <w:sz w:val="18"/>
          <w:szCs w:val="18"/>
          <w:vertAlign w:val="subscript"/>
        </w:rPr>
        <w:t>.</w:t>
      </w:r>
    </w:p>
    <w:sectPr w:rsidR="00A647B8" w:rsidRPr="000D2EB3">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5CA44" w14:textId="77777777" w:rsidR="00586A62" w:rsidRDefault="00586A62" w:rsidP="003D699E">
      <w:pPr>
        <w:spacing w:after="0" w:line="240" w:lineRule="auto"/>
      </w:pPr>
      <w:r>
        <w:separator/>
      </w:r>
    </w:p>
  </w:endnote>
  <w:endnote w:type="continuationSeparator" w:id="0">
    <w:p w14:paraId="32BA9EDD" w14:textId="77777777" w:rsidR="00586A62" w:rsidRDefault="00586A62" w:rsidP="003D69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A6323" w14:textId="77777777" w:rsidR="009314E9" w:rsidRDefault="009314E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Cs w:val="18"/>
      </w:rPr>
      <w:id w:val="1626044460"/>
      <w:docPartObj>
        <w:docPartGallery w:val="Page Numbers (Bottom of Page)"/>
        <w:docPartUnique/>
      </w:docPartObj>
    </w:sdtPr>
    <w:sdtEndPr>
      <w:rPr>
        <w:color w:val="808080" w:themeColor="background1" w:themeShade="80"/>
        <w:spacing w:val="60"/>
      </w:rPr>
    </w:sdtEndPr>
    <w:sdtContent>
      <w:p w14:paraId="0D810A26" w14:textId="77777777" w:rsidR="002E3455" w:rsidRDefault="002E3455" w:rsidP="003D699E">
        <w:pPr>
          <w:pStyle w:val="Footer"/>
          <w:pBdr>
            <w:top w:val="single" w:sz="4" w:space="1" w:color="D9D9D9" w:themeColor="background1" w:themeShade="D9"/>
          </w:pBdr>
          <w:rPr>
            <w:color w:val="808080" w:themeColor="background1" w:themeShade="80"/>
            <w:spacing w:val="60"/>
            <w:szCs w:val="18"/>
          </w:rPr>
        </w:pPr>
        <w:r w:rsidRPr="00CF2DFA">
          <w:rPr>
            <w:szCs w:val="18"/>
          </w:rPr>
          <w:fldChar w:fldCharType="begin"/>
        </w:r>
        <w:r w:rsidRPr="00CF2DFA">
          <w:rPr>
            <w:szCs w:val="18"/>
          </w:rPr>
          <w:instrText xml:space="preserve"> PAGE   \* MERGEFORMAT </w:instrText>
        </w:r>
        <w:r w:rsidRPr="00CF2DFA">
          <w:rPr>
            <w:szCs w:val="18"/>
          </w:rPr>
          <w:fldChar w:fldCharType="separate"/>
        </w:r>
        <w:r w:rsidR="009314E9" w:rsidRPr="009314E9">
          <w:rPr>
            <w:b/>
            <w:bCs/>
            <w:noProof/>
            <w:szCs w:val="18"/>
          </w:rPr>
          <w:t>2</w:t>
        </w:r>
        <w:r w:rsidRPr="00CF2DFA">
          <w:rPr>
            <w:b/>
            <w:bCs/>
            <w:noProof/>
            <w:szCs w:val="18"/>
          </w:rPr>
          <w:fldChar w:fldCharType="end"/>
        </w:r>
        <w:r w:rsidRPr="00CF2DFA">
          <w:rPr>
            <w:b/>
            <w:bCs/>
            <w:szCs w:val="18"/>
          </w:rPr>
          <w:t xml:space="preserve"> | </w:t>
        </w:r>
        <w:r w:rsidRPr="00CF2DFA">
          <w:rPr>
            <w:color w:val="808080" w:themeColor="background1" w:themeShade="80"/>
            <w:spacing w:val="60"/>
            <w:szCs w:val="18"/>
          </w:rPr>
          <w:t>Page</w:t>
        </w:r>
        <w:r>
          <w:rPr>
            <w:color w:val="808080" w:themeColor="background1" w:themeShade="80"/>
            <w:spacing w:val="60"/>
            <w:szCs w:val="18"/>
          </w:rPr>
          <w:tab/>
          <w:t>PICO Confirmation</w:t>
        </w:r>
      </w:p>
      <w:p w14:paraId="5635CE19" w14:textId="11C02C9D" w:rsidR="002E3455" w:rsidRPr="001F2E94" w:rsidRDefault="002E3455" w:rsidP="00420ED1">
        <w:pPr>
          <w:pStyle w:val="Footer"/>
          <w:pBdr>
            <w:top w:val="single" w:sz="4" w:space="1" w:color="D9D9D9" w:themeColor="background1" w:themeShade="D9"/>
          </w:pBdr>
          <w:rPr>
            <w:color w:val="808080" w:themeColor="background1" w:themeShade="80"/>
            <w:spacing w:val="60"/>
            <w:szCs w:val="18"/>
          </w:rPr>
        </w:pPr>
        <w:r>
          <w:rPr>
            <w:color w:val="808080" w:themeColor="background1" w:themeShade="80"/>
            <w:spacing w:val="60"/>
            <w:szCs w:val="18"/>
          </w:rPr>
          <w:tab/>
          <w:t>Application 1455: Proton Beam Therapy (PBT)</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B1CF4" w14:textId="77777777" w:rsidR="009314E9" w:rsidRDefault="009314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828E72" w14:textId="77777777" w:rsidR="00586A62" w:rsidRDefault="00586A62" w:rsidP="003D699E">
      <w:pPr>
        <w:spacing w:after="0" w:line="240" w:lineRule="auto"/>
      </w:pPr>
      <w:r>
        <w:separator/>
      </w:r>
    </w:p>
  </w:footnote>
  <w:footnote w:type="continuationSeparator" w:id="0">
    <w:p w14:paraId="1576B5F2" w14:textId="77777777" w:rsidR="00586A62" w:rsidRDefault="00586A62" w:rsidP="003D699E">
      <w:pPr>
        <w:spacing w:after="0" w:line="240" w:lineRule="auto"/>
      </w:pPr>
      <w:r>
        <w:continuationSeparator/>
      </w:r>
    </w:p>
  </w:footnote>
  <w:footnote w:id="1">
    <w:p w14:paraId="6252CD1C" w14:textId="3879A093" w:rsidR="002E3455" w:rsidRDefault="002E3455" w:rsidP="00A071DC">
      <w:pPr>
        <w:pStyle w:val="FootnoteText"/>
      </w:pPr>
      <w:r>
        <w:rPr>
          <w:rStyle w:val="FootnoteReference"/>
        </w:rPr>
        <w:footnoteRef/>
      </w:r>
      <w:r>
        <w:t xml:space="preserve"> Eye malignancies are</w:t>
      </w:r>
      <w:r w:rsidRPr="007E7593">
        <w:t xml:space="preserve"> </w:t>
      </w:r>
      <w:r w:rsidRPr="00A071DC">
        <w:t>now</w:t>
      </w:r>
      <w:r w:rsidRPr="007E7593">
        <w:t xml:space="preserve"> successfully treated with stereotactic radiosurgery within Australia and applications are no longer supported under the MTO Program.</w:t>
      </w:r>
    </w:p>
  </w:footnote>
  <w:footnote w:id="2">
    <w:p w14:paraId="3986A419" w14:textId="0864CD01" w:rsidR="002E3455" w:rsidRDefault="002E3455" w:rsidP="0085771B">
      <w:pPr>
        <w:pStyle w:val="FootnoteText"/>
      </w:pPr>
      <w:r>
        <w:rPr>
          <w:rStyle w:val="FootnoteReference"/>
        </w:rPr>
        <w:footnoteRef/>
      </w:r>
      <w:r>
        <w:t xml:space="preserve"> </w:t>
      </w:r>
      <w:proofErr w:type="gramStart"/>
      <w:r w:rsidR="00C62782">
        <w:t>Three</w:t>
      </w:r>
      <w:r>
        <w:t xml:space="preserve"> patients in 20</w:t>
      </w:r>
      <w:r w:rsidR="00C62782">
        <w:t>12</w:t>
      </w:r>
      <w:r>
        <w:t xml:space="preserve">, </w:t>
      </w:r>
      <w:r w:rsidR="00C62782">
        <w:t>six</w:t>
      </w:r>
      <w:r>
        <w:t xml:space="preserve"> patients in 20</w:t>
      </w:r>
      <w:r w:rsidR="00C62782">
        <w:t>13</w:t>
      </w:r>
      <w:r>
        <w:t xml:space="preserve">, </w:t>
      </w:r>
      <w:r w:rsidR="00C62782">
        <w:t>three</w:t>
      </w:r>
      <w:r w:rsidRPr="00262C3F">
        <w:t xml:space="preserve"> patien</w:t>
      </w:r>
      <w:r>
        <w:t>ts in 20</w:t>
      </w:r>
      <w:r w:rsidR="00C62782">
        <w:t>14</w:t>
      </w:r>
      <w:r>
        <w:t>, five patients in 20</w:t>
      </w:r>
      <w:r w:rsidR="00C62782">
        <w:t>15</w:t>
      </w:r>
      <w:r>
        <w:t>, and three</w:t>
      </w:r>
      <w:r w:rsidRPr="00262C3F">
        <w:t xml:space="preserve"> patients in 2016.</w:t>
      </w:r>
      <w:proofErr w:type="gramEnd"/>
    </w:p>
  </w:footnote>
  <w:footnote w:id="3">
    <w:p w14:paraId="45C68DD9" w14:textId="5D512EBA" w:rsidR="002E3455" w:rsidRDefault="002E3455" w:rsidP="0085771B">
      <w:pPr>
        <w:pStyle w:val="FootnoteText"/>
      </w:pPr>
      <w:r>
        <w:rPr>
          <w:rStyle w:val="FootnoteReference"/>
        </w:rPr>
        <w:footnoteRef/>
      </w:r>
      <w:r>
        <w:t xml:space="preserve"> </w:t>
      </w:r>
      <w:r w:rsidRPr="007E7593">
        <w:t xml:space="preserve">Ocular melanoma and </w:t>
      </w:r>
      <w:proofErr w:type="spellStart"/>
      <w:r w:rsidRPr="007E7593">
        <w:t>choroidal</w:t>
      </w:r>
      <w:proofErr w:type="spellEnd"/>
      <w:r w:rsidRPr="007E7593">
        <w:t xml:space="preserve"> melanoma are now successfully treated with stereotactic radiosurgery within Australia and applications are no longer supported under the MTO Program.</w:t>
      </w:r>
      <w:r w:rsidR="00A21B48">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79F802" w14:textId="77777777" w:rsidR="002E3455" w:rsidRDefault="002E3455">
    <w:pPr>
      <w:pStyle w:val="Header"/>
    </w:pPr>
    <w:r>
      <w:rPr>
        <w:noProof/>
        <w:lang w:eastAsia="en-AU"/>
      </w:rPr>
      <mc:AlternateContent>
        <mc:Choice Requires="wps">
          <w:drawing>
            <wp:anchor distT="0" distB="0" distL="114300" distR="114300" simplePos="0" relativeHeight="251657728" behindDoc="1" locked="0" layoutInCell="0" allowOverlap="1" wp14:anchorId="1F5E5BE0" wp14:editId="01F75A39">
              <wp:simplePos x="0" y="0"/>
              <wp:positionH relativeFrom="margin">
                <wp:align>center</wp:align>
              </wp:positionH>
              <wp:positionV relativeFrom="margin">
                <wp:align>center</wp:align>
              </wp:positionV>
              <wp:extent cx="7458710" cy="621030"/>
              <wp:effectExtent l="0" t="2486025" r="0" b="242697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458710" cy="6210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94CF8E1" w14:textId="77777777" w:rsidR="002E3455" w:rsidRDefault="002E3455" w:rsidP="009D4B4C">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6" o:spid="_x0000_s1026" type="#_x0000_t202" style="position:absolute;margin-left:0;margin-top:0;width:587.3pt;height:48.9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" o:allowincell="f" filled="f" stroked="f">
              <v:stroke joinstyle="round"/>
              <o:lock v:ext="edit" text="t" shapetype="t"/>
              <v:textbox style="mso-fit-shape-to-text:t">
                <w:txbxContent>
                  <w:p w14:paraId="094CF8E1" w14:textId="77777777" w:rsidR="002E3455" w:rsidRDefault="002E3455" w:rsidP="009D4B4C">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DRAFT FOR CONSULATION</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A0326B" w14:textId="77777777" w:rsidR="002E3455" w:rsidRDefault="002E3455" w:rsidP="00A31595">
    <w:pPr>
      <w:pStyle w:val="Header"/>
      <w:tabs>
        <w:tab w:val="clear" w:pos="4513"/>
        <w:tab w:val="clear" w:pos="9026"/>
        <w:tab w:val="left" w:pos="5235"/>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EAF2CD" w14:textId="77777777" w:rsidR="009314E9" w:rsidRDefault="009314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CE21E90"/>
    <w:lvl w:ilvl="0">
      <w:start w:val="1"/>
      <w:numFmt w:val="decimal"/>
      <w:lvlText w:val="%1."/>
      <w:lvlJc w:val="left"/>
      <w:pPr>
        <w:tabs>
          <w:tab w:val="num" w:pos="1492"/>
        </w:tabs>
        <w:ind w:left="1492" w:hanging="360"/>
      </w:pPr>
    </w:lvl>
  </w:abstractNum>
  <w:abstractNum w:abstractNumId="1">
    <w:nsid w:val="FFFFFF7D"/>
    <w:multiLevelType w:val="singleLevel"/>
    <w:tmpl w:val="72826DA6"/>
    <w:lvl w:ilvl="0">
      <w:start w:val="1"/>
      <w:numFmt w:val="decimal"/>
      <w:lvlText w:val="%1."/>
      <w:lvlJc w:val="left"/>
      <w:pPr>
        <w:tabs>
          <w:tab w:val="num" w:pos="1209"/>
        </w:tabs>
        <w:ind w:left="1209" w:hanging="360"/>
      </w:pPr>
    </w:lvl>
  </w:abstractNum>
  <w:abstractNum w:abstractNumId="2">
    <w:nsid w:val="FFFFFF7E"/>
    <w:multiLevelType w:val="singleLevel"/>
    <w:tmpl w:val="E87EA848"/>
    <w:lvl w:ilvl="0">
      <w:start w:val="1"/>
      <w:numFmt w:val="decimal"/>
      <w:lvlText w:val="%1."/>
      <w:lvlJc w:val="left"/>
      <w:pPr>
        <w:tabs>
          <w:tab w:val="num" w:pos="926"/>
        </w:tabs>
        <w:ind w:left="926" w:hanging="360"/>
      </w:pPr>
    </w:lvl>
  </w:abstractNum>
  <w:abstractNum w:abstractNumId="3">
    <w:nsid w:val="FFFFFF7F"/>
    <w:multiLevelType w:val="singleLevel"/>
    <w:tmpl w:val="87AA2E8E"/>
    <w:lvl w:ilvl="0">
      <w:start w:val="1"/>
      <w:numFmt w:val="decimal"/>
      <w:lvlText w:val="%1."/>
      <w:lvlJc w:val="left"/>
      <w:pPr>
        <w:tabs>
          <w:tab w:val="num" w:pos="643"/>
        </w:tabs>
        <w:ind w:left="643" w:hanging="360"/>
      </w:pPr>
    </w:lvl>
  </w:abstractNum>
  <w:abstractNum w:abstractNumId="4">
    <w:nsid w:val="FFFFFF80"/>
    <w:multiLevelType w:val="singleLevel"/>
    <w:tmpl w:val="0544679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520203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8ABFE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D302CB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8328EAA"/>
    <w:lvl w:ilvl="0">
      <w:start w:val="1"/>
      <w:numFmt w:val="decimal"/>
      <w:lvlText w:val="%1."/>
      <w:lvlJc w:val="left"/>
      <w:pPr>
        <w:tabs>
          <w:tab w:val="num" w:pos="360"/>
        </w:tabs>
        <w:ind w:left="360" w:hanging="360"/>
      </w:pPr>
    </w:lvl>
  </w:abstractNum>
  <w:abstractNum w:abstractNumId="9">
    <w:nsid w:val="FFFFFF89"/>
    <w:multiLevelType w:val="singleLevel"/>
    <w:tmpl w:val="02B64E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AC31A91"/>
    <w:multiLevelType w:val="hybridMultilevel"/>
    <w:tmpl w:val="A49EF5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C41420E"/>
    <w:multiLevelType w:val="hybridMultilevel"/>
    <w:tmpl w:val="B2EC73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E7A7E9B"/>
    <w:multiLevelType w:val="multilevel"/>
    <w:tmpl w:val="0C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16AF62EB"/>
    <w:multiLevelType w:val="hybridMultilevel"/>
    <w:tmpl w:val="B59811F8"/>
    <w:lvl w:ilvl="0" w:tplc="0A20B0C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E83456B"/>
    <w:multiLevelType w:val="hybridMultilevel"/>
    <w:tmpl w:val="B36CB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50E4060"/>
    <w:multiLevelType w:val="hybridMultilevel"/>
    <w:tmpl w:val="DA6016C6"/>
    <w:lvl w:ilvl="0" w:tplc="D0A4E084">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6B376B6"/>
    <w:multiLevelType w:val="hybridMultilevel"/>
    <w:tmpl w:val="CFFEC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966063B"/>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8">
    <w:nsid w:val="50D70075"/>
    <w:multiLevelType w:val="hybridMultilevel"/>
    <w:tmpl w:val="7570E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10F6FAE"/>
    <w:multiLevelType w:val="multilevel"/>
    <w:tmpl w:val="5EDA609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nsid w:val="52CE63E9"/>
    <w:multiLevelType w:val="hybridMultilevel"/>
    <w:tmpl w:val="59408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7897827"/>
    <w:multiLevelType w:val="hybridMultilevel"/>
    <w:tmpl w:val="5F0CE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97B6EDA"/>
    <w:multiLevelType w:val="hybridMultilevel"/>
    <w:tmpl w:val="D2A831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2F020CF"/>
    <w:multiLevelType w:val="hybridMultilevel"/>
    <w:tmpl w:val="CBD09F4C"/>
    <w:lvl w:ilvl="0" w:tplc="BD142314">
      <w:start w:val="1"/>
      <w:numFmt w:val="decimal"/>
      <w:lvlText w:val="%1."/>
      <w:lvlJc w:val="left"/>
      <w:pPr>
        <w:ind w:left="720" w:hanging="360"/>
      </w:pPr>
      <w:rPr>
        <w:rFonts w:cs="Times New Roman"/>
        <w:b w:val="0"/>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nsid w:val="74AC4E6B"/>
    <w:multiLevelType w:val="hybridMultilevel"/>
    <w:tmpl w:val="7F9AB8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0"/>
  </w:num>
  <w:num w:numId="2">
    <w:abstractNumId w:val="10"/>
  </w:num>
  <w:num w:numId="3">
    <w:abstractNumId w:val="14"/>
  </w:num>
  <w:num w:numId="4">
    <w:abstractNumId w:val="22"/>
  </w:num>
  <w:num w:numId="5">
    <w:abstractNumId w:val="23"/>
  </w:num>
  <w:num w:numId="6">
    <w:abstractNumId w:val="17"/>
  </w:num>
  <w:num w:numId="7">
    <w:abstractNumId w:val="12"/>
  </w:num>
  <w:num w:numId="8">
    <w:abstractNumId w:val="11"/>
  </w:num>
  <w:num w:numId="9">
    <w:abstractNumId w:val="19"/>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 w:numId="21">
    <w:abstractNumId w:val="16"/>
  </w:num>
  <w:num w:numId="22">
    <w:abstractNumId w:val="18"/>
  </w:num>
  <w:num w:numId="23">
    <w:abstractNumId w:val="21"/>
  </w:num>
  <w:num w:numId="24">
    <w:abstractNumId w:val="9"/>
  </w:num>
  <w:num w:numId="25">
    <w:abstractNumId w:val="9"/>
  </w:num>
  <w:num w:numId="26">
    <w:abstractNumId w:val="9"/>
  </w:num>
  <w:num w:numId="27">
    <w:abstractNumId w:val="9"/>
  </w:num>
  <w:num w:numId="28">
    <w:abstractNumId w:val="9"/>
  </w:num>
  <w:num w:numId="29">
    <w:abstractNumId w:val="24"/>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15D"/>
    <w:rsid w:val="00002118"/>
    <w:rsid w:val="00004548"/>
    <w:rsid w:val="000069FD"/>
    <w:rsid w:val="00014375"/>
    <w:rsid w:val="000225AE"/>
    <w:rsid w:val="00032F32"/>
    <w:rsid w:val="00063AC8"/>
    <w:rsid w:val="00073D07"/>
    <w:rsid w:val="00074611"/>
    <w:rsid w:val="00091B49"/>
    <w:rsid w:val="000931B7"/>
    <w:rsid w:val="000949B2"/>
    <w:rsid w:val="000A0FBA"/>
    <w:rsid w:val="000B1D3E"/>
    <w:rsid w:val="000B519A"/>
    <w:rsid w:val="000B72BB"/>
    <w:rsid w:val="000B7CCE"/>
    <w:rsid w:val="000C10CF"/>
    <w:rsid w:val="000C3A4D"/>
    <w:rsid w:val="000C5A61"/>
    <w:rsid w:val="000D2EB3"/>
    <w:rsid w:val="000E7E5C"/>
    <w:rsid w:val="00102631"/>
    <w:rsid w:val="001128AD"/>
    <w:rsid w:val="00117071"/>
    <w:rsid w:val="00117337"/>
    <w:rsid w:val="00121045"/>
    <w:rsid w:val="00124944"/>
    <w:rsid w:val="001455EC"/>
    <w:rsid w:val="00147852"/>
    <w:rsid w:val="00185A78"/>
    <w:rsid w:val="0018630C"/>
    <w:rsid w:val="00191E53"/>
    <w:rsid w:val="0019247C"/>
    <w:rsid w:val="0019494F"/>
    <w:rsid w:val="00197879"/>
    <w:rsid w:val="001E0A5C"/>
    <w:rsid w:val="001F2E94"/>
    <w:rsid w:val="001F2F14"/>
    <w:rsid w:val="00203986"/>
    <w:rsid w:val="00213A72"/>
    <w:rsid w:val="00224228"/>
    <w:rsid w:val="002313EB"/>
    <w:rsid w:val="002549D5"/>
    <w:rsid w:val="00262C3F"/>
    <w:rsid w:val="00264ABC"/>
    <w:rsid w:val="00266ABC"/>
    <w:rsid w:val="00276CAC"/>
    <w:rsid w:val="002777DE"/>
    <w:rsid w:val="002779E2"/>
    <w:rsid w:val="0028238A"/>
    <w:rsid w:val="00282B7B"/>
    <w:rsid w:val="00292D87"/>
    <w:rsid w:val="00292DE9"/>
    <w:rsid w:val="00293849"/>
    <w:rsid w:val="002A03CE"/>
    <w:rsid w:val="002A4909"/>
    <w:rsid w:val="002A66BD"/>
    <w:rsid w:val="002B06A4"/>
    <w:rsid w:val="002B226C"/>
    <w:rsid w:val="002B3338"/>
    <w:rsid w:val="002B58AA"/>
    <w:rsid w:val="002B781D"/>
    <w:rsid w:val="002D11AB"/>
    <w:rsid w:val="002D3C3B"/>
    <w:rsid w:val="002E3455"/>
    <w:rsid w:val="00303C94"/>
    <w:rsid w:val="0031594C"/>
    <w:rsid w:val="00325330"/>
    <w:rsid w:val="003327F9"/>
    <w:rsid w:val="00351BB4"/>
    <w:rsid w:val="00362776"/>
    <w:rsid w:val="00373398"/>
    <w:rsid w:val="00382875"/>
    <w:rsid w:val="003A574B"/>
    <w:rsid w:val="003B5960"/>
    <w:rsid w:val="003B7A9E"/>
    <w:rsid w:val="003D699E"/>
    <w:rsid w:val="003E0382"/>
    <w:rsid w:val="003E5126"/>
    <w:rsid w:val="004002F5"/>
    <w:rsid w:val="00411511"/>
    <w:rsid w:val="0041222E"/>
    <w:rsid w:val="00420ED1"/>
    <w:rsid w:val="0042483F"/>
    <w:rsid w:val="00430A0C"/>
    <w:rsid w:val="00440228"/>
    <w:rsid w:val="0044715D"/>
    <w:rsid w:val="004472B9"/>
    <w:rsid w:val="004546B5"/>
    <w:rsid w:val="00462FF6"/>
    <w:rsid w:val="00475CBC"/>
    <w:rsid w:val="00490D55"/>
    <w:rsid w:val="00492DF3"/>
    <w:rsid w:val="00497475"/>
    <w:rsid w:val="004A152B"/>
    <w:rsid w:val="004A187C"/>
    <w:rsid w:val="004A1AA1"/>
    <w:rsid w:val="004A7728"/>
    <w:rsid w:val="004A7898"/>
    <w:rsid w:val="004B2CE9"/>
    <w:rsid w:val="004C1FA9"/>
    <w:rsid w:val="004D1D41"/>
    <w:rsid w:val="004D6851"/>
    <w:rsid w:val="004E6F6F"/>
    <w:rsid w:val="00504BAA"/>
    <w:rsid w:val="005076A6"/>
    <w:rsid w:val="005118A5"/>
    <w:rsid w:val="00536A26"/>
    <w:rsid w:val="00543A25"/>
    <w:rsid w:val="00563877"/>
    <w:rsid w:val="005640CC"/>
    <w:rsid w:val="0057781A"/>
    <w:rsid w:val="00586A62"/>
    <w:rsid w:val="00597F97"/>
    <w:rsid w:val="005C6953"/>
    <w:rsid w:val="005C7B58"/>
    <w:rsid w:val="005D405B"/>
    <w:rsid w:val="005D5322"/>
    <w:rsid w:val="005E5FFE"/>
    <w:rsid w:val="005F0F33"/>
    <w:rsid w:val="005F4D2F"/>
    <w:rsid w:val="006000F0"/>
    <w:rsid w:val="00604E00"/>
    <w:rsid w:val="006112F7"/>
    <w:rsid w:val="00627B5C"/>
    <w:rsid w:val="00644920"/>
    <w:rsid w:val="00655327"/>
    <w:rsid w:val="00686178"/>
    <w:rsid w:val="006974BB"/>
    <w:rsid w:val="006B6204"/>
    <w:rsid w:val="006D1643"/>
    <w:rsid w:val="006E7CE7"/>
    <w:rsid w:val="006F5DF3"/>
    <w:rsid w:val="00701B16"/>
    <w:rsid w:val="00734F81"/>
    <w:rsid w:val="0073757B"/>
    <w:rsid w:val="0073760A"/>
    <w:rsid w:val="00745418"/>
    <w:rsid w:val="00751006"/>
    <w:rsid w:val="00752491"/>
    <w:rsid w:val="00767A66"/>
    <w:rsid w:val="00773D47"/>
    <w:rsid w:val="00797CB6"/>
    <w:rsid w:val="007A6154"/>
    <w:rsid w:val="007A77E8"/>
    <w:rsid w:val="007B03FA"/>
    <w:rsid w:val="007B135A"/>
    <w:rsid w:val="007C5563"/>
    <w:rsid w:val="007C6BAA"/>
    <w:rsid w:val="007D31F4"/>
    <w:rsid w:val="007D4D8F"/>
    <w:rsid w:val="007E1A67"/>
    <w:rsid w:val="007E7593"/>
    <w:rsid w:val="007E77F3"/>
    <w:rsid w:val="007E7E23"/>
    <w:rsid w:val="007F1EC4"/>
    <w:rsid w:val="007F4E20"/>
    <w:rsid w:val="007F7E9A"/>
    <w:rsid w:val="00831CA9"/>
    <w:rsid w:val="008425D2"/>
    <w:rsid w:val="00845B4B"/>
    <w:rsid w:val="00847B40"/>
    <w:rsid w:val="0085771B"/>
    <w:rsid w:val="00870120"/>
    <w:rsid w:val="00870245"/>
    <w:rsid w:val="008706D6"/>
    <w:rsid w:val="00870D55"/>
    <w:rsid w:val="00871343"/>
    <w:rsid w:val="00874097"/>
    <w:rsid w:val="00874BA7"/>
    <w:rsid w:val="008757BF"/>
    <w:rsid w:val="008868D8"/>
    <w:rsid w:val="0089545D"/>
    <w:rsid w:val="00896845"/>
    <w:rsid w:val="008A4DB4"/>
    <w:rsid w:val="008B38E2"/>
    <w:rsid w:val="008B4FB7"/>
    <w:rsid w:val="008B4FC2"/>
    <w:rsid w:val="008C3E5E"/>
    <w:rsid w:val="008C67D8"/>
    <w:rsid w:val="008D32E0"/>
    <w:rsid w:val="008E01D8"/>
    <w:rsid w:val="008E321F"/>
    <w:rsid w:val="008F320C"/>
    <w:rsid w:val="00903C0D"/>
    <w:rsid w:val="00915AAE"/>
    <w:rsid w:val="009262D2"/>
    <w:rsid w:val="009314E9"/>
    <w:rsid w:val="00941403"/>
    <w:rsid w:val="00953ED7"/>
    <w:rsid w:val="00954504"/>
    <w:rsid w:val="00960ABD"/>
    <w:rsid w:val="00975D90"/>
    <w:rsid w:val="0097606E"/>
    <w:rsid w:val="009805A2"/>
    <w:rsid w:val="00987B80"/>
    <w:rsid w:val="009B5A63"/>
    <w:rsid w:val="009C0BB2"/>
    <w:rsid w:val="009D4B4C"/>
    <w:rsid w:val="009D6181"/>
    <w:rsid w:val="009E4A0A"/>
    <w:rsid w:val="009E5295"/>
    <w:rsid w:val="009F4339"/>
    <w:rsid w:val="00A031D4"/>
    <w:rsid w:val="00A06B9F"/>
    <w:rsid w:val="00A071DC"/>
    <w:rsid w:val="00A128EE"/>
    <w:rsid w:val="00A21B48"/>
    <w:rsid w:val="00A241CF"/>
    <w:rsid w:val="00A31595"/>
    <w:rsid w:val="00A42401"/>
    <w:rsid w:val="00A47B52"/>
    <w:rsid w:val="00A47F50"/>
    <w:rsid w:val="00A554D5"/>
    <w:rsid w:val="00A601AC"/>
    <w:rsid w:val="00A647B8"/>
    <w:rsid w:val="00A84A56"/>
    <w:rsid w:val="00AB1F47"/>
    <w:rsid w:val="00AB2D2A"/>
    <w:rsid w:val="00AB7087"/>
    <w:rsid w:val="00AC2DD2"/>
    <w:rsid w:val="00AE73C4"/>
    <w:rsid w:val="00AF42B9"/>
    <w:rsid w:val="00B03215"/>
    <w:rsid w:val="00B13BEA"/>
    <w:rsid w:val="00B239D0"/>
    <w:rsid w:val="00B33103"/>
    <w:rsid w:val="00B43CBC"/>
    <w:rsid w:val="00B45971"/>
    <w:rsid w:val="00B46A0A"/>
    <w:rsid w:val="00B56599"/>
    <w:rsid w:val="00B74B4D"/>
    <w:rsid w:val="00B83C0D"/>
    <w:rsid w:val="00B85D39"/>
    <w:rsid w:val="00BA63AA"/>
    <w:rsid w:val="00BB6E4A"/>
    <w:rsid w:val="00BD653D"/>
    <w:rsid w:val="00BE1F15"/>
    <w:rsid w:val="00BF2831"/>
    <w:rsid w:val="00BF35AD"/>
    <w:rsid w:val="00C054B3"/>
    <w:rsid w:val="00C07700"/>
    <w:rsid w:val="00C32389"/>
    <w:rsid w:val="00C43847"/>
    <w:rsid w:val="00C504CD"/>
    <w:rsid w:val="00C526DC"/>
    <w:rsid w:val="00C531F2"/>
    <w:rsid w:val="00C61965"/>
    <w:rsid w:val="00C62782"/>
    <w:rsid w:val="00C63A94"/>
    <w:rsid w:val="00C66986"/>
    <w:rsid w:val="00C74102"/>
    <w:rsid w:val="00C82C6D"/>
    <w:rsid w:val="00C852E8"/>
    <w:rsid w:val="00C87145"/>
    <w:rsid w:val="00C9630A"/>
    <w:rsid w:val="00CB7057"/>
    <w:rsid w:val="00CC3D0E"/>
    <w:rsid w:val="00CC60B0"/>
    <w:rsid w:val="00CE4EF6"/>
    <w:rsid w:val="00D01964"/>
    <w:rsid w:val="00D03752"/>
    <w:rsid w:val="00D06B8E"/>
    <w:rsid w:val="00D262C1"/>
    <w:rsid w:val="00D26848"/>
    <w:rsid w:val="00D34E94"/>
    <w:rsid w:val="00D37626"/>
    <w:rsid w:val="00D46C89"/>
    <w:rsid w:val="00D47F98"/>
    <w:rsid w:val="00D5011A"/>
    <w:rsid w:val="00D61E5A"/>
    <w:rsid w:val="00D64A29"/>
    <w:rsid w:val="00D746DA"/>
    <w:rsid w:val="00D95F1A"/>
    <w:rsid w:val="00DA6968"/>
    <w:rsid w:val="00DA75B5"/>
    <w:rsid w:val="00DB2559"/>
    <w:rsid w:val="00DB3CD9"/>
    <w:rsid w:val="00DC1F2B"/>
    <w:rsid w:val="00DC427F"/>
    <w:rsid w:val="00DC55D3"/>
    <w:rsid w:val="00DC77EA"/>
    <w:rsid w:val="00DD54B8"/>
    <w:rsid w:val="00DD5B2C"/>
    <w:rsid w:val="00DD7958"/>
    <w:rsid w:val="00DE3D6C"/>
    <w:rsid w:val="00DE7839"/>
    <w:rsid w:val="00DF4C0B"/>
    <w:rsid w:val="00DF6BF1"/>
    <w:rsid w:val="00E212B9"/>
    <w:rsid w:val="00E248C3"/>
    <w:rsid w:val="00E259C6"/>
    <w:rsid w:val="00E364F7"/>
    <w:rsid w:val="00E369CE"/>
    <w:rsid w:val="00E46B27"/>
    <w:rsid w:val="00E46C0B"/>
    <w:rsid w:val="00E67CAD"/>
    <w:rsid w:val="00E77F5A"/>
    <w:rsid w:val="00E83EA4"/>
    <w:rsid w:val="00E85EEC"/>
    <w:rsid w:val="00E968F6"/>
    <w:rsid w:val="00EC41C8"/>
    <w:rsid w:val="00EC4B66"/>
    <w:rsid w:val="00ED54A5"/>
    <w:rsid w:val="00EE7A1F"/>
    <w:rsid w:val="00EF6479"/>
    <w:rsid w:val="00F0186F"/>
    <w:rsid w:val="00F12E59"/>
    <w:rsid w:val="00F156CD"/>
    <w:rsid w:val="00F31EA3"/>
    <w:rsid w:val="00F4622B"/>
    <w:rsid w:val="00F6417C"/>
    <w:rsid w:val="00F64E40"/>
    <w:rsid w:val="00F6642A"/>
    <w:rsid w:val="00F66C65"/>
    <w:rsid w:val="00F87576"/>
    <w:rsid w:val="00F91958"/>
    <w:rsid w:val="00F9737A"/>
    <w:rsid w:val="00FA3E3D"/>
    <w:rsid w:val="00FA522E"/>
    <w:rsid w:val="00FC3F20"/>
    <w:rsid w:val="00FC752E"/>
    <w:rsid w:val="00FD6A65"/>
    <w:rsid w:val="00FF53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B0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95"/>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75CBC"/>
    <w:pPr>
      <w:keepNext/>
      <w:keepLines/>
      <w:spacing w:before="120" w:after="120"/>
      <w:outlineLvl w:val="1"/>
    </w:pPr>
    <w:rPr>
      <w:rFonts w:asciiTheme="minorHAnsi" w:eastAsia="MS Gothic" w:hAnsiTheme="minorHAnsi"/>
      <w:b/>
      <w:bCs/>
      <w:i/>
      <w:color w:val="548DD4"/>
      <w:sz w:val="22"/>
      <w:szCs w:val="26"/>
    </w:rPr>
  </w:style>
  <w:style w:type="paragraph" w:styleId="Heading3">
    <w:name w:val="heading 3"/>
    <w:basedOn w:val="Normal"/>
    <w:next w:val="Normal"/>
    <w:link w:val="Heading3Char"/>
    <w:uiPriority w:val="9"/>
    <w:unhideWhenUsed/>
    <w:qFormat/>
    <w:rsid w:val="008B38E2"/>
    <w:pPr>
      <w:keepNext/>
      <w:keepLines/>
      <w:outlineLvl w:val="2"/>
    </w:pPr>
    <w:rPr>
      <w:rFonts w:asciiTheme="minorHAnsi" w:eastAsiaTheme="majorEastAsia" w:hAnsiTheme="minorHAnsi" w:cstheme="majorBidi"/>
      <w:b/>
      <w:sz w:val="22"/>
    </w:rPr>
  </w:style>
  <w:style w:type="paragraph" w:styleId="Heading4">
    <w:name w:val="heading 4"/>
    <w:basedOn w:val="Normal"/>
    <w:next w:val="Normal"/>
    <w:link w:val="Heading4Char"/>
    <w:uiPriority w:val="9"/>
    <w:unhideWhenUsed/>
    <w:qFormat/>
    <w:rsid w:val="008B38E2"/>
    <w:pPr>
      <w:keepNext/>
      <w:keepLines/>
      <w:spacing w:before="40" w:after="0"/>
      <w:outlineLvl w:val="3"/>
    </w:pPr>
    <w:rPr>
      <w:rFonts w:asciiTheme="minorHAnsi" w:eastAsiaTheme="majorEastAsia" w:hAnsiTheme="minorHAnsi" w:cstheme="majorBidi"/>
      <w:b/>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5CBC"/>
    <w:rPr>
      <w:rFonts w:asciiTheme="minorHAnsi" w:eastAsia="MS Gothic" w:hAnsiTheme="minorHAnsi"/>
      <w:b/>
      <w:bCs/>
      <w:i/>
      <w:color w:val="548DD4"/>
      <w:sz w:val="22"/>
      <w:szCs w:val="26"/>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35"/>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A071DC"/>
    <w:pPr>
      <w:tabs>
        <w:tab w:val="center" w:pos="4513"/>
        <w:tab w:val="right" w:pos="9026"/>
      </w:tabs>
      <w:spacing w:after="0" w:line="240" w:lineRule="auto"/>
    </w:pPr>
    <w:rPr>
      <w:rFonts w:asciiTheme="minorHAnsi" w:hAnsiTheme="minorHAnsi"/>
      <w:sz w:val="18"/>
    </w:rPr>
  </w:style>
  <w:style w:type="character" w:customStyle="1" w:styleId="FooterChar">
    <w:name w:val="Footer Char"/>
    <w:basedOn w:val="DefaultParagraphFont"/>
    <w:link w:val="Footer"/>
    <w:uiPriority w:val="99"/>
    <w:rsid w:val="00A071DC"/>
    <w:rPr>
      <w:rFonts w:asciiTheme="minorHAnsi" w:hAnsiTheme="minorHAnsi"/>
      <w:sz w:val="18"/>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9D4B4C"/>
    <w:pPr>
      <w:spacing w:before="100" w:beforeAutospacing="1" w:after="100" w:afterAutospacing="1" w:line="240" w:lineRule="auto"/>
    </w:pPr>
    <w:rPr>
      <w:rFonts w:eastAsiaTheme="minorEastAsia"/>
      <w:lang w:eastAsia="en-AU"/>
    </w:rPr>
  </w:style>
  <w:style w:type="paragraph" w:styleId="BodyText">
    <w:name w:val="Body Text"/>
    <w:basedOn w:val="Normal"/>
    <w:link w:val="BodyTextChar"/>
    <w:uiPriority w:val="99"/>
    <w:unhideWhenUsed/>
    <w:rsid w:val="00DD54B8"/>
    <w:pPr>
      <w:spacing w:after="120"/>
    </w:pPr>
    <w:rPr>
      <w:rFonts w:asciiTheme="minorHAnsi" w:hAnsiTheme="minorHAnsi"/>
      <w:sz w:val="22"/>
    </w:rPr>
  </w:style>
  <w:style w:type="character" w:customStyle="1" w:styleId="BodyTextChar">
    <w:name w:val="Body Text Char"/>
    <w:basedOn w:val="DefaultParagraphFont"/>
    <w:link w:val="BodyText"/>
    <w:uiPriority w:val="99"/>
    <w:rsid w:val="00DD54B8"/>
    <w:rPr>
      <w:rFonts w:asciiTheme="minorHAnsi" w:hAnsiTheme="minorHAnsi"/>
      <w:sz w:val="22"/>
    </w:rPr>
  </w:style>
  <w:style w:type="paragraph" w:styleId="ListBullet">
    <w:name w:val="List Bullet"/>
    <w:basedOn w:val="Normal"/>
    <w:uiPriority w:val="99"/>
    <w:unhideWhenUsed/>
    <w:rsid w:val="009262D2"/>
    <w:pPr>
      <w:numPr>
        <w:numId w:val="10"/>
      </w:numPr>
      <w:ind w:left="357" w:hanging="357"/>
      <w:contextualSpacing/>
    </w:pPr>
    <w:rPr>
      <w:rFonts w:asciiTheme="minorHAnsi" w:hAnsiTheme="minorHAnsi"/>
      <w:sz w:val="22"/>
    </w:rPr>
  </w:style>
  <w:style w:type="paragraph" w:styleId="ListBullet2">
    <w:name w:val="List Bullet 2"/>
    <w:basedOn w:val="Normal"/>
    <w:uiPriority w:val="99"/>
    <w:unhideWhenUsed/>
    <w:rsid w:val="00DD54B8"/>
    <w:pPr>
      <w:numPr>
        <w:numId w:val="11"/>
      </w:numPr>
      <w:tabs>
        <w:tab w:val="clear" w:pos="643"/>
      </w:tabs>
      <w:ind w:left="357" w:hanging="357"/>
      <w:contextualSpacing/>
    </w:pPr>
    <w:rPr>
      <w:rFonts w:asciiTheme="minorHAnsi" w:hAnsiTheme="minorHAnsi"/>
      <w:sz w:val="20"/>
    </w:rPr>
  </w:style>
  <w:style w:type="paragraph" w:styleId="FootnoteText">
    <w:name w:val="footnote text"/>
    <w:basedOn w:val="Normal"/>
    <w:link w:val="FootnoteTextChar"/>
    <w:uiPriority w:val="99"/>
    <w:unhideWhenUsed/>
    <w:rsid w:val="00A071DC"/>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A071DC"/>
    <w:rPr>
      <w:rFonts w:asciiTheme="minorHAnsi" w:hAnsiTheme="minorHAnsi"/>
      <w:sz w:val="20"/>
      <w:szCs w:val="20"/>
    </w:rPr>
  </w:style>
  <w:style w:type="character" w:styleId="FootnoteReference">
    <w:name w:val="footnote reference"/>
    <w:basedOn w:val="DefaultParagraphFont"/>
    <w:uiPriority w:val="99"/>
    <w:semiHidden/>
    <w:unhideWhenUsed/>
    <w:rsid w:val="00262C3F"/>
    <w:rPr>
      <w:vertAlign w:val="superscript"/>
    </w:rPr>
  </w:style>
  <w:style w:type="paragraph" w:styleId="BodyText2">
    <w:name w:val="Body Text 2"/>
    <w:aliases w:val="Body Text 10 pt"/>
    <w:basedOn w:val="Normal"/>
    <w:link w:val="BodyText2Char"/>
    <w:uiPriority w:val="99"/>
    <w:unhideWhenUsed/>
    <w:rsid w:val="008B38E2"/>
    <w:pPr>
      <w:spacing w:line="360" w:lineRule="auto"/>
    </w:pPr>
    <w:rPr>
      <w:rFonts w:asciiTheme="minorHAnsi" w:hAnsiTheme="minorHAnsi"/>
      <w:sz w:val="20"/>
    </w:rPr>
  </w:style>
  <w:style w:type="character" w:customStyle="1" w:styleId="BodyText2Char">
    <w:name w:val="Body Text 2 Char"/>
    <w:aliases w:val="Body Text 10 pt Char"/>
    <w:basedOn w:val="DefaultParagraphFont"/>
    <w:link w:val="BodyText2"/>
    <w:uiPriority w:val="99"/>
    <w:rsid w:val="008B38E2"/>
    <w:rPr>
      <w:rFonts w:asciiTheme="minorHAnsi" w:hAnsiTheme="minorHAnsi"/>
      <w:sz w:val="20"/>
    </w:rPr>
  </w:style>
  <w:style w:type="character" w:customStyle="1" w:styleId="Heading3Char">
    <w:name w:val="Heading 3 Char"/>
    <w:basedOn w:val="DefaultParagraphFont"/>
    <w:link w:val="Heading3"/>
    <w:uiPriority w:val="9"/>
    <w:rsid w:val="008B38E2"/>
    <w:rPr>
      <w:rFonts w:asciiTheme="minorHAnsi" w:eastAsiaTheme="majorEastAsia" w:hAnsiTheme="minorHAnsi" w:cstheme="majorBidi"/>
      <w:b/>
      <w:sz w:val="22"/>
    </w:rPr>
  </w:style>
  <w:style w:type="character" w:customStyle="1" w:styleId="Heading4Char">
    <w:name w:val="Heading 4 Char"/>
    <w:basedOn w:val="DefaultParagraphFont"/>
    <w:link w:val="Heading4"/>
    <w:uiPriority w:val="9"/>
    <w:rsid w:val="008B38E2"/>
    <w:rPr>
      <w:rFonts w:asciiTheme="minorHAnsi" w:eastAsiaTheme="majorEastAsia" w:hAnsiTheme="minorHAnsi" w:cstheme="majorBidi"/>
      <w:b/>
      <w:iCs/>
      <w:sz w:val="20"/>
    </w:rPr>
  </w:style>
  <w:style w:type="paragraph" w:styleId="BodyText3">
    <w:name w:val="Body Text 3"/>
    <w:aliases w:val="Table heading"/>
    <w:basedOn w:val="Normal"/>
    <w:link w:val="BodyText3Char"/>
    <w:uiPriority w:val="99"/>
    <w:semiHidden/>
    <w:unhideWhenUsed/>
    <w:rsid w:val="003A574B"/>
    <w:pPr>
      <w:spacing w:after="120"/>
    </w:pPr>
    <w:rPr>
      <w:rFonts w:asciiTheme="minorHAnsi" w:hAnsiTheme="minorHAnsi"/>
      <w:b/>
      <w:sz w:val="20"/>
      <w:szCs w:val="16"/>
    </w:rPr>
  </w:style>
  <w:style w:type="character" w:customStyle="1" w:styleId="BodyText3Char">
    <w:name w:val="Body Text 3 Char"/>
    <w:aliases w:val="Table heading Char"/>
    <w:basedOn w:val="DefaultParagraphFont"/>
    <w:link w:val="BodyText3"/>
    <w:uiPriority w:val="99"/>
    <w:semiHidden/>
    <w:rsid w:val="003A574B"/>
    <w:rPr>
      <w:rFonts w:asciiTheme="minorHAnsi" w:hAnsiTheme="minorHAnsi"/>
      <w:b/>
      <w:sz w:val="20"/>
      <w:szCs w:val="16"/>
    </w:rPr>
  </w:style>
  <w:style w:type="paragraph" w:customStyle="1" w:styleId="05Tabletext">
    <w:name w:val="05 Table text"/>
    <w:next w:val="Normal"/>
    <w:qFormat/>
    <w:rsid w:val="003A574B"/>
    <w:pPr>
      <w:spacing w:before="20" w:after="0" w:line="240" w:lineRule="auto"/>
      <w:ind w:left="57" w:right="57"/>
    </w:pPr>
    <w:rPr>
      <w:rFonts w:asciiTheme="minorHAnsi" w:eastAsia="Calibri" w:hAnsiTheme="minorHAnsi" w:cs="Times New Roman"/>
      <w:sz w:val="20"/>
    </w:rPr>
  </w:style>
  <w:style w:type="paragraph" w:customStyle="1" w:styleId="01TableHEADINGleftaligned">
    <w:name w:val="01 Table HEADING left aligned"/>
    <w:basedOn w:val="BodyText"/>
    <w:qFormat/>
    <w:rsid w:val="003A574B"/>
    <w:pPr>
      <w:keepNext/>
      <w:spacing w:before="60" w:after="0" w:line="240" w:lineRule="auto"/>
      <w:ind w:left="57" w:right="57"/>
    </w:pPr>
    <w:rPr>
      <w:rFonts w:eastAsia="Calibri" w:cs="Times New Roman"/>
      <w:b/>
      <w:sz w:val="20"/>
    </w:rPr>
  </w:style>
  <w:style w:type="paragraph" w:styleId="List2">
    <w:name w:val="List 2"/>
    <w:basedOn w:val="Normal"/>
    <w:uiPriority w:val="99"/>
    <w:unhideWhenUsed/>
    <w:rsid w:val="00475CBC"/>
    <w:pPr>
      <w:ind w:left="566" w:hanging="283"/>
      <w:contextualSpacing/>
    </w:pPr>
  </w:style>
  <w:style w:type="paragraph" w:customStyle="1" w:styleId="10TableorFigurefootnote">
    <w:name w:val="10 Table or Figure footnote"/>
    <w:qFormat/>
    <w:rsid w:val="008B4FB7"/>
    <w:pPr>
      <w:keepNext/>
      <w:spacing w:after="0" w:line="240" w:lineRule="auto"/>
    </w:pPr>
    <w:rPr>
      <w:rFonts w:ascii="Arial Narrow" w:eastAsia="Calibri" w:hAnsi="Arial Narrow" w:cs="Times New Roman"/>
      <w:sz w:val="16"/>
    </w:rPr>
  </w:style>
  <w:style w:type="paragraph" w:customStyle="1" w:styleId="Picturewithbox">
    <w:name w:val="Picture with box"/>
    <w:next w:val="Normal"/>
    <w:qFormat/>
    <w:rsid w:val="008B4FB7"/>
    <w:pPr>
      <w:pBdr>
        <w:top w:val="single" w:sz="4" w:space="4" w:color="auto"/>
        <w:left w:val="single" w:sz="4" w:space="0" w:color="auto"/>
        <w:bottom w:val="single" w:sz="4" w:space="4" w:color="auto"/>
        <w:right w:val="single" w:sz="4" w:space="0" w:color="auto"/>
      </w:pBdr>
      <w:spacing w:after="0" w:line="240" w:lineRule="auto"/>
      <w:jc w:val="center"/>
    </w:pPr>
    <w:rPr>
      <w:rFonts w:ascii="Cambria" w:eastAsia="Calibri" w:hAnsi="Cambria"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95"/>
  </w:style>
  <w:style w:type="paragraph" w:styleId="Heading1">
    <w:name w:val="heading 1"/>
    <w:basedOn w:val="Normal"/>
    <w:next w:val="Normal"/>
    <w:link w:val="Heading1Char"/>
    <w:uiPriority w:val="9"/>
    <w:qFormat/>
    <w:rsid w:val="00C63A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475CBC"/>
    <w:pPr>
      <w:keepNext/>
      <w:keepLines/>
      <w:spacing w:before="120" w:after="120"/>
      <w:outlineLvl w:val="1"/>
    </w:pPr>
    <w:rPr>
      <w:rFonts w:asciiTheme="minorHAnsi" w:eastAsia="MS Gothic" w:hAnsiTheme="minorHAnsi"/>
      <w:b/>
      <w:bCs/>
      <w:i/>
      <w:color w:val="548DD4"/>
      <w:sz w:val="22"/>
      <w:szCs w:val="26"/>
    </w:rPr>
  </w:style>
  <w:style w:type="paragraph" w:styleId="Heading3">
    <w:name w:val="heading 3"/>
    <w:basedOn w:val="Normal"/>
    <w:next w:val="Normal"/>
    <w:link w:val="Heading3Char"/>
    <w:uiPriority w:val="9"/>
    <w:unhideWhenUsed/>
    <w:qFormat/>
    <w:rsid w:val="008B38E2"/>
    <w:pPr>
      <w:keepNext/>
      <w:keepLines/>
      <w:outlineLvl w:val="2"/>
    </w:pPr>
    <w:rPr>
      <w:rFonts w:asciiTheme="minorHAnsi" w:eastAsiaTheme="majorEastAsia" w:hAnsiTheme="minorHAnsi" w:cstheme="majorBidi"/>
      <w:b/>
      <w:sz w:val="22"/>
    </w:rPr>
  </w:style>
  <w:style w:type="paragraph" w:styleId="Heading4">
    <w:name w:val="heading 4"/>
    <w:basedOn w:val="Normal"/>
    <w:next w:val="Normal"/>
    <w:link w:val="Heading4Char"/>
    <w:uiPriority w:val="9"/>
    <w:unhideWhenUsed/>
    <w:qFormat/>
    <w:rsid w:val="008B38E2"/>
    <w:pPr>
      <w:keepNext/>
      <w:keepLines/>
      <w:spacing w:before="40" w:after="0"/>
      <w:outlineLvl w:val="3"/>
    </w:pPr>
    <w:rPr>
      <w:rFonts w:asciiTheme="minorHAnsi" w:eastAsiaTheme="majorEastAsia" w:hAnsiTheme="minorHAnsi" w:cstheme="majorBidi"/>
      <w:b/>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75CBC"/>
    <w:rPr>
      <w:rFonts w:asciiTheme="minorHAnsi" w:eastAsia="MS Gothic" w:hAnsiTheme="minorHAnsi"/>
      <w:b/>
      <w:bCs/>
      <w:i/>
      <w:color w:val="548DD4"/>
      <w:sz w:val="22"/>
      <w:szCs w:val="26"/>
    </w:rPr>
  </w:style>
  <w:style w:type="paragraph" w:styleId="ListParagraph">
    <w:name w:val="List Paragraph"/>
    <w:basedOn w:val="Normal"/>
    <w:uiPriority w:val="34"/>
    <w:qFormat/>
    <w:rsid w:val="0044715D"/>
    <w:pPr>
      <w:ind w:left="720"/>
      <w:contextualSpacing/>
    </w:p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35"/>
    <w:qFormat/>
    <w:rsid w:val="0044715D"/>
    <w:pPr>
      <w:keepNext/>
      <w:spacing w:after="40" w:line="240" w:lineRule="auto"/>
      <w:ind w:left="709" w:hanging="709"/>
    </w:pPr>
    <w:rPr>
      <w:rFonts w:ascii="Arial Narrow" w:eastAsia="Times New Roman" w:hAnsi="Arial Narrow" w:cs="Tahoma"/>
      <w:b/>
      <w:sz w:val="20"/>
      <w:szCs w:val="20"/>
      <w:lang w:val="en-GB" w:eastAsia="ja-JP"/>
    </w:rPr>
  </w:style>
  <w:style w:type="character" w:styleId="Hyperlink">
    <w:name w:val="Hyperlink"/>
    <w:basedOn w:val="DefaultParagraphFont"/>
    <w:uiPriority w:val="99"/>
    <w:rsid w:val="0044715D"/>
    <w:rPr>
      <w:rFonts w:cs="Times New Roman"/>
      <w:color w:val="0000FF"/>
      <w:u w:val="single"/>
    </w:rPr>
  </w:style>
  <w:style w:type="paragraph" w:styleId="BalloonText">
    <w:name w:val="Balloon Text"/>
    <w:basedOn w:val="Normal"/>
    <w:link w:val="BalloonTextChar"/>
    <w:uiPriority w:val="99"/>
    <w:semiHidden/>
    <w:unhideWhenUsed/>
    <w:rsid w:val="004471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15D"/>
    <w:rPr>
      <w:rFonts w:ascii="Tahoma" w:eastAsia="Calibri" w:hAnsi="Tahoma" w:cs="Tahoma"/>
      <w:sz w:val="16"/>
      <w:szCs w:val="16"/>
    </w:rPr>
  </w:style>
  <w:style w:type="paragraph" w:customStyle="1" w:styleId="Heading10">
    <w:name w:val="Heading1"/>
    <w:rsid w:val="0044715D"/>
    <w:pPr>
      <w:spacing w:line="240" w:lineRule="auto"/>
    </w:pPr>
    <w:rPr>
      <w:rFonts w:ascii="Calibri" w:eastAsia="Calibri" w:hAnsi="Calibri" w:cs="Calibri"/>
      <w:b/>
      <w:bCs/>
      <w:color w:val="000000"/>
      <w:sz w:val="36"/>
      <w:szCs w:val="36"/>
      <w:u w:color="000000"/>
      <w:lang w:val="en-US" w:eastAsia="en-AU"/>
    </w:rPr>
  </w:style>
  <w:style w:type="character" w:styleId="CommentReference">
    <w:name w:val="annotation reference"/>
    <w:basedOn w:val="DefaultParagraphFont"/>
    <w:uiPriority w:val="99"/>
    <w:semiHidden/>
    <w:unhideWhenUsed/>
    <w:rsid w:val="00E46C0B"/>
    <w:rPr>
      <w:sz w:val="16"/>
      <w:szCs w:val="16"/>
    </w:rPr>
  </w:style>
  <w:style w:type="paragraph" w:styleId="CommentText">
    <w:name w:val="annotation text"/>
    <w:basedOn w:val="Normal"/>
    <w:link w:val="CommentTextChar"/>
    <w:uiPriority w:val="99"/>
    <w:unhideWhenUsed/>
    <w:rsid w:val="00E46C0B"/>
    <w:pPr>
      <w:spacing w:line="240" w:lineRule="auto"/>
    </w:pPr>
    <w:rPr>
      <w:sz w:val="20"/>
      <w:szCs w:val="20"/>
    </w:rPr>
  </w:style>
  <w:style w:type="character" w:customStyle="1" w:styleId="CommentTextChar">
    <w:name w:val="Comment Text Char"/>
    <w:basedOn w:val="DefaultParagraphFont"/>
    <w:link w:val="CommentText"/>
    <w:uiPriority w:val="99"/>
    <w:rsid w:val="00E46C0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6C0B"/>
    <w:rPr>
      <w:b/>
      <w:bCs/>
    </w:rPr>
  </w:style>
  <w:style w:type="character" w:customStyle="1" w:styleId="CommentSubjectChar">
    <w:name w:val="Comment Subject Char"/>
    <w:basedOn w:val="CommentTextChar"/>
    <w:link w:val="CommentSubject"/>
    <w:uiPriority w:val="99"/>
    <w:semiHidden/>
    <w:rsid w:val="00E46C0B"/>
    <w:rPr>
      <w:rFonts w:ascii="Calibri" w:eastAsia="Calibri" w:hAnsi="Calibri" w:cs="Times New Roman"/>
      <w:b/>
      <w:bCs/>
      <w:sz w:val="20"/>
      <w:szCs w:val="20"/>
    </w:rPr>
  </w:style>
  <w:style w:type="paragraph" w:styleId="Header">
    <w:name w:val="header"/>
    <w:basedOn w:val="Normal"/>
    <w:link w:val="HeaderChar"/>
    <w:uiPriority w:val="99"/>
    <w:unhideWhenUsed/>
    <w:rsid w:val="003D69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699E"/>
    <w:rPr>
      <w:rFonts w:ascii="Calibri" w:eastAsia="Calibri" w:hAnsi="Calibri" w:cs="Times New Roman"/>
      <w:sz w:val="22"/>
    </w:rPr>
  </w:style>
  <w:style w:type="paragraph" w:styleId="Footer">
    <w:name w:val="footer"/>
    <w:basedOn w:val="Normal"/>
    <w:link w:val="FooterChar"/>
    <w:uiPriority w:val="99"/>
    <w:unhideWhenUsed/>
    <w:rsid w:val="00A071DC"/>
    <w:pPr>
      <w:tabs>
        <w:tab w:val="center" w:pos="4513"/>
        <w:tab w:val="right" w:pos="9026"/>
      </w:tabs>
      <w:spacing w:after="0" w:line="240" w:lineRule="auto"/>
    </w:pPr>
    <w:rPr>
      <w:rFonts w:asciiTheme="minorHAnsi" w:hAnsiTheme="minorHAnsi"/>
      <w:sz w:val="18"/>
    </w:rPr>
  </w:style>
  <w:style w:type="character" w:customStyle="1" w:styleId="FooterChar">
    <w:name w:val="Footer Char"/>
    <w:basedOn w:val="DefaultParagraphFont"/>
    <w:link w:val="Footer"/>
    <w:uiPriority w:val="99"/>
    <w:rsid w:val="00A071DC"/>
    <w:rPr>
      <w:rFonts w:asciiTheme="minorHAnsi" w:hAnsiTheme="minorHAnsi"/>
      <w:sz w:val="18"/>
    </w:rPr>
  </w:style>
  <w:style w:type="paragraph" w:styleId="Subtitle">
    <w:name w:val="Subtitle"/>
    <w:basedOn w:val="Normal"/>
    <w:next w:val="Normal"/>
    <w:link w:val="SubtitleChar"/>
    <w:uiPriority w:val="11"/>
    <w:qFormat/>
    <w:rsid w:val="00FA522E"/>
    <w:pPr>
      <w:numPr>
        <w:ilvl w:val="1"/>
      </w:numPr>
      <w:spacing w:after="360" w:line="240" w:lineRule="auto"/>
    </w:pPr>
    <w:rPr>
      <w:rFonts w:eastAsiaTheme="majorEastAsia" w:cstheme="majorBidi"/>
      <w:b/>
      <w:bCs/>
      <w:sz w:val="36"/>
      <w:szCs w:val="36"/>
      <w:lang w:bidi="hi-IN"/>
    </w:rPr>
  </w:style>
  <w:style w:type="character" w:customStyle="1" w:styleId="SubtitleChar">
    <w:name w:val="Subtitle Char"/>
    <w:basedOn w:val="DefaultParagraphFont"/>
    <w:link w:val="Subtitle"/>
    <w:uiPriority w:val="11"/>
    <w:rsid w:val="00FA522E"/>
    <w:rPr>
      <w:rFonts w:ascii="Calibri" w:eastAsiaTheme="majorEastAsia" w:hAnsi="Calibri" w:cstheme="majorBidi"/>
      <w:b/>
      <w:bCs/>
      <w:sz w:val="36"/>
      <w:szCs w:val="36"/>
      <w:lang w:bidi="hi-IN"/>
    </w:rPr>
  </w:style>
  <w:style w:type="character" w:styleId="FollowedHyperlink">
    <w:name w:val="FollowedHyperlink"/>
    <w:basedOn w:val="DefaultParagraphFont"/>
    <w:uiPriority w:val="99"/>
    <w:semiHidden/>
    <w:unhideWhenUsed/>
    <w:rsid w:val="005E5FFE"/>
    <w:rPr>
      <w:color w:val="800080" w:themeColor="followedHyperlink"/>
      <w:u w:val="single"/>
    </w:rPr>
  </w:style>
  <w:style w:type="table" w:styleId="TableGrid">
    <w:name w:val="Table Grid"/>
    <w:basedOn w:val="TableNormal"/>
    <w:uiPriority w:val="59"/>
    <w:rsid w:val="008C3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63A94"/>
    <w:rPr>
      <w:rFonts w:asciiTheme="majorHAnsi" w:eastAsiaTheme="majorEastAsia" w:hAnsiTheme="majorHAnsi" w:cstheme="majorBidi"/>
      <w:b/>
      <w:bCs/>
      <w:color w:val="365F91" w:themeColor="accent1" w:themeShade="BF"/>
      <w:sz w:val="28"/>
      <w:szCs w:val="28"/>
    </w:rPr>
  </w:style>
  <w:style w:type="table" w:customStyle="1" w:styleId="TableGrid1">
    <w:name w:val="Table Grid1"/>
    <w:basedOn w:val="TableNormal"/>
    <w:next w:val="TableGrid"/>
    <w:uiPriority w:val="59"/>
    <w:rsid w:val="00C63A94"/>
    <w:pPr>
      <w:spacing w:after="240" w:line="240" w:lineRule="auto"/>
      <w:ind w:left="720"/>
    </w:pPr>
    <w:rPr>
      <w:rFonts w:eastAsia="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
    <w:name w:val="Sub-Title"/>
    <w:basedOn w:val="Normal"/>
    <w:rsid w:val="00EE7A1F"/>
    <w:pPr>
      <w:spacing w:after="240" w:line="240" w:lineRule="auto"/>
      <w:ind w:left="720"/>
      <w:jc w:val="right"/>
    </w:pPr>
    <w:rPr>
      <w:rFonts w:ascii="Arial" w:eastAsia="Times New Roman" w:hAnsi="Arial"/>
      <w:b/>
      <w:color w:val="000000"/>
      <w:sz w:val="40"/>
      <w:szCs w:val="20"/>
      <w:lang w:eastAsia="en-AU"/>
    </w:rPr>
  </w:style>
  <w:style w:type="paragraph" w:styleId="NormalWeb">
    <w:name w:val="Normal (Web)"/>
    <w:basedOn w:val="Normal"/>
    <w:uiPriority w:val="99"/>
    <w:semiHidden/>
    <w:unhideWhenUsed/>
    <w:rsid w:val="009D4B4C"/>
    <w:pPr>
      <w:spacing w:before="100" w:beforeAutospacing="1" w:after="100" w:afterAutospacing="1" w:line="240" w:lineRule="auto"/>
    </w:pPr>
    <w:rPr>
      <w:rFonts w:eastAsiaTheme="minorEastAsia"/>
      <w:lang w:eastAsia="en-AU"/>
    </w:rPr>
  </w:style>
  <w:style w:type="paragraph" w:styleId="BodyText">
    <w:name w:val="Body Text"/>
    <w:basedOn w:val="Normal"/>
    <w:link w:val="BodyTextChar"/>
    <w:uiPriority w:val="99"/>
    <w:unhideWhenUsed/>
    <w:rsid w:val="00DD54B8"/>
    <w:pPr>
      <w:spacing w:after="120"/>
    </w:pPr>
    <w:rPr>
      <w:rFonts w:asciiTheme="minorHAnsi" w:hAnsiTheme="minorHAnsi"/>
      <w:sz w:val="22"/>
    </w:rPr>
  </w:style>
  <w:style w:type="character" w:customStyle="1" w:styleId="BodyTextChar">
    <w:name w:val="Body Text Char"/>
    <w:basedOn w:val="DefaultParagraphFont"/>
    <w:link w:val="BodyText"/>
    <w:uiPriority w:val="99"/>
    <w:rsid w:val="00DD54B8"/>
    <w:rPr>
      <w:rFonts w:asciiTheme="minorHAnsi" w:hAnsiTheme="minorHAnsi"/>
      <w:sz w:val="22"/>
    </w:rPr>
  </w:style>
  <w:style w:type="paragraph" w:styleId="ListBullet">
    <w:name w:val="List Bullet"/>
    <w:basedOn w:val="Normal"/>
    <w:uiPriority w:val="99"/>
    <w:unhideWhenUsed/>
    <w:rsid w:val="009262D2"/>
    <w:pPr>
      <w:numPr>
        <w:numId w:val="10"/>
      </w:numPr>
      <w:ind w:left="357" w:hanging="357"/>
      <w:contextualSpacing/>
    </w:pPr>
    <w:rPr>
      <w:rFonts w:asciiTheme="minorHAnsi" w:hAnsiTheme="minorHAnsi"/>
      <w:sz w:val="22"/>
    </w:rPr>
  </w:style>
  <w:style w:type="paragraph" w:styleId="ListBullet2">
    <w:name w:val="List Bullet 2"/>
    <w:basedOn w:val="Normal"/>
    <w:uiPriority w:val="99"/>
    <w:unhideWhenUsed/>
    <w:rsid w:val="00DD54B8"/>
    <w:pPr>
      <w:numPr>
        <w:numId w:val="11"/>
      </w:numPr>
      <w:tabs>
        <w:tab w:val="clear" w:pos="643"/>
      </w:tabs>
      <w:ind w:left="357" w:hanging="357"/>
      <w:contextualSpacing/>
    </w:pPr>
    <w:rPr>
      <w:rFonts w:asciiTheme="minorHAnsi" w:hAnsiTheme="minorHAnsi"/>
      <w:sz w:val="20"/>
    </w:rPr>
  </w:style>
  <w:style w:type="paragraph" w:styleId="FootnoteText">
    <w:name w:val="footnote text"/>
    <w:basedOn w:val="Normal"/>
    <w:link w:val="FootnoteTextChar"/>
    <w:uiPriority w:val="99"/>
    <w:unhideWhenUsed/>
    <w:rsid w:val="00A071DC"/>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A071DC"/>
    <w:rPr>
      <w:rFonts w:asciiTheme="minorHAnsi" w:hAnsiTheme="minorHAnsi"/>
      <w:sz w:val="20"/>
      <w:szCs w:val="20"/>
    </w:rPr>
  </w:style>
  <w:style w:type="character" w:styleId="FootnoteReference">
    <w:name w:val="footnote reference"/>
    <w:basedOn w:val="DefaultParagraphFont"/>
    <w:uiPriority w:val="99"/>
    <w:semiHidden/>
    <w:unhideWhenUsed/>
    <w:rsid w:val="00262C3F"/>
    <w:rPr>
      <w:vertAlign w:val="superscript"/>
    </w:rPr>
  </w:style>
  <w:style w:type="paragraph" w:styleId="BodyText2">
    <w:name w:val="Body Text 2"/>
    <w:aliases w:val="Body Text 10 pt"/>
    <w:basedOn w:val="Normal"/>
    <w:link w:val="BodyText2Char"/>
    <w:uiPriority w:val="99"/>
    <w:unhideWhenUsed/>
    <w:rsid w:val="008B38E2"/>
    <w:pPr>
      <w:spacing w:line="360" w:lineRule="auto"/>
    </w:pPr>
    <w:rPr>
      <w:rFonts w:asciiTheme="minorHAnsi" w:hAnsiTheme="minorHAnsi"/>
      <w:sz w:val="20"/>
    </w:rPr>
  </w:style>
  <w:style w:type="character" w:customStyle="1" w:styleId="BodyText2Char">
    <w:name w:val="Body Text 2 Char"/>
    <w:aliases w:val="Body Text 10 pt Char"/>
    <w:basedOn w:val="DefaultParagraphFont"/>
    <w:link w:val="BodyText2"/>
    <w:uiPriority w:val="99"/>
    <w:rsid w:val="008B38E2"/>
    <w:rPr>
      <w:rFonts w:asciiTheme="minorHAnsi" w:hAnsiTheme="minorHAnsi"/>
      <w:sz w:val="20"/>
    </w:rPr>
  </w:style>
  <w:style w:type="character" w:customStyle="1" w:styleId="Heading3Char">
    <w:name w:val="Heading 3 Char"/>
    <w:basedOn w:val="DefaultParagraphFont"/>
    <w:link w:val="Heading3"/>
    <w:uiPriority w:val="9"/>
    <w:rsid w:val="008B38E2"/>
    <w:rPr>
      <w:rFonts w:asciiTheme="minorHAnsi" w:eastAsiaTheme="majorEastAsia" w:hAnsiTheme="minorHAnsi" w:cstheme="majorBidi"/>
      <w:b/>
      <w:sz w:val="22"/>
    </w:rPr>
  </w:style>
  <w:style w:type="character" w:customStyle="1" w:styleId="Heading4Char">
    <w:name w:val="Heading 4 Char"/>
    <w:basedOn w:val="DefaultParagraphFont"/>
    <w:link w:val="Heading4"/>
    <w:uiPriority w:val="9"/>
    <w:rsid w:val="008B38E2"/>
    <w:rPr>
      <w:rFonts w:asciiTheme="minorHAnsi" w:eastAsiaTheme="majorEastAsia" w:hAnsiTheme="minorHAnsi" w:cstheme="majorBidi"/>
      <w:b/>
      <w:iCs/>
      <w:sz w:val="20"/>
    </w:rPr>
  </w:style>
  <w:style w:type="paragraph" w:styleId="BodyText3">
    <w:name w:val="Body Text 3"/>
    <w:aliases w:val="Table heading"/>
    <w:basedOn w:val="Normal"/>
    <w:link w:val="BodyText3Char"/>
    <w:uiPriority w:val="99"/>
    <w:semiHidden/>
    <w:unhideWhenUsed/>
    <w:rsid w:val="003A574B"/>
    <w:pPr>
      <w:spacing w:after="120"/>
    </w:pPr>
    <w:rPr>
      <w:rFonts w:asciiTheme="minorHAnsi" w:hAnsiTheme="minorHAnsi"/>
      <w:b/>
      <w:sz w:val="20"/>
      <w:szCs w:val="16"/>
    </w:rPr>
  </w:style>
  <w:style w:type="character" w:customStyle="1" w:styleId="BodyText3Char">
    <w:name w:val="Body Text 3 Char"/>
    <w:aliases w:val="Table heading Char"/>
    <w:basedOn w:val="DefaultParagraphFont"/>
    <w:link w:val="BodyText3"/>
    <w:uiPriority w:val="99"/>
    <w:semiHidden/>
    <w:rsid w:val="003A574B"/>
    <w:rPr>
      <w:rFonts w:asciiTheme="minorHAnsi" w:hAnsiTheme="minorHAnsi"/>
      <w:b/>
      <w:sz w:val="20"/>
      <w:szCs w:val="16"/>
    </w:rPr>
  </w:style>
  <w:style w:type="paragraph" w:customStyle="1" w:styleId="05Tabletext">
    <w:name w:val="05 Table text"/>
    <w:next w:val="Normal"/>
    <w:qFormat/>
    <w:rsid w:val="003A574B"/>
    <w:pPr>
      <w:spacing w:before="20" w:after="0" w:line="240" w:lineRule="auto"/>
      <w:ind w:left="57" w:right="57"/>
    </w:pPr>
    <w:rPr>
      <w:rFonts w:asciiTheme="minorHAnsi" w:eastAsia="Calibri" w:hAnsiTheme="minorHAnsi" w:cs="Times New Roman"/>
      <w:sz w:val="20"/>
    </w:rPr>
  </w:style>
  <w:style w:type="paragraph" w:customStyle="1" w:styleId="01TableHEADINGleftaligned">
    <w:name w:val="01 Table HEADING left aligned"/>
    <w:basedOn w:val="BodyText"/>
    <w:qFormat/>
    <w:rsid w:val="003A574B"/>
    <w:pPr>
      <w:keepNext/>
      <w:spacing w:before="60" w:after="0" w:line="240" w:lineRule="auto"/>
      <w:ind w:left="57" w:right="57"/>
    </w:pPr>
    <w:rPr>
      <w:rFonts w:eastAsia="Calibri" w:cs="Times New Roman"/>
      <w:b/>
      <w:sz w:val="20"/>
    </w:rPr>
  </w:style>
  <w:style w:type="paragraph" w:styleId="List2">
    <w:name w:val="List 2"/>
    <w:basedOn w:val="Normal"/>
    <w:uiPriority w:val="99"/>
    <w:unhideWhenUsed/>
    <w:rsid w:val="00475CBC"/>
    <w:pPr>
      <w:ind w:left="566" w:hanging="283"/>
      <w:contextualSpacing/>
    </w:pPr>
  </w:style>
  <w:style w:type="paragraph" w:customStyle="1" w:styleId="10TableorFigurefootnote">
    <w:name w:val="10 Table or Figure footnote"/>
    <w:qFormat/>
    <w:rsid w:val="008B4FB7"/>
    <w:pPr>
      <w:keepNext/>
      <w:spacing w:after="0" w:line="240" w:lineRule="auto"/>
    </w:pPr>
    <w:rPr>
      <w:rFonts w:ascii="Arial Narrow" w:eastAsia="Calibri" w:hAnsi="Arial Narrow" w:cs="Times New Roman"/>
      <w:sz w:val="16"/>
    </w:rPr>
  </w:style>
  <w:style w:type="paragraph" w:customStyle="1" w:styleId="Picturewithbox">
    <w:name w:val="Picture with box"/>
    <w:next w:val="Normal"/>
    <w:qFormat/>
    <w:rsid w:val="008B4FB7"/>
    <w:pPr>
      <w:pBdr>
        <w:top w:val="single" w:sz="4" w:space="4" w:color="auto"/>
        <w:left w:val="single" w:sz="4" w:space="0" w:color="auto"/>
        <w:bottom w:val="single" w:sz="4" w:space="4" w:color="auto"/>
        <w:right w:val="single" w:sz="4" w:space="0" w:color="auto"/>
      </w:pBdr>
      <w:spacing w:after="0" w:line="240" w:lineRule="auto"/>
      <w:jc w:val="center"/>
    </w:pPr>
    <w:rPr>
      <w:rFonts w:ascii="Cambria" w:eastAsia="Calibri" w:hAnsi="Cambr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834975">
      <w:bodyDiv w:val="1"/>
      <w:marLeft w:val="0"/>
      <w:marRight w:val="0"/>
      <w:marTop w:val="0"/>
      <w:marBottom w:val="0"/>
      <w:divBdr>
        <w:top w:val="none" w:sz="0" w:space="0" w:color="auto"/>
        <w:left w:val="none" w:sz="0" w:space="0" w:color="auto"/>
        <w:bottom w:val="none" w:sz="0" w:space="0" w:color="auto"/>
        <w:right w:val="none" w:sz="0" w:space="0" w:color="auto"/>
      </w:divBdr>
    </w:div>
    <w:div w:id="628361943">
      <w:bodyDiv w:val="1"/>
      <w:marLeft w:val="0"/>
      <w:marRight w:val="0"/>
      <w:marTop w:val="0"/>
      <w:marBottom w:val="0"/>
      <w:divBdr>
        <w:top w:val="none" w:sz="0" w:space="0" w:color="auto"/>
        <w:left w:val="none" w:sz="0" w:space="0" w:color="auto"/>
        <w:bottom w:val="none" w:sz="0" w:space="0" w:color="auto"/>
        <w:right w:val="none" w:sz="0" w:space="0" w:color="auto"/>
      </w:divBdr>
    </w:div>
    <w:div w:id="12893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ti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ti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ac.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hta@health.gov.au"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1C36A-6675-4673-8580-E6B77425A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3800</Words>
  <Characters>21662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1455 - Proton Beam Therapy</dc:title>
  <dc:creator/>
  <cp:lastModifiedBy/>
  <cp:revision>1</cp:revision>
  <dcterms:created xsi:type="dcterms:W3CDTF">2017-02-28T02:07:00Z</dcterms:created>
  <dcterms:modified xsi:type="dcterms:W3CDTF">2017-02-28T02:08:00Z</dcterms:modified>
</cp:coreProperties>
</file>