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5F1AB"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60D52702" wp14:editId="6C466EDC">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7451B6A"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113999BC" w14:textId="77777777" w:rsidR="00BC1364" w:rsidRPr="00F715D1" w:rsidRDefault="00BC1364" w:rsidP="00F715D1">
      <w:pPr>
        <w:pStyle w:val="Subtitle"/>
      </w:pPr>
      <w:r w:rsidRPr="00F715D1">
        <w:t xml:space="preserve">Application No. </w:t>
      </w:r>
      <w:r w:rsidR="00F878CB">
        <w:t>15</w:t>
      </w:r>
      <w:r w:rsidR="00724C66">
        <w:t>59</w:t>
      </w:r>
      <w:r w:rsidRPr="00F715D1">
        <w:t xml:space="preserve"> – </w:t>
      </w:r>
      <w:r w:rsidR="00724C66" w:rsidRPr="00724C66">
        <w:t>Endoscopic Mucosal Resection</w:t>
      </w:r>
    </w:p>
    <w:p w14:paraId="69CB8E2C"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724C66" w:rsidRPr="00724C66">
        <w:rPr>
          <w:rFonts w:ascii="Arial" w:hAnsi="Arial" w:cs="Arial"/>
          <w:b/>
          <w:szCs w:val="24"/>
        </w:rPr>
        <w:t>Gastroenterological Society of Australia</w:t>
      </w:r>
    </w:p>
    <w:p w14:paraId="411A15C3"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F878CB">
        <w:rPr>
          <w:rFonts w:ascii="Arial" w:hAnsi="Arial" w:cs="Arial"/>
          <w:b/>
          <w:szCs w:val="24"/>
        </w:rPr>
        <w:t>28-29 July 2020</w:t>
      </w:r>
    </w:p>
    <w:p w14:paraId="20C1A346"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3FA16835" w14:textId="77777777" w:rsidR="003D7F29" w:rsidRPr="00F715D1" w:rsidRDefault="003D7F29" w:rsidP="00F715D1">
      <w:pPr>
        <w:pStyle w:val="Heading1"/>
      </w:pPr>
      <w:r w:rsidRPr="00F715D1">
        <w:t>Purpose of application</w:t>
      </w:r>
      <w:r w:rsidR="00822C7E" w:rsidRPr="00F715D1">
        <w:t xml:space="preserve"> </w:t>
      </w:r>
    </w:p>
    <w:p w14:paraId="2E278070" w14:textId="6857EB9A" w:rsidR="00C31E54" w:rsidRDefault="00C31E54" w:rsidP="00C31E54">
      <w:r>
        <w:t xml:space="preserve">An application requesting Medicare Benefits Schedule (MBS) listing of </w:t>
      </w:r>
      <w:r w:rsidRPr="00630E13">
        <w:t>endoscopic mucosal resection (EMR)</w:t>
      </w:r>
      <w:r>
        <w:t xml:space="preserve"> for patients with </w:t>
      </w:r>
      <w:r w:rsidRPr="00630E13">
        <w:t>large (≥ 25 mm) sessile colorectal polyps</w:t>
      </w:r>
      <w:r>
        <w:t xml:space="preserve"> was received from </w:t>
      </w:r>
      <w:r w:rsidR="009E6BA8">
        <w:t xml:space="preserve">the </w:t>
      </w:r>
      <w:r>
        <w:t>Gastroenterological Society of Australia by the Department of Health.</w:t>
      </w:r>
    </w:p>
    <w:p w14:paraId="3C771198" w14:textId="77777777" w:rsidR="00E977EE" w:rsidRPr="00F715D1" w:rsidRDefault="00E977EE" w:rsidP="00F715D1">
      <w:pPr>
        <w:pStyle w:val="Heading1"/>
      </w:pPr>
      <w:r w:rsidRPr="00F715D1">
        <w:t>MSAC’s advice to the Minister</w:t>
      </w:r>
    </w:p>
    <w:p w14:paraId="43D6E667" w14:textId="06CED7A2" w:rsidR="001D33D5" w:rsidRDefault="009A48A5" w:rsidP="009A48A5">
      <w:r w:rsidRPr="001342D1">
        <w:t xml:space="preserve">After considering the strength of the available evidence in relation to comparative safety, </w:t>
      </w:r>
      <w:r>
        <w:t>clinical effectiveness and cost-</w:t>
      </w:r>
      <w:r w:rsidRPr="001342D1">
        <w:t xml:space="preserve">effectiveness, </w:t>
      </w:r>
      <w:r>
        <w:t xml:space="preserve">MSAC supported public funding for endoscopic mucosal resection (EMR) for patients with large (≥25 mm) sessile colorectal polyps. MSAC accepted that EMR was safe, effective and cost-effective compared with surgical resection and noted </w:t>
      </w:r>
      <w:r w:rsidR="000C4703">
        <w:t>EMR</w:t>
      </w:r>
      <w:r>
        <w:t xml:space="preserve"> is</w:t>
      </w:r>
      <w:r w:rsidR="000C4703">
        <w:t xml:space="preserve"> the</w:t>
      </w:r>
      <w:r>
        <w:t xml:space="preserve"> current standard of care. </w:t>
      </w:r>
      <w:r w:rsidR="000C4703">
        <w:t xml:space="preserve">However, </w:t>
      </w:r>
      <w:r>
        <w:t>MSAC considered that the proposed fee was inappropriate, as it was not aligned with comparable MBS items. MSAC also considered the proposed item should be restricted to credentialed users, which could be addressed through the Conjoint Committee for the Recognition of Training in Gastrointestinal Endoscopy.</w:t>
      </w:r>
    </w:p>
    <w:p w14:paraId="68341AEB" w14:textId="6B6B0A82" w:rsidR="009A48A5" w:rsidRDefault="009A48A5" w:rsidP="00883EAC">
      <w:pPr>
        <w:spacing w:before="240" w:after="240"/>
      </w:pPr>
      <w:r>
        <w:t>MSAC recommended that utilisation and post-procedure outcomes of EMR and surveillance should be monitored.</w:t>
      </w:r>
    </w:p>
    <w:tbl>
      <w:tblPr>
        <w:tblStyle w:val="TableGrid"/>
        <w:tblW w:w="0" w:type="auto"/>
        <w:tblLook w:val="04A0" w:firstRow="1" w:lastRow="0" w:firstColumn="1" w:lastColumn="0" w:noHBand="0" w:noVBand="1"/>
        <w:tblDescription w:val="Consumer summary of MSAC consideration"/>
      </w:tblPr>
      <w:tblGrid>
        <w:gridCol w:w="9016"/>
      </w:tblGrid>
      <w:tr w:rsidR="00883EAC" w14:paraId="5A3ABF58" w14:textId="77777777" w:rsidTr="003F2060">
        <w:trPr>
          <w:tblHeader/>
        </w:trPr>
        <w:tc>
          <w:tcPr>
            <w:tcW w:w="9016" w:type="dxa"/>
          </w:tcPr>
          <w:p w14:paraId="4C14EFA7" w14:textId="3F1E3951" w:rsidR="00883EAC" w:rsidRPr="00883EAC" w:rsidRDefault="00883EAC" w:rsidP="00883EAC">
            <w:pPr>
              <w:spacing w:before="120" w:after="120"/>
              <w:rPr>
                <w:b/>
              </w:rPr>
            </w:pPr>
            <w:r w:rsidRPr="00883EAC">
              <w:rPr>
                <w:b/>
              </w:rPr>
              <w:t>Consumer summary</w:t>
            </w:r>
          </w:p>
        </w:tc>
      </w:tr>
      <w:tr w:rsidR="00883EAC" w14:paraId="0BE5D2AC" w14:textId="77777777" w:rsidTr="00883EAC">
        <w:tc>
          <w:tcPr>
            <w:tcW w:w="9016" w:type="dxa"/>
          </w:tcPr>
          <w:p w14:paraId="2FA84E4A" w14:textId="2DC5FA85" w:rsidR="00883EAC" w:rsidRDefault="00883EAC" w:rsidP="00883EAC">
            <w:pPr>
              <w:spacing w:before="120"/>
            </w:pPr>
            <w:r>
              <w:t>The Gastroenterological Society of Australia requested public funding through the Medicare Benefits Schedule (MBS) for the use of endoscopic mucosal resection (EMR) to remove large sessile (flat) polyps in the colon.</w:t>
            </w:r>
          </w:p>
          <w:p w14:paraId="66D04539" w14:textId="77777777" w:rsidR="00883EAC" w:rsidRDefault="00883EAC" w:rsidP="00883EAC">
            <w:pPr>
              <w:spacing w:before="240"/>
            </w:pPr>
            <w:r>
              <w:t xml:space="preserve">A colon polyp (or lesion) is an abnormal growth of cells that forms on the lining of the colon, which is also known as the large intestine. Most colon polyps are harmless, but some can develop into colon cancer. During an EMR procedure, fluid is injected under the polyp to lift it away from the colon wall, making it easier to snare (catch) and remove using a wire loop. </w:t>
            </w:r>
          </w:p>
          <w:p w14:paraId="5EFC7B77" w14:textId="77777777" w:rsidR="00883EAC" w:rsidRDefault="00883EAC" w:rsidP="00883EAC">
            <w:r>
              <w:lastRenderedPageBreak/>
              <w:t>MSAC noted that the procedure is already being used and is safe and effective, but MSAC was concerned about the fee being requested by the applicant. MSAC calculated a new (lower) fee, based on the fee for other similar procedures.</w:t>
            </w:r>
          </w:p>
          <w:p w14:paraId="17196351" w14:textId="77777777" w:rsidR="00883EAC" w:rsidRPr="00883EAC" w:rsidRDefault="00883EAC" w:rsidP="00883EAC">
            <w:pPr>
              <w:spacing w:before="240" w:after="120"/>
              <w:rPr>
                <w:b/>
              </w:rPr>
            </w:pPr>
            <w:r w:rsidRPr="00883EAC">
              <w:rPr>
                <w:b/>
              </w:rPr>
              <w:t>MSAC’s advice to the Commonwealth Minister for Health</w:t>
            </w:r>
          </w:p>
          <w:p w14:paraId="1ACB7F78" w14:textId="4403E128" w:rsidR="00883EAC" w:rsidRDefault="00883EAC" w:rsidP="00883EAC">
            <w:pPr>
              <w:spacing w:after="120"/>
            </w:pPr>
            <w:r>
              <w:t>MSAC supported the public funding of EMR and has suggested a lower MBS fee than what was in the application so that the fee is in line with similar procedures.</w:t>
            </w:r>
          </w:p>
        </w:tc>
      </w:tr>
    </w:tbl>
    <w:p w14:paraId="3F6DAC85" w14:textId="77777777" w:rsidR="00550354" w:rsidRPr="00F715D1" w:rsidRDefault="00550354" w:rsidP="00F715D1">
      <w:pPr>
        <w:pStyle w:val="Heading1"/>
      </w:pPr>
      <w:r w:rsidRPr="00F715D1">
        <w:lastRenderedPageBreak/>
        <w:t xml:space="preserve">Summary of consideration and rationale for MSAC’s advice </w:t>
      </w:r>
    </w:p>
    <w:p w14:paraId="3A87FC3A" w14:textId="5EB284B8" w:rsidR="004C29F9" w:rsidRDefault="009A48A5" w:rsidP="009A48A5">
      <w:r>
        <w:t>MSAC noted that this is a new</w:t>
      </w:r>
      <w:r w:rsidRPr="004B0A52">
        <w:t xml:space="preserve"> application requesting Medicare Benefits Schedule (MBS) listing of EMR for patients with large (≥25</w:t>
      </w:r>
      <w:r w:rsidR="00677F34">
        <w:t> </w:t>
      </w:r>
      <w:r w:rsidRPr="004B0A52">
        <w:t>mm) sessile colorectal polyps</w:t>
      </w:r>
      <w:r w:rsidR="004C29F9">
        <w:t>, which</w:t>
      </w:r>
      <w:r w:rsidR="004C29F9" w:rsidRPr="00737BCF">
        <w:t xml:space="preserve"> </w:t>
      </w:r>
      <w:r w:rsidR="004C29F9">
        <w:t>is currently being performed as standard of care in public hospitals. MSAC also noted that it is also likely EMR is already being claimed on the MBS, as colonoscopy and polypectomy (MBS items 32222-32226, 32228 and 32229).</w:t>
      </w:r>
    </w:p>
    <w:p w14:paraId="2F255003" w14:textId="4139F19E" w:rsidR="009A48A5" w:rsidRDefault="004C29F9" w:rsidP="00883EAC">
      <w:pPr>
        <w:spacing w:before="240"/>
      </w:pPr>
      <w:r>
        <w:t xml:space="preserve">MSAC noted that </w:t>
      </w:r>
      <w:r w:rsidR="00DF608B">
        <w:t xml:space="preserve">proposed </w:t>
      </w:r>
      <w:r w:rsidRPr="004C29F9">
        <w:rPr>
          <w:lang w:val="en-US"/>
        </w:rPr>
        <w:t>MBS item can be claimed for both EMR performed during diagnostic colonoscopy and following referral after colonoscopy but unlikely that a diagnostic colonoscopy also includes EMR because of preparation/theatre use</w:t>
      </w:r>
      <w:r>
        <w:rPr>
          <w:lang w:val="en-US"/>
        </w:rPr>
        <w:t>.</w:t>
      </w:r>
    </w:p>
    <w:p w14:paraId="1BADC089" w14:textId="19B196FE" w:rsidR="009A48A5" w:rsidRDefault="009A48A5" w:rsidP="00883EAC">
      <w:pPr>
        <w:spacing w:before="240"/>
      </w:pPr>
      <w:r>
        <w:t>MSAC noted that ESC queried whether the minimum size of the lesion should be 20 mm; however, in its pre-MSAC response, the applicant considered the most appropriate minimum to be 25</w:t>
      </w:r>
      <w:r w:rsidR="00677F34">
        <w:t> </w:t>
      </w:r>
      <w:r>
        <w:t>mm</w:t>
      </w:r>
      <w:r w:rsidR="0067055E">
        <w:t xml:space="preserve"> to avoid leakage</w:t>
      </w:r>
      <w:r>
        <w:t xml:space="preserve">. MSAC noted that, in practice, the actual measurement is imprecise, so it is </w:t>
      </w:r>
      <w:r w:rsidR="0067055E">
        <w:t xml:space="preserve">possible </w:t>
      </w:r>
      <w:r>
        <w:t xml:space="preserve">that the person doing the procedure will estimate a polyp to be 25mm when it </w:t>
      </w:r>
      <w:r w:rsidR="0067055E">
        <w:t>may be a few mm smaller</w:t>
      </w:r>
      <w:r>
        <w:t xml:space="preserve">, which means that </w:t>
      </w:r>
      <w:r w:rsidR="0067055E">
        <w:t xml:space="preserve">suitable </w:t>
      </w:r>
      <w:r>
        <w:t>patients will not miss out on having the procedure</w:t>
      </w:r>
      <w:r w:rsidR="0067055E">
        <w:t xml:space="preserve"> yet leakage to lesions less than 20mm</w:t>
      </w:r>
      <w:r w:rsidR="0067055E" w:rsidRPr="0067055E">
        <w:t xml:space="preserve"> </w:t>
      </w:r>
      <w:r w:rsidR="0067055E">
        <w:t>will be minimised</w:t>
      </w:r>
      <w:r>
        <w:t xml:space="preserve">. </w:t>
      </w:r>
      <w:r w:rsidR="005842C6">
        <w:t>MSAC also noted that lesions &gt;40 mm would be referred to expert centres.</w:t>
      </w:r>
    </w:p>
    <w:p w14:paraId="516A339C" w14:textId="16FE032F" w:rsidR="000C4703" w:rsidRDefault="000C4703" w:rsidP="00883EAC">
      <w:pPr>
        <w:spacing w:before="240"/>
      </w:pPr>
      <w:r>
        <w:t>MSAC noted that n</w:t>
      </w:r>
      <w:r w:rsidRPr="009A4530">
        <w:t>o relevant randomised or non-randomised comparative studies comparing the intervention to the comparator in the population of interest were identified. As such, a naïve comparison between EMR and surgery outcomes was undertaken.</w:t>
      </w:r>
      <w:r w:rsidR="004C29F9">
        <w:t xml:space="preserve"> MSAC noted that EMR with three different co</w:t>
      </w:r>
      <w:r w:rsidR="003A6859">
        <w:t>-</w:t>
      </w:r>
      <w:r w:rsidR="004C29F9">
        <w:t>interventions was included as a secondary analysis.</w:t>
      </w:r>
    </w:p>
    <w:p w14:paraId="6FDB882B" w14:textId="52EAB60E" w:rsidR="000C4703" w:rsidRDefault="000C4703" w:rsidP="00883EAC">
      <w:pPr>
        <w:spacing w:before="240"/>
      </w:pPr>
      <w:r>
        <w:t xml:space="preserve">MSAC noted that </w:t>
      </w:r>
      <w:r w:rsidRPr="00F16883">
        <w:t xml:space="preserve">relative to the comparator, the intervention has uncertain safety and effectiveness due to a lack of direct comparative studies. </w:t>
      </w:r>
      <w:r>
        <w:t>Although MSAC considered</w:t>
      </w:r>
      <w:r w:rsidRPr="00F16883">
        <w:t xml:space="preserve"> the superiority of EMR </w:t>
      </w:r>
      <w:r>
        <w:t>compared with</w:t>
      </w:r>
      <w:r w:rsidRPr="00F16883">
        <w:t xml:space="preserve"> surgery </w:t>
      </w:r>
      <w:r>
        <w:t>to be</w:t>
      </w:r>
      <w:r w:rsidRPr="00F16883">
        <w:t xml:space="preserve"> uncertain, the clinical evidence suggests that it is an effective treatment f</w:t>
      </w:r>
      <w:r>
        <w:t>or</w:t>
      </w:r>
      <w:r w:rsidRPr="00F16883">
        <w:t xml:space="preserve"> large benign colorectal polyps.</w:t>
      </w:r>
    </w:p>
    <w:p w14:paraId="650EFA21" w14:textId="273D1EF9" w:rsidR="00954D15" w:rsidRDefault="000C4703" w:rsidP="00883EAC">
      <w:pPr>
        <w:spacing w:before="240"/>
      </w:pPr>
      <w:r>
        <w:t>MSAC noted that the b</w:t>
      </w:r>
      <w:r w:rsidRPr="00F12991">
        <w:t xml:space="preserve">enefits of EMR (e.g. reduced mortality and length of stay) have been accepted in clinical practice as outweighing the comparative </w:t>
      </w:r>
      <w:r>
        <w:t>disadvantages</w:t>
      </w:r>
      <w:r w:rsidRPr="00F12991">
        <w:t xml:space="preserve"> of EMR relative to surgery (i.e. surgery is considered curative, wh</w:t>
      </w:r>
      <w:r>
        <w:t>ereas</w:t>
      </w:r>
      <w:r w:rsidRPr="00F12991">
        <w:t xml:space="preserve"> there is a risk of residual adenoma/recurrence following EMR)</w:t>
      </w:r>
      <w:r>
        <w:t>. Although</w:t>
      </w:r>
      <w:r w:rsidRPr="00F12991">
        <w:t xml:space="preserve"> EMR, unlike the comparator, cannot be considered </w:t>
      </w:r>
      <w:r>
        <w:t>“</w:t>
      </w:r>
      <w:r w:rsidRPr="00F12991">
        <w:t>curative</w:t>
      </w:r>
      <w:r>
        <w:t>”</w:t>
      </w:r>
      <w:r w:rsidRPr="00F12991">
        <w:t xml:space="preserve">, it does allow the majority of patients to avoid surgery, reserving surgical resection as </w:t>
      </w:r>
      <w:r>
        <w:t xml:space="preserve">a </w:t>
      </w:r>
      <w:r w:rsidRPr="00F12991">
        <w:t>second</w:t>
      </w:r>
      <w:r>
        <w:t>-</w:t>
      </w:r>
      <w:r w:rsidRPr="00F12991">
        <w:t>line option for cases w</w:t>
      </w:r>
      <w:r>
        <w:t>h</w:t>
      </w:r>
      <w:r w:rsidRPr="00F12991">
        <w:t>ere EMR treatment is not feasible, fails or unexpected malignancy is detected.</w:t>
      </w:r>
    </w:p>
    <w:p w14:paraId="42CEE539" w14:textId="27E99CB0" w:rsidR="000C4703" w:rsidRDefault="00954D15" w:rsidP="00C3436D">
      <w:pPr>
        <w:spacing w:before="240" w:after="240"/>
      </w:pPr>
      <w:r>
        <w:t>MSAC</w:t>
      </w:r>
      <w:r w:rsidR="00CB2526">
        <w:t xml:space="preserve"> noted some minor issues with the economic model including that </w:t>
      </w:r>
      <w:r w:rsidR="004C6F97">
        <w:t xml:space="preserve">the </w:t>
      </w:r>
      <w:r w:rsidR="00CB2526">
        <w:t>c</w:t>
      </w:r>
      <w:r w:rsidR="00CB2526" w:rsidRPr="00CB2526">
        <w:t>osts of ongoing surveillance post-EMR may not be adequately costed</w:t>
      </w:r>
      <w:r w:rsidR="004C6F97">
        <w:t xml:space="preserve">. However, MSAC considered given the magnitude of the modelled incremental savings per patient, which increased with the applicant’s revised fee (see </w:t>
      </w:r>
      <w:r w:rsidR="00C3436D" w:rsidRPr="00C3436D">
        <w:rPr>
          <w:szCs w:val="24"/>
        </w:rPr>
        <w:fldChar w:fldCharType="begin"/>
      </w:r>
      <w:r w:rsidR="00C3436D" w:rsidRPr="00C3436D">
        <w:rPr>
          <w:szCs w:val="24"/>
        </w:rPr>
        <w:instrText xml:space="preserve"> REF _Ref51158348 \h  \* MERGEFORMAT </w:instrText>
      </w:r>
      <w:r w:rsidR="00C3436D" w:rsidRPr="00C3436D">
        <w:rPr>
          <w:szCs w:val="24"/>
        </w:rPr>
      </w:r>
      <w:r w:rsidR="00C3436D" w:rsidRPr="00C3436D">
        <w:rPr>
          <w:szCs w:val="24"/>
        </w:rPr>
        <w:fldChar w:fldCharType="separate"/>
      </w:r>
      <w:r w:rsidR="00C3436D" w:rsidRPr="00C3436D">
        <w:rPr>
          <w:szCs w:val="24"/>
        </w:rPr>
        <w:t xml:space="preserve">Table </w:t>
      </w:r>
      <w:r w:rsidR="00C3436D" w:rsidRPr="00C3436D">
        <w:rPr>
          <w:noProof/>
          <w:szCs w:val="24"/>
        </w:rPr>
        <w:t>7</w:t>
      </w:r>
      <w:r w:rsidR="00C3436D" w:rsidRPr="00C3436D">
        <w:rPr>
          <w:szCs w:val="24"/>
        </w:rPr>
        <w:fldChar w:fldCharType="end"/>
      </w:r>
      <w:r w:rsidR="004C6F97">
        <w:t xml:space="preserve">), </w:t>
      </w:r>
      <w:r w:rsidR="00CB2526">
        <w:t xml:space="preserve">that </w:t>
      </w:r>
      <w:r>
        <w:t xml:space="preserve">EMR was </w:t>
      </w:r>
      <w:r w:rsidR="00CB2526">
        <w:t>dominant</w:t>
      </w:r>
      <w:r>
        <w:t xml:space="preserve"> compared with surgical resection</w:t>
      </w:r>
      <w:r w:rsidR="004C6F97">
        <w:t>.</w:t>
      </w:r>
    </w:p>
    <w:p w14:paraId="0F29F0FA" w14:textId="46E4A245" w:rsidR="00677F34" w:rsidRDefault="000C4703" w:rsidP="000C4703">
      <w:r>
        <w:t>MSAC noted that this procedure is av</w:t>
      </w:r>
      <w:r w:rsidRPr="001F4E0B">
        <w:t xml:space="preserve">ailable in </w:t>
      </w:r>
      <w:r>
        <w:t xml:space="preserve">the </w:t>
      </w:r>
      <w:r w:rsidRPr="001F4E0B">
        <w:t xml:space="preserve">public sector </w:t>
      </w:r>
      <w:r>
        <w:t>and that</w:t>
      </w:r>
      <w:r w:rsidRPr="001F4E0B">
        <w:t xml:space="preserve"> cost</w:t>
      </w:r>
      <w:r>
        <w:t>-</w:t>
      </w:r>
      <w:r w:rsidRPr="001F4E0B">
        <w:t>shifting</w:t>
      </w:r>
      <w:r w:rsidR="00410DF4">
        <w:t xml:space="preserve"> from the state/territories to the Commonwealth</w:t>
      </w:r>
      <w:r w:rsidRPr="001F4E0B">
        <w:t xml:space="preserve"> will </w:t>
      </w:r>
      <w:r w:rsidR="00410DF4">
        <w:t>reduce the budget impact to</w:t>
      </w:r>
      <w:r w:rsidRPr="001F4E0B">
        <w:t xml:space="preserve"> the MBS</w:t>
      </w:r>
      <w:r>
        <w:t>.</w:t>
      </w:r>
      <w:r w:rsidR="00410DF4">
        <w:t xml:space="preserve"> MSAC also noted using the applicant’s revised fee for EMR significantly decreased the budget impact to the MBS</w:t>
      </w:r>
      <w:r w:rsidR="00677F34">
        <w:t xml:space="preserve">, and resulted in overall cost </w:t>
      </w:r>
      <w:r w:rsidR="005C2681">
        <w:t xml:space="preserve">saving with the inclusion of public </w:t>
      </w:r>
      <w:r w:rsidR="0019012E">
        <w:t xml:space="preserve">hospital </w:t>
      </w:r>
      <w:r w:rsidR="005C2681">
        <w:t>costs</w:t>
      </w:r>
      <w:r w:rsidR="0019012E">
        <w:t xml:space="preserve"> (see </w:t>
      </w:r>
      <w:r w:rsidR="00C3436D" w:rsidRPr="00C3436D">
        <w:rPr>
          <w:szCs w:val="24"/>
        </w:rPr>
        <w:fldChar w:fldCharType="begin"/>
      </w:r>
      <w:r w:rsidR="00C3436D" w:rsidRPr="00C3436D">
        <w:rPr>
          <w:szCs w:val="24"/>
        </w:rPr>
        <w:instrText xml:space="preserve"> REF _Ref51158902 \h  \* MERGEFORMAT </w:instrText>
      </w:r>
      <w:r w:rsidR="00C3436D" w:rsidRPr="00C3436D">
        <w:rPr>
          <w:szCs w:val="24"/>
        </w:rPr>
      </w:r>
      <w:r w:rsidR="00C3436D" w:rsidRPr="00C3436D">
        <w:rPr>
          <w:szCs w:val="24"/>
        </w:rPr>
        <w:fldChar w:fldCharType="separate"/>
      </w:r>
      <w:r w:rsidR="00C3436D" w:rsidRPr="00C3436D">
        <w:rPr>
          <w:szCs w:val="24"/>
        </w:rPr>
        <w:t>Table 9</w:t>
      </w:r>
      <w:r w:rsidR="00C3436D" w:rsidRPr="00C3436D">
        <w:rPr>
          <w:szCs w:val="24"/>
        </w:rPr>
        <w:fldChar w:fldCharType="end"/>
      </w:r>
      <w:r w:rsidR="0019012E">
        <w:t>).</w:t>
      </w:r>
    </w:p>
    <w:p w14:paraId="605FFB9C" w14:textId="76AE3705" w:rsidR="000C4703" w:rsidRDefault="000C4703" w:rsidP="00883EAC">
      <w:pPr>
        <w:spacing w:before="240"/>
      </w:pPr>
      <w:r>
        <w:t xml:space="preserve">MSAC noted that the </w:t>
      </w:r>
      <w:r w:rsidR="009A210E">
        <w:t xml:space="preserve">EMR consisted of the equipment (e.g. electrocautery machine, which most units would have) and </w:t>
      </w:r>
      <w:r w:rsidR="000D7703">
        <w:t xml:space="preserve">per patient </w:t>
      </w:r>
      <w:r w:rsidR="009A210E">
        <w:t>consumables (e.g. snares, injectors)</w:t>
      </w:r>
      <w:r w:rsidR="00DF5EB9">
        <w:t>,</w:t>
      </w:r>
      <w:r w:rsidR="009A210E">
        <w:t xml:space="preserve"> which </w:t>
      </w:r>
      <w:r>
        <w:t>are non-implantable</w:t>
      </w:r>
      <w:r w:rsidR="00DF5EB9">
        <w:t>,</w:t>
      </w:r>
      <w:r w:rsidR="00DF5EB9">
        <w:rPr>
          <w:szCs w:val="24"/>
        </w:rPr>
        <w:t xml:space="preserve"> that will not be covered under the MBS item </w:t>
      </w:r>
      <w:r w:rsidR="004F26FA">
        <w:rPr>
          <w:szCs w:val="24"/>
        </w:rPr>
        <w:t>or</w:t>
      </w:r>
      <w:r w:rsidR="00883EAC">
        <w:rPr>
          <w:szCs w:val="24"/>
        </w:rPr>
        <w:t xml:space="preserve"> the current Prostheses List</w:t>
      </w:r>
      <w:r>
        <w:t>.</w:t>
      </w:r>
    </w:p>
    <w:p w14:paraId="338B64A4" w14:textId="1F2098B4" w:rsidR="003D36CF" w:rsidRDefault="003D36CF" w:rsidP="00883EAC">
      <w:pPr>
        <w:spacing w:before="240"/>
      </w:pPr>
      <w:r>
        <w:t xml:space="preserve">MSAC </w:t>
      </w:r>
      <w:r w:rsidR="00F027B2">
        <w:t xml:space="preserve">considered </w:t>
      </w:r>
      <w:r>
        <w:t>that the original fee of $1,750 proposed by the applicant is excessive. MSAC also considered that the revised fee of $1,000 proposed by the applicant also to be inappropriate, as it was not sufficiently justified, nor aligned with comparable MBS items. MSAC proposed a fee of $695, based on the fee for a polypectomy (MBS item 32229).</w:t>
      </w:r>
    </w:p>
    <w:p w14:paraId="7129F111" w14:textId="74EB1735" w:rsidR="003D36CF" w:rsidRDefault="003D36CF" w:rsidP="00883EAC">
      <w:pPr>
        <w:spacing w:before="240"/>
      </w:pPr>
      <w:r>
        <w:t>MSAC noted the potential leakage to cold snare EMR (polyp removal without the electrocautery), given that cold snare is an easier procedure. MSAC noted that there was an upcoming randomised controlled trial comparing</w:t>
      </w:r>
      <w:r w:rsidRPr="00E23F6D">
        <w:t xml:space="preserve"> </w:t>
      </w:r>
      <w:r>
        <w:t>c</w:t>
      </w:r>
      <w:r w:rsidRPr="00E23F6D">
        <w:t xml:space="preserve">old snare EMR (i.e. snare without electrocautery) </w:t>
      </w:r>
      <w:r w:rsidRPr="00A127A9">
        <w:rPr>
          <w:i/>
        </w:rPr>
        <w:t xml:space="preserve">vs. </w:t>
      </w:r>
      <w:r>
        <w:t>EMR (</w:t>
      </w:r>
      <w:hyperlink r:id="rId10" w:history="1">
        <w:r w:rsidRPr="00E23F6D">
          <w:rPr>
            <w:rStyle w:val="Hyperlink"/>
          </w:rPr>
          <w:t>NCT04138030</w:t>
        </w:r>
      </w:hyperlink>
      <w:r>
        <w:t xml:space="preserve">) in </w:t>
      </w:r>
      <w:r w:rsidRPr="00E23F6D">
        <w:t>2024</w:t>
      </w:r>
      <w:r>
        <w:t>.</w:t>
      </w:r>
    </w:p>
    <w:p w14:paraId="711210D5" w14:textId="77777777" w:rsidR="003D36CF" w:rsidRDefault="003D36CF" w:rsidP="00883EAC">
      <w:pPr>
        <w:pStyle w:val="NormalBeforeBullet"/>
        <w:spacing w:before="240"/>
      </w:pPr>
      <w:r>
        <w:t>MSAC suggested the following revised item descriptor:</w:t>
      </w:r>
    </w:p>
    <w:p w14:paraId="5D1CBEBA" w14:textId="77777777" w:rsidR="003D36CF" w:rsidRPr="00161B50" w:rsidRDefault="003D36CF" w:rsidP="003D36CF">
      <w:pPr>
        <w:rPr>
          <w:i/>
          <w:iCs/>
        </w:rPr>
      </w:pPr>
      <w:r w:rsidRPr="00161B50">
        <w:rPr>
          <w:i/>
          <w:iCs/>
        </w:rPr>
        <w:t>Endoscopic mucosal resection using electrocautery of a non-invasive sessile or flat superficial colorectal neoplasm which is at least 25mm in diameter by a specialist gastroenterologist or surgical endoscopist, supported by photographic evidence* to confirm the size of the polyp in situ, in association with a service to which item 32222, 32223, 32224, 32225, 32226, or 32228 applies. (Anaes.). Limit 1 claim per lesion.</w:t>
      </w:r>
    </w:p>
    <w:p w14:paraId="32CDCF72" w14:textId="05F859DE" w:rsidR="003D36CF" w:rsidRPr="00161B50" w:rsidRDefault="003D36CF" w:rsidP="003D36CF">
      <w:pPr>
        <w:rPr>
          <w:i/>
          <w:iCs/>
        </w:rPr>
      </w:pPr>
      <w:r w:rsidRPr="00161B50">
        <w:rPr>
          <w:i/>
          <w:iCs/>
        </w:rPr>
        <w:t>Fee: $695.25 Benefit: 75% = $</w:t>
      </w:r>
      <w:r w:rsidR="004E54F0">
        <w:rPr>
          <w:i/>
          <w:iCs/>
        </w:rPr>
        <w:t>521.45</w:t>
      </w:r>
      <w:r w:rsidRPr="00161B50">
        <w:rPr>
          <w:i/>
          <w:iCs/>
        </w:rPr>
        <w:t xml:space="preserve"> </w:t>
      </w:r>
    </w:p>
    <w:p w14:paraId="3446C032" w14:textId="3545723F" w:rsidR="003D36CF" w:rsidRPr="00883EAC" w:rsidRDefault="003D36CF" w:rsidP="009A48A5">
      <w:pPr>
        <w:rPr>
          <w:i/>
          <w:iCs/>
        </w:rPr>
      </w:pPr>
      <w:r w:rsidRPr="00161B50">
        <w:rPr>
          <w:i/>
          <w:iCs/>
        </w:rPr>
        <w:t xml:space="preserve">*requires pre-procedure image </w:t>
      </w:r>
      <w:r w:rsidR="0067055E">
        <w:rPr>
          <w:i/>
          <w:iCs/>
        </w:rPr>
        <w:t xml:space="preserve">of the </w:t>
      </w:r>
      <w:r w:rsidRPr="00161B50">
        <w:rPr>
          <w:i/>
          <w:iCs/>
        </w:rPr>
        <w:t>lesion relative to an open snare of known dimensions placed adjacent to the lesion and post-procedure image of resection bed</w:t>
      </w:r>
    </w:p>
    <w:p w14:paraId="55E5F22F" w14:textId="6CC5BF5A" w:rsidR="001325AB" w:rsidRDefault="004E54F0" w:rsidP="00883EAC">
      <w:pPr>
        <w:spacing w:before="240"/>
        <w:rPr>
          <w:lang w:eastAsia="en-US"/>
        </w:rPr>
      </w:pPr>
      <w:r>
        <w:rPr>
          <w:lang w:eastAsia="en-US"/>
        </w:rPr>
        <w:t>MSAC noted</w:t>
      </w:r>
      <w:r w:rsidR="00931A25">
        <w:rPr>
          <w:lang w:eastAsia="en-US"/>
        </w:rPr>
        <w:t xml:space="preserve"> the proposed </w:t>
      </w:r>
      <w:r w:rsidR="00931A25" w:rsidRPr="00043C03">
        <w:rPr>
          <w:lang w:eastAsia="en-US"/>
        </w:rPr>
        <w:t xml:space="preserve">service </w:t>
      </w:r>
      <w:r w:rsidR="00931A25">
        <w:rPr>
          <w:lang w:eastAsia="en-US"/>
        </w:rPr>
        <w:t>would</w:t>
      </w:r>
      <w:r w:rsidR="00931A25" w:rsidRPr="00043C03">
        <w:rPr>
          <w:lang w:eastAsia="en-US"/>
        </w:rPr>
        <w:t xml:space="preserve"> be performed exclusively in-hospital</w:t>
      </w:r>
      <w:r>
        <w:rPr>
          <w:lang w:eastAsia="en-US"/>
        </w:rPr>
        <w:t xml:space="preserve"> </w:t>
      </w:r>
      <w:r w:rsidR="00931A25">
        <w:rPr>
          <w:lang w:eastAsia="en-US"/>
        </w:rPr>
        <w:t xml:space="preserve">and </w:t>
      </w:r>
      <w:r>
        <w:rPr>
          <w:lang w:eastAsia="en-US"/>
        </w:rPr>
        <w:t>that t</w:t>
      </w:r>
      <w:r w:rsidRPr="00043C03">
        <w:rPr>
          <w:lang w:eastAsia="en-US"/>
        </w:rPr>
        <w:t>he proposed item descriptor does not include</w:t>
      </w:r>
      <w:r w:rsidR="00931A25">
        <w:rPr>
          <w:lang w:eastAsia="en-US"/>
        </w:rPr>
        <w:t xml:space="preserve"> an 85% out-of-hospital benefit.</w:t>
      </w:r>
    </w:p>
    <w:p w14:paraId="34A7A857" w14:textId="73028625" w:rsidR="00826A2F" w:rsidRDefault="000C4703" w:rsidP="00883EAC">
      <w:pPr>
        <w:spacing w:before="240"/>
      </w:pPr>
      <w:r>
        <w:t xml:space="preserve">MSAC </w:t>
      </w:r>
      <w:r w:rsidR="0019012E">
        <w:t>considered</w:t>
      </w:r>
      <w:r>
        <w:t xml:space="preserve"> that people doing the procedure must be </w:t>
      </w:r>
      <w:r w:rsidR="008F76D0">
        <w:t>credentialed</w:t>
      </w:r>
      <w:r>
        <w:t>, which can be managed through the Conjoint Committee for the Recognition of Training in Gastrointestinal Endoscopy.</w:t>
      </w:r>
      <w:r w:rsidR="00B661C1">
        <w:t xml:space="preserve"> MSAC noted that this committee</w:t>
      </w:r>
      <w:r w:rsidR="00980CF5">
        <w:t xml:space="preserve"> </w:t>
      </w:r>
      <w:r w:rsidR="001B3D22">
        <w:t xml:space="preserve">is </w:t>
      </w:r>
      <w:r w:rsidR="00980CF5">
        <w:t>responsible for quality of screening colonoscopy, and thus</w:t>
      </w:r>
      <w:r w:rsidR="00B661C1">
        <w:t xml:space="preserve"> the performance of</w:t>
      </w:r>
      <w:r w:rsidR="00980CF5">
        <w:t xml:space="preserve"> the </w:t>
      </w:r>
      <w:r w:rsidR="00B661C1">
        <w:t>EMR</w:t>
      </w:r>
      <w:r w:rsidR="00980CF5">
        <w:t xml:space="preserve"> procedure</w:t>
      </w:r>
      <w:r w:rsidR="00B661C1">
        <w:t xml:space="preserve"> </w:t>
      </w:r>
      <w:r w:rsidR="004B4617">
        <w:t>could be assessed through this framework. MSAC considered that</w:t>
      </w:r>
      <w:r w:rsidR="003A3E95">
        <w:t xml:space="preserve"> recurrence of disease is always a risk of EMR type procedures and that</w:t>
      </w:r>
      <w:r w:rsidR="00B94BD9">
        <w:t xml:space="preserve"> data collection could include </w:t>
      </w:r>
      <w:r w:rsidR="004B4617">
        <w:t>findings</w:t>
      </w:r>
      <w:r w:rsidR="00B94BD9">
        <w:t xml:space="preserve"> from follow up colonoscopies, incidence of incomplete excisions and </w:t>
      </w:r>
      <w:r w:rsidR="003A3E95">
        <w:t>co</w:t>
      </w:r>
      <w:r w:rsidR="003922AF">
        <w:t>lorectal cancer</w:t>
      </w:r>
      <w:r w:rsidR="003A3E95">
        <w:t xml:space="preserve"> (if possible)</w:t>
      </w:r>
      <w:r w:rsidR="00980CF5">
        <w:t xml:space="preserve">. </w:t>
      </w:r>
      <w:r>
        <w:t>Th</w:t>
      </w:r>
      <w:r w:rsidR="00980CF5">
        <w:t>e</w:t>
      </w:r>
      <w:r>
        <w:t xml:space="preserve"> committee could provide their data to MSAC to monitor a</w:t>
      </w:r>
      <w:r w:rsidRPr="001F4E0B">
        <w:t>ctual use</w:t>
      </w:r>
      <w:r>
        <w:t xml:space="preserve">, as well as </w:t>
      </w:r>
      <w:r w:rsidRPr="001F4E0B">
        <w:t>post-procedure outcomes and surveillance</w:t>
      </w:r>
      <w:r>
        <w:t>.</w:t>
      </w:r>
    </w:p>
    <w:p w14:paraId="73431A19" w14:textId="61CEEAE1" w:rsidR="005C2681" w:rsidRDefault="00826A2F" w:rsidP="00883EAC">
      <w:pPr>
        <w:spacing w:before="240" w:after="240"/>
      </w:pPr>
      <w:r>
        <w:t>MSAC noted the complexity of performing pathology on an EMR derived specimen.</w:t>
      </w:r>
    </w:p>
    <w:p w14:paraId="0517CCB3" w14:textId="46E55226" w:rsidR="00550354" w:rsidRDefault="005C2681" w:rsidP="00826A2F">
      <w:pPr>
        <w:rPr>
          <w:i/>
          <w:szCs w:val="24"/>
        </w:rPr>
      </w:pPr>
      <w:r>
        <w:t xml:space="preserve">MSAC considered that utilisation of EMR will increase relative to surgical resection, given the minimally invasive nature of EMR. MSAC recommended that a post </w:t>
      </w:r>
      <w:r w:rsidR="001B3D22">
        <w:t xml:space="preserve">listing </w:t>
      </w:r>
      <w:r>
        <w:t>review of MBS utilisation be performed.</w:t>
      </w:r>
    </w:p>
    <w:p w14:paraId="7D14A69F" w14:textId="097D8962" w:rsidR="00BC1364" w:rsidRPr="00F715D1" w:rsidRDefault="00BC1364" w:rsidP="00F715D1">
      <w:pPr>
        <w:pStyle w:val="Heading1"/>
      </w:pPr>
      <w:r w:rsidRPr="00F715D1">
        <w:t>Background</w:t>
      </w:r>
    </w:p>
    <w:p w14:paraId="2B79ACD0" w14:textId="1C7D3ED2" w:rsidR="0092613A" w:rsidRDefault="00724C66" w:rsidP="00724C66">
      <w:pPr>
        <w:keepNext/>
      </w:pPr>
      <w:r>
        <w:t xml:space="preserve">This is the first submission (Department-contracted assessment report [DCAR]) for EMR for </w:t>
      </w:r>
      <w:r w:rsidRPr="005559B0">
        <w:t>patients with large (≥ 25 mm) sessile colorectal polyps</w:t>
      </w:r>
      <w:r>
        <w:t>. MSAC has not previously considered this application.</w:t>
      </w:r>
    </w:p>
    <w:p w14:paraId="392803D1" w14:textId="1D487DD9" w:rsidR="0092613A" w:rsidRDefault="0092613A" w:rsidP="00883EAC">
      <w:pPr>
        <w:keepNext/>
        <w:spacing w:before="240"/>
      </w:pPr>
      <w:r>
        <w:t xml:space="preserve">The </w:t>
      </w:r>
      <w:hyperlink r:id="rId11" w:history="1">
        <w:r w:rsidRPr="0092613A">
          <w:rPr>
            <w:rStyle w:val="Hyperlink"/>
          </w:rPr>
          <w:t>Medicare Benefits Schedule Review Taskforce 2016</w:t>
        </w:r>
      </w:hyperlink>
      <w:r>
        <w:t xml:space="preserve"> recommended an MSAC assessment of EMR</w:t>
      </w:r>
      <w:r w:rsidR="005C540D">
        <w:t>.</w:t>
      </w:r>
      <w:r>
        <w:t xml:space="preserve"> </w:t>
      </w:r>
    </w:p>
    <w:p w14:paraId="3B612139" w14:textId="77777777" w:rsidR="00BC1364" w:rsidRPr="00F715D1" w:rsidRDefault="00BC1364" w:rsidP="00F715D1">
      <w:pPr>
        <w:pStyle w:val="Heading1"/>
      </w:pPr>
      <w:r w:rsidRPr="00F715D1">
        <w:t>Prerequisites to implementation of any funding advice</w:t>
      </w:r>
    </w:p>
    <w:p w14:paraId="18444B25" w14:textId="77777777" w:rsidR="00724C66" w:rsidRDefault="00724C66" w:rsidP="00724C66">
      <w:pPr>
        <w:keepNext/>
      </w:pPr>
      <w:r>
        <w:t>The DCAR considered it is likely EMR is already being claimed on the MBS (as colonoscopy and polypectomy: MBS items 32222-32226, 32228 and 32229.</w:t>
      </w:r>
    </w:p>
    <w:p w14:paraId="0F039034" w14:textId="77777777" w:rsidR="00BC1364" w:rsidRPr="00F715D1" w:rsidRDefault="00BC1364" w:rsidP="00F715D1">
      <w:pPr>
        <w:pStyle w:val="Heading1"/>
      </w:pPr>
      <w:r w:rsidRPr="00F715D1">
        <w:t>Proposal for public funding</w:t>
      </w:r>
    </w:p>
    <w:p w14:paraId="57FAD6B5" w14:textId="41059E79" w:rsidR="00724C66" w:rsidRDefault="00724C66" w:rsidP="00724C66">
      <w:r w:rsidRPr="00183E4D" w:rsidDel="00A134DA">
        <w:t>The proposed MBS item descriptor</w:t>
      </w:r>
      <w:r w:rsidR="008013DF">
        <w:t xml:space="preserve"> and revised </w:t>
      </w:r>
      <w:r w:rsidR="00655299">
        <w:t xml:space="preserve">fee </w:t>
      </w:r>
      <w:r w:rsidRPr="00183E4D" w:rsidDel="00A134DA">
        <w:t xml:space="preserve">is </w:t>
      </w:r>
      <w:r w:rsidRPr="00693345" w:rsidDel="00A134DA">
        <w:t>summarised in</w:t>
      </w:r>
      <w:r>
        <w:t xml:space="preserve"> </w:t>
      </w:r>
      <w:r w:rsidR="008F13C8" w:rsidRPr="008F13C8">
        <w:rPr>
          <w:szCs w:val="24"/>
        </w:rPr>
        <w:fldChar w:fldCharType="begin"/>
      </w:r>
      <w:r w:rsidR="008F13C8" w:rsidRPr="008F13C8">
        <w:rPr>
          <w:szCs w:val="24"/>
        </w:rPr>
        <w:instrText xml:space="preserve"> REF _Ref394849669 \h  \* MERGEFORMAT </w:instrText>
      </w:r>
      <w:r w:rsidR="008F13C8" w:rsidRPr="008F13C8">
        <w:rPr>
          <w:szCs w:val="24"/>
        </w:rPr>
      </w:r>
      <w:r w:rsidR="008F13C8" w:rsidRPr="008F13C8">
        <w:rPr>
          <w:szCs w:val="24"/>
        </w:rPr>
        <w:fldChar w:fldCharType="separate"/>
      </w:r>
      <w:r w:rsidR="008F13C8" w:rsidRPr="008F13C8">
        <w:rPr>
          <w:szCs w:val="24"/>
        </w:rPr>
        <w:t>Table 1</w:t>
      </w:r>
      <w:r w:rsidR="008F13C8" w:rsidRPr="008F13C8">
        <w:rPr>
          <w:szCs w:val="24"/>
        </w:rPr>
        <w:fldChar w:fldCharType="end"/>
      </w:r>
      <w:r>
        <w:t>.</w:t>
      </w:r>
      <w:r w:rsidR="00AF2204">
        <w:t xml:space="preserve"> </w:t>
      </w:r>
      <w:r w:rsidR="00655299">
        <w:t>Prior to the MSAC meeting, t</w:t>
      </w:r>
      <w:r w:rsidR="009E369F">
        <w:t xml:space="preserve">he applicant </w:t>
      </w:r>
      <w:r w:rsidR="00AF2204">
        <w:t xml:space="preserve">advised the Department that it had revised the proposed fee to $1,000 (from $1,750) stating </w:t>
      </w:r>
      <w:r w:rsidR="00AF2204" w:rsidRPr="00AF2204">
        <w:rPr>
          <w:i/>
        </w:rPr>
        <w:t>"GESA feels that the proposed remuneration for the EMR item number is too high. Based on the remuneration of current colonoscopy item numbers (32222, 32223, 32224, 32225, 32226, 32227, 32228, 32229), GESA feels that the remuneration for the EMR item number should be about $1,000."</w:t>
      </w:r>
      <w:r w:rsidR="00AF2204">
        <w:t xml:space="preserve"> </w:t>
      </w:r>
    </w:p>
    <w:p w14:paraId="4D0BBAAA" w14:textId="6E53456C" w:rsidR="00724C66" w:rsidRPr="008F13C8" w:rsidDel="00A134DA" w:rsidRDefault="008F13C8" w:rsidP="008F13C8">
      <w:pPr>
        <w:spacing w:before="240"/>
        <w:rPr>
          <w:rFonts w:ascii="Arial Narrow" w:hAnsi="Arial Narrow"/>
          <w:b/>
          <w:sz w:val="20"/>
        </w:rPr>
      </w:pPr>
      <w:bookmarkStart w:id="0" w:name="_Ref394849669"/>
      <w:bookmarkStart w:id="1" w:name="_Toc25738512"/>
      <w:bookmarkStart w:id="2" w:name="_Toc29394121"/>
      <w:r w:rsidRPr="008F13C8">
        <w:rPr>
          <w:rFonts w:ascii="Arial Narrow" w:hAnsi="Arial Narrow"/>
          <w:b/>
          <w:sz w:val="20"/>
        </w:rPr>
        <w:t xml:space="preserve">Table </w:t>
      </w:r>
      <w:r w:rsidRPr="008F13C8">
        <w:rPr>
          <w:rFonts w:ascii="Arial Narrow" w:hAnsi="Arial Narrow"/>
          <w:b/>
          <w:sz w:val="20"/>
        </w:rPr>
        <w:fldChar w:fldCharType="begin"/>
      </w:r>
      <w:r w:rsidRPr="008F13C8">
        <w:rPr>
          <w:rFonts w:ascii="Arial Narrow" w:hAnsi="Arial Narrow"/>
          <w:b/>
          <w:sz w:val="20"/>
        </w:rPr>
        <w:instrText xml:space="preserve"> SEQ Table \* ARABIC </w:instrText>
      </w:r>
      <w:r w:rsidRPr="008F13C8">
        <w:rPr>
          <w:rFonts w:ascii="Arial Narrow" w:hAnsi="Arial Narrow"/>
          <w:b/>
          <w:sz w:val="20"/>
        </w:rPr>
        <w:fldChar w:fldCharType="separate"/>
      </w:r>
      <w:r w:rsidR="00376352">
        <w:rPr>
          <w:rFonts w:ascii="Arial Narrow" w:hAnsi="Arial Narrow"/>
          <w:b/>
          <w:noProof/>
          <w:sz w:val="20"/>
        </w:rPr>
        <w:t>1</w:t>
      </w:r>
      <w:r w:rsidRPr="008F13C8">
        <w:rPr>
          <w:rFonts w:ascii="Arial Narrow" w:hAnsi="Arial Narrow"/>
          <w:b/>
          <w:sz w:val="20"/>
        </w:rPr>
        <w:fldChar w:fldCharType="end"/>
      </w:r>
      <w:bookmarkEnd w:id="0"/>
      <w:r w:rsidR="00724C66" w:rsidRPr="008F13C8" w:rsidDel="00A134DA">
        <w:rPr>
          <w:rFonts w:ascii="Arial Narrow" w:hAnsi="Arial Narrow"/>
          <w:b/>
          <w:sz w:val="20"/>
        </w:rPr>
        <w:tab/>
        <w:t>Proposed MBS item descriptor</w:t>
      </w:r>
      <w:bookmarkEnd w:id="1"/>
      <w:bookmarkEnd w:id="2"/>
      <w:r w:rsidR="00AF2204" w:rsidRPr="008F13C8">
        <w:rPr>
          <w:rFonts w:ascii="Arial Narrow" w:hAnsi="Arial Narrow"/>
          <w:b/>
          <w:sz w:val="20"/>
        </w:rPr>
        <w:t xml:space="preserve"> (including applicant’s revised MBS fee)</w:t>
      </w:r>
    </w:p>
    <w:tbl>
      <w:tblPr>
        <w:tblStyle w:val="TableGrid"/>
        <w:tblW w:w="5000" w:type="pct"/>
        <w:tblLook w:val="04A0" w:firstRow="1" w:lastRow="0" w:firstColumn="1" w:lastColumn="0" w:noHBand="0" w:noVBand="1"/>
        <w:tblDescription w:val="Proposed MBS item descriptor (including applicant’s revised MBS fee)"/>
      </w:tblPr>
      <w:tblGrid>
        <w:gridCol w:w="4512"/>
        <w:gridCol w:w="4504"/>
      </w:tblGrid>
      <w:tr w:rsidR="00724C66" w:rsidRPr="00183E4D" w:rsidDel="00A134DA" w14:paraId="785769E1" w14:textId="77777777" w:rsidTr="008D5FAC">
        <w:trPr>
          <w:tblHeader/>
        </w:trPr>
        <w:tc>
          <w:tcPr>
            <w:tcW w:w="2502" w:type="pct"/>
          </w:tcPr>
          <w:p w14:paraId="5604EE96" w14:textId="77777777" w:rsidR="00724C66" w:rsidRPr="00183E4D" w:rsidDel="00A134DA" w:rsidRDefault="00724C66" w:rsidP="00EC16AC">
            <w:pPr>
              <w:pStyle w:val="Tabletext0"/>
            </w:pPr>
            <w:r w:rsidRPr="00183E4D" w:rsidDel="00A134DA">
              <w:t xml:space="preserve">Category </w:t>
            </w:r>
            <w:r w:rsidRPr="00F84549">
              <w:t>3</w:t>
            </w:r>
            <w:r w:rsidRPr="00183E4D" w:rsidDel="00A134DA">
              <w:t xml:space="preserve"> – </w:t>
            </w:r>
            <w:r>
              <w:t>Therapeutic procedure</w:t>
            </w:r>
          </w:p>
        </w:tc>
        <w:tc>
          <w:tcPr>
            <w:tcW w:w="2498" w:type="pct"/>
          </w:tcPr>
          <w:p w14:paraId="1641E0BD" w14:textId="77777777" w:rsidR="00724C66" w:rsidRPr="00183E4D" w:rsidDel="00A134DA" w:rsidRDefault="00724C66" w:rsidP="00EC16AC">
            <w:pPr>
              <w:pStyle w:val="Tabletext0"/>
              <w:jc w:val="right"/>
            </w:pPr>
            <w:r>
              <w:t>MBS XXXXX</w:t>
            </w:r>
          </w:p>
        </w:tc>
      </w:tr>
      <w:tr w:rsidR="00724C66" w:rsidRPr="003C0B5B" w:rsidDel="00A134DA" w14:paraId="7310D6B8" w14:textId="77777777" w:rsidTr="008D5FAC">
        <w:tc>
          <w:tcPr>
            <w:tcW w:w="5000" w:type="pct"/>
            <w:gridSpan w:val="2"/>
          </w:tcPr>
          <w:p w14:paraId="45B943E3" w14:textId="1B5C3FF6" w:rsidR="00724C66" w:rsidRPr="00883EAC" w:rsidRDefault="00724C66" w:rsidP="00883EAC">
            <w:pPr>
              <w:pStyle w:val="Tabletext0"/>
            </w:pPr>
            <w:r w:rsidRPr="000E13A3">
              <w:t xml:space="preserve">Endoscopic mucosal resection of a non-invasive sessile or flat superficial colorectal neoplasm which is at least 25mm in diameter by a specialist gastroenterologist or surgical endoscopist, supported by photographic evidence to confirm the size of the polyp </w:t>
            </w:r>
            <w:r w:rsidRPr="000E13A3">
              <w:rPr>
                <w:i/>
              </w:rPr>
              <w:t>in situ</w:t>
            </w:r>
            <w:r w:rsidRPr="000E13A3">
              <w:t>. (Anaes</w:t>
            </w:r>
            <w:r>
              <w:t>.</w:t>
            </w:r>
            <w:r w:rsidRPr="000E13A3">
              <w:t>)</w:t>
            </w:r>
          </w:p>
          <w:p w14:paraId="6F6E3C6B" w14:textId="2C689954" w:rsidR="00724C66" w:rsidRPr="003C0B5B" w:rsidDel="00A134DA" w:rsidRDefault="00724C66" w:rsidP="00883EAC">
            <w:pPr>
              <w:pStyle w:val="Tabletext0"/>
              <w:spacing w:before="240"/>
              <w:contextualSpacing w:val="0"/>
            </w:pPr>
            <w:r w:rsidRPr="00C43892">
              <w:rPr>
                <w:b/>
              </w:rPr>
              <w:t>Fee:</w:t>
            </w:r>
            <w:r w:rsidRPr="003C0B5B">
              <w:t xml:space="preserve"> </w:t>
            </w:r>
            <w:r w:rsidRPr="00AF2204">
              <w:rPr>
                <w:strike/>
              </w:rPr>
              <w:t>$1,750</w:t>
            </w:r>
            <w:r w:rsidR="00AF2204">
              <w:rPr>
                <w:b/>
              </w:rPr>
              <w:t xml:space="preserve"> </w:t>
            </w:r>
            <w:r w:rsidR="00AF2204" w:rsidRPr="00AF2204">
              <w:t>$1,000</w:t>
            </w:r>
            <w:r w:rsidRPr="00AF2204">
              <w:rPr>
                <w:b/>
              </w:rPr>
              <w:t xml:space="preserve"> </w:t>
            </w:r>
            <w:r w:rsidRPr="00C43892">
              <w:rPr>
                <w:b/>
              </w:rPr>
              <w:t>Benefit:</w:t>
            </w:r>
            <w:r>
              <w:t xml:space="preserve"> </w:t>
            </w:r>
            <w:r w:rsidRPr="00AF2204">
              <w:rPr>
                <w:strike/>
              </w:rPr>
              <w:t>75% = $1,312.50</w:t>
            </w:r>
            <w:r w:rsidR="00AF2204">
              <w:t xml:space="preserve"> </w:t>
            </w:r>
            <w:r w:rsidR="00AF2204" w:rsidRPr="00AF2204">
              <w:t>$750</w:t>
            </w:r>
          </w:p>
        </w:tc>
      </w:tr>
    </w:tbl>
    <w:p w14:paraId="680A48CD" w14:textId="09335765" w:rsidR="00724C66" w:rsidRDefault="00724C66" w:rsidP="00724C66">
      <w:pPr>
        <w:pStyle w:val="Tablenotes"/>
      </w:pPr>
      <w:r>
        <w:t>Source: Table 1, p17 of DCAR</w:t>
      </w:r>
      <w:r w:rsidR="004E13F1">
        <w:t>, and updated for applicant’s revised fee on 8 July 2020</w:t>
      </w:r>
    </w:p>
    <w:p w14:paraId="75796B31" w14:textId="56BD0463" w:rsidR="00724C66" w:rsidRDefault="00724C66" w:rsidP="00724C66">
      <w:r>
        <w:t xml:space="preserve">The DCAR stated that there is no </w:t>
      </w:r>
      <w:r w:rsidRPr="00555E19">
        <w:t xml:space="preserve">proposed limit on the number of procedures for this item, or its </w:t>
      </w:r>
      <w:r>
        <w:t>use with other procedures. The a</w:t>
      </w:r>
      <w:r w:rsidRPr="00555E19">
        <w:t>pplicant has outlined that up to one EMR per patient per calendar year should be required, although patients may require additional polypectomy or EMR services to tre</w:t>
      </w:r>
      <w:r>
        <w:t>at recurrent or residual polyp</w:t>
      </w:r>
      <w:r w:rsidR="001905B1">
        <w:t>s</w:t>
      </w:r>
      <w:r>
        <w:t xml:space="preserve"> [</w:t>
      </w:r>
      <w:hyperlink r:id="rId12" w:history="1">
        <w:r w:rsidRPr="0032451D">
          <w:rPr>
            <w:rStyle w:val="Hyperlink"/>
          </w:rPr>
          <w:t>Application 1559 Ratified PICO Confirmation</w:t>
        </w:r>
      </w:hyperlink>
      <w:r>
        <w:t>].</w:t>
      </w:r>
    </w:p>
    <w:p w14:paraId="290C132F" w14:textId="11A61186" w:rsidR="00724C66" w:rsidRDefault="00724C66" w:rsidP="00883EAC">
      <w:pPr>
        <w:spacing w:before="240"/>
      </w:pPr>
      <w:r>
        <w:t>The proposed item indicates a specialist gastroenterologist or surgical endoscopist should perform the EMR procedure. It was agreed by the Gastroenterology Clinical Committee of the Medicare Benefits Schedule Review Taskforce that EMR funded through the MBS will not be restricted to tertiary referral, maintaining the flexibility for experienced practitioners to perform EMR during routine colonoscopies [Application 1559 Ratified PICO Confirmation].</w:t>
      </w:r>
    </w:p>
    <w:p w14:paraId="4F48C4A5" w14:textId="77777777" w:rsidR="00724C66" w:rsidRDefault="0032451D" w:rsidP="00883EAC">
      <w:pPr>
        <w:spacing w:before="240"/>
      </w:pPr>
      <w:r>
        <w:t>In the</w:t>
      </w:r>
      <w:r w:rsidR="00724C66">
        <w:t xml:space="preserve"> pre-ESC response, the applicant highlighted concern with the current descriptor:</w:t>
      </w:r>
    </w:p>
    <w:p w14:paraId="15728DE6" w14:textId="3D1DC4CE" w:rsidR="00883EAC" w:rsidRDefault="00724C66" w:rsidP="00883EAC">
      <w:pPr>
        <w:pStyle w:val="ListParagraph"/>
        <w:numPr>
          <w:ilvl w:val="0"/>
          <w:numId w:val="27"/>
        </w:numPr>
      </w:pPr>
      <w:r>
        <w:t xml:space="preserve">“It is important to specify that “cold EMR” are excluded from this item number as there is currently insufficient evidence relating to long-term clinical efficacy” (see Table 15 on p51 of DCAR describing ongoing trials of EMR). Cold EMRs (i.e. </w:t>
      </w:r>
      <w:r w:rsidRPr="0096341B">
        <w:t>snare without electrocautery</w:t>
      </w:r>
      <w:r>
        <w:t>) are currently performed for ‘flat’ polyps and are less technically challenging (and ought not attract a fee of $1,750).</w:t>
      </w:r>
      <w:r w:rsidR="00883EAC">
        <w:br w:type="page"/>
      </w:r>
    </w:p>
    <w:p w14:paraId="41704A35" w14:textId="1F3A2A39" w:rsidR="00724C66" w:rsidRDefault="00724C66" w:rsidP="00883EAC">
      <w:pPr>
        <w:spacing w:before="240"/>
      </w:pPr>
      <w:r>
        <w:t>In addition, the applicant highlighted the importance of ensuring leakage is prevented with:</w:t>
      </w:r>
    </w:p>
    <w:p w14:paraId="0BDBA381" w14:textId="77777777" w:rsidR="00724C66" w:rsidRDefault="00724C66" w:rsidP="00724C66">
      <w:pPr>
        <w:pStyle w:val="ListParagraph"/>
        <w:numPr>
          <w:ilvl w:val="0"/>
          <w:numId w:val="27"/>
        </w:numPr>
      </w:pPr>
      <w:r>
        <w:t>the current use of the size criterion of ≥25mm in the proposed MBS item descriptor</w:t>
      </w:r>
    </w:p>
    <w:p w14:paraId="041C53F3" w14:textId="77777777" w:rsidR="00724C66" w:rsidRDefault="00724C66" w:rsidP="00724C66">
      <w:pPr>
        <w:pStyle w:val="ListParagraph"/>
        <w:numPr>
          <w:ilvl w:val="0"/>
          <w:numId w:val="27"/>
        </w:numPr>
      </w:pPr>
      <w:r>
        <w:t>the exclusion of cold EMR. However, the applicant did not provide a revised MBS item descriptor to exclude this procedure.</w:t>
      </w:r>
    </w:p>
    <w:p w14:paraId="4DCD3AB6" w14:textId="77777777" w:rsidR="00724C66" w:rsidRDefault="0032451D" w:rsidP="00883EAC">
      <w:pPr>
        <w:spacing w:before="240"/>
      </w:pPr>
      <w:r>
        <w:t>In the</w:t>
      </w:r>
      <w:r w:rsidR="00724C66">
        <w:t xml:space="preserve"> Rejoinder, the DCAR highlighted that: </w:t>
      </w:r>
    </w:p>
    <w:p w14:paraId="5552431D" w14:textId="58773DF7" w:rsidR="00724C66" w:rsidRDefault="00724C66" w:rsidP="00724C66">
      <w:pPr>
        <w:pStyle w:val="ListParagraph"/>
        <w:numPr>
          <w:ilvl w:val="0"/>
          <w:numId w:val="28"/>
        </w:numPr>
      </w:pPr>
      <w:r>
        <w:t>cold-snare EMR was not reported on, nor applicable to the proposed EMR service and thus consistent with the approach of the DCAR to restrict the proposed item to exclude cold-snare EMR</w:t>
      </w:r>
    </w:p>
    <w:p w14:paraId="36076033" w14:textId="1672FA26" w:rsidR="0032451D" w:rsidRDefault="001905B1" w:rsidP="0032451D">
      <w:pPr>
        <w:pStyle w:val="ListParagraph"/>
        <w:numPr>
          <w:ilvl w:val="0"/>
          <w:numId w:val="28"/>
        </w:numPr>
      </w:pPr>
      <w:r>
        <w:t xml:space="preserve">it </w:t>
      </w:r>
      <w:r w:rsidR="00724C66">
        <w:t>did not consider the proposed EMR service to be a significant leakage risk, nor consider that issue of practitioners using hot snare vs. cold snare to be an issue of leakage; the DCAR considered this to be more an issue of clinical judgement.</w:t>
      </w:r>
    </w:p>
    <w:p w14:paraId="54025BD1" w14:textId="1F6AF66E" w:rsidR="0032451D" w:rsidRPr="0032451D" w:rsidRDefault="0032451D" w:rsidP="00883EAC">
      <w:pPr>
        <w:spacing w:before="240"/>
        <w:rPr>
          <w:szCs w:val="24"/>
        </w:rPr>
      </w:pPr>
      <w:r>
        <w:t xml:space="preserve">In the pre-MSAC response, the applicant acknowledged the ESC concern regarding </w:t>
      </w:r>
      <w:r w:rsidRPr="0032451D">
        <w:t xml:space="preserve">2-stage EMRs, </w:t>
      </w:r>
      <w:r>
        <w:t>but</w:t>
      </w:r>
      <w:r w:rsidRPr="0032451D">
        <w:t xml:space="preserve"> noted that these should be considered as salvage therapy for large polyps that cannot be resected in a single session for patients in whom other options such as surgery are not preferred or possible.</w:t>
      </w:r>
      <w:r>
        <w:t xml:space="preserve"> The applicant also considered </w:t>
      </w:r>
      <w:r>
        <w:rPr>
          <w:szCs w:val="24"/>
        </w:rPr>
        <w:t>it may be appropriate to restrict the</w:t>
      </w:r>
      <w:r w:rsidRPr="00854C89">
        <w:rPr>
          <w:szCs w:val="24"/>
        </w:rPr>
        <w:t xml:space="preserve"> Item descriptor </w:t>
      </w:r>
      <w:r>
        <w:rPr>
          <w:szCs w:val="24"/>
        </w:rPr>
        <w:t xml:space="preserve">to diathermy cases only as there is a paucity of </w:t>
      </w:r>
      <w:r w:rsidR="00883EAC">
        <w:rPr>
          <w:szCs w:val="24"/>
        </w:rPr>
        <w:t>long-term data on cold snaring.</w:t>
      </w:r>
    </w:p>
    <w:p w14:paraId="79895237"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2423FA66" w14:textId="77777777" w:rsidR="00724C66" w:rsidRDefault="00724C66" w:rsidP="00724C66">
      <w:pPr>
        <w:keepNext/>
        <w:keepLines/>
      </w:pPr>
      <w:r>
        <w:t>One response was received from the Royal College of Pathologists of Australasia (RCPA), supporting the listing of the proposed item, noting that EMR can provided adequate treatment of colorectal lesions, avoiding the need for surgical resection. The response highlighted the opinion of the RCPA that the current histopathology complexity level for submucosal resected neoplasia as level 5 (</w:t>
      </w:r>
      <w:r>
        <w:rPr>
          <w:noProof/>
        </w:rPr>
        <w:t>Australian Government Department of Health, 2019</w:t>
      </w:r>
      <w:r>
        <w:t>) is inadequate should EMR be listed, failing to capture the added complexity of performing pathology on an EMR derived specimen.</w:t>
      </w:r>
    </w:p>
    <w:p w14:paraId="1349DC9F" w14:textId="77777777" w:rsidR="00BC1364" w:rsidRPr="00F715D1" w:rsidRDefault="00BC1364" w:rsidP="00F715D1">
      <w:pPr>
        <w:pStyle w:val="Heading1"/>
      </w:pPr>
      <w:r w:rsidRPr="00F715D1">
        <w:t>Proposed intervention’s place in clinical management</w:t>
      </w:r>
    </w:p>
    <w:p w14:paraId="13A170C5" w14:textId="77777777" w:rsidR="00724C66" w:rsidRDefault="00CF4E81" w:rsidP="00724C66">
      <w:pPr>
        <w:rPr>
          <w:b/>
          <w:szCs w:val="24"/>
        </w:rPr>
      </w:pPr>
      <w:r w:rsidRPr="00CF4E81">
        <w:rPr>
          <w:b/>
          <w:szCs w:val="24"/>
        </w:rPr>
        <w:t>Description of Proposed Intervention</w:t>
      </w:r>
    </w:p>
    <w:p w14:paraId="336FE11A" w14:textId="1E5F3574" w:rsidR="00724C66" w:rsidRPr="00C31E54" w:rsidRDefault="00724C66" w:rsidP="00C31E54">
      <w:pPr>
        <w:spacing w:after="240"/>
        <w:rPr>
          <w:b/>
          <w:szCs w:val="24"/>
        </w:rPr>
      </w:pPr>
      <w:r>
        <w:t xml:space="preserve">EMR </w:t>
      </w:r>
      <w:r w:rsidRPr="00E302F6">
        <w:t>is performed during a colonoscopy by a gastroenterologist or endoscopic surgeon trained in the procedure. When a non-invasive sessile polyp or flat superficial colorectal lesion is identified, a solution is injected into the submucosal space to separate the lesion from the underlying muscularis propria</w:t>
      </w:r>
      <w:r>
        <w:t xml:space="preserve">. </w:t>
      </w:r>
      <w:r w:rsidRPr="00E302F6">
        <w:t xml:space="preserve">The lesion is then resected by snare electrosurgery; either </w:t>
      </w:r>
      <w:r w:rsidRPr="00826A2F">
        <w:rPr>
          <w:i/>
          <w:iCs/>
        </w:rPr>
        <w:t>en bloc</w:t>
      </w:r>
      <w:r w:rsidRPr="00E302F6">
        <w:t xml:space="preserve"> (in a single piece) or piecemeal (in several p</w:t>
      </w:r>
      <w:r>
        <w:t>ieces). A mucosal margin of</w:t>
      </w:r>
      <w:r w:rsidR="00296158">
        <w:br/>
      </w:r>
      <w:r>
        <w:t>2-3 </w:t>
      </w:r>
      <w:r w:rsidRPr="00E302F6">
        <w:t>mm is employed, and the resected specimen(s) are retrieved for histological assessment.</w:t>
      </w:r>
    </w:p>
    <w:p w14:paraId="661B6A60" w14:textId="77777777" w:rsidR="00CF4E81" w:rsidRPr="00724C66" w:rsidRDefault="00CF4E81" w:rsidP="00CF4E81">
      <w:pPr>
        <w:autoSpaceDE w:val="0"/>
        <w:autoSpaceDN w:val="0"/>
        <w:adjustRightInd w:val="0"/>
        <w:rPr>
          <w:b/>
        </w:rPr>
      </w:pPr>
      <w:r w:rsidRPr="00CF4E81">
        <w:rPr>
          <w:b/>
        </w:rPr>
        <w:t>Description of Medical Condition(s)</w:t>
      </w:r>
    </w:p>
    <w:p w14:paraId="7FE52B51" w14:textId="11C80255" w:rsidR="00724C66" w:rsidRDefault="00724C66" w:rsidP="00724C66">
      <w:r w:rsidRPr="00EF36E2">
        <w:t>A colon polyp (or lesion) is an abnormal growth of cells that forms on the lining of the colon; most are harmless, but some, over time, have the potential to develop into colon cancer. Ninety-five per cent of colorectal cancers arise from pre-neoplastic lesions; known as adenomas. Therefore, early detection and removal of colorectal polyps and lesions, before the “adenoma-carcinoma sequence” can take place is key in preventing colorectal cancer.</w:t>
      </w:r>
    </w:p>
    <w:p w14:paraId="15BBD091" w14:textId="77777777" w:rsidR="00724C66" w:rsidRDefault="00724C66" w:rsidP="00883EAC">
      <w:pPr>
        <w:spacing w:before="240"/>
        <w:rPr>
          <w:b/>
        </w:rPr>
      </w:pPr>
      <w:r>
        <w:rPr>
          <w:b/>
        </w:rPr>
        <w:t>Place in clinical management</w:t>
      </w:r>
    </w:p>
    <w:p w14:paraId="7F3C09D1" w14:textId="5DD1D07A" w:rsidR="00724C66" w:rsidRDefault="00724C66" w:rsidP="00724C66">
      <w:r>
        <w:t xml:space="preserve">The current and proposed clinical management algorithms are presented in </w:t>
      </w:r>
      <w:r>
        <w:fldChar w:fldCharType="begin"/>
      </w:r>
      <w:r>
        <w:instrText xml:space="preserve"> REF _Ref379455005 \h </w:instrText>
      </w:r>
      <w:r>
        <w:fldChar w:fldCharType="separate"/>
      </w:r>
      <w:r w:rsidRPr="00183E4D">
        <w:t xml:space="preserve">Figure </w:t>
      </w:r>
      <w:r>
        <w:rPr>
          <w:noProof/>
        </w:rPr>
        <w:t>3</w:t>
      </w:r>
      <w:r>
        <w:fldChar w:fldCharType="end"/>
      </w:r>
      <w:r>
        <w:t xml:space="preserve"> and </w:t>
      </w:r>
      <w:r>
        <w:fldChar w:fldCharType="begin"/>
      </w:r>
      <w:r>
        <w:instrText xml:space="preserve"> REF _Ref22023249 \h </w:instrText>
      </w:r>
      <w:r>
        <w:fldChar w:fldCharType="separate"/>
      </w:r>
      <w:r>
        <w:t xml:space="preserve">Figure </w:t>
      </w:r>
      <w:r>
        <w:rPr>
          <w:noProof/>
        </w:rPr>
        <w:t>4</w:t>
      </w:r>
      <w:r>
        <w:fldChar w:fldCharType="end"/>
      </w:r>
      <w:r>
        <w:t>, respectively.</w:t>
      </w:r>
    </w:p>
    <w:p w14:paraId="3D51805A" w14:textId="77777777" w:rsidR="00724C66" w:rsidRDefault="00724C66" w:rsidP="00724C66">
      <w:pPr>
        <w:jc w:val="both"/>
      </w:pPr>
      <w:r>
        <w:rPr>
          <w:noProof/>
        </w:rPr>
        <w:drawing>
          <wp:inline distT="0" distB="0" distL="0" distR="0" wp14:anchorId="6C243DD9" wp14:editId="456592FC">
            <wp:extent cx="5883290" cy="5267325"/>
            <wp:effectExtent l="0" t="0" r="3175" b="0"/>
            <wp:docPr id="5" name="Picture 5" descr="Flowchart representing the selection of a suitable technique to remove colorectal le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9639" cy="5281962"/>
                    </a:xfrm>
                    <a:prstGeom prst="rect">
                      <a:avLst/>
                    </a:prstGeom>
                    <a:noFill/>
                    <a:ln>
                      <a:noFill/>
                    </a:ln>
                  </pic:spPr>
                </pic:pic>
              </a:graphicData>
            </a:graphic>
          </wp:inline>
        </w:drawing>
      </w:r>
    </w:p>
    <w:p w14:paraId="7AB5C60C" w14:textId="16B7ED22" w:rsidR="00724C66" w:rsidRPr="00296158" w:rsidRDefault="00296158" w:rsidP="00296158">
      <w:pPr>
        <w:spacing w:before="240"/>
        <w:rPr>
          <w:rFonts w:ascii="Arial Narrow" w:hAnsi="Arial Narrow"/>
          <w:b/>
          <w:sz w:val="20"/>
        </w:rPr>
      </w:pPr>
      <w:bookmarkStart w:id="3" w:name="_Ref379455005"/>
      <w:bookmarkStart w:id="4" w:name="_Ref379454995"/>
      <w:bookmarkStart w:id="5" w:name="_Toc381969891"/>
      <w:bookmarkStart w:id="6" w:name="_Toc29394220"/>
      <w:r w:rsidRPr="00296158">
        <w:rPr>
          <w:rFonts w:ascii="Arial Narrow" w:hAnsi="Arial Narrow"/>
          <w:b/>
          <w:sz w:val="20"/>
        </w:rPr>
        <w:t xml:space="preserve">Figure </w:t>
      </w:r>
      <w:r w:rsidRPr="00296158">
        <w:rPr>
          <w:rFonts w:ascii="Arial Narrow" w:hAnsi="Arial Narrow"/>
          <w:b/>
          <w:sz w:val="20"/>
        </w:rPr>
        <w:fldChar w:fldCharType="begin"/>
      </w:r>
      <w:r w:rsidRPr="00296158">
        <w:rPr>
          <w:rFonts w:ascii="Arial Narrow" w:hAnsi="Arial Narrow"/>
          <w:b/>
          <w:sz w:val="20"/>
        </w:rPr>
        <w:instrText xml:space="preserve"> SEQ Figure \* ARABIC </w:instrText>
      </w:r>
      <w:r w:rsidRPr="00296158">
        <w:rPr>
          <w:rFonts w:ascii="Arial Narrow" w:hAnsi="Arial Narrow"/>
          <w:b/>
          <w:sz w:val="20"/>
        </w:rPr>
        <w:fldChar w:fldCharType="separate"/>
      </w:r>
      <w:r w:rsidR="001630A8">
        <w:rPr>
          <w:rFonts w:ascii="Arial Narrow" w:hAnsi="Arial Narrow"/>
          <w:b/>
          <w:noProof/>
          <w:sz w:val="20"/>
        </w:rPr>
        <w:t>1</w:t>
      </w:r>
      <w:r w:rsidRPr="00296158">
        <w:rPr>
          <w:rFonts w:ascii="Arial Narrow" w:hAnsi="Arial Narrow"/>
          <w:b/>
          <w:sz w:val="20"/>
        </w:rPr>
        <w:fldChar w:fldCharType="end"/>
      </w:r>
      <w:bookmarkEnd w:id="3"/>
      <w:r w:rsidR="00724C66" w:rsidRPr="00296158">
        <w:rPr>
          <w:rFonts w:ascii="Arial Narrow" w:hAnsi="Arial Narrow"/>
          <w:b/>
          <w:sz w:val="20"/>
        </w:rPr>
        <w:tab/>
        <w:t xml:space="preserve">Clinical management algorithm for selection of suitable resection technique for colorectal lesions </w:t>
      </w:r>
      <w:bookmarkEnd w:id="4"/>
      <w:bookmarkEnd w:id="5"/>
    </w:p>
    <w:p w14:paraId="66B123A4" w14:textId="71ADDB2C" w:rsidR="00724C66" w:rsidRPr="00883EAC" w:rsidRDefault="00724C66" w:rsidP="00883EAC">
      <w:pPr>
        <w:pStyle w:val="Tablenotes"/>
      </w:pPr>
      <w:r>
        <w:t xml:space="preserve">Source: </w:t>
      </w:r>
      <w:r w:rsidRPr="00312C68">
        <w:t xml:space="preserve">Figure </w:t>
      </w:r>
      <w:bookmarkEnd w:id="6"/>
      <w:r>
        <w:t>3, p40 of DCAR</w:t>
      </w:r>
    </w:p>
    <w:p w14:paraId="34B14769" w14:textId="77777777" w:rsidR="00724C66" w:rsidRDefault="00724C66" w:rsidP="00724C66">
      <w:pPr>
        <w:keepNext/>
      </w:pPr>
      <w:r>
        <w:rPr>
          <w:noProof/>
        </w:rPr>
        <w:drawing>
          <wp:inline distT="0" distB="0" distL="0" distR="0" wp14:anchorId="64C4AFC7" wp14:editId="68984426">
            <wp:extent cx="4810125" cy="4221686"/>
            <wp:effectExtent l="0" t="0" r="0" b="7620"/>
            <wp:docPr id="7" name="Picture 7" descr="Proposed clinical management algorithm using E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3304" cy="4224476"/>
                    </a:xfrm>
                    <a:prstGeom prst="rect">
                      <a:avLst/>
                    </a:prstGeom>
                    <a:noFill/>
                    <a:ln>
                      <a:noFill/>
                    </a:ln>
                  </pic:spPr>
                </pic:pic>
              </a:graphicData>
            </a:graphic>
          </wp:inline>
        </w:drawing>
      </w:r>
    </w:p>
    <w:p w14:paraId="6A154ED3" w14:textId="15281F14" w:rsidR="00724C66" w:rsidRPr="00F0115E" w:rsidRDefault="00F0115E" w:rsidP="00F0115E">
      <w:pPr>
        <w:spacing w:before="240"/>
        <w:rPr>
          <w:rFonts w:ascii="Arial Narrow" w:hAnsi="Arial Narrow"/>
          <w:b/>
          <w:sz w:val="20"/>
        </w:rPr>
      </w:pPr>
      <w:bookmarkStart w:id="7" w:name="_Ref22023249"/>
      <w:bookmarkStart w:id="8" w:name="_Toc29394221"/>
      <w:r w:rsidRPr="00F0115E">
        <w:rPr>
          <w:rFonts w:ascii="Arial Narrow" w:hAnsi="Arial Narrow"/>
          <w:b/>
          <w:sz w:val="20"/>
        </w:rPr>
        <w:t xml:space="preserve">Figure </w:t>
      </w:r>
      <w:r w:rsidRPr="00F0115E">
        <w:rPr>
          <w:rFonts w:ascii="Arial Narrow" w:hAnsi="Arial Narrow"/>
          <w:b/>
          <w:sz w:val="20"/>
        </w:rPr>
        <w:fldChar w:fldCharType="begin"/>
      </w:r>
      <w:r w:rsidRPr="00F0115E">
        <w:rPr>
          <w:rFonts w:ascii="Arial Narrow" w:hAnsi="Arial Narrow"/>
          <w:b/>
          <w:sz w:val="20"/>
        </w:rPr>
        <w:instrText xml:space="preserve"> SEQ Figure \* ARABIC </w:instrText>
      </w:r>
      <w:r w:rsidRPr="00F0115E">
        <w:rPr>
          <w:rFonts w:ascii="Arial Narrow" w:hAnsi="Arial Narrow"/>
          <w:b/>
          <w:sz w:val="20"/>
        </w:rPr>
        <w:fldChar w:fldCharType="separate"/>
      </w:r>
      <w:r w:rsidR="001630A8">
        <w:rPr>
          <w:rFonts w:ascii="Arial Narrow" w:hAnsi="Arial Narrow"/>
          <w:b/>
          <w:noProof/>
          <w:sz w:val="20"/>
        </w:rPr>
        <w:t>2</w:t>
      </w:r>
      <w:r w:rsidRPr="00F0115E">
        <w:rPr>
          <w:rFonts w:ascii="Arial Narrow" w:hAnsi="Arial Narrow"/>
          <w:b/>
          <w:sz w:val="20"/>
        </w:rPr>
        <w:fldChar w:fldCharType="end"/>
      </w:r>
      <w:bookmarkEnd w:id="7"/>
      <w:r w:rsidR="00724C66" w:rsidRPr="00F0115E">
        <w:rPr>
          <w:rFonts w:ascii="Arial Narrow" w:hAnsi="Arial Narrow"/>
          <w:b/>
          <w:sz w:val="20"/>
        </w:rPr>
        <w:tab/>
        <w:t>Proposed clinical management algorithm for patients using EMR</w:t>
      </w:r>
      <w:bookmarkEnd w:id="8"/>
    </w:p>
    <w:p w14:paraId="4E7DD862" w14:textId="77777777" w:rsidR="00724C66" w:rsidRDefault="00724C66" w:rsidP="00724C66">
      <w:pPr>
        <w:pStyle w:val="Tablenotes"/>
        <w:keepNext/>
        <w:widowControl/>
      </w:pPr>
      <w:r>
        <w:t xml:space="preserve">Source: </w:t>
      </w:r>
      <w:r w:rsidRPr="00312C68">
        <w:t xml:space="preserve">Figure </w:t>
      </w:r>
      <w:r>
        <w:t>3, p40 of DCAR</w:t>
      </w:r>
    </w:p>
    <w:p w14:paraId="3A5F4D5F" w14:textId="1D3B978F" w:rsidR="00724C66" w:rsidRDefault="00724C66" w:rsidP="00724C66">
      <w:r>
        <w:t xml:space="preserve">Expert advice is that the decision to perform EMR at the initial </w:t>
      </w:r>
      <w:r w:rsidRPr="005A15B8">
        <w:rPr>
          <w:i/>
        </w:rPr>
        <w:t>vs.</w:t>
      </w:r>
      <w:r>
        <w:t xml:space="preserve"> at a repeat colonoscopy depends on the type of patient consent received prior to the initial colonoscopy, as well as the theatre time required for the EMR procedure. In practice, whether or not patients are consented for EMR prior to the initial colonoscopy varies between practitioners. </w:t>
      </w:r>
      <w:r>
        <w:rPr>
          <w:noProof/>
        </w:rPr>
        <w:t>(Expert Colorectal Surgeon, 2019, Applicant Expert Gastroenterologist, 2019)</w:t>
      </w:r>
      <w:r>
        <w:t>.</w:t>
      </w:r>
    </w:p>
    <w:p w14:paraId="75280ED3" w14:textId="77777777" w:rsidR="00724C66" w:rsidRDefault="00724C66" w:rsidP="00883EAC">
      <w:pPr>
        <w:spacing w:before="240"/>
      </w:pPr>
      <w:r>
        <w:t xml:space="preserve">The DCAR stated that the main difference between the two treatment pathways (current </w:t>
      </w:r>
      <w:r w:rsidRPr="003671DC">
        <w:rPr>
          <w:i/>
        </w:rPr>
        <w:t>vs</w:t>
      </w:r>
      <w:r>
        <w:t>. proposed algorithms) is the size of lesion amenable to EMR. The proposed pathway suggests only lesions greater than or equal to 25 mm be treated with EMR (with no upper limit on lesion size). This contrasts with the recommended use of EMR in lesions greater than or equal to 20 mm (but not larger than 40 mm) based on clinical practice guidelines.</w:t>
      </w:r>
    </w:p>
    <w:p w14:paraId="1CCDA246" w14:textId="77777777" w:rsidR="00BC1364" w:rsidRPr="00F715D1" w:rsidRDefault="00BC1364" w:rsidP="00F715D1">
      <w:pPr>
        <w:pStyle w:val="Heading1"/>
      </w:pPr>
      <w:r w:rsidRPr="00F715D1">
        <w:t xml:space="preserve">Comparator </w:t>
      </w:r>
    </w:p>
    <w:p w14:paraId="340E86CF" w14:textId="6536B0DB" w:rsidR="00C31E54" w:rsidRDefault="00C31E54" w:rsidP="00C31E54">
      <w:pPr>
        <w:jc w:val="both"/>
      </w:pPr>
      <w:r>
        <w:t>Surgical removal of colorectal lesions (laparoscopically, or open surgery) is the comparator for EMR in this assessment. There are currently several MBS items listed for the comparator (MBS items 32000, 32003-32006), including right and left hemicolectomy, and subtotal colectomy.</w:t>
      </w:r>
    </w:p>
    <w:p w14:paraId="1064BF30" w14:textId="0697D2A9" w:rsidR="00C31E54" w:rsidRDefault="00C31E54" w:rsidP="00883EAC">
      <w:pPr>
        <w:spacing w:before="240"/>
      </w:pPr>
      <w:r w:rsidRPr="00737BCF">
        <w:t>It should be noted that EMR is the established standard of care for the removal of non-invasive colorectal lesions ≥ 20 mm. As mentioned in the PICO confirmation, surgery is considered the historical comparator for EMR which, for the purposes of this assessment, will be used to determine the comparative saf</w:t>
      </w:r>
      <w:r>
        <w:t xml:space="preserve">ety, </w:t>
      </w:r>
      <w:r w:rsidRPr="00737BCF">
        <w:t>effectiveness</w:t>
      </w:r>
      <w:r>
        <w:t xml:space="preserve"> and cost-effectiveness</w:t>
      </w:r>
      <w:r w:rsidRPr="00737BCF">
        <w:t xml:space="preserve"> of EMR</w:t>
      </w:r>
      <w:r>
        <w:t>.</w:t>
      </w:r>
    </w:p>
    <w:p w14:paraId="04073E54" w14:textId="77777777" w:rsidR="00C31E54" w:rsidRDefault="00C31E54" w:rsidP="00883EAC">
      <w:pPr>
        <w:spacing w:before="240"/>
      </w:pPr>
      <w:r>
        <w:t>In clinical practice, it is likely EMR is taking place either at the expense of local jurisdictions or it is being claimed for through the MBS (as colonoscopy and polypectomy). As such, any changes in number of MBS claims should the proposed item be listed are expected to be to colonoscopy and polypectomy MBS items (MBS items 32222-32226, 32228 and 32229) and not surgical resection MBS items.</w:t>
      </w:r>
    </w:p>
    <w:p w14:paraId="24EEBE3C" w14:textId="77777777" w:rsidR="00BC1364" w:rsidRPr="00F715D1" w:rsidRDefault="00BC1364" w:rsidP="00F715D1">
      <w:pPr>
        <w:pStyle w:val="Heading1"/>
      </w:pPr>
      <w:r w:rsidRPr="00F715D1">
        <w:t>Comparative safety</w:t>
      </w:r>
    </w:p>
    <w:p w14:paraId="32365938" w14:textId="611C14E4" w:rsidR="00C31E54" w:rsidRDefault="00C31E54" w:rsidP="00C31E54">
      <w:r w:rsidRPr="0087552D">
        <w:t>In total, eight publications describing five studies</w:t>
      </w:r>
      <w:r>
        <w:t xml:space="preserve"> (Australia [k=1; n=2,675]; Europe [k=4; n=2,055])</w:t>
      </w:r>
      <w:r w:rsidRPr="0087552D">
        <w:t xml:space="preserve"> were included in the primary safety an</w:t>
      </w:r>
      <w:r>
        <w:t>d effectiveness analysis of EMR.</w:t>
      </w:r>
      <w:r w:rsidRPr="0087552D">
        <w:t xml:space="preserve"> Four publications reporting on a single</w:t>
      </w:r>
      <w:r>
        <w:t xml:space="preserve"> prospective</w:t>
      </w:r>
      <w:r w:rsidRPr="0087552D">
        <w:t xml:space="preserve"> study</w:t>
      </w:r>
      <w:r>
        <w:t xml:space="preserve"> enrolling patients from eight tertiary centres</w:t>
      </w:r>
      <w:r w:rsidRPr="0087552D">
        <w:t xml:space="preserve"> – the Australian Multicentre Colonic Endoscopic Mucosal Resection (ACE/EMR) Study – were included; one as the primary data source (Sidhu et al., 2018</w:t>
      </w:r>
      <w:r w:rsidR="0032451D">
        <w:rPr>
          <w:rStyle w:val="FootnoteReference"/>
        </w:rPr>
        <w:footnoteReference w:id="1"/>
      </w:r>
      <w:r w:rsidRPr="0087552D">
        <w:t>) and three as supplementary sources of information only (Bahin et al., 2016</w:t>
      </w:r>
      <w:r w:rsidR="0032451D">
        <w:rPr>
          <w:rStyle w:val="FootnoteReference"/>
        </w:rPr>
        <w:footnoteReference w:id="2"/>
      </w:r>
      <w:r w:rsidRPr="0087552D">
        <w:t>, Moss et al., 2015</w:t>
      </w:r>
      <w:r w:rsidR="0032451D">
        <w:rPr>
          <w:rStyle w:val="FootnoteReference"/>
        </w:rPr>
        <w:footnoteReference w:id="3"/>
      </w:r>
      <w:r w:rsidRPr="0087552D">
        <w:t>, Tate et al., 2017</w:t>
      </w:r>
      <w:r w:rsidR="0032451D">
        <w:rPr>
          <w:rStyle w:val="FootnoteReference"/>
        </w:rPr>
        <w:footnoteReference w:id="4"/>
      </w:r>
      <w:r w:rsidRPr="0087552D">
        <w:t>).</w:t>
      </w:r>
    </w:p>
    <w:p w14:paraId="08D3EC9E" w14:textId="2A298BCD" w:rsidR="00C31E54" w:rsidRDefault="00C31E54" w:rsidP="00883EAC">
      <w:pPr>
        <w:spacing w:before="240"/>
      </w:pPr>
      <w:r>
        <w:t>The DCAR stated all five studies were well conducted case series and scored highly on the Institute of Health Economics (IHE) quality assessment tool; however, were classified at high risk of bias. Populations of the included studies were very well matched with the population specified in the PICO Confirmation.</w:t>
      </w:r>
    </w:p>
    <w:p w14:paraId="54E3D371" w14:textId="470128C4" w:rsidR="00C31E54" w:rsidRDefault="00C31E54" w:rsidP="00883EAC">
      <w:pPr>
        <w:spacing w:before="240"/>
      </w:pPr>
      <w:r>
        <w:t xml:space="preserve">A recently published (October 2019) systematic review informed the safety and effectiveness analysis of the comparator </w:t>
      </w:r>
      <w:r>
        <w:rPr>
          <w:noProof/>
        </w:rPr>
        <w:t>(de Neree Tot Babberich et al., 2019</w:t>
      </w:r>
      <w:r w:rsidR="00C951FC">
        <w:rPr>
          <w:rStyle w:val="FootnoteReference"/>
          <w:noProof/>
        </w:rPr>
        <w:footnoteReference w:id="5"/>
      </w:r>
      <w:r>
        <w:rPr>
          <w:noProof/>
        </w:rPr>
        <w:t>)</w:t>
      </w:r>
      <w:r>
        <w:t>. The DCAR stated that the studies included in the review provided only case series data thus; the findings are limited by the high risk of bias of the included studies. The population and surgical procedures included in the systematic review were relatively well matched with the population and comparator specified in the PICO Confirmation, therefore the extracted data allowed an indirect analysis to be conducted.</w:t>
      </w:r>
    </w:p>
    <w:p w14:paraId="2B072515" w14:textId="4DA7FB90" w:rsidR="00C31E54" w:rsidRDefault="00C31E54" w:rsidP="00883EAC">
      <w:pPr>
        <w:spacing w:before="240"/>
      </w:pPr>
      <w:r>
        <w:t xml:space="preserve">An additional five studies, all randomised controlled trials (RCTs), were included to inform secondary analyses, including an </w:t>
      </w:r>
      <w:r w:rsidRPr="002E33BB">
        <w:t>extended assessment of the effect of three different cointerventions on key outcome measures</w:t>
      </w:r>
      <w:r>
        <w:t>.</w:t>
      </w:r>
    </w:p>
    <w:p w14:paraId="784B4D8F" w14:textId="4BCEED5A" w:rsidR="00C31E54" w:rsidRPr="004A5981" w:rsidRDefault="00C31E54" w:rsidP="00883EAC">
      <w:pPr>
        <w:spacing w:before="240"/>
      </w:pPr>
      <w:r>
        <w:t xml:space="preserve">The DCAR stated key complications associated with EMR included post-polypectomy bleeds (weighted rate: 5.2%, range: 0 to 9.9%), </w:t>
      </w:r>
      <w:r w:rsidRPr="00BC3278">
        <w:t>intraprocedural bleeds (IPBs) (range</w:t>
      </w:r>
      <w:r>
        <w:t>:</w:t>
      </w:r>
      <w:r w:rsidRPr="00BC3278">
        <w:t xml:space="preserve"> 5.3 to 19.9%), deep</w:t>
      </w:r>
      <w:r>
        <w:t xml:space="preserve"> mural</w:t>
      </w:r>
      <w:r w:rsidRPr="00BC3278">
        <w:t xml:space="preserve"> injury (1.9%) </w:t>
      </w:r>
      <w:r>
        <w:t>and</w:t>
      </w:r>
      <w:r w:rsidRPr="00BC3278">
        <w:t xml:space="preserve"> perforation (range: 0% to 1.6%)</w:t>
      </w:r>
      <w:r>
        <w:t xml:space="preserve"> [see </w:t>
      </w:r>
      <w:r w:rsidR="00D87164" w:rsidRPr="00D87164">
        <w:rPr>
          <w:szCs w:val="24"/>
        </w:rPr>
        <w:fldChar w:fldCharType="begin"/>
      </w:r>
      <w:r w:rsidR="00D87164" w:rsidRPr="00D87164">
        <w:rPr>
          <w:szCs w:val="24"/>
        </w:rPr>
        <w:instrText xml:space="preserve"> REF _Ref421184437 \h  \* MERGEFORMAT </w:instrText>
      </w:r>
      <w:r w:rsidR="00D87164" w:rsidRPr="00D87164">
        <w:rPr>
          <w:szCs w:val="24"/>
        </w:rPr>
      </w:r>
      <w:r w:rsidR="00D87164" w:rsidRPr="00D87164">
        <w:rPr>
          <w:szCs w:val="24"/>
        </w:rPr>
        <w:fldChar w:fldCharType="separate"/>
      </w:r>
      <w:r w:rsidR="00D87164" w:rsidRPr="00D87164">
        <w:rPr>
          <w:szCs w:val="24"/>
        </w:rPr>
        <w:t xml:space="preserve">Table </w:t>
      </w:r>
      <w:r w:rsidR="00D87164" w:rsidRPr="00D87164">
        <w:rPr>
          <w:noProof/>
          <w:szCs w:val="24"/>
        </w:rPr>
        <w:t>2</w:t>
      </w:r>
      <w:r w:rsidR="00D87164" w:rsidRPr="00D87164">
        <w:rPr>
          <w:szCs w:val="24"/>
        </w:rPr>
        <w:fldChar w:fldCharType="end"/>
      </w:r>
      <w:r>
        <w:t>]</w:t>
      </w:r>
      <w:r w:rsidRPr="00BC3278">
        <w:t>.</w:t>
      </w:r>
      <w:r>
        <w:rPr>
          <w:b/>
        </w:rPr>
        <w:t xml:space="preserve"> </w:t>
      </w:r>
      <w:r>
        <w:t xml:space="preserve">For the Australian cohort, post-polypectomy bleeds occurred at a rate of 5.5%, IPBs at a rate of 19.9%, deep mural injury at a rate of 1.9% and delayed perforations at a rate of 0.4%. Results for the Australian cohort generally aligned with the remaining four studies with the exception of IPBs, which were considerably more prevalent in the Australian cohort. It is possible that this difference is due to a varying outcome definitions although this is unclear as not all studies provided a definition. Generally, complications could be treated endoscopically or with conservative management, while surgical intervention was only required in rare </w:t>
      </w:r>
      <w:r w:rsidRPr="004A5981">
        <w:t>instances to treat post</w:t>
      </w:r>
      <w:r>
        <w:t>-</w:t>
      </w:r>
      <w:r w:rsidRPr="004A5981">
        <w:t xml:space="preserve">polypectomy bleeds or </w:t>
      </w:r>
      <w:r>
        <w:t xml:space="preserve">a </w:t>
      </w:r>
      <w:r w:rsidRPr="004A5981">
        <w:t>perforation.</w:t>
      </w:r>
    </w:p>
    <w:p w14:paraId="0E23B479" w14:textId="7D4082EC" w:rsidR="00C31E54" w:rsidRPr="00883EAC" w:rsidRDefault="00C31E54" w:rsidP="00883EAC">
      <w:pPr>
        <w:spacing w:before="240"/>
      </w:pPr>
      <w:r>
        <w:t>The DCAR stated complications associated with surgical resection included</w:t>
      </w:r>
      <w:r w:rsidRPr="004A5981">
        <w:t xml:space="preserve"> anastomotic leakage</w:t>
      </w:r>
      <w:r>
        <w:t xml:space="preserve"> (range: 0.3 to 8.7%)</w:t>
      </w:r>
      <w:r w:rsidRPr="004A5981">
        <w:t>, bleeding</w:t>
      </w:r>
      <w:r>
        <w:t xml:space="preserve"> (range: 0.6 to 11.4%)</w:t>
      </w:r>
      <w:r w:rsidRPr="004A5981">
        <w:t>, ileus</w:t>
      </w:r>
      <w:r>
        <w:t xml:space="preserve"> (range: 0.6 to 28.2%)</w:t>
      </w:r>
      <w:r w:rsidRPr="004A5981">
        <w:t xml:space="preserve">, infections </w:t>
      </w:r>
      <w:r>
        <w:t xml:space="preserve">(range: 1.1 to 22.2%) </w:t>
      </w:r>
      <w:r w:rsidRPr="004A5981">
        <w:t>and wound dehiscence/hernia</w:t>
      </w:r>
      <w:r>
        <w:t xml:space="preserve"> (range: 0.5 to 9.7%)</w:t>
      </w:r>
      <w:r w:rsidRPr="004A5981">
        <w:t>.</w:t>
      </w:r>
      <w:r>
        <w:t xml:space="preserve"> Surgical re-intervention was required to treat a complication in a weighted rate of 3.6% of patients (range: 0 to 8.9%) [see </w:t>
      </w:r>
      <w:r w:rsidR="0090039E" w:rsidRPr="0090039E">
        <w:rPr>
          <w:szCs w:val="24"/>
        </w:rPr>
        <w:fldChar w:fldCharType="begin"/>
      </w:r>
      <w:r w:rsidR="0090039E" w:rsidRPr="0090039E">
        <w:rPr>
          <w:szCs w:val="24"/>
        </w:rPr>
        <w:instrText xml:space="preserve"> REF _Ref25593777 \h  \* MERGEFORMAT </w:instrText>
      </w:r>
      <w:r w:rsidR="0090039E" w:rsidRPr="0090039E">
        <w:rPr>
          <w:szCs w:val="24"/>
        </w:rPr>
      </w:r>
      <w:r w:rsidR="0090039E" w:rsidRPr="0090039E">
        <w:rPr>
          <w:szCs w:val="24"/>
        </w:rPr>
        <w:fldChar w:fldCharType="separate"/>
      </w:r>
      <w:r w:rsidR="0090039E" w:rsidRPr="0090039E">
        <w:rPr>
          <w:szCs w:val="24"/>
        </w:rPr>
        <w:t xml:space="preserve">Table </w:t>
      </w:r>
      <w:r w:rsidR="0090039E" w:rsidRPr="0090039E">
        <w:rPr>
          <w:noProof/>
          <w:szCs w:val="24"/>
        </w:rPr>
        <w:t>3</w:t>
      </w:r>
      <w:r w:rsidR="0090039E" w:rsidRPr="0090039E">
        <w:rPr>
          <w:szCs w:val="24"/>
        </w:rPr>
        <w:fldChar w:fldCharType="end"/>
      </w:r>
      <w:r>
        <w:t>]. The most commonly reported complications requiring surgical treatment included anastomotic leakages and bleeding.</w:t>
      </w:r>
    </w:p>
    <w:p w14:paraId="4D0E8FA6" w14:textId="61138183" w:rsidR="00C31E54" w:rsidRPr="00883EAC" w:rsidRDefault="00C31E54" w:rsidP="00883EAC">
      <w:pPr>
        <w:spacing w:before="240"/>
      </w:pPr>
      <w:r>
        <w:t>No mortality associated with EMR was reported in any st</w:t>
      </w:r>
      <w:r w:rsidR="00883EAC">
        <w:t>udy. In comparison, the pooled,</w:t>
      </w:r>
      <w:r w:rsidR="00883EAC">
        <w:br/>
      </w:r>
      <w:r>
        <w:t>1-month mortality rate for surgery was 0.7% (95% CI: 0.6 to 0.8%).</w:t>
      </w:r>
    </w:p>
    <w:p w14:paraId="02027A84" w14:textId="0570DA7F" w:rsidR="00C31E54" w:rsidRDefault="00C31E54" w:rsidP="00883EAC">
      <w:pPr>
        <w:spacing w:before="240"/>
      </w:pPr>
      <w:r>
        <w:t xml:space="preserve">EMR was associated with a significantly lower intraprocedural event rate than TEM (10.1 </w:t>
      </w:r>
      <w:r w:rsidRPr="009606B5">
        <w:rPr>
          <w:i/>
        </w:rPr>
        <w:t>vs.</w:t>
      </w:r>
      <w:r>
        <w:t xml:space="preserve"> 4.5%, p = 0.03) however, the number of patients having a postprocedural complication after EMR or TEM did not differ significantly.</w:t>
      </w:r>
    </w:p>
    <w:p w14:paraId="3422BFA5" w14:textId="217430AC" w:rsidR="00C31E54" w:rsidRPr="00183E4D" w:rsidRDefault="00C31E54" w:rsidP="00883EAC">
      <w:pPr>
        <w:spacing w:before="240"/>
      </w:pPr>
      <w:r w:rsidRPr="00AF541E">
        <w:t>The</w:t>
      </w:r>
      <w:r>
        <w:t xml:space="preserve"> DCAR stated that the</w:t>
      </w:r>
      <w:r w:rsidRPr="00AF541E">
        <w:t xml:space="preserve"> use of clipping to achieve complete closure of the mucosal defect following EMR may reduce the risk of post</w:t>
      </w:r>
      <w:r>
        <w:t>-</w:t>
      </w:r>
      <w:r w:rsidRPr="00AF541E">
        <w:t>polypectomy bleeding</w:t>
      </w:r>
      <w:r w:rsidR="003A6859">
        <w:t>. H</w:t>
      </w:r>
      <w:r>
        <w:t>owever prophylactic coagulation of all visible vessels does not appear to reduce the risk. Expert advice is that in Australia, prophylactically clipping of the EMR defect after EMR may or may not be performed (i.e. no standard practice).</w:t>
      </w:r>
    </w:p>
    <w:p w14:paraId="341EDE6F" w14:textId="77777777" w:rsidR="00BC1364" w:rsidRPr="00F715D1" w:rsidRDefault="00BC1364" w:rsidP="00F715D1">
      <w:pPr>
        <w:pStyle w:val="Heading1"/>
      </w:pPr>
      <w:r w:rsidRPr="00F715D1">
        <w:t>Comparative effectiveness</w:t>
      </w:r>
    </w:p>
    <w:p w14:paraId="299C01BD" w14:textId="1C86820A" w:rsidR="00C31E54" w:rsidRDefault="00C31E54" w:rsidP="00C31E54">
      <w:r>
        <w:t xml:space="preserve">The DCAR stated that the technical success of EMR was high; complete endoscopic resection rates of 95% were achieved in two studies </w:t>
      </w:r>
      <w:r>
        <w:rPr>
          <w:noProof/>
        </w:rPr>
        <w:t>(Sidhu et al., 2018, Knabe et al., 2014</w:t>
      </w:r>
      <w:r w:rsidR="00AC446B">
        <w:rPr>
          <w:rStyle w:val="FootnoteReference"/>
          <w:noProof/>
        </w:rPr>
        <w:footnoteReference w:id="6"/>
      </w:r>
      <w:r>
        <w:rPr>
          <w:noProof/>
        </w:rPr>
        <w:t>)</w:t>
      </w:r>
      <w:r>
        <w:t>. Recurrences can be expected at both first (range: 16.3 to 32%) and second (range: 6.7 to 16.4%) surveillance colonoscopies although generally, these can be treated endoscopically.</w:t>
      </w:r>
    </w:p>
    <w:p w14:paraId="2A39034E" w14:textId="639DB8A4" w:rsidR="00C31E54" w:rsidRDefault="00C31E54" w:rsidP="00216376">
      <w:pPr>
        <w:spacing w:before="240"/>
      </w:pPr>
      <w:r>
        <w:t>The DCAR stated patients may be referred to surgery after an EMR procedure because malignancy is detected in the resected specimen (range: 3.6 to 5.9% of cases), the EMR procedure is unsuccessful (4.0% of patients, as reported in a single study), or a complication requires surgical intervention (rare). Patients may also require surgery during the surveillance period for the treatment of residual or recurrent tissue which couldn’t be resected endoscopically, or for another reason (e.g. for a complication). Overall, studies reported that surgery post-EMR was required in 3.9% to 10.4% of cases.</w:t>
      </w:r>
    </w:p>
    <w:p w14:paraId="128DEBDC" w14:textId="531345E9" w:rsidR="00C31E54" w:rsidRDefault="00C31E54" w:rsidP="00216376">
      <w:pPr>
        <w:spacing w:before="240"/>
      </w:pPr>
      <w:r>
        <w:t>Surgical resection for the population of interest is considered curative in clinical practice. Therefore, EMR is inevitably inferior in comparison to surgery with respect to success and recurrence outcomes.</w:t>
      </w:r>
    </w:p>
    <w:p w14:paraId="6F215B4D" w14:textId="2D3980A2" w:rsidR="00C31E54" w:rsidRDefault="00C31E54" w:rsidP="00216376">
      <w:pPr>
        <w:spacing w:before="240"/>
      </w:pPr>
      <w:r>
        <w:t xml:space="preserve">The DCAR stated that the key effectiveness outcome reported for surgery was length of stay (mean 5.1 days, 95% confidence interval [CI]: 4.4 to 5.9 days). Although no EMR case series reported this as an outcome, expert opinion confirms that EMR is, in Australian clinical practice, generally performed as a day-case procedure, with only a small portion (approx. 5%) requiring an overnight admission </w:t>
      </w:r>
      <w:r>
        <w:rPr>
          <w:noProof/>
        </w:rPr>
        <w:t>(Expert Gastroenterologist, 2019a, Expert Colorectal Surgeon, 2019, Expert Gastroenterologist, 2019b)</w:t>
      </w:r>
      <w:r>
        <w:t>.</w:t>
      </w:r>
    </w:p>
    <w:p w14:paraId="6DB891C1" w14:textId="3143DC0F" w:rsidR="00C31E54" w:rsidRPr="00F0115E" w:rsidRDefault="00F0115E" w:rsidP="00F0115E">
      <w:pPr>
        <w:spacing w:before="240"/>
        <w:rPr>
          <w:rFonts w:ascii="Arial Narrow" w:hAnsi="Arial Narrow"/>
          <w:b/>
          <w:sz w:val="20"/>
        </w:rPr>
      </w:pPr>
      <w:bookmarkStart w:id="9" w:name="_Ref421184437"/>
      <w:bookmarkStart w:id="10" w:name="_Toc25738506"/>
      <w:bookmarkStart w:id="11" w:name="_Toc29394115"/>
      <w:r w:rsidRPr="00F0115E">
        <w:rPr>
          <w:rFonts w:ascii="Arial Narrow" w:hAnsi="Arial Narrow"/>
          <w:b/>
          <w:sz w:val="20"/>
        </w:rPr>
        <w:t xml:space="preserve">Table </w:t>
      </w:r>
      <w:r w:rsidRPr="00F0115E">
        <w:rPr>
          <w:rFonts w:ascii="Arial Narrow" w:hAnsi="Arial Narrow"/>
          <w:b/>
          <w:sz w:val="20"/>
        </w:rPr>
        <w:fldChar w:fldCharType="begin"/>
      </w:r>
      <w:r w:rsidRPr="00F0115E">
        <w:rPr>
          <w:rFonts w:ascii="Arial Narrow" w:hAnsi="Arial Narrow"/>
          <w:b/>
          <w:sz w:val="20"/>
        </w:rPr>
        <w:instrText xml:space="preserve"> SEQ Table \* ARABIC </w:instrText>
      </w:r>
      <w:r w:rsidRPr="00F0115E">
        <w:rPr>
          <w:rFonts w:ascii="Arial Narrow" w:hAnsi="Arial Narrow"/>
          <w:b/>
          <w:sz w:val="20"/>
        </w:rPr>
        <w:fldChar w:fldCharType="separate"/>
      </w:r>
      <w:r w:rsidR="00376352">
        <w:rPr>
          <w:rFonts w:ascii="Arial Narrow" w:hAnsi="Arial Narrow"/>
          <w:b/>
          <w:noProof/>
          <w:sz w:val="20"/>
        </w:rPr>
        <w:t>2</w:t>
      </w:r>
      <w:r w:rsidRPr="00F0115E">
        <w:rPr>
          <w:rFonts w:ascii="Arial Narrow" w:hAnsi="Arial Narrow"/>
          <w:b/>
          <w:sz w:val="20"/>
        </w:rPr>
        <w:fldChar w:fldCharType="end"/>
      </w:r>
      <w:bookmarkEnd w:id="9"/>
      <w:r w:rsidR="00C31E54" w:rsidRPr="00F0115E">
        <w:rPr>
          <w:rFonts w:ascii="Arial Narrow" w:hAnsi="Arial Narrow"/>
          <w:b/>
          <w:sz w:val="20"/>
        </w:rPr>
        <w:tab/>
        <w:t>Balance of clinical benefits and harms of EMR, as measured by the critical patient-relevant outcomes in the key studies</w:t>
      </w:r>
      <w:bookmarkEnd w:id="10"/>
      <w:bookmarkEnd w:id="11"/>
      <w:r w:rsidR="00C31E54" w:rsidRPr="00F0115E">
        <w:rPr>
          <w:rFonts w:ascii="Arial Narrow" w:hAnsi="Arial Narrow"/>
          <w:b/>
          <w:sz w:val="20"/>
        </w:rPr>
        <w:t xml:space="preserve"> </w:t>
      </w:r>
    </w:p>
    <w:tbl>
      <w:tblPr>
        <w:tblStyle w:val="TableGrid"/>
        <w:tblW w:w="9284" w:type="dxa"/>
        <w:tblLook w:val="04A0" w:firstRow="1" w:lastRow="0" w:firstColumn="1" w:lastColumn="0" w:noHBand="0" w:noVBand="1"/>
        <w:tblDescription w:val="Summary of findings table"/>
      </w:tblPr>
      <w:tblGrid>
        <w:gridCol w:w="3794"/>
        <w:gridCol w:w="2126"/>
        <w:gridCol w:w="1276"/>
        <w:gridCol w:w="2088"/>
      </w:tblGrid>
      <w:tr w:rsidR="00C31E54" w14:paraId="5E30049D" w14:textId="77777777" w:rsidTr="008D5FAC">
        <w:trPr>
          <w:tblHeader/>
        </w:trPr>
        <w:tc>
          <w:tcPr>
            <w:tcW w:w="3794" w:type="dxa"/>
          </w:tcPr>
          <w:p w14:paraId="5CBC91D2" w14:textId="77777777" w:rsidR="00C31E54" w:rsidRPr="00D61309" w:rsidRDefault="00C31E54" w:rsidP="00EC16AC">
            <w:pPr>
              <w:pStyle w:val="Tabletext0"/>
              <w:keepNext/>
              <w:rPr>
                <w:b/>
              </w:rPr>
            </w:pPr>
            <w:r w:rsidRPr="00D61309">
              <w:rPr>
                <w:b/>
              </w:rPr>
              <w:t>Outcomes</w:t>
            </w:r>
          </w:p>
          <w:p w14:paraId="4933171B" w14:textId="77777777" w:rsidR="00C31E54" w:rsidRPr="00D61309" w:rsidRDefault="00C31E54" w:rsidP="00EC16AC">
            <w:pPr>
              <w:pStyle w:val="Tabletext0"/>
              <w:keepNext/>
              <w:rPr>
                <w:b/>
              </w:rPr>
            </w:pPr>
          </w:p>
        </w:tc>
        <w:tc>
          <w:tcPr>
            <w:tcW w:w="2126" w:type="dxa"/>
          </w:tcPr>
          <w:p w14:paraId="480A3D47" w14:textId="77777777" w:rsidR="00C31E54" w:rsidRDefault="00C31E54" w:rsidP="00EC16AC">
            <w:pPr>
              <w:pStyle w:val="Tabletext0"/>
              <w:keepNext/>
              <w:rPr>
                <w:b/>
              </w:rPr>
            </w:pPr>
            <w:r w:rsidRPr="00D61309">
              <w:rPr>
                <w:b/>
              </w:rPr>
              <w:t>P</w:t>
            </w:r>
            <w:r>
              <w:rPr>
                <w:b/>
              </w:rPr>
              <w:t>atients (n), (lesions)</w:t>
            </w:r>
          </w:p>
          <w:p w14:paraId="4BDD97CC" w14:textId="77777777" w:rsidR="00C31E54" w:rsidRPr="00D61309" w:rsidRDefault="00C31E54" w:rsidP="00EC16AC">
            <w:pPr>
              <w:pStyle w:val="Tabletext0"/>
              <w:keepNext/>
              <w:rPr>
                <w:b/>
              </w:rPr>
            </w:pPr>
            <w:r>
              <w:rPr>
                <w:b/>
              </w:rPr>
              <w:t>S</w:t>
            </w:r>
            <w:r w:rsidRPr="00D61309">
              <w:rPr>
                <w:b/>
              </w:rPr>
              <w:t>tudies</w:t>
            </w:r>
            <w:r>
              <w:rPr>
                <w:b/>
              </w:rPr>
              <w:t xml:space="preserve"> (k</w:t>
            </w:r>
            <w:r w:rsidRPr="00D61309">
              <w:rPr>
                <w:b/>
              </w:rPr>
              <w:t>)</w:t>
            </w:r>
          </w:p>
        </w:tc>
        <w:tc>
          <w:tcPr>
            <w:tcW w:w="1276" w:type="dxa"/>
          </w:tcPr>
          <w:p w14:paraId="0F154022" w14:textId="77777777" w:rsidR="00C31E54" w:rsidRPr="006C4CB3" w:rsidRDefault="00C31E54" w:rsidP="00EC16AC">
            <w:pPr>
              <w:pStyle w:val="Tabletext0"/>
              <w:keepNext/>
              <w:rPr>
                <w:b/>
              </w:rPr>
            </w:pPr>
            <w:r w:rsidRPr="00D61309">
              <w:rPr>
                <w:b/>
              </w:rPr>
              <w:t>Quality of evidence (GRADE)</w:t>
            </w:r>
            <w:r w:rsidRPr="00D61309">
              <w:rPr>
                <w:rFonts w:cs="Arial"/>
                <w:b/>
                <w:sz w:val="18"/>
                <w:szCs w:val="18"/>
                <w:vertAlign w:val="superscript"/>
              </w:rPr>
              <w:t xml:space="preserve"> </w:t>
            </w:r>
            <w:r>
              <w:rPr>
                <w:rFonts w:cs="Arial"/>
                <w:b/>
                <w:sz w:val="18"/>
                <w:szCs w:val="18"/>
              </w:rPr>
              <w:t>†</w:t>
            </w:r>
          </w:p>
        </w:tc>
        <w:tc>
          <w:tcPr>
            <w:tcW w:w="2088" w:type="dxa"/>
          </w:tcPr>
          <w:p w14:paraId="3D4A15B8" w14:textId="77777777" w:rsidR="00C31E54" w:rsidRPr="00D61309" w:rsidRDefault="00C31E54" w:rsidP="00EC16AC">
            <w:pPr>
              <w:pStyle w:val="Tabletext0"/>
              <w:keepNext/>
              <w:rPr>
                <w:b/>
              </w:rPr>
            </w:pPr>
            <w:r w:rsidRPr="00D61309">
              <w:rPr>
                <w:b/>
              </w:rPr>
              <w:t xml:space="preserve">Absolute effect </w:t>
            </w:r>
            <w:r>
              <w:rPr>
                <w:b/>
              </w:rPr>
              <w:t xml:space="preserve">weight rate </w:t>
            </w:r>
            <w:r w:rsidRPr="00D61309">
              <w:rPr>
                <w:b/>
              </w:rPr>
              <w:t>(range)</w:t>
            </w:r>
          </w:p>
        </w:tc>
      </w:tr>
      <w:tr w:rsidR="00C31E54" w14:paraId="4CBEBBA5" w14:textId="77777777" w:rsidTr="008D5FAC">
        <w:tc>
          <w:tcPr>
            <w:tcW w:w="3794" w:type="dxa"/>
          </w:tcPr>
          <w:p w14:paraId="732DF3E4" w14:textId="77777777" w:rsidR="00C31E54" w:rsidRPr="006C4CB3" w:rsidRDefault="00C31E54" w:rsidP="00EC16AC">
            <w:pPr>
              <w:pStyle w:val="Tabletext0"/>
              <w:keepNext/>
            </w:pPr>
            <w:r w:rsidRPr="00554FDB">
              <w:t>Mortality</w:t>
            </w:r>
            <w:r>
              <w:t xml:space="preserve"> rate (%)</w:t>
            </w:r>
          </w:p>
        </w:tc>
        <w:tc>
          <w:tcPr>
            <w:tcW w:w="2126" w:type="dxa"/>
          </w:tcPr>
          <w:p w14:paraId="44F27182" w14:textId="77777777" w:rsidR="00C31E54" w:rsidRDefault="00C31E54" w:rsidP="00EC16AC">
            <w:pPr>
              <w:pStyle w:val="Tabletext0"/>
              <w:keepNext/>
            </w:pPr>
            <w:r>
              <w:t>n = 2055</w:t>
            </w:r>
          </w:p>
          <w:p w14:paraId="23F94F7C" w14:textId="77777777" w:rsidR="00C31E54" w:rsidRDefault="00C31E54" w:rsidP="00EC16AC">
            <w:pPr>
              <w:pStyle w:val="Tabletext0"/>
              <w:keepNext/>
              <w:rPr>
                <w:rFonts w:cs="Arial"/>
                <w:sz w:val="18"/>
                <w:szCs w:val="18"/>
                <w:vertAlign w:val="superscript"/>
              </w:rPr>
            </w:pPr>
            <w:r>
              <w:t>k = 4</w:t>
            </w:r>
          </w:p>
        </w:tc>
        <w:tc>
          <w:tcPr>
            <w:tcW w:w="1276" w:type="dxa"/>
          </w:tcPr>
          <w:p w14:paraId="2E6B17EC" w14:textId="77777777" w:rsidR="00C31E54" w:rsidRDefault="00C31E54" w:rsidP="00EC16AC">
            <w:pPr>
              <w:pStyle w:val="Tabletext0"/>
              <w:keepNext/>
              <w:rPr>
                <w:rFonts w:cs="Arial"/>
                <w:sz w:val="18"/>
                <w:szCs w:val="18"/>
                <w:vertAlign w:val="superscript"/>
              </w:rPr>
            </w:pPr>
            <w:r>
              <w:rPr>
                <w:rFonts w:ascii="Cambria Math" w:hAnsi="Cambria Math"/>
                <w:color w:val="00B050"/>
              </w:rPr>
              <w:t>⨁⨁</w:t>
            </w:r>
            <w:r w:rsidRPr="00D4733A">
              <w:rPr>
                <w:rFonts w:ascii="Cambria Math" w:hAnsi="Cambria Math" w:cs="Cambria Math"/>
                <w:color w:val="C00000"/>
              </w:rPr>
              <w:t>⨀⨀</w:t>
            </w:r>
          </w:p>
        </w:tc>
        <w:tc>
          <w:tcPr>
            <w:tcW w:w="2088" w:type="dxa"/>
          </w:tcPr>
          <w:p w14:paraId="5D818456" w14:textId="77777777" w:rsidR="00C31E54" w:rsidRDefault="00C31E54" w:rsidP="00EC16AC">
            <w:pPr>
              <w:pStyle w:val="Tabletext0"/>
              <w:keepNext/>
              <w:rPr>
                <w:rFonts w:cs="Arial"/>
                <w:sz w:val="18"/>
                <w:szCs w:val="18"/>
                <w:vertAlign w:val="superscript"/>
              </w:rPr>
            </w:pPr>
            <w:r>
              <w:t>0%</w:t>
            </w:r>
          </w:p>
        </w:tc>
      </w:tr>
      <w:tr w:rsidR="00C31E54" w14:paraId="3D5C6D49" w14:textId="77777777" w:rsidTr="008D5FAC">
        <w:tc>
          <w:tcPr>
            <w:tcW w:w="3794" w:type="dxa"/>
          </w:tcPr>
          <w:p w14:paraId="4C319211" w14:textId="77777777" w:rsidR="00C31E54" w:rsidRPr="006C4CB3" w:rsidRDefault="00C31E54" w:rsidP="00EC16AC">
            <w:pPr>
              <w:pStyle w:val="Tabletext0"/>
            </w:pPr>
            <w:r>
              <w:t>Post-polypectomy bleeds rate (%)</w:t>
            </w:r>
          </w:p>
        </w:tc>
        <w:tc>
          <w:tcPr>
            <w:tcW w:w="2126" w:type="dxa"/>
          </w:tcPr>
          <w:p w14:paraId="24BD69F3" w14:textId="77777777" w:rsidR="00C31E54" w:rsidRDefault="00C31E54" w:rsidP="00EC16AC">
            <w:pPr>
              <w:pStyle w:val="Tabletext0"/>
            </w:pPr>
            <w:r>
              <w:t>n = 4730, (4876 lesions)</w:t>
            </w:r>
          </w:p>
          <w:p w14:paraId="1196459B" w14:textId="77777777" w:rsidR="00C31E54" w:rsidRDefault="00C31E54" w:rsidP="00EC16AC">
            <w:pPr>
              <w:pStyle w:val="Tabletext0"/>
              <w:rPr>
                <w:rFonts w:cs="Arial"/>
                <w:sz w:val="18"/>
                <w:szCs w:val="18"/>
                <w:vertAlign w:val="superscript"/>
              </w:rPr>
            </w:pPr>
            <w:r>
              <w:t>k = 5</w:t>
            </w:r>
          </w:p>
        </w:tc>
        <w:tc>
          <w:tcPr>
            <w:tcW w:w="1276" w:type="dxa"/>
          </w:tcPr>
          <w:p w14:paraId="4CF8F2DF" w14:textId="77777777" w:rsidR="00C31E54" w:rsidRDefault="00C31E54" w:rsidP="00EC16AC">
            <w:pPr>
              <w:pStyle w:val="Tabletext0"/>
              <w:rPr>
                <w:rFonts w:cs="Arial"/>
                <w:sz w:val="18"/>
                <w:szCs w:val="18"/>
                <w:vertAlign w:val="superscript"/>
              </w:rPr>
            </w:pPr>
            <w:r>
              <w:rPr>
                <w:rFonts w:ascii="Cambria Math" w:hAnsi="Cambria Math"/>
                <w:color w:val="00B050"/>
              </w:rPr>
              <w:t>⨁⨁</w:t>
            </w:r>
            <w:r w:rsidRPr="00D4733A">
              <w:rPr>
                <w:rFonts w:ascii="Cambria Math" w:hAnsi="Cambria Math" w:cs="Cambria Math"/>
                <w:color w:val="C00000"/>
              </w:rPr>
              <w:t>⨀⨀</w:t>
            </w:r>
          </w:p>
        </w:tc>
        <w:tc>
          <w:tcPr>
            <w:tcW w:w="2088" w:type="dxa"/>
          </w:tcPr>
          <w:p w14:paraId="058A2B42" w14:textId="77777777" w:rsidR="00C31E54" w:rsidRDefault="00C31E54" w:rsidP="00EC16AC">
            <w:pPr>
              <w:pStyle w:val="Tabletext0"/>
            </w:pPr>
            <w:r>
              <w:t>5.2%</w:t>
            </w:r>
          </w:p>
          <w:p w14:paraId="20AA3914" w14:textId="77777777" w:rsidR="00C31E54" w:rsidRDefault="00C31E54" w:rsidP="00EC16AC">
            <w:pPr>
              <w:pStyle w:val="Tabletext0"/>
              <w:rPr>
                <w:rFonts w:cs="Arial"/>
                <w:sz w:val="18"/>
                <w:szCs w:val="18"/>
                <w:vertAlign w:val="superscript"/>
              </w:rPr>
            </w:pPr>
            <w:r>
              <w:t>(range: 0 to 9.9%)</w:t>
            </w:r>
          </w:p>
        </w:tc>
      </w:tr>
      <w:tr w:rsidR="00C31E54" w14:paraId="1FD9153B" w14:textId="77777777" w:rsidTr="008D5FAC">
        <w:tc>
          <w:tcPr>
            <w:tcW w:w="3794" w:type="dxa"/>
          </w:tcPr>
          <w:p w14:paraId="1DD96C21" w14:textId="77777777" w:rsidR="00C31E54" w:rsidRPr="006C4CB3" w:rsidRDefault="00C31E54" w:rsidP="00EC16AC">
            <w:pPr>
              <w:pStyle w:val="Tabletext0"/>
            </w:pPr>
            <w:r>
              <w:t>Perforation ± deep mural injury rate (%)</w:t>
            </w:r>
          </w:p>
        </w:tc>
        <w:tc>
          <w:tcPr>
            <w:tcW w:w="2126" w:type="dxa"/>
          </w:tcPr>
          <w:p w14:paraId="3915E2F7" w14:textId="77777777" w:rsidR="00C31E54" w:rsidRDefault="00C31E54" w:rsidP="00EC16AC">
            <w:pPr>
              <w:pStyle w:val="Tabletext0"/>
            </w:pPr>
            <w:r>
              <w:t>n = 4730, (4876 lesions)</w:t>
            </w:r>
          </w:p>
          <w:p w14:paraId="17B0E152" w14:textId="77777777" w:rsidR="00C31E54" w:rsidRDefault="00C31E54" w:rsidP="00EC16AC">
            <w:pPr>
              <w:pStyle w:val="Tabletext0"/>
              <w:rPr>
                <w:rFonts w:cs="Arial"/>
                <w:sz w:val="18"/>
                <w:szCs w:val="18"/>
                <w:vertAlign w:val="superscript"/>
              </w:rPr>
            </w:pPr>
            <w:r>
              <w:t>k = 5</w:t>
            </w:r>
          </w:p>
        </w:tc>
        <w:tc>
          <w:tcPr>
            <w:tcW w:w="1276" w:type="dxa"/>
          </w:tcPr>
          <w:p w14:paraId="77C0B41E" w14:textId="77777777" w:rsidR="00C31E54" w:rsidRDefault="00C31E54" w:rsidP="00EC16AC">
            <w:pPr>
              <w:pStyle w:val="Tabletext0"/>
              <w:rPr>
                <w:rFonts w:cs="Arial"/>
                <w:sz w:val="18"/>
                <w:szCs w:val="18"/>
                <w:vertAlign w:val="superscript"/>
              </w:rPr>
            </w:pPr>
            <w:r>
              <w:rPr>
                <w:rFonts w:ascii="Cambria Math" w:hAnsi="Cambria Math"/>
                <w:color w:val="00B050"/>
              </w:rPr>
              <w:t>⨁⨁</w:t>
            </w:r>
            <w:r w:rsidRPr="00D4733A">
              <w:rPr>
                <w:rFonts w:ascii="Cambria Math" w:hAnsi="Cambria Math" w:cs="Cambria Math"/>
                <w:color w:val="C00000"/>
              </w:rPr>
              <w:t>⨀⨀</w:t>
            </w:r>
          </w:p>
        </w:tc>
        <w:tc>
          <w:tcPr>
            <w:tcW w:w="2088" w:type="dxa"/>
          </w:tcPr>
          <w:p w14:paraId="36CADEFB" w14:textId="77777777" w:rsidR="00C31E54" w:rsidRDefault="00C31E54" w:rsidP="00EC16AC">
            <w:pPr>
              <w:pStyle w:val="Tabletext0"/>
              <w:rPr>
                <w:rFonts w:cs="Arial"/>
                <w:sz w:val="18"/>
                <w:szCs w:val="18"/>
                <w:vertAlign w:val="superscript"/>
              </w:rPr>
            </w:pPr>
            <w:r>
              <w:t>Range: 0 to 2.3%</w:t>
            </w:r>
          </w:p>
        </w:tc>
      </w:tr>
      <w:tr w:rsidR="00C31E54" w14:paraId="0B4E8DB8" w14:textId="77777777" w:rsidTr="008D5FAC">
        <w:trPr>
          <w:trHeight w:val="344"/>
        </w:trPr>
        <w:tc>
          <w:tcPr>
            <w:tcW w:w="3794" w:type="dxa"/>
          </w:tcPr>
          <w:p w14:paraId="66104E4D" w14:textId="77777777" w:rsidR="00C31E54" w:rsidRPr="006C4CB3" w:rsidRDefault="00C31E54" w:rsidP="00EC16AC">
            <w:pPr>
              <w:pStyle w:val="Tabletext0"/>
            </w:pPr>
            <w:r>
              <w:t>Rate of technical success (%)</w:t>
            </w:r>
          </w:p>
        </w:tc>
        <w:tc>
          <w:tcPr>
            <w:tcW w:w="2126" w:type="dxa"/>
          </w:tcPr>
          <w:p w14:paraId="1A98BFF5" w14:textId="77777777" w:rsidR="00C31E54" w:rsidRDefault="00C31E54" w:rsidP="00EC16AC">
            <w:pPr>
              <w:pStyle w:val="Tabletext0"/>
            </w:pPr>
            <w:r>
              <w:t>n = 2918; (2927 lesions)</w:t>
            </w:r>
          </w:p>
          <w:p w14:paraId="7108E7A0" w14:textId="77777777" w:rsidR="00C31E54" w:rsidRPr="00626F00" w:rsidRDefault="00C31E54" w:rsidP="00EC16AC">
            <w:pPr>
              <w:pStyle w:val="Tabletext0"/>
              <w:rPr>
                <w:rFonts w:cs="Arial"/>
                <w:sz w:val="18"/>
                <w:szCs w:val="18"/>
              </w:rPr>
            </w:pPr>
            <w:r w:rsidRPr="00626F00">
              <w:rPr>
                <w:rFonts w:cs="Arial"/>
                <w:szCs w:val="18"/>
              </w:rPr>
              <w:t>k = 2</w:t>
            </w:r>
          </w:p>
        </w:tc>
        <w:tc>
          <w:tcPr>
            <w:tcW w:w="1276" w:type="dxa"/>
          </w:tcPr>
          <w:p w14:paraId="7DAAEC38" w14:textId="77777777" w:rsidR="00C31E54" w:rsidRDefault="00C31E54" w:rsidP="00EC16AC">
            <w:pPr>
              <w:pStyle w:val="Tabletext0"/>
              <w:rPr>
                <w:rFonts w:cs="Arial"/>
                <w:sz w:val="18"/>
                <w:szCs w:val="18"/>
                <w:vertAlign w:val="superscript"/>
              </w:rPr>
            </w:pPr>
            <w:r>
              <w:rPr>
                <w:rFonts w:ascii="Cambria Math" w:hAnsi="Cambria Math"/>
                <w:color w:val="00B050"/>
              </w:rPr>
              <w:t>⨁⨁</w:t>
            </w:r>
            <w:r w:rsidRPr="00D4733A">
              <w:rPr>
                <w:rFonts w:ascii="Cambria Math" w:hAnsi="Cambria Math" w:cs="Cambria Math"/>
                <w:color w:val="C00000"/>
              </w:rPr>
              <w:t>⨀⨀</w:t>
            </w:r>
          </w:p>
        </w:tc>
        <w:tc>
          <w:tcPr>
            <w:tcW w:w="2088" w:type="dxa"/>
          </w:tcPr>
          <w:p w14:paraId="21350D5E" w14:textId="77777777" w:rsidR="00C31E54" w:rsidRDefault="00C31E54" w:rsidP="00EC16AC">
            <w:pPr>
              <w:pStyle w:val="Tabletext0"/>
              <w:rPr>
                <w:rFonts w:cs="Arial"/>
                <w:sz w:val="18"/>
                <w:szCs w:val="18"/>
                <w:vertAlign w:val="superscript"/>
              </w:rPr>
            </w:pPr>
            <w:r>
              <w:t>Range: 95.0 to 95.4%</w:t>
            </w:r>
          </w:p>
        </w:tc>
      </w:tr>
      <w:tr w:rsidR="00C31E54" w14:paraId="15341975" w14:textId="77777777" w:rsidTr="008D5FAC">
        <w:tc>
          <w:tcPr>
            <w:tcW w:w="3794" w:type="dxa"/>
          </w:tcPr>
          <w:p w14:paraId="5F9F72A8" w14:textId="77777777" w:rsidR="00C31E54" w:rsidRPr="006C4CB3" w:rsidRDefault="00C31E54" w:rsidP="00EC16AC">
            <w:pPr>
              <w:pStyle w:val="Tabletext0"/>
            </w:pPr>
            <w:r>
              <w:t>Rate of short-term recurrence (i.e. at SC1) (%)</w:t>
            </w:r>
          </w:p>
        </w:tc>
        <w:tc>
          <w:tcPr>
            <w:tcW w:w="2126" w:type="dxa"/>
          </w:tcPr>
          <w:p w14:paraId="02FE7452" w14:textId="77777777" w:rsidR="00C31E54" w:rsidRDefault="00C31E54" w:rsidP="00EC16AC">
            <w:pPr>
              <w:pStyle w:val="Tabletext0"/>
            </w:pPr>
            <w:r>
              <w:t>n = 3261; (3339 lesions)</w:t>
            </w:r>
          </w:p>
          <w:p w14:paraId="76C126BB" w14:textId="77777777" w:rsidR="00C31E54" w:rsidRDefault="00C31E54" w:rsidP="00EC16AC">
            <w:pPr>
              <w:pStyle w:val="Tabletext0"/>
              <w:rPr>
                <w:rFonts w:cs="Arial"/>
                <w:sz w:val="18"/>
                <w:szCs w:val="18"/>
                <w:vertAlign w:val="superscript"/>
              </w:rPr>
            </w:pPr>
            <w:r w:rsidRPr="00626F00">
              <w:rPr>
                <w:rFonts w:cs="Arial"/>
                <w:szCs w:val="18"/>
              </w:rPr>
              <w:t xml:space="preserve">k = </w:t>
            </w:r>
            <w:r>
              <w:t>3</w:t>
            </w:r>
          </w:p>
        </w:tc>
        <w:tc>
          <w:tcPr>
            <w:tcW w:w="1276" w:type="dxa"/>
          </w:tcPr>
          <w:p w14:paraId="6AF7D5EF" w14:textId="77777777" w:rsidR="00C31E54" w:rsidRDefault="00C31E54" w:rsidP="00EC16AC">
            <w:pPr>
              <w:pStyle w:val="Tabletext0"/>
              <w:rPr>
                <w:rFonts w:cs="Arial"/>
                <w:sz w:val="18"/>
                <w:szCs w:val="18"/>
                <w:vertAlign w:val="superscript"/>
              </w:rPr>
            </w:pPr>
            <w:r>
              <w:rPr>
                <w:rFonts w:ascii="Cambria Math" w:hAnsi="Cambria Math"/>
                <w:color w:val="00B050"/>
              </w:rPr>
              <w:t>⨁⨁</w:t>
            </w:r>
            <w:r w:rsidRPr="00D4733A">
              <w:rPr>
                <w:rFonts w:ascii="Cambria Math" w:hAnsi="Cambria Math" w:cs="Cambria Math"/>
                <w:color w:val="C00000"/>
              </w:rPr>
              <w:t>⨀⨀</w:t>
            </w:r>
          </w:p>
        </w:tc>
        <w:tc>
          <w:tcPr>
            <w:tcW w:w="2088" w:type="dxa"/>
          </w:tcPr>
          <w:p w14:paraId="40D72849" w14:textId="77777777" w:rsidR="00C31E54" w:rsidRDefault="00C31E54" w:rsidP="00EC16AC">
            <w:pPr>
              <w:pStyle w:val="Tabletext0"/>
            </w:pPr>
            <w:r>
              <w:t>17.8%</w:t>
            </w:r>
          </w:p>
          <w:p w14:paraId="1931591B" w14:textId="77777777" w:rsidR="00C31E54" w:rsidRDefault="00C31E54" w:rsidP="00EC16AC">
            <w:pPr>
              <w:pStyle w:val="Tabletext0"/>
              <w:rPr>
                <w:rFonts w:cs="Arial"/>
                <w:sz w:val="18"/>
                <w:szCs w:val="18"/>
                <w:vertAlign w:val="superscript"/>
              </w:rPr>
            </w:pPr>
            <w:r>
              <w:t>(range: 16.3 to 32%)</w:t>
            </w:r>
          </w:p>
        </w:tc>
      </w:tr>
      <w:tr w:rsidR="00C31E54" w14:paraId="3A31FA17" w14:textId="77777777" w:rsidTr="008D5FAC">
        <w:tc>
          <w:tcPr>
            <w:tcW w:w="3794" w:type="dxa"/>
          </w:tcPr>
          <w:p w14:paraId="0AC15D45" w14:textId="77777777" w:rsidR="00C31E54" w:rsidRPr="006C4CB3" w:rsidRDefault="00C31E54" w:rsidP="00EC16AC">
            <w:pPr>
              <w:pStyle w:val="Tabletext0"/>
            </w:pPr>
            <w:r>
              <w:t>Rate of long-term recurrence (i.e. at SC2) (%)</w:t>
            </w:r>
          </w:p>
        </w:tc>
        <w:tc>
          <w:tcPr>
            <w:tcW w:w="2126" w:type="dxa"/>
          </w:tcPr>
          <w:p w14:paraId="3723E9A6" w14:textId="77777777" w:rsidR="00C31E54" w:rsidRDefault="00C31E54" w:rsidP="00EC16AC">
            <w:pPr>
              <w:pStyle w:val="Tabletext0"/>
            </w:pPr>
            <w:r>
              <w:t>n = 2918; (2927 lesions)</w:t>
            </w:r>
          </w:p>
          <w:p w14:paraId="77C74704" w14:textId="77777777" w:rsidR="00C31E54" w:rsidRDefault="00C31E54" w:rsidP="00EC16AC">
            <w:pPr>
              <w:pStyle w:val="Tabletext0"/>
              <w:rPr>
                <w:rFonts w:cs="Arial"/>
                <w:sz w:val="18"/>
                <w:szCs w:val="18"/>
                <w:vertAlign w:val="superscript"/>
              </w:rPr>
            </w:pPr>
            <w:r w:rsidRPr="00626F00">
              <w:rPr>
                <w:rFonts w:cs="Arial"/>
                <w:szCs w:val="18"/>
              </w:rPr>
              <w:t xml:space="preserve">k = </w:t>
            </w:r>
            <w:r>
              <w:rPr>
                <w:rFonts w:cs="Arial"/>
                <w:szCs w:val="18"/>
              </w:rPr>
              <w:t>2</w:t>
            </w:r>
          </w:p>
        </w:tc>
        <w:tc>
          <w:tcPr>
            <w:tcW w:w="1276" w:type="dxa"/>
          </w:tcPr>
          <w:p w14:paraId="32FC49C2" w14:textId="77777777" w:rsidR="00C31E54" w:rsidRDefault="00C31E54" w:rsidP="00EC16AC">
            <w:pPr>
              <w:pStyle w:val="Tabletext0"/>
              <w:rPr>
                <w:rFonts w:cs="Arial"/>
                <w:sz w:val="18"/>
                <w:szCs w:val="18"/>
                <w:vertAlign w:val="superscript"/>
              </w:rPr>
            </w:pPr>
            <w:r>
              <w:rPr>
                <w:rFonts w:ascii="Cambria Math" w:hAnsi="Cambria Math"/>
                <w:color w:val="00B050"/>
              </w:rPr>
              <w:t>⨁⨁</w:t>
            </w:r>
            <w:r w:rsidRPr="00D4733A">
              <w:rPr>
                <w:rFonts w:ascii="Cambria Math" w:hAnsi="Cambria Math" w:cs="Cambria Math"/>
                <w:color w:val="C00000"/>
              </w:rPr>
              <w:t>⨀⨀</w:t>
            </w:r>
          </w:p>
        </w:tc>
        <w:tc>
          <w:tcPr>
            <w:tcW w:w="2088" w:type="dxa"/>
          </w:tcPr>
          <w:p w14:paraId="13A66122" w14:textId="77777777" w:rsidR="00C31E54" w:rsidRDefault="00C31E54" w:rsidP="00EC16AC">
            <w:pPr>
              <w:pStyle w:val="Tabletext0"/>
            </w:pPr>
            <w:r>
              <w:t>8.2%</w:t>
            </w:r>
          </w:p>
          <w:p w14:paraId="70E91E08" w14:textId="77777777" w:rsidR="00C31E54" w:rsidRDefault="00C31E54" w:rsidP="00EC16AC">
            <w:pPr>
              <w:pStyle w:val="Tabletext0"/>
              <w:rPr>
                <w:rFonts w:cs="Arial"/>
                <w:sz w:val="18"/>
                <w:szCs w:val="18"/>
                <w:vertAlign w:val="superscript"/>
              </w:rPr>
            </w:pPr>
            <w:r>
              <w:t>(range: 6.7 to 16.4%)</w:t>
            </w:r>
          </w:p>
        </w:tc>
      </w:tr>
      <w:tr w:rsidR="00C31E54" w14:paraId="15C828D6" w14:textId="77777777" w:rsidTr="008D5FAC">
        <w:tc>
          <w:tcPr>
            <w:tcW w:w="3794" w:type="dxa"/>
          </w:tcPr>
          <w:p w14:paraId="2A540E76" w14:textId="77777777" w:rsidR="00C31E54" w:rsidRDefault="00C31E54" w:rsidP="00EC16AC">
            <w:pPr>
              <w:pStyle w:val="Tabletext0"/>
            </w:pPr>
            <w:r w:rsidRPr="00ED4F31">
              <w:t>R</w:t>
            </w:r>
            <w:r>
              <w:t>ate of r</w:t>
            </w:r>
            <w:r w:rsidRPr="00ED4F31">
              <w:t>eferral to surgery</w:t>
            </w:r>
            <w:r>
              <w:t xml:space="preserve"> following EMR </w:t>
            </w:r>
            <w:r>
              <w:rPr>
                <w:rFonts w:ascii="Segoe UI" w:hAnsi="Segoe UI" w:cs="Segoe UI"/>
              </w:rPr>
              <w:t>ǂ</w:t>
            </w:r>
            <w:r>
              <w:t xml:space="preserve"> (%)</w:t>
            </w:r>
          </w:p>
        </w:tc>
        <w:tc>
          <w:tcPr>
            <w:tcW w:w="2126" w:type="dxa"/>
          </w:tcPr>
          <w:p w14:paraId="75BB90FE" w14:textId="77777777" w:rsidR="00C31E54" w:rsidRDefault="00C31E54" w:rsidP="00EC16AC">
            <w:pPr>
              <w:pStyle w:val="Tabletext0"/>
            </w:pPr>
            <w:r>
              <w:t>n = 3516; (3621 lesions)</w:t>
            </w:r>
          </w:p>
          <w:p w14:paraId="37B64F18" w14:textId="77777777" w:rsidR="00C31E54" w:rsidRDefault="00C31E54" w:rsidP="00EC16AC">
            <w:pPr>
              <w:pStyle w:val="Tabletext0"/>
              <w:rPr>
                <w:rFonts w:cs="Arial"/>
                <w:sz w:val="18"/>
                <w:szCs w:val="18"/>
                <w:vertAlign w:val="superscript"/>
              </w:rPr>
            </w:pPr>
            <w:r w:rsidRPr="00626F00">
              <w:rPr>
                <w:rFonts w:cs="Arial"/>
                <w:szCs w:val="18"/>
              </w:rPr>
              <w:t xml:space="preserve">k = </w:t>
            </w:r>
            <w:r>
              <w:t>4</w:t>
            </w:r>
          </w:p>
        </w:tc>
        <w:tc>
          <w:tcPr>
            <w:tcW w:w="1276" w:type="dxa"/>
          </w:tcPr>
          <w:p w14:paraId="68051812" w14:textId="77777777" w:rsidR="00C31E54" w:rsidRDefault="00C31E54" w:rsidP="00EC16AC">
            <w:pPr>
              <w:pStyle w:val="Tabletext0"/>
              <w:rPr>
                <w:rFonts w:cs="Arial"/>
                <w:sz w:val="18"/>
                <w:szCs w:val="18"/>
                <w:vertAlign w:val="superscript"/>
              </w:rPr>
            </w:pPr>
            <w:r>
              <w:rPr>
                <w:rFonts w:ascii="Cambria Math" w:hAnsi="Cambria Math"/>
                <w:color w:val="00B050"/>
              </w:rPr>
              <w:t>⨁⨁</w:t>
            </w:r>
            <w:r w:rsidRPr="00D4733A">
              <w:rPr>
                <w:rFonts w:ascii="Cambria Math" w:hAnsi="Cambria Math" w:cs="Cambria Math"/>
                <w:color w:val="C00000"/>
              </w:rPr>
              <w:t>⨀⨀</w:t>
            </w:r>
          </w:p>
        </w:tc>
        <w:tc>
          <w:tcPr>
            <w:tcW w:w="2088" w:type="dxa"/>
          </w:tcPr>
          <w:p w14:paraId="267947E7" w14:textId="77777777" w:rsidR="00C31E54" w:rsidRDefault="00C31E54" w:rsidP="00EC16AC">
            <w:pPr>
              <w:pStyle w:val="Tabletext0"/>
              <w:rPr>
                <w:rFonts w:cs="Arial"/>
                <w:sz w:val="18"/>
                <w:szCs w:val="18"/>
                <w:vertAlign w:val="superscript"/>
              </w:rPr>
            </w:pPr>
            <w:r>
              <w:t>3.9 to 9.3%</w:t>
            </w:r>
          </w:p>
        </w:tc>
      </w:tr>
    </w:tbl>
    <w:p w14:paraId="3AD34AE5" w14:textId="77777777" w:rsidR="00C31E54" w:rsidRPr="001238BB" w:rsidRDefault="00C31E54" w:rsidP="00C31E54">
      <w:pPr>
        <w:pStyle w:val="Tablenotes"/>
      </w:pPr>
      <w:r>
        <w:t>Source: Table 2, p22 of DCAR</w:t>
      </w:r>
    </w:p>
    <w:p w14:paraId="56ED1306" w14:textId="77777777" w:rsidR="00C31E54" w:rsidRPr="0094348D" w:rsidRDefault="00C31E54" w:rsidP="00C31E54">
      <w:pPr>
        <w:pStyle w:val="Tablenotes"/>
      </w:pPr>
      <w:r>
        <w:rPr>
          <w:b/>
        </w:rPr>
        <w:t xml:space="preserve">Abbreviations: </w:t>
      </w:r>
      <w:r>
        <w:t>EMR = endoscopic mucosal resection; SC1 = first surveillance colonoscopy; SC2 = second surveillance colonoscopy</w:t>
      </w:r>
    </w:p>
    <w:p w14:paraId="5FFFB33B" w14:textId="77777777" w:rsidR="00C31E54" w:rsidRPr="00D61309" w:rsidRDefault="00C31E54" w:rsidP="00C31E54">
      <w:pPr>
        <w:pStyle w:val="Tablenotes"/>
      </w:pPr>
      <w:r w:rsidRPr="00AD591F">
        <w:rPr>
          <w:b/>
        </w:rPr>
        <w:t>Notes:</w:t>
      </w:r>
      <w:r>
        <w:t xml:space="preserve"> All included studies were cases series, which are at an inherent risk of bias. All provided direct information on the intervention (EMR) and population (large, nonpedunculated, benign colorectal polyps) of interest. For all outcomes more than 2000 patients were considered – by far, the largest contributing trial to population numbers was the ACE Study (Australian). Generally, reasons for any variability in results could be identified.</w:t>
      </w:r>
    </w:p>
    <w:p w14:paraId="6F8BC768" w14:textId="77777777" w:rsidR="00C31E54" w:rsidRDefault="00C31E54" w:rsidP="00C31E54">
      <w:pPr>
        <w:pStyle w:val="Tablenotes"/>
        <w:rPr>
          <w:szCs w:val="18"/>
        </w:rPr>
      </w:pPr>
      <w:r>
        <w:rPr>
          <w:szCs w:val="18"/>
        </w:rPr>
        <w:t>† =</w:t>
      </w:r>
      <w:r w:rsidRPr="00E10B76">
        <w:rPr>
          <w:szCs w:val="18"/>
          <w:vertAlign w:val="superscript"/>
        </w:rPr>
        <w:t xml:space="preserve"> </w:t>
      </w:r>
      <w:r w:rsidRPr="00E10B76">
        <w:rPr>
          <w:szCs w:val="18"/>
        </w:rPr>
        <w:t>GRADE Working Group grades of evidence</w:t>
      </w:r>
      <w:r w:rsidRPr="00184009">
        <w:t xml:space="preserve"> </w:t>
      </w:r>
      <w:r>
        <w:rPr>
          <w:noProof/>
          <w:szCs w:val="18"/>
        </w:rPr>
        <w:t>(Guyatt et al., 2013)</w:t>
      </w:r>
      <w:r>
        <w:rPr>
          <w:szCs w:val="18"/>
        </w:rPr>
        <w:t xml:space="preserve">; </w:t>
      </w:r>
      <w:r w:rsidRPr="00847160">
        <w:rPr>
          <w:rStyle w:val="TablenotesChar0"/>
          <w:rFonts w:ascii="Calibri" w:hAnsi="Calibri" w:cs="Calibri"/>
        </w:rPr>
        <w:t>ǂ</w:t>
      </w:r>
      <w:r w:rsidRPr="00847160">
        <w:rPr>
          <w:rStyle w:val="TablenotesChar0"/>
        </w:rPr>
        <w:t xml:space="preserve"> = surgery following</w:t>
      </w:r>
      <w:r>
        <w:rPr>
          <w:rStyle w:val="TablenotesChar0"/>
        </w:rPr>
        <w:t xml:space="preserve"> initial EMR only, not including surgeries at time of surveillance colonoscopies</w:t>
      </w:r>
    </w:p>
    <w:p w14:paraId="606DCCFA" w14:textId="77777777" w:rsidR="00C31E54" w:rsidRDefault="00C31E54" w:rsidP="00C31E54">
      <w:pPr>
        <w:pStyle w:val="Tablenotes"/>
        <w:rPr>
          <w:szCs w:val="18"/>
        </w:rPr>
      </w:pP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szCs w:val="18"/>
        </w:rPr>
        <w:t>Low quality:</w:t>
      </w:r>
      <w:r w:rsidRPr="00E10B76">
        <w:rPr>
          <w:szCs w:val="18"/>
        </w:rPr>
        <w:t xml:space="preserve"> </w:t>
      </w:r>
      <w:r>
        <w:rPr>
          <w:szCs w:val="18"/>
        </w:rPr>
        <w:t>Our confidence in the effect estimate is limited: The true effect may be substantially different from the estimate of the effect.</w:t>
      </w:r>
    </w:p>
    <w:p w14:paraId="6F5D77BF" w14:textId="77777777" w:rsidR="00C31E54" w:rsidRDefault="00C31E54" w:rsidP="00C31E54">
      <w:pPr>
        <w:pStyle w:val="Tablenotes"/>
        <w:rPr>
          <w:szCs w:val="18"/>
        </w:rPr>
      </w:pP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szCs w:val="18"/>
        </w:rPr>
        <w:t>Very low quality:</w:t>
      </w:r>
      <w:r w:rsidRPr="00E10B76">
        <w:rPr>
          <w:szCs w:val="18"/>
        </w:rPr>
        <w:t xml:space="preserve"> </w:t>
      </w:r>
      <w:r>
        <w:rPr>
          <w:szCs w:val="18"/>
        </w:rPr>
        <w:t>We have very little confidence in the effect estimate: The true effect is likely to be substantially different from the estimate of effect.</w:t>
      </w:r>
    </w:p>
    <w:p w14:paraId="6FC7CDEC" w14:textId="16649022" w:rsidR="00C31E54" w:rsidRPr="00F0115E" w:rsidRDefault="00F0115E" w:rsidP="00F0115E">
      <w:pPr>
        <w:rPr>
          <w:rFonts w:ascii="Arial Narrow" w:hAnsi="Arial Narrow"/>
          <w:b/>
          <w:sz w:val="20"/>
        </w:rPr>
      </w:pPr>
      <w:bookmarkStart w:id="12" w:name="_Ref25593777"/>
      <w:bookmarkStart w:id="13" w:name="_Toc25738507"/>
      <w:bookmarkStart w:id="14" w:name="_Toc29394116"/>
      <w:r w:rsidRPr="00F0115E">
        <w:rPr>
          <w:rFonts w:ascii="Arial Narrow" w:hAnsi="Arial Narrow"/>
          <w:b/>
          <w:sz w:val="20"/>
        </w:rPr>
        <w:t xml:space="preserve">Table </w:t>
      </w:r>
      <w:r w:rsidRPr="00F0115E">
        <w:rPr>
          <w:rFonts w:ascii="Arial Narrow" w:hAnsi="Arial Narrow"/>
          <w:b/>
          <w:sz w:val="20"/>
        </w:rPr>
        <w:fldChar w:fldCharType="begin"/>
      </w:r>
      <w:r w:rsidRPr="00F0115E">
        <w:rPr>
          <w:rFonts w:ascii="Arial Narrow" w:hAnsi="Arial Narrow"/>
          <w:b/>
          <w:sz w:val="20"/>
        </w:rPr>
        <w:instrText xml:space="preserve"> SEQ Table \* ARABIC </w:instrText>
      </w:r>
      <w:r w:rsidRPr="00F0115E">
        <w:rPr>
          <w:rFonts w:ascii="Arial Narrow" w:hAnsi="Arial Narrow"/>
          <w:b/>
          <w:sz w:val="20"/>
        </w:rPr>
        <w:fldChar w:fldCharType="separate"/>
      </w:r>
      <w:r w:rsidR="00376352">
        <w:rPr>
          <w:rFonts w:ascii="Arial Narrow" w:hAnsi="Arial Narrow"/>
          <w:b/>
          <w:noProof/>
          <w:sz w:val="20"/>
        </w:rPr>
        <w:t>3</w:t>
      </w:r>
      <w:r w:rsidRPr="00F0115E">
        <w:rPr>
          <w:rFonts w:ascii="Arial Narrow" w:hAnsi="Arial Narrow"/>
          <w:b/>
          <w:sz w:val="20"/>
        </w:rPr>
        <w:fldChar w:fldCharType="end"/>
      </w:r>
      <w:bookmarkEnd w:id="12"/>
      <w:r w:rsidR="00C31E54" w:rsidRPr="00F0115E">
        <w:rPr>
          <w:rFonts w:ascii="Arial Narrow" w:hAnsi="Arial Narrow"/>
          <w:b/>
          <w:sz w:val="20"/>
        </w:rPr>
        <w:tab/>
        <w:t>Balance of clinical benefits and harms of surgery, as measured by the critical patient-relevant outcomes in the key studies</w:t>
      </w:r>
      <w:bookmarkEnd w:id="13"/>
      <w:bookmarkEnd w:id="14"/>
    </w:p>
    <w:tbl>
      <w:tblPr>
        <w:tblStyle w:val="TableGrid"/>
        <w:tblW w:w="9284" w:type="dxa"/>
        <w:tblLook w:val="04A0" w:firstRow="1" w:lastRow="0" w:firstColumn="1" w:lastColumn="0" w:noHBand="0" w:noVBand="1"/>
        <w:tblDescription w:val="Summary of findings table"/>
      </w:tblPr>
      <w:tblGrid>
        <w:gridCol w:w="3085"/>
        <w:gridCol w:w="1559"/>
        <w:gridCol w:w="1843"/>
        <w:gridCol w:w="2797"/>
      </w:tblGrid>
      <w:tr w:rsidR="00C31E54" w14:paraId="1E8A0B8F" w14:textId="77777777" w:rsidTr="008D5FAC">
        <w:trPr>
          <w:tblHeader/>
        </w:trPr>
        <w:tc>
          <w:tcPr>
            <w:tcW w:w="3085" w:type="dxa"/>
          </w:tcPr>
          <w:p w14:paraId="5F33DA88" w14:textId="77777777" w:rsidR="00C31E54" w:rsidRPr="00D61309" w:rsidRDefault="00C31E54" w:rsidP="00EC16AC">
            <w:pPr>
              <w:pStyle w:val="Tabletext0"/>
              <w:keepNext/>
              <w:rPr>
                <w:b/>
              </w:rPr>
            </w:pPr>
            <w:r w:rsidRPr="00D61309">
              <w:rPr>
                <w:b/>
              </w:rPr>
              <w:t>Outcomes</w:t>
            </w:r>
          </w:p>
          <w:p w14:paraId="635380BA" w14:textId="77777777" w:rsidR="00C31E54" w:rsidRPr="00D61309" w:rsidRDefault="00C31E54" w:rsidP="00EC16AC">
            <w:pPr>
              <w:pStyle w:val="Tabletext0"/>
              <w:keepNext/>
              <w:rPr>
                <w:b/>
              </w:rPr>
            </w:pPr>
          </w:p>
        </w:tc>
        <w:tc>
          <w:tcPr>
            <w:tcW w:w="1559" w:type="dxa"/>
          </w:tcPr>
          <w:p w14:paraId="157E39F0" w14:textId="77777777" w:rsidR="00C31E54" w:rsidRPr="00D61309" w:rsidRDefault="00C31E54" w:rsidP="00EC16AC">
            <w:pPr>
              <w:pStyle w:val="Tabletext0"/>
              <w:keepNext/>
              <w:rPr>
                <w:b/>
              </w:rPr>
            </w:pPr>
            <w:r w:rsidRPr="00D61309">
              <w:rPr>
                <w:b/>
              </w:rPr>
              <w:t>Pa</w:t>
            </w:r>
            <w:r>
              <w:rPr>
                <w:b/>
              </w:rPr>
              <w:t>tients (n)</w:t>
            </w:r>
            <w:r w:rsidRPr="00D61309">
              <w:rPr>
                <w:b/>
              </w:rPr>
              <w:t xml:space="preserve"> </w:t>
            </w:r>
            <w:r>
              <w:rPr>
                <w:b/>
              </w:rPr>
              <w:t>S</w:t>
            </w:r>
            <w:r w:rsidRPr="00D61309">
              <w:rPr>
                <w:b/>
              </w:rPr>
              <w:t>tudies</w:t>
            </w:r>
            <w:r>
              <w:rPr>
                <w:b/>
              </w:rPr>
              <w:t xml:space="preserve"> (k</w:t>
            </w:r>
            <w:r w:rsidRPr="00D61309">
              <w:rPr>
                <w:b/>
              </w:rPr>
              <w:t>)</w:t>
            </w:r>
          </w:p>
          <w:p w14:paraId="268161EA" w14:textId="77777777" w:rsidR="00C31E54" w:rsidRPr="00D61309" w:rsidRDefault="00C31E54" w:rsidP="00EC16AC">
            <w:pPr>
              <w:pStyle w:val="Tabletext0"/>
              <w:keepNext/>
              <w:rPr>
                <w:b/>
              </w:rPr>
            </w:pPr>
          </w:p>
        </w:tc>
        <w:tc>
          <w:tcPr>
            <w:tcW w:w="1843" w:type="dxa"/>
          </w:tcPr>
          <w:p w14:paraId="4C960A8D" w14:textId="77777777" w:rsidR="00C31E54" w:rsidRPr="006C4CB3" w:rsidRDefault="00C31E54" w:rsidP="00EC16AC">
            <w:pPr>
              <w:pStyle w:val="Tabletext0"/>
              <w:keepNext/>
              <w:rPr>
                <w:b/>
              </w:rPr>
            </w:pPr>
            <w:r w:rsidRPr="00D61309">
              <w:rPr>
                <w:b/>
              </w:rPr>
              <w:t>Quality of evidence (GRADE)</w:t>
            </w:r>
            <w:r w:rsidRPr="00D61309">
              <w:rPr>
                <w:rFonts w:cs="Arial"/>
                <w:b/>
                <w:sz w:val="18"/>
                <w:szCs w:val="18"/>
                <w:vertAlign w:val="superscript"/>
              </w:rPr>
              <w:t xml:space="preserve"> </w:t>
            </w:r>
            <w:r>
              <w:rPr>
                <w:rFonts w:cs="Arial"/>
                <w:b/>
                <w:sz w:val="18"/>
                <w:szCs w:val="18"/>
              </w:rPr>
              <w:t>†</w:t>
            </w:r>
          </w:p>
        </w:tc>
        <w:tc>
          <w:tcPr>
            <w:tcW w:w="2797" w:type="dxa"/>
          </w:tcPr>
          <w:p w14:paraId="331F9412" w14:textId="77777777" w:rsidR="00C31E54" w:rsidRDefault="00C31E54" w:rsidP="00EC16AC">
            <w:pPr>
              <w:pStyle w:val="Tabletext0"/>
              <w:keepNext/>
              <w:rPr>
                <w:b/>
              </w:rPr>
            </w:pPr>
            <w:r w:rsidRPr="00D61309">
              <w:rPr>
                <w:b/>
              </w:rPr>
              <w:t xml:space="preserve">Absolute effect </w:t>
            </w:r>
          </w:p>
          <w:p w14:paraId="5D805001" w14:textId="77777777" w:rsidR="00C31E54" w:rsidRPr="00D61309" w:rsidRDefault="00C31E54" w:rsidP="00EC16AC">
            <w:pPr>
              <w:pStyle w:val="Tabletext0"/>
              <w:keepNext/>
              <w:rPr>
                <w:b/>
              </w:rPr>
            </w:pPr>
            <w:r>
              <w:rPr>
                <w:b/>
              </w:rPr>
              <w:t>Mean (95% CI), or range</w:t>
            </w:r>
          </w:p>
        </w:tc>
      </w:tr>
      <w:tr w:rsidR="00C31E54" w14:paraId="607653BF" w14:textId="77777777" w:rsidTr="008D5FAC">
        <w:tc>
          <w:tcPr>
            <w:tcW w:w="3085" w:type="dxa"/>
          </w:tcPr>
          <w:p w14:paraId="30EA3495" w14:textId="77777777" w:rsidR="00C31E54" w:rsidRPr="006C4CB3" w:rsidRDefault="00C31E54" w:rsidP="00EC16AC">
            <w:pPr>
              <w:pStyle w:val="Tabletext0"/>
              <w:keepNext/>
            </w:pPr>
            <w:r>
              <w:t>1-month m</w:t>
            </w:r>
            <w:r w:rsidRPr="00554FDB">
              <w:t>ortality</w:t>
            </w:r>
            <w:r>
              <w:t xml:space="preserve"> rate (%)</w:t>
            </w:r>
          </w:p>
        </w:tc>
        <w:tc>
          <w:tcPr>
            <w:tcW w:w="1559" w:type="dxa"/>
          </w:tcPr>
          <w:p w14:paraId="23F0047C" w14:textId="77777777" w:rsidR="00C31E54" w:rsidRDefault="00C31E54" w:rsidP="00EC16AC">
            <w:pPr>
              <w:pStyle w:val="Tabletext0"/>
              <w:keepNext/>
            </w:pPr>
            <w:r>
              <w:t>n = 13198</w:t>
            </w:r>
          </w:p>
          <w:p w14:paraId="49E8C00B" w14:textId="77777777" w:rsidR="00C31E54" w:rsidRPr="00564CA4" w:rsidRDefault="00C31E54" w:rsidP="00EC16AC">
            <w:pPr>
              <w:pStyle w:val="Tabletext0"/>
              <w:keepNext/>
            </w:pPr>
            <w:r>
              <w:t>k = 5</w:t>
            </w:r>
          </w:p>
        </w:tc>
        <w:tc>
          <w:tcPr>
            <w:tcW w:w="1843" w:type="dxa"/>
          </w:tcPr>
          <w:p w14:paraId="011C4C47" w14:textId="77777777" w:rsidR="00C31E54" w:rsidRDefault="00C31E54" w:rsidP="00EC16AC">
            <w:pPr>
              <w:pStyle w:val="Tabletext0"/>
              <w:keepNext/>
              <w:rPr>
                <w:rFonts w:cs="Arial"/>
                <w:sz w:val="18"/>
                <w:szCs w:val="18"/>
                <w:vertAlign w:val="superscript"/>
              </w:rPr>
            </w:pPr>
            <w:r>
              <w:rPr>
                <w:rFonts w:ascii="Cambria Math" w:hAnsi="Cambria Math"/>
                <w:color w:val="00B050"/>
              </w:rPr>
              <w:t>⨁⨁</w:t>
            </w:r>
            <w:r w:rsidRPr="00D4733A">
              <w:rPr>
                <w:rFonts w:ascii="Cambria Math" w:hAnsi="Cambria Math" w:cs="Cambria Math"/>
                <w:color w:val="C00000"/>
              </w:rPr>
              <w:t>⨀⨀</w:t>
            </w:r>
          </w:p>
        </w:tc>
        <w:tc>
          <w:tcPr>
            <w:tcW w:w="2797" w:type="dxa"/>
          </w:tcPr>
          <w:p w14:paraId="35A6F0F2" w14:textId="77777777" w:rsidR="00C31E54" w:rsidRPr="00564CA4" w:rsidRDefault="00C31E54" w:rsidP="00EC16AC">
            <w:pPr>
              <w:pStyle w:val="Tabletext0"/>
              <w:keepNext/>
            </w:pPr>
            <w:r>
              <w:t>0.7% (95% CI: 0.6 to 0.8%)</w:t>
            </w:r>
          </w:p>
        </w:tc>
      </w:tr>
      <w:tr w:rsidR="00C31E54" w14:paraId="236C7923" w14:textId="77777777" w:rsidTr="008D5FAC">
        <w:tc>
          <w:tcPr>
            <w:tcW w:w="3085" w:type="dxa"/>
          </w:tcPr>
          <w:p w14:paraId="3677B7E7" w14:textId="77777777" w:rsidR="00C31E54" w:rsidRPr="006C4CB3" w:rsidRDefault="00C31E54" w:rsidP="00EC16AC">
            <w:pPr>
              <w:pStyle w:val="Tabletext0"/>
              <w:keepNext/>
            </w:pPr>
            <w:r>
              <w:t>1-month surgical complication rate (%)</w:t>
            </w:r>
          </w:p>
        </w:tc>
        <w:tc>
          <w:tcPr>
            <w:tcW w:w="1559" w:type="dxa"/>
          </w:tcPr>
          <w:p w14:paraId="29D6F9E0" w14:textId="77777777" w:rsidR="00C31E54" w:rsidRDefault="00C31E54" w:rsidP="00EC16AC">
            <w:pPr>
              <w:pStyle w:val="Tabletext0"/>
              <w:keepNext/>
            </w:pPr>
            <w:r>
              <w:t>n = 13191</w:t>
            </w:r>
          </w:p>
          <w:p w14:paraId="373CE1DD" w14:textId="77777777" w:rsidR="00C31E54" w:rsidRPr="00564CA4" w:rsidRDefault="00C31E54" w:rsidP="00EC16AC">
            <w:pPr>
              <w:pStyle w:val="Tabletext0"/>
              <w:keepNext/>
            </w:pPr>
            <w:r>
              <w:t>k = 6</w:t>
            </w:r>
          </w:p>
        </w:tc>
        <w:tc>
          <w:tcPr>
            <w:tcW w:w="1843" w:type="dxa"/>
          </w:tcPr>
          <w:p w14:paraId="35B1ACCF" w14:textId="77777777" w:rsidR="00C31E54" w:rsidRDefault="00C31E54" w:rsidP="00EC16AC">
            <w:pPr>
              <w:pStyle w:val="Tabletext0"/>
              <w:keepNext/>
              <w:rPr>
                <w:rFonts w:cs="Arial"/>
                <w:sz w:val="18"/>
                <w:szCs w:val="18"/>
                <w:vertAlign w:val="superscript"/>
              </w:rPr>
            </w:pPr>
            <w:r>
              <w:rPr>
                <w:rFonts w:ascii="Cambria Math" w:hAnsi="Cambria Math"/>
                <w:color w:val="00B050"/>
              </w:rPr>
              <w:t>⨁</w:t>
            </w:r>
            <w:r w:rsidRPr="00D4733A">
              <w:rPr>
                <w:rFonts w:ascii="Cambria Math" w:hAnsi="Cambria Math" w:cs="Cambria Math"/>
                <w:color w:val="C00000"/>
              </w:rPr>
              <w:t>⨀⨀⨀</w:t>
            </w:r>
          </w:p>
        </w:tc>
        <w:tc>
          <w:tcPr>
            <w:tcW w:w="2797" w:type="dxa"/>
          </w:tcPr>
          <w:p w14:paraId="7C3F4CA6" w14:textId="77777777" w:rsidR="00C31E54" w:rsidRPr="00564CA4" w:rsidRDefault="00C31E54" w:rsidP="00EC16AC">
            <w:pPr>
              <w:pStyle w:val="Tabletext0"/>
              <w:keepNext/>
            </w:pPr>
            <w:r>
              <w:t>17% (95% CI: 10 to 29%)</w:t>
            </w:r>
          </w:p>
        </w:tc>
      </w:tr>
      <w:tr w:rsidR="00C31E54" w14:paraId="7C458FCD" w14:textId="77777777" w:rsidTr="008D5FAC">
        <w:tc>
          <w:tcPr>
            <w:tcW w:w="3085" w:type="dxa"/>
          </w:tcPr>
          <w:p w14:paraId="136FFEDF" w14:textId="77777777" w:rsidR="00C31E54" w:rsidRPr="006C4CB3" w:rsidRDefault="00C31E54" w:rsidP="00EC16AC">
            <w:pPr>
              <w:pStyle w:val="Tabletext0"/>
              <w:keepNext/>
            </w:pPr>
            <w:r>
              <w:t>Length of stay (pooled) (days)</w:t>
            </w:r>
          </w:p>
        </w:tc>
        <w:tc>
          <w:tcPr>
            <w:tcW w:w="1559" w:type="dxa"/>
          </w:tcPr>
          <w:p w14:paraId="4A916B9B" w14:textId="77777777" w:rsidR="00C31E54" w:rsidRDefault="00C31E54" w:rsidP="00EC16AC">
            <w:pPr>
              <w:pStyle w:val="Tabletext0"/>
              <w:keepNext/>
            </w:pPr>
            <w:r>
              <w:t>n = 13462</w:t>
            </w:r>
          </w:p>
          <w:p w14:paraId="47D9F4CC" w14:textId="77777777" w:rsidR="00C31E54" w:rsidRPr="00564CA4" w:rsidRDefault="00C31E54" w:rsidP="00EC16AC">
            <w:pPr>
              <w:pStyle w:val="Tabletext0"/>
              <w:keepNext/>
            </w:pPr>
            <w:r>
              <w:t>k = 8</w:t>
            </w:r>
          </w:p>
        </w:tc>
        <w:tc>
          <w:tcPr>
            <w:tcW w:w="1843" w:type="dxa"/>
          </w:tcPr>
          <w:p w14:paraId="0F9107A2" w14:textId="77777777" w:rsidR="00C31E54" w:rsidRDefault="00C31E54" w:rsidP="00EC16AC">
            <w:pPr>
              <w:pStyle w:val="Tabletext0"/>
              <w:keepNext/>
              <w:rPr>
                <w:rFonts w:cs="Arial"/>
                <w:sz w:val="18"/>
                <w:szCs w:val="18"/>
                <w:vertAlign w:val="superscript"/>
              </w:rPr>
            </w:pPr>
            <w:r>
              <w:rPr>
                <w:rFonts w:ascii="Cambria Math" w:hAnsi="Cambria Math"/>
                <w:color w:val="00B050"/>
              </w:rPr>
              <w:t>⨁</w:t>
            </w:r>
            <w:r w:rsidRPr="00D4733A">
              <w:rPr>
                <w:rFonts w:ascii="Cambria Math" w:hAnsi="Cambria Math" w:cs="Cambria Math"/>
                <w:color w:val="C00000"/>
              </w:rPr>
              <w:t>⨀⨀⨀</w:t>
            </w:r>
          </w:p>
        </w:tc>
        <w:tc>
          <w:tcPr>
            <w:tcW w:w="2797" w:type="dxa"/>
          </w:tcPr>
          <w:p w14:paraId="49DE9D4E" w14:textId="77777777" w:rsidR="00C31E54" w:rsidRDefault="00C31E54" w:rsidP="00EC16AC">
            <w:pPr>
              <w:pStyle w:val="Tabletext0"/>
              <w:keepNext/>
              <w:rPr>
                <w:rFonts w:cs="Arial"/>
                <w:sz w:val="18"/>
                <w:szCs w:val="18"/>
                <w:vertAlign w:val="superscript"/>
              </w:rPr>
            </w:pPr>
            <w:r>
              <w:t>5.1 days (95% CI: 4.4 to 5.9 days)</w:t>
            </w:r>
          </w:p>
        </w:tc>
      </w:tr>
      <w:tr w:rsidR="00C31E54" w14:paraId="0C91E7EF" w14:textId="77777777" w:rsidTr="008D5FAC">
        <w:tc>
          <w:tcPr>
            <w:tcW w:w="3085" w:type="dxa"/>
          </w:tcPr>
          <w:p w14:paraId="13AA9CD8" w14:textId="77777777" w:rsidR="00C31E54" w:rsidRPr="006C4CB3" w:rsidRDefault="00C31E54" w:rsidP="00EC16AC">
            <w:pPr>
              <w:pStyle w:val="Tabletext0"/>
              <w:keepNext/>
            </w:pPr>
            <w:r>
              <w:t>Surgical re-intervention rate (%)</w:t>
            </w:r>
          </w:p>
        </w:tc>
        <w:tc>
          <w:tcPr>
            <w:tcW w:w="1559" w:type="dxa"/>
          </w:tcPr>
          <w:p w14:paraId="134FB734" w14:textId="77777777" w:rsidR="00C31E54" w:rsidRDefault="00C31E54" w:rsidP="00EC16AC">
            <w:pPr>
              <w:pStyle w:val="Tabletext0"/>
              <w:keepNext/>
            </w:pPr>
            <w:r>
              <w:t>n = 14804</w:t>
            </w:r>
          </w:p>
          <w:p w14:paraId="74340A39" w14:textId="77777777" w:rsidR="00C31E54" w:rsidRPr="00564CA4" w:rsidRDefault="00C31E54" w:rsidP="00EC16AC">
            <w:pPr>
              <w:pStyle w:val="Tabletext0"/>
              <w:keepNext/>
            </w:pPr>
            <w:r>
              <w:t>k = 11</w:t>
            </w:r>
          </w:p>
        </w:tc>
        <w:tc>
          <w:tcPr>
            <w:tcW w:w="1843" w:type="dxa"/>
          </w:tcPr>
          <w:p w14:paraId="0B791FBA" w14:textId="77777777" w:rsidR="00C31E54" w:rsidRDefault="00C31E54" w:rsidP="00EC16AC">
            <w:pPr>
              <w:pStyle w:val="Tabletext0"/>
              <w:keepNext/>
              <w:rPr>
                <w:rFonts w:cs="Arial"/>
                <w:sz w:val="18"/>
                <w:szCs w:val="18"/>
                <w:vertAlign w:val="superscript"/>
              </w:rPr>
            </w:pPr>
            <w:r>
              <w:rPr>
                <w:rFonts w:ascii="Cambria Math" w:hAnsi="Cambria Math"/>
                <w:color w:val="00B050"/>
              </w:rPr>
              <w:t>⨁</w:t>
            </w:r>
            <w:r w:rsidRPr="00D4733A">
              <w:rPr>
                <w:rFonts w:ascii="Cambria Math" w:hAnsi="Cambria Math" w:cs="Cambria Math"/>
                <w:color w:val="C00000"/>
              </w:rPr>
              <w:t>⨀⨀⨀</w:t>
            </w:r>
          </w:p>
        </w:tc>
        <w:tc>
          <w:tcPr>
            <w:tcW w:w="2797" w:type="dxa"/>
          </w:tcPr>
          <w:p w14:paraId="40C2CF27" w14:textId="77777777" w:rsidR="00C31E54" w:rsidRDefault="00C31E54" w:rsidP="00EC16AC">
            <w:pPr>
              <w:pStyle w:val="Tabletext0"/>
              <w:keepNext/>
              <w:rPr>
                <w:rFonts w:cs="Arial"/>
                <w:sz w:val="18"/>
                <w:szCs w:val="18"/>
                <w:vertAlign w:val="superscript"/>
              </w:rPr>
            </w:pPr>
            <w:r>
              <w:t>Range: 0 to 8.9%</w:t>
            </w:r>
          </w:p>
        </w:tc>
      </w:tr>
    </w:tbl>
    <w:p w14:paraId="547B6A5B" w14:textId="77777777" w:rsidR="00C31E54" w:rsidRPr="001238BB" w:rsidRDefault="00C31E54" w:rsidP="00C31E54">
      <w:pPr>
        <w:pStyle w:val="Tablenotes"/>
        <w:spacing w:after="0"/>
      </w:pPr>
      <w:r>
        <w:t>Source: Table 3, p22 of DCAR</w:t>
      </w:r>
    </w:p>
    <w:p w14:paraId="1DABF72F" w14:textId="77777777" w:rsidR="00C31E54" w:rsidRPr="00D61309" w:rsidRDefault="00C31E54" w:rsidP="00C31E54">
      <w:pPr>
        <w:pStyle w:val="Tablenotes0"/>
        <w:ind w:left="0"/>
      </w:pPr>
      <w:r w:rsidRPr="00AD591F">
        <w:rPr>
          <w:b/>
        </w:rPr>
        <w:t>Notes:</w:t>
      </w:r>
      <w:r>
        <w:t xml:space="preserve"> All included studies were cases series, which are at an inherent risk of bias. For all outcomes more than 13000 patients were considered. Compared to the intervention arm, which was directly targeted and considered only cases series of the highest methodological rigour, we have relatively lower confidence in the outcomes presented for the surgical arm.</w:t>
      </w:r>
    </w:p>
    <w:p w14:paraId="69367C8B" w14:textId="77777777" w:rsidR="00C31E54" w:rsidRDefault="00C31E54" w:rsidP="00C31E54">
      <w:pPr>
        <w:pStyle w:val="Tablenotes0"/>
        <w:rPr>
          <w:rFonts w:cs="Arial"/>
        </w:rPr>
      </w:pPr>
      <w:r>
        <w:rPr>
          <w:rFonts w:cs="Arial"/>
        </w:rPr>
        <w:t>† =</w:t>
      </w:r>
      <w:r w:rsidRPr="00E10B76">
        <w:rPr>
          <w:rFonts w:cs="Arial"/>
          <w:vertAlign w:val="superscript"/>
        </w:rPr>
        <w:t xml:space="preserve"> </w:t>
      </w:r>
      <w:r w:rsidRPr="00E10B76">
        <w:rPr>
          <w:rFonts w:cs="Arial"/>
        </w:rPr>
        <w:t>GRADE Working Group grades of evidence</w:t>
      </w:r>
      <w:r>
        <w:rPr>
          <w:rFonts w:cs="Arial"/>
        </w:rPr>
        <w:t xml:space="preserve"> </w:t>
      </w:r>
      <w:r>
        <w:rPr>
          <w:rFonts w:cs="Arial"/>
          <w:noProof/>
        </w:rPr>
        <w:t>(Guyatt et al., 2013)</w:t>
      </w:r>
    </w:p>
    <w:p w14:paraId="6A54E2B8" w14:textId="77777777" w:rsidR="00C31E54" w:rsidRDefault="00C31E54" w:rsidP="00C31E54">
      <w:pPr>
        <w:pStyle w:val="Tablenotes0"/>
        <w:rPr>
          <w:rFonts w:cs="Arial"/>
        </w:rPr>
      </w:pP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cs="Arial"/>
          <w:b/>
          <w:bCs/>
        </w:rPr>
        <w:t>Low quality:</w:t>
      </w:r>
      <w:r w:rsidRPr="00E10B76">
        <w:rPr>
          <w:rFonts w:cs="Arial"/>
        </w:rPr>
        <w:t xml:space="preserve"> </w:t>
      </w:r>
      <w:r>
        <w:rPr>
          <w:rFonts w:cs="Arial"/>
        </w:rPr>
        <w:t>Our confidence in the effect estimate is limited: The true effect may be substantially different from the estimate of the effect.</w:t>
      </w:r>
    </w:p>
    <w:p w14:paraId="6FE71DCD" w14:textId="4B870D46" w:rsidR="009E369F" w:rsidRPr="00216376" w:rsidRDefault="00C31E54" w:rsidP="00216376">
      <w:pPr>
        <w:pStyle w:val="Tablenotes0"/>
        <w:rPr>
          <w:rFonts w:cs="Arial"/>
        </w:rPr>
      </w:pP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cs="Arial"/>
          <w:b/>
        </w:rPr>
        <w:t>Very low quality:</w:t>
      </w:r>
      <w:r w:rsidRPr="00E10B76">
        <w:rPr>
          <w:rFonts w:cs="Arial"/>
        </w:rPr>
        <w:t xml:space="preserve"> </w:t>
      </w:r>
      <w:r w:rsidRPr="00205919">
        <w:rPr>
          <w:rStyle w:val="TablenotesChar0"/>
        </w:rPr>
        <w:t>We have very little confidence in the effect estimate: The true effect is likely to be substantially different from the estimate of effect.</w:t>
      </w:r>
    </w:p>
    <w:p w14:paraId="42574B77" w14:textId="6FF0472B" w:rsidR="00F37B9C" w:rsidRDefault="00C06B0B" w:rsidP="009E369F">
      <w:pPr>
        <w:tabs>
          <w:tab w:val="left" w:pos="720"/>
          <w:tab w:val="left" w:pos="1140"/>
        </w:tabs>
        <w:spacing w:after="120"/>
        <w:rPr>
          <w:b/>
          <w:szCs w:val="24"/>
        </w:rPr>
      </w:pPr>
      <w:r>
        <w:rPr>
          <w:b/>
          <w:szCs w:val="24"/>
        </w:rPr>
        <w:t>Clinical c</w:t>
      </w:r>
      <w:r w:rsidR="00F37B9C" w:rsidRPr="00F37B9C">
        <w:rPr>
          <w:b/>
          <w:szCs w:val="24"/>
        </w:rPr>
        <w:t>laim</w:t>
      </w:r>
    </w:p>
    <w:p w14:paraId="00DE7CCD" w14:textId="31A8979B" w:rsidR="00C31E54" w:rsidRDefault="00C31E54" w:rsidP="00C31E54">
      <w:pPr>
        <w:jc w:val="both"/>
      </w:pPr>
      <w:r>
        <w:t xml:space="preserve">On the basis of the benefits and harms reported in the evidence base (summarised above),  the DCAR suggested that, relative to the comparator, the intervention has </w:t>
      </w:r>
      <w:r w:rsidRPr="006C4CB3">
        <w:rPr>
          <w:u w:val="single"/>
        </w:rPr>
        <w:t>uncertain</w:t>
      </w:r>
      <w:r>
        <w:t xml:space="preserve"> safety and effectiveness due to a lack of direct comparative studies. While the superiority of EMR over surgery is uncertain, the clinical evidence suggests that it is an effective treatment of large benign colorectal polyps.</w:t>
      </w:r>
    </w:p>
    <w:p w14:paraId="72667D31" w14:textId="77777777" w:rsidR="00C31E54" w:rsidRDefault="00C31E54" w:rsidP="00F0115E">
      <w:pPr>
        <w:spacing w:before="240"/>
      </w:pPr>
      <w:r>
        <w:t>The DCAR stated that the benefits of EMR (e.g. reduced mortality risk, reduced length of stay) have been accepted in clinical practice as outweighing the comparative shortcomings of EMR relative to surgery (i.e. surgery is considered curative, whilst there is a risk of residual adenoma/recurrence following EMR). Whilst EMR, unlike the comparator, cannot be considered ‘curative’, it does allow the majority of patients to avoid surgery, reserving surgical resection as second line option for cases were EMR treatment is not feasible, fails, or unexpected malignancy is detected.</w:t>
      </w:r>
    </w:p>
    <w:p w14:paraId="3365218E" w14:textId="77777777" w:rsidR="00BC1364" w:rsidRPr="00F715D1" w:rsidRDefault="00BC1364" w:rsidP="00F715D1">
      <w:pPr>
        <w:pStyle w:val="Heading1"/>
      </w:pPr>
      <w:r w:rsidRPr="00F715D1">
        <w:t>Economic evaluation</w:t>
      </w:r>
    </w:p>
    <w:p w14:paraId="26759814" w14:textId="0A0F5C6E" w:rsidR="00C31E54" w:rsidRDefault="00C31E54" w:rsidP="00C31E54">
      <w:r w:rsidRPr="005B3BC3">
        <w:t>A cost-utility analysis</w:t>
      </w:r>
      <w:r>
        <w:t>, using a Markov model,</w:t>
      </w:r>
      <w:r w:rsidRPr="005B3BC3">
        <w:t xml:space="preserve"> was undertaken</w:t>
      </w:r>
      <w:r>
        <w:t xml:space="preserve"> by the DCAR</w:t>
      </w:r>
      <w:r w:rsidRPr="005B3BC3">
        <w:t xml:space="preserve"> to determine the value of </w:t>
      </w:r>
      <w:r>
        <w:t>EMR compared with surgery (</w:t>
      </w:r>
      <w:r w:rsidR="00F0115E" w:rsidRPr="00F0115E">
        <w:rPr>
          <w:szCs w:val="24"/>
        </w:rPr>
        <w:fldChar w:fldCharType="begin"/>
      </w:r>
      <w:r w:rsidR="00F0115E" w:rsidRPr="00F0115E">
        <w:rPr>
          <w:szCs w:val="24"/>
        </w:rPr>
        <w:instrText xml:space="preserve"> REF _Ref395196756 \h  \* MERGEFORMAT </w:instrText>
      </w:r>
      <w:r w:rsidR="00F0115E" w:rsidRPr="00F0115E">
        <w:rPr>
          <w:szCs w:val="24"/>
        </w:rPr>
      </w:r>
      <w:r w:rsidR="00F0115E" w:rsidRPr="00F0115E">
        <w:rPr>
          <w:szCs w:val="24"/>
        </w:rPr>
        <w:fldChar w:fldCharType="separate"/>
      </w:r>
      <w:r w:rsidR="00F0115E" w:rsidRPr="00F0115E">
        <w:rPr>
          <w:szCs w:val="24"/>
        </w:rPr>
        <w:t>Table 4</w:t>
      </w:r>
      <w:r w:rsidR="00F0115E" w:rsidRPr="00F0115E">
        <w:rPr>
          <w:szCs w:val="24"/>
        </w:rPr>
        <w:fldChar w:fldCharType="end"/>
      </w:r>
      <w:r w:rsidRPr="00F0115E">
        <w:rPr>
          <w:szCs w:val="24"/>
        </w:rPr>
        <w:t>)</w:t>
      </w:r>
      <w:r>
        <w:t>.</w:t>
      </w:r>
    </w:p>
    <w:p w14:paraId="0857FFA6" w14:textId="1ED521DC" w:rsidR="00C31E54" w:rsidRPr="00F0115E" w:rsidRDefault="00F0115E" w:rsidP="00F0115E">
      <w:pPr>
        <w:spacing w:before="240"/>
        <w:rPr>
          <w:rFonts w:ascii="Arial Narrow" w:hAnsi="Arial Narrow"/>
          <w:b/>
          <w:sz w:val="20"/>
        </w:rPr>
      </w:pPr>
      <w:bookmarkStart w:id="15" w:name="_Ref395196756"/>
      <w:bookmarkStart w:id="16" w:name="_Ref492749410"/>
      <w:bookmarkStart w:id="17" w:name="_Toc493000467"/>
      <w:bookmarkStart w:id="18" w:name="_Toc25848437"/>
      <w:bookmarkStart w:id="19" w:name="_Toc29394117"/>
      <w:r w:rsidRPr="00F0115E">
        <w:rPr>
          <w:rFonts w:ascii="Arial Narrow" w:hAnsi="Arial Narrow"/>
          <w:b/>
          <w:sz w:val="20"/>
        </w:rPr>
        <w:t xml:space="preserve">Table </w:t>
      </w:r>
      <w:r w:rsidRPr="00F0115E">
        <w:rPr>
          <w:rFonts w:ascii="Arial Narrow" w:hAnsi="Arial Narrow"/>
          <w:b/>
          <w:sz w:val="20"/>
        </w:rPr>
        <w:fldChar w:fldCharType="begin"/>
      </w:r>
      <w:r w:rsidRPr="00F0115E">
        <w:rPr>
          <w:rFonts w:ascii="Arial Narrow" w:hAnsi="Arial Narrow"/>
          <w:b/>
          <w:sz w:val="20"/>
        </w:rPr>
        <w:instrText xml:space="preserve"> SEQ Table \* ARABIC </w:instrText>
      </w:r>
      <w:r w:rsidRPr="00F0115E">
        <w:rPr>
          <w:rFonts w:ascii="Arial Narrow" w:hAnsi="Arial Narrow"/>
          <w:b/>
          <w:sz w:val="20"/>
        </w:rPr>
        <w:fldChar w:fldCharType="separate"/>
      </w:r>
      <w:r w:rsidR="00376352">
        <w:rPr>
          <w:rFonts w:ascii="Arial Narrow" w:hAnsi="Arial Narrow"/>
          <w:b/>
          <w:noProof/>
          <w:sz w:val="20"/>
        </w:rPr>
        <w:t>4</w:t>
      </w:r>
      <w:r w:rsidRPr="00F0115E">
        <w:rPr>
          <w:rFonts w:ascii="Arial Narrow" w:hAnsi="Arial Narrow"/>
          <w:b/>
          <w:sz w:val="20"/>
        </w:rPr>
        <w:fldChar w:fldCharType="end"/>
      </w:r>
      <w:bookmarkEnd w:id="15"/>
      <w:r w:rsidR="00C31E54" w:rsidRPr="00F0115E">
        <w:rPr>
          <w:rFonts w:ascii="Arial Narrow" w:hAnsi="Arial Narrow"/>
          <w:b/>
          <w:sz w:val="20"/>
        </w:rPr>
        <w:tab/>
        <w:t>Summary of the economic evaluation</w:t>
      </w:r>
      <w:bookmarkEnd w:id="16"/>
      <w:bookmarkEnd w:id="17"/>
      <w:bookmarkEnd w:id="18"/>
      <w:bookmarkEnd w:id="19"/>
      <w:r w:rsidR="00C31E54" w:rsidRPr="00F0115E">
        <w:rPr>
          <w:rFonts w:ascii="Arial Narrow" w:hAnsi="Arial Narrow"/>
          <w:b/>
          <w:sz w:val="20"/>
        </w:rPr>
        <w:t xml:space="preserve"> </w:t>
      </w:r>
    </w:p>
    <w:tbl>
      <w:tblPr>
        <w:tblStyle w:val="TableGrid"/>
        <w:tblW w:w="5000" w:type="pct"/>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14"/>
        <w:gridCol w:w="5902"/>
      </w:tblGrid>
      <w:tr w:rsidR="00C31E54" w:rsidRPr="00DA39D5" w14:paraId="2A0EA9E2" w14:textId="77777777" w:rsidTr="008D5FAC">
        <w:trPr>
          <w:trHeight w:val="20"/>
          <w:tblHeader/>
        </w:trPr>
        <w:tc>
          <w:tcPr>
            <w:tcW w:w="1727" w:type="pct"/>
          </w:tcPr>
          <w:p w14:paraId="32F7489D" w14:textId="77777777" w:rsidR="00C31E54" w:rsidRPr="00DA39D5" w:rsidRDefault="00C31E54" w:rsidP="00EC16AC">
            <w:pPr>
              <w:pStyle w:val="Tabletext0"/>
              <w:rPr>
                <w:b/>
              </w:rPr>
            </w:pPr>
            <w:r w:rsidRPr="00DA39D5">
              <w:rPr>
                <w:b/>
              </w:rPr>
              <w:t>Perspective</w:t>
            </w:r>
          </w:p>
        </w:tc>
        <w:tc>
          <w:tcPr>
            <w:tcW w:w="3273" w:type="pct"/>
          </w:tcPr>
          <w:p w14:paraId="53A9898C" w14:textId="77777777" w:rsidR="00C31E54" w:rsidRPr="00DA39D5" w:rsidRDefault="00C31E54" w:rsidP="00EC16AC">
            <w:pPr>
              <w:pStyle w:val="Tabletext0"/>
              <w:rPr>
                <w:vanish/>
              </w:rPr>
            </w:pPr>
            <w:r w:rsidRPr="009A302E">
              <w:t>Health system</w:t>
            </w:r>
          </w:p>
        </w:tc>
      </w:tr>
      <w:tr w:rsidR="00C31E54" w:rsidRPr="00DA39D5" w14:paraId="6B76BFE4" w14:textId="77777777" w:rsidTr="008D5FAC">
        <w:trPr>
          <w:trHeight w:val="20"/>
        </w:trPr>
        <w:tc>
          <w:tcPr>
            <w:tcW w:w="1727" w:type="pct"/>
          </w:tcPr>
          <w:p w14:paraId="0F981DC5" w14:textId="77777777" w:rsidR="00C31E54" w:rsidRPr="00DA39D5" w:rsidRDefault="00C31E54" w:rsidP="00EC16AC">
            <w:pPr>
              <w:pStyle w:val="Tabletext0"/>
              <w:rPr>
                <w:b/>
              </w:rPr>
            </w:pPr>
            <w:r>
              <w:rPr>
                <w:b/>
              </w:rPr>
              <w:t>Intervention</w:t>
            </w:r>
          </w:p>
        </w:tc>
        <w:tc>
          <w:tcPr>
            <w:tcW w:w="3273" w:type="pct"/>
          </w:tcPr>
          <w:p w14:paraId="59BAB9CC" w14:textId="77777777" w:rsidR="00C31E54" w:rsidRPr="001238BB" w:rsidRDefault="00C31E54" w:rsidP="00EC16AC">
            <w:pPr>
              <w:pStyle w:val="Tabletext0"/>
            </w:pPr>
            <w:r w:rsidRPr="001238BB">
              <w:t>Endoscopic mucosal resection</w:t>
            </w:r>
          </w:p>
        </w:tc>
      </w:tr>
      <w:tr w:rsidR="00C31E54" w:rsidRPr="00DA39D5" w14:paraId="7BA57BF5" w14:textId="77777777" w:rsidTr="008D5FAC">
        <w:trPr>
          <w:trHeight w:val="20"/>
        </w:trPr>
        <w:tc>
          <w:tcPr>
            <w:tcW w:w="1727" w:type="pct"/>
          </w:tcPr>
          <w:p w14:paraId="45AC868A" w14:textId="77777777" w:rsidR="00C31E54" w:rsidRPr="00DA39D5" w:rsidRDefault="00C31E54" w:rsidP="00EC16AC">
            <w:pPr>
              <w:pStyle w:val="Tabletext0"/>
              <w:rPr>
                <w:b/>
              </w:rPr>
            </w:pPr>
            <w:r w:rsidRPr="00DA39D5">
              <w:rPr>
                <w:b/>
              </w:rPr>
              <w:t>Comparator</w:t>
            </w:r>
          </w:p>
        </w:tc>
        <w:tc>
          <w:tcPr>
            <w:tcW w:w="3273" w:type="pct"/>
          </w:tcPr>
          <w:p w14:paraId="06B22797" w14:textId="77777777" w:rsidR="00C31E54" w:rsidRPr="001238BB" w:rsidRDefault="00C31E54" w:rsidP="00EC16AC">
            <w:pPr>
              <w:pStyle w:val="Tabletext0"/>
            </w:pPr>
            <w:r w:rsidRPr="001238BB">
              <w:t>Surgical resection</w:t>
            </w:r>
            <w:r>
              <w:t xml:space="preserve"> </w:t>
            </w:r>
            <w:r w:rsidRPr="00B742B9">
              <w:rPr>
                <w:i/>
              </w:rPr>
              <w:t>(i.e. laparoscopic resection)</w:t>
            </w:r>
          </w:p>
        </w:tc>
      </w:tr>
      <w:tr w:rsidR="00C31E54" w:rsidRPr="00DA39D5" w14:paraId="668AE701" w14:textId="77777777" w:rsidTr="008D5FAC">
        <w:trPr>
          <w:trHeight w:val="20"/>
        </w:trPr>
        <w:tc>
          <w:tcPr>
            <w:tcW w:w="1727" w:type="pct"/>
          </w:tcPr>
          <w:p w14:paraId="16915760" w14:textId="77777777" w:rsidR="00C31E54" w:rsidRPr="00DA39D5" w:rsidRDefault="00C31E54" w:rsidP="00EC16AC">
            <w:pPr>
              <w:pStyle w:val="Tabletext0"/>
              <w:rPr>
                <w:b/>
              </w:rPr>
            </w:pPr>
            <w:r w:rsidRPr="00DA39D5">
              <w:rPr>
                <w:b/>
              </w:rPr>
              <w:t>Type of economic evaluation</w:t>
            </w:r>
          </w:p>
        </w:tc>
        <w:tc>
          <w:tcPr>
            <w:tcW w:w="3273" w:type="pct"/>
          </w:tcPr>
          <w:p w14:paraId="60D1AA9B" w14:textId="77777777" w:rsidR="00C31E54" w:rsidRPr="009A302E" w:rsidRDefault="00C31E54" w:rsidP="00EC16AC">
            <w:pPr>
              <w:pStyle w:val="Tabletext0"/>
            </w:pPr>
            <w:r>
              <w:t>Cost-utility analysis</w:t>
            </w:r>
          </w:p>
        </w:tc>
      </w:tr>
      <w:tr w:rsidR="00C31E54" w:rsidRPr="00DA39D5" w14:paraId="7D95981C" w14:textId="77777777" w:rsidTr="008D5FAC">
        <w:trPr>
          <w:trHeight w:val="20"/>
        </w:trPr>
        <w:tc>
          <w:tcPr>
            <w:tcW w:w="1727" w:type="pct"/>
          </w:tcPr>
          <w:p w14:paraId="79CD0460" w14:textId="77777777" w:rsidR="00C31E54" w:rsidRPr="00DA39D5" w:rsidRDefault="00C31E54" w:rsidP="00EC16AC">
            <w:pPr>
              <w:pStyle w:val="Tabletext0"/>
              <w:rPr>
                <w:b/>
              </w:rPr>
            </w:pPr>
            <w:r w:rsidRPr="00DA39D5">
              <w:rPr>
                <w:b/>
              </w:rPr>
              <w:t>Sources of evidence</w:t>
            </w:r>
          </w:p>
        </w:tc>
        <w:tc>
          <w:tcPr>
            <w:tcW w:w="3273" w:type="pct"/>
          </w:tcPr>
          <w:p w14:paraId="492DD01C" w14:textId="77777777" w:rsidR="00C31E54" w:rsidRPr="009A302E" w:rsidRDefault="00C31E54" w:rsidP="00EC16AC">
            <w:pPr>
              <w:pStyle w:val="Tabletext0"/>
            </w:pPr>
            <w:r>
              <w:t xml:space="preserve">Observational studies </w:t>
            </w:r>
            <w:r w:rsidRPr="001C7E0D">
              <w:t>in Australia</w:t>
            </w:r>
          </w:p>
        </w:tc>
      </w:tr>
      <w:tr w:rsidR="00C31E54" w:rsidRPr="00DA39D5" w14:paraId="3AFA14EF" w14:textId="77777777" w:rsidTr="008D5FAC">
        <w:trPr>
          <w:trHeight w:val="20"/>
        </w:trPr>
        <w:tc>
          <w:tcPr>
            <w:tcW w:w="1727" w:type="pct"/>
            <w:hideMark/>
          </w:tcPr>
          <w:p w14:paraId="6EF9777C" w14:textId="77777777" w:rsidR="00C31E54" w:rsidRPr="00DA39D5" w:rsidRDefault="00C31E54" w:rsidP="00EC16AC">
            <w:pPr>
              <w:pStyle w:val="Tabletext0"/>
              <w:rPr>
                <w:b/>
              </w:rPr>
            </w:pPr>
            <w:r w:rsidRPr="00DA39D5">
              <w:rPr>
                <w:b/>
              </w:rPr>
              <w:t>Time horizon</w:t>
            </w:r>
          </w:p>
        </w:tc>
        <w:tc>
          <w:tcPr>
            <w:tcW w:w="3273" w:type="pct"/>
            <w:hideMark/>
          </w:tcPr>
          <w:p w14:paraId="7369C010" w14:textId="77777777" w:rsidR="00C31E54" w:rsidRPr="009A302E" w:rsidRDefault="00C31E54" w:rsidP="00EC16AC">
            <w:pPr>
              <w:pStyle w:val="Tabletext0"/>
            </w:pPr>
            <w:r>
              <w:t>40 months</w:t>
            </w:r>
          </w:p>
        </w:tc>
      </w:tr>
      <w:tr w:rsidR="00C31E54" w:rsidRPr="00DA39D5" w14:paraId="6E5E1556" w14:textId="77777777" w:rsidTr="008D5FAC">
        <w:trPr>
          <w:trHeight w:val="20"/>
        </w:trPr>
        <w:tc>
          <w:tcPr>
            <w:tcW w:w="1727" w:type="pct"/>
            <w:hideMark/>
          </w:tcPr>
          <w:p w14:paraId="2701D6B0" w14:textId="77777777" w:rsidR="00C31E54" w:rsidRPr="00DA39D5" w:rsidRDefault="00C31E54" w:rsidP="00EC16AC">
            <w:pPr>
              <w:pStyle w:val="Tabletext0"/>
              <w:rPr>
                <w:b/>
              </w:rPr>
            </w:pPr>
            <w:r w:rsidRPr="00DA39D5">
              <w:rPr>
                <w:b/>
              </w:rPr>
              <w:t>Outcomes</w:t>
            </w:r>
          </w:p>
        </w:tc>
        <w:tc>
          <w:tcPr>
            <w:tcW w:w="3273" w:type="pct"/>
          </w:tcPr>
          <w:p w14:paraId="0C95EAD1" w14:textId="77777777" w:rsidR="00C31E54" w:rsidRPr="009A302E" w:rsidRDefault="00C31E54" w:rsidP="00EC16AC">
            <w:pPr>
              <w:pStyle w:val="Tabletext0"/>
            </w:pPr>
            <w:r w:rsidRPr="009A302E">
              <w:t>QALYs</w:t>
            </w:r>
          </w:p>
        </w:tc>
      </w:tr>
      <w:tr w:rsidR="00C31E54" w:rsidRPr="00DA39D5" w14:paraId="47231E54" w14:textId="77777777" w:rsidTr="008D5FAC">
        <w:trPr>
          <w:trHeight w:val="20"/>
        </w:trPr>
        <w:tc>
          <w:tcPr>
            <w:tcW w:w="1727" w:type="pct"/>
            <w:hideMark/>
          </w:tcPr>
          <w:p w14:paraId="2A657409" w14:textId="77777777" w:rsidR="00C31E54" w:rsidRPr="00DA39D5" w:rsidRDefault="00C31E54" w:rsidP="00EC16AC">
            <w:pPr>
              <w:pStyle w:val="Tabletext0"/>
              <w:rPr>
                <w:b/>
              </w:rPr>
            </w:pPr>
            <w:r w:rsidRPr="00DA39D5">
              <w:rPr>
                <w:b/>
              </w:rPr>
              <w:t>Methods used to generate results</w:t>
            </w:r>
          </w:p>
        </w:tc>
        <w:tc>
          <w:tcPr>
            <w:tcW w:w="3273" w:type="pct"/>
          </w:tcPr>
          <w:p w14:paraId="11215769" w14:textId="77777777" w:rsidR="00C31E54" w:rsidRPr="009A302E" w:rsidRDefault="00C31E54" w:rsidP="00EC16AC">
            <w:pPr>
              <w:pStyle w:val="Tabletext0"/>
            </w:pPr>
            <w:r>
              <w:t>C</w:t>
            </w:r>
            <w:r w:rsidRPr="009A302E">
              <w:t>ohort expected value analysis</w:t>
            </w:r>
          </w:p>
        </w:tc>
      </w:tr>
      <w:tr w:rsidR="00C31E54" w:rsidRPr="00DA39D5" w14:paraId="329C0E09" w14:textId="77777777" w:rsidTr="008D5FAC">
        <w:trPr>
          <w:trHeight w:val="20"/>
        </w:trPr>
        <w:tc>
          <w:tcPr>
            <w:tcW w:w="1727" w:type="pct"/>
          </w:tcPr>
          <w:p w14:paraId="294F456C" w14:textId="77777777" w:rsidR="00C31E54" w:rsidRPr="00DA39D5" w:rsidRDefault="00C31E54" w:rsidP="00EC16AC">
            <w:pPr>
              <w:pStyle w:val="Tabletext0"/>
              <w:rPr>
                <w:b/>
              </w:rPr>
            </w:pPr>
            <w:r w:rsidRPr="00DA39D5">
              <w:rPr>
                <w:b/>
              </w:rPr>
              <w:t>Health states</w:t>
            </w:r>
          </w:p>
        </w:tc>
        <w:tc>
          <w:tcPr>
            <w:tcW w:w="3273" w:type="pct"/>
          </w:tcPr>
          <w:p w14:paraId="61270FF5" w14:textId="77777777" w:rsidR="00C31E54" w:rsidRPr="009A302E" w:rsidRDefault="00C31E54" w:rsidP="00EC16AC">
            <w:pPr>
              <w:pStyle w:val="Tabletext0"/>
            </w:pPr>
            <w:r>
              <w:t>Polyp + EMR, No polyp + surveillance, Polyp + surveillance, Polyp + Laparoscopic resection, Polyp + EMR/LR &amp; Adverse event requiring surgical management, Polyp + EMR/LR &amp; Adverse event requiring observation that with no surgery, Death</w:t>
            </w:r>
          </w:p>
        </w:tc>
      </w:tr>
      <w:tr w:rsidR="00C31E54" w:rsidRPr="00DA39D5" w14:paraId="41CCAA65" w14:textId="77777777" w:rsidTr="008D5FAC">
        <w:trPr>
          <w:trHeight w:val="20"/>
        </w:trPr>
        <w:tc>
          <w:tcPr>
            <w:tcW w:w="1727" w:type="pct"/>
            <w:hideMark/>
          </w:tcPr>
          <w:p w14:paraId="27D3358E" w14:textId="77777777" w:rsidR="00C31E54" w:rsidRPr="00DA39D5" w:rsidRDefault="00C31E54" w:rsidP="00EC16AC">
            <w:pPr>
              <w:pStyle w:val="Tabletext0"/>
              <w:rPr>
                <w:b/>
              </w:rPr>
            </w:pPr>
            <w:r>
              <w:rPr>
                <w:b/>
              </w:rPr>
              <w:t>Cycle length</w:t>
            </w:r>
          </w:p>
        </w:tc>
        <w:tc>
          <w:tcPr>
            <w:tcW w:w="3273" w:type="pct"/>
          </w:tcPr>
          <w:p w14:paraId="6CBA4A98" w14:textId="77777777" w:rsidR="00C31E54" w:rsidRPr="009A302E" w:rsidRDefault="00C31E54" w:rsidP="00EC16AC">
            <w:pPr>
              <w:pStyle w:val="Tabletext0"/>
            </w:pPr>
            <w:r>
              <w:t>1 month (30 days)</w:t>
            </w:r>
          </w:p>
        </w:tc>
      </w:tr>
      <w:tr w:rsidR="00C31E54" w:rsidRPr="00DA39D5" w14:paraId="626CFD58" w14:textId="77777777" w:rsidTr="008D5FAC">
        <w:trPr>
          <w:trHeight w:val="20"/>
        </w:trPr>
        <w:tc>
          <w:tcPr>
            <w:tcW w:w="1727" w:type="pct"/>
            <w:hideMark/>
          </w:tcPr>
          <w:p w14:paraId="63B1C439" w14:textId="77777777" w:rsidR="00C31E54" w:rsidRPr="00DA39D5" w:rsidRDefault="00C31E54" w:rsidP="00EC16AC">
            <w:pPr>
              <w:pStyle w:val="Tabletext0"/>
              <w:rPr>
                <w:b/>
              </w:rPr>
            </w:pPr>
            <w:r w:rsidRPr="00DA39D5">
              <w:rPr>
                <w:b/>
              </w:rPr>
              <w:t>Discount rate</w:t>
            </w:r>
          </w:p>
        </w:tc>
        <w:tc>
          <w:tcPr>
            <w:tcW w:w="3273" w:type="pct"/>
          </w:tcPr>
          <w:p w14:paraId="35C1AF40" w14:textId="77777777" w:rsidR="00C31E54" w:rsidRPr="009A302E" w:rsidRDefault="00C31E54" w:rsidP="00EC16AC">
            <w:pPr>
              <w:pStyle w:val="Tabletext0"/>
            </w:pPr>
            <w:r w:rsidRPr="009A302E">
              <w:t>5%</w:t>
            </w:r>
            <w:r>
              <w:t xml:space="preserve"> used for base, 3.5% and 7% sensitivity analyses</w:t>
            </w:r>
          </w:p>
        </w:tc>
      </w:tr>
      <w:tr w:rsidR="00C31E54" w:rsidRPr="00DA39D5" w14:paraId="37A115CD" w14:textId="77777777" w:rsidTr="008D5FAC">
        <w:trPr>
          <w:trHeight w:val="20"/>
        </w:trPr>
        <w:tc>
          <w:tcPr>
            <w:tcW w:w="1727" w:type="pct"/>
            <w:hideMark/>
          </w:tcPr>
          <w:p w14:paraId="0A4003AC" w14:textId="77777777" w:rsidR="00C31E54" w:rsidRPr="00DA39D5" w:rsidRDefault="00C31E54" w:rsidP="00EC16AC">
            <w:pPr>
              <w:pStyle w:val="Tabletext0"/>
              <w:rPr>
                <w:b/>
              </w:rPr>
            </w:pPr>
            <w:r w:rsidRPr="00DA39D5">
              <w:rPr>
                <w:b/>
              </w:rPr>
              <w:t>Software packages used</w:t>
            </w:r>
          </w:p>
        </w:tc>
        <w:tc>
          <w:tcPr>
            <w:tcW w:w="3273" w:type="pct"/>
          </w:tcPr>
          <w:p w14:paraId="54D983C6" w14:textId="77777777" w:rsidR="00C31E54" w:rsidRPr="009A302E" w:rsidRDefault="00C31E54" w:rsidP="00EC16AC">
            <w:pPr>
              <w:pStyle w:val="Tabletext0"/>
            </w:pPr>
            <w:r w:rsidRPr="009A302E">
              <w:t>Microsoft Excel 2010</w:t>
            </w:r>
          </w:p>
        </w:tc>
      </w:tr>
    </w:tbl>
    <w:p w14:paraId="39CE2F44" w14:textId="77777777" w:rsidR="00C31E54" w:rsidRPr="001238BB" w:rsidRDefault="00C31E54" w:rsidP="00C31E54">
      <w:pPr>
        <w:pStyle w:val="Tablenotes"/>
        <w:spacing w:after="0"/>
      </w:pPr>
      <w:r>
        <w:t>Source: Table 4, pp23-24 of DCAR</w:t>
      </w:r>
    </w:p>
    <w:p w14:paraId="0A729098" w14:textId="738B1900" w:rsidR="00C31E54" w:rsidRPr="00216376" w:rsidRDefault="00C31E54" w:rsidP="00216376">
      <w:pPr>
        <w:jc w:val="both"/>
        <w:rPr>
          <w:rFonts w:ascii="Arial Narrow" w:hAnsi="Arial Narrow"/>
          <w:sz w:val="18"/>
        </w:rPr>
      </w:pPr>
      <w:r w:rsidRPr="008B6220">
        <w:rPr>
          <w:rFonts w:ascii="Arial Narrow" w:hAnsi="Arial Narrow"/>
          <w:b/>
          <w:sz w:val="18"/>
        </w:rPr>
        <w:t>Abbreviations</w:t>
      </w:r>
      <w:r w:rsidRPr="00AC706B">
        <w:rPr>
          <w:rFonts w:ascii="Arial Narrow" w:hAnsi="Arial Narrow"/>
          <w:sz w:val="18"/>
        </w:rPr>
        <w:t xml:space="preserve">: </w:t>
      </w:r>
      <w:r w:rsidRPr="005B1BDC">
        <w:rPr>
          <w:rFonts w:ascii="Arial Narrow" w:hAnsi="Arial Narrow"/>
          <w:sz w:val="18"/>
        </w:rPr>
        <w:t>EMR= endoscopic mucosal resection, LR = laparoscopic resection</w:t>
      </w:r>
      <w:r w:rsidRPr="00AC706B">
        <w:rPr>
          <w:rFonts w:ascii="Arial Narrow" w:hAnsi="Arial Narrow"/>
          <w:sz w:val="18"/>
        </w:rPr>
        <w:t>; QALY, quality adjusted life year</w:t>
      </w:r>
    </w:p>
    <w:p w14:paraId="6821D136" w14:textId="77777777" w:rsidR="00C31E54" w:rsidRDefault="00C31E54" w:rsidP="00216376">
      <w:pPr>
        <w:spacing w:before="240"/>
      </w:pPr>
      <w:r>
        <w:t>Key structural assumptions of the DCAR’s model are:</w:t>
      </w:r>
    </w:p>
    <w:p w14:paraId="7463F515" w14:textId="77777777" w:rsidR="00C31E54" w:rsidRDefault="00C31E54" w:rsidP="00C31E54">
      <w:pPr>
        <w:pStyle w:val="ListParagraph"/>
        <w:numPr>
          <w:ilvl w:val="0"/>
          <w:numId w:val="29"/>
        </w:numPr>
        <w:ind w:left="714" w:hanging="357"/>
      </w:pPr>
      <w:r>
        <w:t>all patients in the EMR arm of the model are assumed to have an EMR attempted when they enter the model;</w:t>
      </w:r>
    </w:p>
    <w:p w14:paraId="39BE191F" w14:textId="77777777" w:rsidR="00C31E54" w:rsidRDefault="00C31E54" w:rsidP="00C31E54">
      <w:pPr>
        <w:pStyle w:val="ListParagraph"/>
        <w:numPr>
          <w:ilvl w:val="0"/>
          <w:numId w:val="29"/>
        </w:numPr>
        <w:ind w:left="714" w:hanging="357"/>
      </w:pPr>
      <w:r>
        <w:t>p</w:t>
      </w:r>
      <w:r w:rsidRPr="00F92012">
        <w:t xml:space="preserve">atients entering the </w:t>
      </w:r>
      <w:r>
        <w:t>laparoscopic resection (</w:t>
      </w:r>
      <w:r w:rsidRPr="00F92012">
        <w:t>LR</w:t>
      </w:r>
      <w:r>
        <w:t>)</w:t>
      </w:r>
      <w:r w:rsidRPr="00F92012">
        <w:t xml:space="preserve"> arm are only able to avail LR and no recurrence is assumed to be associated with this procedure</w:t>
      </w:r>
      <w:r>
        <w:t>;</w:t>
      </w:r>
    </w:p>
    <w:p w14:paraId="4CD682B8" w14:textId="77777777" w:rsidR="00C31E54" w:rsidRDefault="00C31E54" w:rsidP="00C31E54">
      <w:pPr>
        <w:pStyle w:val="ListParagraph"/>
        <w:numPr>
          <w:ilvl w:val="0"/>
          <w:numId w:val="29"/>
        </w:numPr>
        <w:ind w:left="714" w:hanging="357"/>
      </w:pPr>
      <w:r>
        <w:t>m</w:t>
      </w:r>
      <w:r w:rsidRPr="00F92012">
        <w:t xml:space="preserve">ortality is only possible </w:t>
      </w:r>
      <w:r>
        <w:t>for patients experiencing LR adverse events</w:t>
      </w:r>
      <w:r w:rsidRPr="00F92012">
        <w:t xml:space="preserve"> which require surgery.</w:t>
      </w:r>
    </w:p>
    <w:p w14:paraId="273C10A8" w14:textId="12E37B59" w:rsidR="00C31E54" w:rsidRDefault="00C31E54" w:rsidP="00C31E54">
      <w:pPr>
        <w:pStyle w:val="ListParagraph"/>
        <w:numPr>
          <w:ilvl w:val="0"/>
          <w:numId w:val="29"/>
        </w:numPr>
        <w:ind w:left="714" w:hanging="357"/>
      </w:pPr>
      <w:r>
        <w:t>t</w:t>
      </w:r>
      <w:r w:rsidRPr="00307097">
        <w:t>he base time horizon assumed for the analysis is 40 months as this reflects the maximum follow-up of the ACE study. Studies such as Law et al. (2016</w:t>
      </w:r>
      <w:r w:rsidR="00AC446B">
        <w:rPr>
          <w:rStyle w:val="FootnoteReference"/>
        </w:rPr>
        <w:footnoteReference w:id="7"/>
      </w:r>
      <w:r w:rsidRPr="00307097">
        <w:t xml:space="preserve">) extrapolated health outcomes over a longer time horizon using a systematic review of the literature to derive recurrence assumptions.  </w:t>
      </w:r>
      <w:r>
        <w:t>However, g</w:t>
      </w:r>
      <w:r w:rsidRPr="00307097">
        <w:t>iven the uncertainty surrounding the duration of clinical benefits, and limited impact longer term recurrence is likely to have on economic modelling results, the timeframe of the economic model is limited to maxi</w:t>
      </w:r>
      <w:r>
        <w:t>mum follow-up of the observational studies in Australia.</w:t>
      </w:r>
    </w:p>
    <w:p w14:paraId="2F968052" w14:textId="77D57A60" w:rsidR="00C31E54" w:rsidRDefault="00C31E54" w:rsidP="00216376">
      <w:pPr>
        <w:spacing w:before="240"/>
      </w:pPr>
      <w:r>
        <w:t xml:space="preserve">The DCAR presented </w:t>
      </w:r>
      <w:r w:rsidRPr="00307097">
        <w:t>incremental cost-effectiveness ratio</w:t>
      </w:r>
      <w:r>
        <w:t xml:space="preserve"> (ICER) results using 1 year and </w:t>
      </w:r>
      <w:r w:rsidR="004F6D0F">
        <w:br/>
      </w:r>
      <w:r>
        <w:t>40-month analyses (</w:t>
      </w:r>
      <w:r w:rsidR="004F6D0F" w:rsidRPr="004F6D0F">
        <w:rPr>
          <w:szCs w:val="24"/>
        </w:rPr>
        <w:fldChar w:fldCharType="begin"/>
      </w:r>
      <w:r w:rsidR="004F6D0F" w:rsidRPr="004F6D0F">
        <w:rPr>
          <w:szCs w:val="24"/>
        </w:rPr>
        <w:instrText xml:space="preserve"> REF _Ref51158137 \h  \* MERGEFORMAT </w:instrText>
      </w:r>
      <w:r w:rsidR="004F6D0F" w:rsidRPr="004F6D0F">
        <w:rPr>
          <w:szCs w:val="24"/>
        </w:rPr>
      </w:r>
      <w:r w:rsidR="004F6D0F" w:rsidRPr="004F6D0F">
        <w:rPr>
          <w:szCs w:val="24"/>
        </w:rPr>
        <w:fldChar w:fldCharType="separate"/>
      </w:r>
      <w:r w:rsidR="004F6D0F" w:rsidRPr="004F6D0F">
        <w:rPr>
          <w:szCs w:val="24"/>
        </w:rPr>
        <w:t>Table 5</w:t>
      </w:r>
      <w:r w:rsidR="004F6D0F" w:rsidRPr="004F6D0F">
        <w:rPr>
          <w:szCs w:val="24"/>
        </w:rPr>
        <w:fldChar w:fldCharType="end"/>
      </w:r>
      <w:r>
        <w:t xml:space="preserve">). </w:t>
      </w:r>
      <w:r w:rsidRPr="00307097">
        <w:t xml:space="preserve">The </w:t>
      </w:r>
      <w:r>
        <w:t>ICER wa</w:t>
      </w:r>
      <w:r w:rsidRPr="00307097">
        <w:t>s dominant with the results being largely driven by the assumed saving in procedural costs.</w:t>
      </w:r>
      <w:r>
        <w:t xml:space="preserve"> </w:t>
      </w:r>
      <w:r w:rsidRPr="001F6A2D">
        <w:t>The difference in quality-adjusted life years (QALYs) is largely a result of the longer time for LR hospitalisation of around 6 days compared to EMR and inclusion of mortality for LR-related adverse events. EMR has a shorter length of hospital stay of 1 day, which does not increase substantially as recurrence is less than 20% over the first year.</w:t>
      </w:r>
    </w:p>
    <w:p w14:paraId="3BC586C8" w14:textId="39BF2EAA" w:rsidR="00C31E54" w:rsidRPr="004F6D0F" w:rsidRDefault="004F6D0F" w:rsidP="004F6D0F">
      <w:pPr>
        <w:spacing w:before="240"/>
        <w:rPr>
          <w:rFonts w:ascii="Arial Narrow" w:hAnsi="Arial Narrow"/>
          <w:b/>
          <w:sz w:val="20"/>
        </w:rPr>
      </w:pPr>
      <w:bookmarkStart w:id="20" w:name="_Toc381969877"/>
      <w:bookmarkStart w:id="21" w:name="_Ref29233652"/>
      <w:bookmarkStart w:id="22" w:name="_Ref51158137"/>
      <w:bookmarkStart w:id="23" w:name="_Toc25848438"/>
      <w:bookmarkStart w:id="24" w:name="_Toc29394118"/>
      <w:r w:rsidRPr="004F6D0F">
        <w:rPr>
          <w:rFonts w:ascii="Arial Narrow" w:hAnsi="Arial Narrow"/>
          <w:b/>
          <w:sz w:val="20"/>
        </w:rPr>
        <w:t xml:space="preserve">Table </w:t>
      </w:r>
      <w:r w:rsidRPr="004F6D0F">
        <w:rPr>
          <w:rFonts w:ascii="Arial Narrow" w:hAnsi="Arial Narrow"/>
          <w:b/>
          <w:sz w:val="20"/>
        </w:rPr>
        <w:fldChar w:fldCharType="begin"/>
      </w:r>
      <w:r w:rsidRPr="004F6D0F">
        <w:rPr>
          <w:rFonts w:ascii="Arial Narrow" w:hAnsi="Arial Narrow"/>
          <w:b/>
          <w:sz w:val="20"/>
        </w:rPr>
        <w:instrText xml:space="preserve"> SEQ Table \* ARABIC </w:instrText>
      </w:r>
      <w:r w:rsidRPr="004F6D0F">
        <w:rPr>
          <w:rFonts w:ascii="Arial Narrow" w:hAnsi="Arial Narrow"/>
          <w:b/>
          <w:sz w:val="20"/>
        </w:rPr>
        <w:fldChar w:fldCharType="separate"/>
      </w:r>
      <w:r w:rsidR="00376352">
        <w:rPr>
          <w:rFonts w:ascii="Arial Narrow" w:hAnsi="Arial Narrow"/>
          <w:b/>
          <w:noProof/>
          <w:sz w:val="20"/>
        </w:rPr>
        <w:t>5</w:t>
      </w:r>
      <w:r w:rsidRPr="004F6D0F">
        <w:rPr>
          <w:rFonts w:ascii="Arial Narrow" w:hAnsi="Arial Narrow"/>
          <w:b/>
          <w:sz w:val="20"/>
        </w:rPr>
        <w:fldChar w:fldCharType="end"/>
      </w:r>
      <w:bookmarkEnd w:id="20"/>
      <w:bookmarkEnd w:id="21"/>
      <w:bookmarkEnd w:id="22"/>
      <w:r w:rsidR="00C31E54" w:rsidRPr="004F6D0F">
        <w:rPr>
          <w:rFonts w:ascii="Arial Narrow" w:hAnsi="Arial Narrow"/>
          <w:b/>
          <w:sz w:val="20"/>
        </w:rPr>
        <w:tab/>
        <w:t>Incremental Cost Effectiveness Ratio</w:t>
      </w:r>
      <w:bookmarkEnd w:id="23"/>
      <w:bookmarkEnd w:id="24"/>
    </w:p>
    <w:tbl>
      <w:tblPr>
        <w:tblStyle w:val="TableGrid"/>
        <w:tblW w:w="5000" w:type="pct"/>
        <w:tblLook w:val="04A0" w:firstRow="1" w:lastRow="0" w:firstColumn="1" w:lastColumn="0" w:noHBand="0" w:noVBand="1"/>
        <w:tblDescription w:val="Summary of the Incremental Cost Effectiveness Ratio results"/>
      </w:tblPr>
      <w:tblGrid>
        <w:gridCol w:w="2978"/>
        <w:gridCol w:w="1190"/>
        <w:gridCol w:w="1217"/>
        <w:gridCol w:w="1349"/>
        <w:gridCol w:w="1332"/>
        <w:gridCol w:w="950"/>
      </w:tblGrid>
      <w:tr w:rsidR="00C31E54" w:rsidRPr="00F92012" w14:paraId="75923937" w14:textId="77777777" w:rsidTr="008D5FAC">
        <w:trPr>
          <w:trHeight w:val="645"/>
          <w:tblHeader/>
        </w:trPr>
        <w:tc>
          <w:tcPr>
            <w:tcW w:w="1226" w:type="pct"/>
            <w:shd w:val="clear" w:color="auto" w:fill="D9D9D9" w:themeFill="background1" w:themeFillShade="D9"/>
            <w:hideMark/>
          </w:tcPr>
          <w:p w14:paraId="23D07AF4" w14:textId="77777777" w:rsidR="00C31E54" w:rsidRPr="00F92012" w:rsidRDefault="00C31E54" w:rsidP="00EC16AC">
            <w:pPr>
              <w:pStyle w:val="Tableheading0"/>
              <w:rPr>
                <w:rFonts w:cs="Calibri"/>
                <w:b w:val="0"/>
                <w:bCs/>
              </w:rPr>
            </w:pPr>
            <w:r w:rsidRPr="00F92012">
              <w:t> </w:t>
            </w:r>
          </w:p>
        </w:tc>
        <w:tc>
          <w:tcPr>
            <w:tcW w:w="822" w:type="pct"/>
            <w:shd w:val="clear" w:color="auto" w:fill="D9D9D9" w:themeFill="background1" w:themeFillShade="D9"/>
            <w:hideMark/>
          </w:tcPr>
          <w:p w14:paraId="1009A362" w14:textId="77777777" w:rsidR="00C31E54" w:rsidRPr="00F92012" w:rsidRDefault="00C31E54" w:rsidP="00EC16AC">
            <w:pPr>
              <w:pStyle w:val="Tableheading0"/>
              <w:rPr>
                <w:rFonts w:cs="Calibri"/>
                <w:b w:val="0"/>
                <w:bCs/>
              </w:rPr>
            </w:pPr>
            <w:r w:rsidRPr="00F92012">
              <w:t>Discounted cost</w:t>
            </w:r>
          </w:p>
        </w:tc>
        <w:tc>
          <w:tcPr>
            <w:tcW w:w="725" w:type="pct"/>
            <w:shd w:val="clear" w:color="auto" w:fill="D9D9D9" w:themeFill="background1" w:themeFillShade="D9"/>
            <w:hideMark/>
          </w:tcPr>
          <w:p w14:paraId="5CCD97AE" w14:textId="77777777" w:rsidR="00C31E54" w:rsidRPr="00F92012" w:rsidRDefault="00C31E54" w:rsidP="00EC16AC">
            <w:pPr>
              <w:pStyle w:val="Tableheading0"/>
              <w:rPr>
                <w:rFonts w:cs="Calibri"/>
                <w:b w:val="0"/>
                <w:bCs/>
              </w:rPr>
            </w:pPr>
            <w:r w:rsidRPr="00F92012">
              <w:t>Incremental cost</w:t>
            </w:r>
          </w:p>
        </w:tc>
        <w:tc>
          <w:tcPr>
            <w:tcW w:w="805" w:type="pct"/>
            <w:shd w:val="clear" w:color="auto" w:fill="D9D9D9" w:themeFill="background1" w:themeFillShade="D9"/>
            <w:hideMark/>
          </w:tcPr>
          <w:p w14:paraId="5640C713" w14:textId="77777777" w:rsidR="00C31E54" w:rsidRPr="00F92012" w:rsidRDefault="00C31E54" w:rsidP="00EC16AC">
            <w:pPr>
              <w:pStyle w:val="Tableheading0"/>
              <w:rPr>
                <w:rFonts w:cs="Calibri"/>
                <w:b w:val="0"/>
                <w:bCs/>
              </w:rPr>
            </w:pPr>
            <w:r w:rsidRPr="00F92012">
              <w:t>Effectiveness (QALYs)</w:t>
            </w:r>
          </w:p>
        </w:tc>
        <w:tc>
          <w:tcPr>
            <w:tcW w:w="857" w:type="pct"/>
            <w:shd w:val="clear" w:color="auto" w:fill="D9D9D9" w:themeFill="background1" w:themeFillShade="D9"/>
            <w:hideMark/>
          </w:tcPr>
          <w:p w14:paraId="0E220E14" w14:textId="77777777" w:rsidR="00C31E54" w:rsidRPr="00F92012" w:rsidRDefault="00C31E54" w:rsidP="00EC16AC">
            <w:pPr>
              <w:pStyle w:val="Tableheading0"/>
              <w:rPr>
                <w:rFonts w:cs="Calibri"/>
                <w:b w:val="0"/>
                <w:bCs/>
              </w:rPr>
            </w:pPr>
            <w:r w:rsidRPr="00F92012">
              <w:t>Incremental effectiveness</w:t>
            </w:r>
          </w:p>
        </w:tc>
        <w:tc>
          <w:tcPr>
            <w:tcW w:w="565" w:type="pct"/>
            <w:shd w:val="clear" w:color="auto" w:fill="D9D9D9" w:themeFill="background1" w:themeFillShade="D9"/>
            <w:hideMark/>
          </w:tcPr>
          <w:p w14:paraId="4B82D780" w14:textId="77777777" w:rsidR="00C31E54" w:rsidRPr="00F92012" w:rsidRDefault="00C31E54" w:rsidP="00EC16AC">
            <w:pPr>
              <w:pStyle w:val="Tableheading0"/>
              <w:rPr>
                <w:rFonts w:cs="Calibri"/>
                <w:b w:val="0"/>
                <w:bCs/>
              </w:rPr>
            </w:pPr>
            <w:r w:rsidRPr="00F92012">
              <w:t>ICER</w:t>
            </w:r>
          </w:p>
        </w:tc>
      </w:tr>
      <w:tr w:rsidR="00C31E54" w:rsidRPr="00F92012" w14:paraId="6102AFE6" w14:textId="77777777" w:rsidTr="008D5FAC">
        <w:trPr>
          <w:trHeight w:val="255"/>
        </w:trPr>
        <w:tc>
          <w:tcPr>
            <w:tcW w:w="1226" w:type="pct"/>
            <w:shd w:val="clear" w:color="auto" w:fill="D9D9D9" w:themeFill="background1" w:themeFillShade="D9"/>
            <w:noWrap/>
            <w:hideMark/>
          </w:tcPr>
          <w:p w14:paraId="05A9EC85" w14:textId="77777777" w:rsidR="00C31E54" w:rsidRPr="00C03551" w:rsidRDefault="00C31E54" w:rsidP="00EC16AC">
            <w:pPr>
              <w:pStyle w:val="Tabletext0"/>
              <w:rPr>
                <w:rFonts w:cs="Calibri"/>
                <w:b/>
              </w:rPr>
            </w:pPr>
            <w:r w:rsidRPr="00C03551">
              <w:rPr>
                <w:b/>
              </w:rPr>
              <w:t>1 year</w:t>
            </w:r>
          </w:p>
        </w:tc>
        <w:tc>
          <w:tcPr>
            <w:tcW w:w="822" w:type="pct"/>
            <w:shd w:val="clear" w:color="auto" w:fill="D9D9D9" w:themeFill="background1" w:themeFillShade="D9"/>
            <w:noWrap/>
            <w:hideMark/>
          </w:tcPr>
          <w:p w14:paraId="62E34F67" w14:textId="77777777" w:rsidR="00C31E54" w:rsidRPr="00F92012" w:rsidRDefault="00C31E54" w:rsidP="00EC16AC">
            <w:pPr>
              <w:pStyle w:val="Tabletext0"/>
            </w:pPr>
          </w:p>
        </w:tc>
        <w:tc>
          <w:tcPr>
            <w:tcW w:w="725" w:type="pct"/>
            <w:shd w:val="clear" w:color="auto" w:fill="D9D9D9" w:themeFill="background1" w:themeFillShade="D9"/>
            <w:noWrap/>
            <w:hideMark/>
          </w:tcPr>
          <w:p w14:paraId="456A1F40" w14:textId="77777777" w:rsidR="00C31E54" w:rsidRPr="00F92012" w:rsidRDefault="00C31E54" w:rsidP="00EC16AC">
            <w:pPr>
              <w:pStyle w:val="Tabletext0"/>
            </w:pPr>
          </w:p>
        </w:tc>
        <w:tc>
          <w:tcPr>
            <w:tcW w:w="805" w:type="pct"/>
            <w:shd w:val="clear" w:color="auto" w:fill="D9D9D9" w:themeFill="background1" w:themeFillShade="D9"/>
            <w:noWrap/>
            <w:hideMark/>
          </w:tcPr>
          <w:p w14:paraId="133DA542" w14:textId="77777777" w:rsidR="00C31E54" w:rsidRPr="00F92012" w:rsidRDefault="00C31E54" w:rsidP="00EC16AC">
            <w:pPr>
              <w:pStyle w:val="Tabletext0"/>
            </w:pPr>
          </w:p>
        </w:tc>
        <w:tc>
          <w:tcPr>
            <w:tcW w:w="857" w:type="pct"/>
            <w:shd w:val="clear" w:color="auto" w:fill="D9D9D9" w:themeFill="background1" w:themeFillShade="D9"/>
            <w:noWrap/>
            <w:hideMark/>
          </w:tcPr>
          <w:p w14:paraId="3EF981A2" w14:textId="77777777" w:rsidR="00C31E54" w:rsidRPr="00F92012" w:rsidRDefault="00C31E54" w:rsidP="00EC16AC">
            <w:pPr>
              <w:pStyle w:val="Tabletext0"/>
            </w:pPr>
          </w:p>
        </w:tc>
        <w:tc>
          <w:tcPr>
            <w:tcW w:w="565" w:type="pct"/>
            <w:shd w:val="clear" w:color="auto" w:fill="D9D9D9" w:themeFill="background1" w:themeFillShade="D9"/>
            <w:noWrap/>
            <w:hideMark/>
          </w:tcPr>
          <w:p w14:paraId="04EF0796" w14:textId="77777777" w:rsidR="00C31E54" w:rsidRPr="00F92012" w:rsidRDefault="00C31E54" w:rsidP="00EC16AC">
            <w:pPr>
              <w:pStyle w:val="Tabletext0"/>
            </w:pPr>
          </w:p>
        </w:tc>
      </w:tr>
      <w:tr w:rsidR="00C31E54" w:rsidRPr="00F92012" w14:paraId="5FD5260D" w14:textId="77777777" w:rsidTr="008D5FAC">
        <w:trPr>
          <w:trHeight w:val="255"/>
        </w:trPr>
        <w:tc>
          <w:tcPr>
            <w:tcW w:w="1226" w:type="pct"/>
            <w:noWrap/>
            <w:hideMark/>
          </w:tcPr>
          <w:p w14:paraId="3F23036A" w14:textId="77777777" w:rsidR="00C31E54" w:rsidRPr="00F92012" w:rsidRDefault="00C31E54" w:rsidP="00EC16AC">
            <w:pPr>
              <w:pStyle w:val="Tabletext0"/>
            </w:pPr>
            <w:r w:rsidRPr="00F92012">
              <w:rPr>
                <w:rFonts w:cs="Calibri"/>
              </w:rPr>
              <w:t>Endoscopic Mucosal Resection (EMR)</w:t>
            </w:r>
          </w:p>
        </w:tc>
        <w:tc>
          <w:tcPr>
            <w:tcW w:w="822" w:type="pct"/>
            <w:noWrap/>
            <w:hideMark/>
          </w:tcPr>
          <w:p w14:paraId="3D46D2D3" w14:textId="77777777" w:rsidR="00C31E54" w:rsidRPr="00F92012" w:rsidRDefault="00C31E54" w:rsidP="00EC16AC">
            <w:pPr>
              <w:pStyle w:val="Tabletext0"/>
              <w:rPr>
                <w:color w:val="000000"/>
              </w:rPr>
            </w:pPr>
            <w:r w:rsidRPr="00F92012">
              <w:rPr>
                <w:rFonts w:cs="Calibri"/>
                <w:color w:val="000000"/>
              </w:rPr>
              <w:t>8,145</w:t>
            </w:r>
          </w:p>
        </w:tc>
        <w:tc>
          <w:tcPr>
            <w:tcW w:w="725" w:type="pct"/>
            <w:noWrap/>
            <w:hideMark/>
          </w:tcPr>
          <w:p w14:paraId="6112AFE8" w14:textId="77777777" w:rsidR="00C31E54" w:rsidRPr="00F92012" w:rsidRDefault="00C31E54" w:rsidP="00EC16AC">
            <w:pPr>
              <w:pStyle w:val="Tabletext0"/>
              <w:rPr>
                <w:color w:val="000000"/>
              </w:rPr>
            </w:pPr>
            <w:r w:rsidRPr="00F92012">
              <w:rPr>
                <w:rFonts w:cs="Calibri"/>
                <w:color w:val="000000"/>
              </w:rPr>
              <w:t>-11,983</w:t>
            </w:r>
          </w:p>
        </w:tc>
        <w:tc>
          <w:tcPr>
            <w:tcW w:w="805" w:type="pct"/>
            <w:noWrap/>
            <w:hideMark/>
          </w:tcPr>
          <w:p w14:paraId="24F34D85" w14:textId="77777777" w:rsidR="00C31E54" w:rsidRPr="00F92012" w:rsidRDefault="00C31E54" w:rsidP="00EC16AC">
            <w:pPr>
              <w:pStyle w:val="Tabletext0"/>
              <w:rPr>
                <w:color w:val="000000"/>
              </w:rPr>
            </w:pPr>
            <w:r w:rsidRPr="00F92012">
              <w:rPr>
                <w:rFonts w:cs="Calibri"/>
                <w:color w:val="000000"/>
              </w:rPr>
              <w:t>0.90</w:t>
            </w:r>
          </w:p>
        </w:tc>
        <w:tc>
          <w:tcPr>
            <w:tcW w:w="857" w:type="pct"/>
            <w:noWrap/>
            <w:hideMark/>
          </w:tcPr>
          <w:p w14:paraId="24F1B2EC" w14:textId="77777777" w:rsidR="00C31E54" w:rsidRPr="00F92012" w:rsidRDefault="00C31E54" w:rsidP="00EC16AC">
            <w:pPr>
              <w:pStyle w:val="Tabletext0"/>
              <w:rPr>
                <w:color w:val="000000"/>
              </w:rPr>
            </w:pPr>
            <w:r w:rsidRPr="00F92012">
              <w:rPr>
                <w:rFonts w:cs="Calibri"/>
                <w:color w:val="000000"/>
              </w:rPr>
              <w:t>0.01</w:t>
            </w:r>
          </w:p>
        </w:tc>
        <w:tc>
          <w:tcPr>
            <w:tcW w:w="565" w:type="pct"/>
            <w:noWrap/>
            <w:hideMark/>
          </w:tcPr>
          <w:p w14:paraId="6769C5C6" w14:textId="77777777" w:rsidR="00C31E54" w:rsidRPr="00F92012" w:rsidRDefault="00C31E54" w:rsidP="00EC16AC">
            <w:pPr>
              <w:pStyle w:val="Tabletext0"/>
              <w:rPr>
                <w:color w:val="000000"/>
              </w:rPr>
            </w:pPr>
            <w:r w:rsidRPr="00F92012">
              <w:rPr>
                <w:rFonts w:cs="Calibri"/>
                <w:color w:val="000000"/>
              </w:rPr>
              <w:t>Dominant</w:t>
            </w:r>
          </w:p>
        </w:tc>
      </w:tr>
      <w:tr w:rsidR="00C31E54" w:rsidRPr="00F92012" w14:paraId="386FA2E1" w14:textId="77777777" w:rsidTr="008D5FAC">
        <w:trPr>
          <w:trHeight w:val="255"/>
        </w:trPr>
        <w:tc>
          <w:tcPr>
            <w:tcW w:w="1226" w:type="pct"/>
            <w:noWrap/>
            <w:hideMark/>
          </w:tcPr>
          <w:p w14:paraId="0F21BADC" w14:textId="77777777" w:rsidR="00C31E54" w:rsidRPr="00F92012" w:rsidRDefault="00C31E54" w:rsidP="00EC16AC">
            <w:pPr>
              <w:pStyle w:val="Tabletext0"/>
            </w:pPr>
            <w:r w:rsidRPr="00F92012">
              <w:rPr>
                <w:rFonts w:cs="Calibri"/>
              </w:rPr>
              <w:t>Surgical Resection</w:t>
            </w:r>
          </w:p>
        </w:tc>
        <w:tc>
          <w:tcPr>
            <w:tcW w:w="822" w:type="pct"/>
            <w:noWrap/>
            <w:hideMark/>
          </w:tcPr>
          <w:p w14:paraId="1C0A403F" w14:textId="77777777" w:rsidR="00C31E54" w:rsidRPr="00F92012" w:rsidRDefault="00C31E54" w:rsidP="00EC16AC">
            <w:pPr>
              <w:pStyle w:val="Tabletext0"/>
              <w:rPr>
                <w:color w:val="000000"/>
              </w:rPr>
            </w:pPr>
            <w:r w:rsidRPr="00F92012">
              <w:rPr>
                <w:rFonts w:cs="Calibri"/>
                <w:color w:val="000000"/>
              </w:rPr>
              <w:t>20,128</w:t>
            </w:r>
          </w:p>
        </w:tc>
        <w:tc>
          <w:tcPr>
            <w:tcW w:w="725" w:type="pct"/>
            <w:noWrap/>
            <w:hideMark/>
          </w:tcPr>
          <w:p w14:paraId="504F7ED0" w14:textId="77777777" w:rsidR="00C31E54" w:rsidRPr="00F92012" w:rsidRDefault="00C31E54" w:rsidP="00EC16AC">
            <w:pPr>
              <w:pStyle w:val="Tabletext0"/>
              <w:rPr>
                <w:color w:val="000000"/>
              </w:rPr>
            </w:pPr>
            <w:r w:rsidRPr="00F92012">
              <w:rPr>
                <w:rFonts w:cs="Calibri"/>
                <w:color w:val="000000"/>
              </w:rPr>
              <w:t> </w:t>
            </w:r>
          </w:p>
        </w:tc>
        <w:tc>
          <w:tcPr>
            <w:tcW w:w="805" w:type="pct"/>
            <w:noWrap/>
            <w:hideMark/>
          </w:tcPr>
          <w:p w14:paraId="14C0C7CF" w14:textId="77777777" w:rsidR="00C31E54" w:rsidRPr="00F92012" w:rsidRDefault="00C31E54" w:rsidP="00EC16AC">
            <w:pPr>
              <w:pStyle w:val="Tabletext0"/>
              <w:rPr>
                <w:color w:val="000000"/>
              </w:rPr>
            </w:pPr>
            <w:r w:rsidRPr="00F92012">
              <w:rPr>
                <w:rFonts w:cs="Calibri"/>
                <w:color w:val="000000"/>
              </w:rPr>
              <w:t>0.88</w:t>
            </w:r>
          </w:p>
        </w:tc>
        <w:tc>
          <w:tcPr>
            <w:tcW w:w="857" w:type="pct"/>
            <w:noWrap/>
            <w:hideMark/>
          </w:tcPr>
          <w:p w14:paraId="42BE064C" w14:textId="77777777" w:rsidR="00C31E54" w:rsidRPr="00F92012" w:rsidRDefault="00C31E54" w:rsidP="00EC16AC">
            <w:pPr>
              <w:pStyle w:val="Tabletext0"/>
              <w:rPr>
                <w:color w:val="000000"/>
              </w:rPr>
            </w:pPr>
            <w:r w:rsidRPr="00F92012">
              <w:rPr>
                <w:rFonts w:cs="Calibri"/>
                <w:color w:val="000000"/>
              </w:rPr>
              <w:t> </w:t>
            </w:r>
          </w:p>
        </w:tc>
        <w:tc>
          <w:tcPr>
            <w:tcW w:w="565" w:type="pct"/>
            <w:noWrap/>
            <w:hideMark/>
          </w:tcPr>
          <w:p w14:paraId="0F0470FF" w14:textId="77777777" w:rsidR="00C31E54" w:rsidRPr="00F92012" w:rsidRDefault="00C31E54" w:rsidP="00EC16AC">
            <w:pPr>
              <w:pStyle w:val="Tabletext0"/>
              <w:rPr>
                <w:color w:val="000000"/>
              </w:rPr>
            </w:pPr>
            <w:r w:rsidRPr="00F92012">
              <w:rPr>
                <w:rFonts w:cs="Calibri"/>
                <w:color w:val="000000"/>
              </w:rPr>
              <w:t> </w:t>
            </w:r>
          </w:p>
        </w:tc>
      </w:tr>
      <w:tr w:rsidR="00C31E54" w:rsidRPr="00F92012" w14:paraId="709D1CFD" w14:textId="77777777" w:rsidTr="008D5FAC">
        <w:trPr>
          <w:trHeight w:val="255"/>
        </w:trPr>
        <w:tc>
          <w:tcPr>
            <w:tcW w:w="1226" w:type="pct"/>
            <w:shd w:val="clear" w:color="auto" w:fill="D9D9D9" w:themeFill="background1" w:themeFillShade="D9"/>
            <w:noWrap/>
            <w:hideMark/>
          </w:tcPr>
          <w:p w14:paraId="2DC86D14" w14:textId="77777777" w:rsidR="00C31E54" w:rsidRPr="00F92012" w:rsidRDefault="00C31E54" w:rsidP="00EC16AC">
            <w:pPr>
              <w:pStyle w:val="Tabletext0"/>
              <w:rPr>
                <w:rFonts w:cs="Calibri"/>
                <w:b/>
              </w:rPr>
            </w:pPr>
            <w:r w:rsidRPr="00F92012">
              <w:rPr>
                <w:rFonts w:cs="Calibri"/>
                <w:b/>
              </w:rPr>
              <w:t>40 months (Base case)</w:t>
            </w:r>
          </w:p>
        </w:tc>
        <w:tc>
          <w:tcPr>
            <w:tcW w:w="822" w:type="pct"/>
            <w:shd w:val="clear" w:color="auto" w:fill="D9D9D9" w:themeFill="background1" w:themeFillShade="D9"/>
            <w:noWrap/>
            <w:hideMark/>
          </w:tcPr>
          <w:p w14:paraId="7D0D5BD9" w14:textId="77777777" w:rsidR="00C31E54" w:rsidRPr="00F92012" w:rsidRDefault="00C31E54" w:rsidP="00EC16AC">
            <w:pPr>
              <w:pStyle w:val="Tabletext0"/>
              <w:rPr>
                <w:color w:val="FFFFFF"/>
              </w:rPr>
            </w:pPr>
            <w:r w:rsidRPr="00F92012">
              <w:rPr>
                <w:rFonts w:cs="Calibri"/>
                <w:color w:val="FFFFFF"/>
              </w:rPr>
              <w:t> </w:t>
            </w:r>
          </w:p>
        </w:tc>
        <w:tc>
          <w:tcPr>
            <w:tcW w:w="725" w:type="pct"/>
            <w:shd w:val="clear" w:color="auto" w:fill="D9D9D9" w:themeFill="background1" w:themeFillShade="D9"/>
            <w:noWrap/>
            <w:hideMark/>
          </w:tcPr>
          <w:p w14:paraId="04898DE5" w14:textId="77777777" w:rsidR="00C31E54" w:rsidRPr="00F92012" w:rsidRDefault="00C31E54" w:rsidP="00EC16AC">
            <w:pPr>
              <w:pStyle w:val="Tabletext0"/>
              <w:rPr>
                <w:color w:val="FFFFFF"/>
              </w:rPr>
            </w:pPr>
            <w:r w:rsidRPr="00F92012">
              <w:rPr>
                <w:rFonts w:cs="Calibri"/>
                <w:color w:val="FFFFFF"/>
              </w:rPr>
              <w:t> </w:t>
            </w:r>
          </w:p>
        </w:tc>
        <w:tc>
          <w:tcPr>
            <w:tcW w:w="805" w:type="pct"/>
            <w:shd w:val="clear" w:color="auto" w:fill="D9D9D9" w:themeFill="background1" w:themeFillShade="D9"/>
            <w:noWrap/>
            <w:hideMark/>
          </w:tcPr>
          <w:p w14:paraId="2C15399F" w14:textId="77777777" w:rsidR="00C31E54" w:rsidRPr="00F92012" w:rsidRDefault="00C31E54" w:rsidP="00EC16AC">
            <w:pPr>
              <w:pStyle w:val="Tabletext0"/>
              <w:rPr>
                <w:color w:val="FFFFFF"/>
              </w:rPr>
            </w:pPr>
            <w:r w:rsidRPr="00F92012">
              <w:rPr>
                <w:rFonts w:cs="Calibri"/>
                <w:color w:val="FFFFFF"/>
              </w:rPr>
              <w:t> </w:t>
            </w:r>
          </w:p>
        </w:tc>
        <w:tc>
          <w:tcPr>
            <w:tcW w:w="857" w:type="pct"/>
            <w:shd w:val="clear" w:color="auto" w:fill="D9D9D9" w:themeFill="background1" w:themeFillShade="D9"/>
            <w:noWrap/>
            <w:hideMark/>
          </w:tcPr>
          <w:p w14:paraId="455061C7" w14:textId="77777777" w:rsidR="00C31E54" w:rsidRPr="00F92012" w:rsidRDefault="00C31E54" w:rsidP="00EC16AC">
            <w:pPr>
              <w:pStyle w:val="Tabletext0"/>
              <w:rPr>
                <w:color w:val="FFFFFF"/>
              </w:rPr>
            </w:pPr>
            <w:r w:rsidRPr="00F92012">
              <w:rPr>
                <w:rFonts w:cs="Calibri"/>
                <w:color w:val="FFFFFF"/>
              </w:rPr>
              <w:t> </w:t>
            </w:r>
          </w:p>
        </w:tc>
        <w:tc>
          <w:tcPr>
            <w:tcW w:w="565" w:type="pct"/>
            <w:shd w:val="clear" w:color="auto" w:fill="D9D9D9" w:themeFill="background1" w:themeFillShade="D9"/>
            <w:noWrap/>
            <w:hideMark/>
          </w:tcPr>
          <w:p w14:paraId="37C3E10A" w14:textId="77777777" w:rsidR="00C31E54" w:rsidRPr="00F92012" w:rsidRDefault="00C31E54" w:rsidP="00EC16AC">
            <w:pPr>
              <w:pStyle w:val="Tabletext0"/>
              <w:rPr>
                <w:color w:val="FFFFFF"/>
              </w:rPr>
            </w:pPr>
            <w:r w:rsidRPr="00F92012">
              <w:rPr>
                <w:rFonts w:cs="Calibri"/>
                <w:color w:val="FFFFFF"/>
              </w:rPr>
              <w:t> </w:t>
            </w:r>
          </w:p>
        </w:tc>
      </w:tr>
      <w:tr w:rsidR="00C31E54" w:rsidRPr="00F92012" w14:paraId="78FC638B" w14:textId="77777777" w:rsidTr="008D5FAC">
        <w:trPr>
          <w:trHeight w:val="255"/>
        </w:trPr>
        <w:tc>
          <w:tcPr>
            <w:tcW w:w="1226" w:type="pct"/>
            <w:noWrap/>
            <w:hideMark/>
          </w:tcPr>
          <w:p w14:paraId="566E0660" w14:textId="77777777" w:rsidR="00C31E54" w:rsidRPr="00F92012" w:rsidRDefault="00C31E54" w:rsidP="00EC16AC">
            <w:pPr>
              <w:pStyle w:val="Tabletext0"/>
            </w:pPr>
            <w:r w:rsidRPr="00F92012">
              <w:rPr>
                <w:rFonts w:cs="Calibri"/>
              </w:rPr>
              <w:t>Endoscopic Mucosal Resection (EMR)</w:t>
            </w:r>
          </w:p>
        </w:tc>
        <w:tc>
          <w:tcPr>
            <w:tcW w:w="822" w:type="pct"/>
            <w:noWrap/>
            <w:hideMark/>
          </w:tcPr>
          <w:p w14:paraId="55F78370" w14:textId="77777777" w:rsidR="00C31E54" w:rsidRPr="00F92012" w:rsidRDefault="00C31E54" w:rsidP="00EC16AC">
            <w:pPr>
              <w:pStyle w:val="Tabletext0"/>
              <w:rPr>
                <w:color w:val="000000"/>
              </w:rPr>
            </w:pPr>
            <w:r w:rsidRPr="00F92012">
              <w:rPr>
                <w:rFonts w:cs="Calibri"/>
                <w:color w:val="000000"/>
              </w:rPr>
              <w:t>11,335</w:t>
            </w:r>
          </w:p>
        </w:tc>
        <w:tc>
          <w:tcPr>
            <w:tcW w:w="725" w:type="pct"/>
            <w:noWrap/>
            <w:hideMark/>
          </w:tcPr>
          <w:p w14:paraId="137A557A" w14:textId="77777777" w:rsidR="00C31E54" w:rsidRPr="00F92012" w:rsidRDefault="00C31E54" w:rsidP="00EC16AC">
            <w:pPr>
              <w:pStyle w:val="Tabletext0"/>
              <w:rPr>
                <w:color w:val="000000"/>
              </w:rPr>
            </w:pPr>
            <w:r w:rsidRPr="00F92012">
              <w:rPr>
                <w:rFonts w:cs="Calibri"/>
                <w:color w:val="000000"/>
              </w:rPr>
              <w:t>-11,756</w:t>
            </w:r>
          </w:p>
        </w:tc>
        <w:tc>
          <w:tcPr>
            <w:tcW w:w="805" w:type="pct"/>
            <w:noWrap/>
            <w:hideMark/>
          </w:tcPr>
          <w:p w14:paraId="572DF17A" w14:textId="77777777" w:rsidR="00C31E54" w:rsidRPr="00F92012" w:rsidRDefault="00C31E54" w:rsidP="00EC16AC">
            <w:pPr>
              <w:pStyle w:val="Tabletext0"/>
              <w:rPr>
                <w:color w:val="000000"/>
              </w:rPr>
            </w:pPr>
            <w:r w:rsidRPr="00F92012">
              <w:rPr>
                <w:rFonts w:cs="Calibri"/>
                <w:color w:val="000000"/>
              </w:rPr>
              <w:t>2.68</w:t>
            </w:r>
          </w:p>
        </w:tc>
        <w:tc>
          <w:tcPr>
            <w:tcW w:w="857" w:type="pct"/>
            <w:noWrap/>
            <w:hideMark/>
          </w:tcPr>
          <w:p w14:paraId="1895AC17" w14:textId="77777777" w:rsidR="00C31E54" w:rsidRPr="00F92012" w:rsidRDefault="00C31E54" w:rsidP="00EC16AC">
            <w:pPr>
              <w:pStyle w:val="Tabletext0"/>
              <w:rPr>
                <w:color w:val="000000"/>
              </w:rPr>
            </w:pPr>
            <w:r w:rsidRPr="00F92012">
              <w:rPr>
                <w:rFonts w:cs="Calibri"/>
                <w:color w:val="000000"/>
              </w:rPr>
              <w:t>0.02</w:t>
            </w:r>
          </w:p>
        </w:tc>
        <w:tc>
          <w:tcPr>
            <w:tcW w:w="565" w:type="pct"/>
            <w:noWrap/>
            <w:hideMark/>
          </w:tcPr>
          <w:p w14:paraId="40F7AEDE" w14:textId="77777777" w:rsidR="00C31E54" w:rsidRPr="00F92012" w:rsidRDefault="00C31E54" w:rsidP="00EC16AC">
            <w:pPr>
              <w:pStyle w:val="Tabletext0"/>
              <w:rPr>
                <w:color w:val="000000"/>
              </w:rPr>
            </w:pPr>
            <w:r w:rsidRPr="00F92012">
              <w:rPr>
                <w:rFonts w:cs="Calibri"/>
                <w:color w:val="000000"/>
              </w:rPr>
              <w:t>Dominant</w:t>
            </w:r>
          </w:p>
        </w:tc>
      </w:tr>
      <w:tr w:rsidR="00C31E54" w:rsidRPr="00F92012" w14:paraId="0E312101" w14:textId="77777777" w:rsidTr="008D5FAC">
        <w:trPr>
          <w:trHeight w:val="255"/>
        </w:trPr>
        <w:tc>
          <w:tcPr>
            <w:tcW w:w="1226" w:type="pct"/>
            <w:noWrap/>
            <w:hideMark/>
          </w:tcPr>
          <w:p w14:paraId="0583D717" w14:textId="77777777" w:rsidR="00C31E54" w:rsidRPr="00F92012" w:rsidRDefault="00C31E54" w:rsidP="00EC16AC">
            <w:pPr>
              <w:pStyle w:val="Tabletext0"/>
            </w:pPr>
            <w:r w:rsidRPr="00F92012">
              <w:rPr>
                <w:rFonts w:cs="Calibri"/>
              </w:rPr>
              <w:t>Surgical Resection</w:t>
            </w:r>
          </w:p>
        </w:tc>
        <w:tc>
          <w:tcPr>
            <w:tcW w:w="822" w:type="pct"/>
            <w:noWrap/>
            <w:hideMark/>
          </w:tcPr>
          <w:p w14:paraId="2DDF501E" w14:textId="77777777" w:rsidR="00C31E54" w:rsidRPr="00F92012" w:rsidRDefault="00C31E54" w:rsidP="00EC16AC">
            <w:pPr>
              <w:pStyle w:val="Tabletext0"/>
              <w:rPr>
                <w:color w:val="000000"/>
              </w:rPr>
            </w:pPr>
            <w:r w:rsidRPr="00F92012">
              <w:rPr>
                <w:rFonts w:cs="Calibri"/>
                <w:color w:val="000000"/>
              </w:rPr>
              <w:t>23,091</w:t>
            </w:r>
          </w:p>
        </w:tc>
        <w:tc>
          <w:tcPr>
            <w:tcW w:w="725" w:type="pct"/>
            <w:noWrap/>
            <w:hideMark/>
          </w:tcPr>
          <w:p w14:paraId="6B1162AA" w14:textId="77777777" w:rsidR="00C31E54" w:rsidRPr="00F92012" w:rsidRDefault="00C31E54" w:rsidP="00EC16AC">
            <w:pPr>
              <w:pStyle w:val="Tabletext0"/>
              <w:rPr>
                <w:color w:val="000000"/>
              </w:rPr>
            </w:pPr>
            <w:r w:rsidRPr="00F92012">
              <w:rPr>
                <w:rFonts w:cs="Calibri"/>
                <w:color w:val="000000"/>
              </w:rPr>
              <w:t> </w:t>
            </w:r>
          </w:p>
        </w:tc>
        <w:tc>
          <w:tcPr>
            <w:tcW w:w="805" w:type="pct"/>
            <w:noWrap/>
            <w:hideMark/>
          </w:tcPr>
          <w:p w14:paraId="150316CF" w14:textId="77777777" w:rsidR="00C31E54" w:rsidRPr="00F92012" w:rsidRDefault="00C31E54" w:rsidP="00EC16AC">
            <w:pPr>
              <w:pStyle w:val="Tabletext0"/>
              <w:rPr>
                <w:color w:val="000000"/>
              </w:rPr>
            </w:pPr>
            <w:r w:rsidRPr="00F92012">
              <w:rPr>
                <w:rFonts w:cs="Calibri"/>
                <w:color w:val="000000"/>
              </w:rPr>
              <w:t>2.65</w:t>
            </w:r>
          </w:p>
        </w:tc>
        <w:tc>
          <w:tcPr>
            <w:tcW w:w="857" w:type="pct"/>
            <w:noWrap/>
            <w:hideMark/>
          </w:tcPr>
          <w:p w14:paraId="328ED133" w14:textId="77777777" w:rsidR="00C31E54" w:rsidRPr="00F92012" w:rsidRDefault="00C31E54" w:rsidP="00EC16AC">
            <w:pPr>
              <w:pStyle w:val="Tabletext0"/>
              <w:rPr>
                <w:color w:val="000000"/>
              </w:rPr>
            </w:pPr>
            <w:r w:rsidRPr="00F92012">
              <w:rPr>
                <w:rFonts w:cs="Calibri"/>
                <w:color w:val="000000"/>
              </w:rPr>
              <w:t> </w:t>
            </w:r>
          </w:p>
        </w:tc>
        <w:tc>
          <w:tcPr>
            <w:tcW w:w="565" w:type="pct"/>
            <w:noWrap/>
            <w:hideMark/>
          </w:tcPr>
          <w:p w14:paraId="2BFC6EBD" w14:textId="77777777" w:rsidR="00C31E54" w:rsidRPr="00F92012" w:rsidRDefault="00C31E54" w:rsidP="00EC16AC">
            <w:pPr>
              <w:pStyle w:val="Tabletext0"/>
              <w:rPr>
                <w:color w:val="000000"/>
              </w:rPr>
            </w:pPr>
            <w:r w:rsidRPr="00F92012">
              <w:rPr>
                <w:rFonts w:cs="Calibri"/>
                <w:color w:val="000000"/>
              </w:rPr>
              <w:t> </w:t>
            </w:r>
          </w:p>
        </w:tc>
      </w:tr>
    </w:tbl>
    <w:p w14:paraId="0DCBDCC3" w14:textId="77777777" w:rsidR="00C31E54" w:rsidRPr="0005607E" w:rsidRDefault="00C31E54" w:rsidP="00C31E54">
      <w:pPr>
        <w:pStyle w:val="Tablenotes"/>
      </w:pPr>
      <w:r>
        <w:t>Source: Table 5, pp24-25 of the DCAR</w:t>
      </w:r>
    </w:p>
    <w:p w14:paraId="60E0DD8F" w14:textId="77777777" w:rsidR="00C31E54" w:rsidRDefault="00C31E54" w:rsidP="00C31E54">
      <w:pPr>
        <w:pStyle w:val="Tablenotes"/>
      </w:pPr>
      <w:r w:rsidRPr="008B6220">
        <w:rPr>
          <w:b/>
        </w:rPr>
        <w:t>Abbreviations</w:t>
      </w:r>
      <w:r w:rsidRPr="00F92012">
        <w:t>: EMR = endoscopic mucosal resection; ICER = Incremental Cost Effectiveness Ratio; QALYs = quality-adjusted life-years.</w:t>
      </w:r>
    </w:p>
    <w:p w14:paraId="06C225D2" w14:textId="5DF82683" w:rsidR="00C31E54" w:rsidRDefault="00C31E54" w:rsidP="009E369F">
      <w:pPr>
        <w:spacing w:after="240"/>
      </w:pPr>
      <w:r>
        <w:t>The DCARs m</w:t>
      </w:r>
      <w:r w:rsidRPr="00F92012">
        <w:t>odel results are robust to changes in key assumptions presented in a sensitivity analysis</w:t>
      </w:r>
      <w:r>
        <w:t xml:space="preserve"> (i.e. </w:t>
      </w:r>
      <w:r w:rsidRPr="001F6A2D">
        <w:t>EMR is dominant over LR for all included scenarios for both 1 year and 40</w:t>
      </w:r>
      <w:r w:rsidR="009E369F">
        <w:t> </w:t>
      </w:r>
      <w:r w:rsidRPr="001F6A2D">
        <w:t xml:space="preserve">months </w:t>
      </w:r>
      <w:r>
        <w:t>base case analysis) [see tornado diag</w:t>
      </w:r>
      <w:r w:rsidR="00BC25D2">
        <w:t xml:space="preserve">ram for base case in </w:t>
      </w:r>
      <w:r w:rsidR="001630A8" w:rsidRPr="001630A8">
        <w:rPr>
          <w:szCs w:val="24"/>
        </w:rPr>
        <w:fldChar w:fldCharType="begin"/>
      </w:r>
      <w:r w:rsidR="001630A8" w:rsidRPr="001630A8">
        <w:rPr>
          <w:szCs w:val="24"/>
        </w:rPr>
        <w:instrText xml:space="preserve"> REF _Ref51158217 \h  \* MERGEFORMAT </w:instrText>
      </w:r>
      <w:r w:rsidR="001630A8" w:rsidRPr="001630A8">
        <w:rPr>
          <w:szCs w:val="24"/>
        </w:rPr>
      </w:r>
      <w:r w:rsidR="001630A8" w:rsidRPr="001630A8">
        <w:rPr>
          <w:szCs w:val="24"/>
        </w:rPr>
        <w:fldChar w:fldCharType="separate"/>
      </w:r>
      <w:r w:rsidR="001630A8" w:rsidRPr="001630A8">
        <w:rPr>
          <w:szCs w:val="24"/>
        </w:rPr>
        <w:t>Figure 3</w:t>
      </w:r>
      <w:r w:rsidR="001630A8" w:rsidRPr="001630A8">
        <w:rPr>
          <w:szCs w:val="24"/>
        </w:rPr>
        <w:fldChar w:fldCharType="end"/>
      </w:r>
      <w:r w:rsidR="00BC25D2">
        <w:t>].</w:t>
      </w:r>
    </w:p>
    <w:p w14:paraId="6131AB60" w14:textId="77777777" w:rsidR="00C31E54" w:rsidRDefault="00C31E54" w:rsidP="001630A8">
      <w:pPr>
        <w:pStyle w:val="BodyTextSTD"/>
        <w:keepNext/>
        <w:keepLines/>
        <w:jc w:val="center"/>
      </w:pPr>
      <w:r w:rsidRPr="00D14107">
        <w:rPr>
          <w:noProof/>
        </w:rPr>
        <w:drawing>
          <wp:inline distT="0" distB="0" distL="0" distR="0" wp14:anchorId="347B645C" wp14:editId="7CC5EF3D">
            <wp:extent cx="4762500" cy="3695702"/>
            <wp:effectExtent l="0" t="0" r="0" b="0"/>
            <wp:docPr id="9" name="Chart 9" descr="Univariate sensitivity analysis of EMR vs LR">
              <a:extLst xmlns:a="http://schemas.openxmlformats.org/drawingml/2006/main">
                <a:ext uri="{FF2B5EF4-FFF2-40B4-BE49-F238E27FC236}">
                  <a16:creationId xmlns:a16="http://schemas.microsoft.com/office/drawing/2014/main" id="{E7FF86A3-BED3-4955-B590-0EFFA0450E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8863A8" w14:textId="6DE0C2BE" w:rsidR="00C31E54" w:rsidRPr="001630A8" w:rsidRDefault="001630A8" w:rsidP="001630A8">
      <w:pPr>
        <w:keepNext/>
        <w:keepLines/>
        <w:rPr>
          <w:rFonts w:ascii="Arial Narrow" w:hAnsi="Arial Narrow"/>
          <w:b/>
          <w:sz w:val="20"/>
        </w:rPr>
      </w:pPr>
      <w:bookmarkStart w:id="25" w:name="_Ref51158217"/>
      <w:bookmarkStart w:id="26" w:name="_Toc29394229"/>
      <w:r w:rsidRPr="001630A8">
        <w:rPr>
          <w:rFonts w:ascii="Arial Narrow" w:hAnsi="Arial Narrow"/>
          <w:b/>
          <w:sz w:val="20"/>
        </w:rPr>
        <w:t xml:space="preserve">Figure </w:t>
      </w:r>
      <w:r w:rsidRPr="001630A8">
        <w:rPr>
          <w:rFonts w:ascii="Arial Narrow" w:hAnsi="Arial Narrow"/>
          <w:b/>
          <w:sz w:val="20"/>
        </w:rPr>
        <w:fldChar w:fldCharType="begin"/>
      </w:r>
      <w:r w:rsidRPr="001630A8">
        <w:rPr>
          <w:rFonts w:ascii="Arial Narrow" w:hAnsi="Arial Narrow"/>
          <w:b/>
          <w:sz w:val="20"/>
        </w:rPr>
        <w:instrText xml:space="preserve"> SEQ Figure \* ARABIC </w:instrText>
      </w:r>
      <w:r w:rsidRPr="001630A8">
        <w:rPr>
          <w:rFonts w:ascii="Arial Narrow" w:hAnsi="Arial Narrow"/>
          <w:b/>
          <w:sz w:val="20"/>
        </w:rPr>
        <w:fldChar w:fldCharType="separate"/>
      </w:r>
      <w:r w:rsidRPr="001630A8">
        <w:rPr>
          <w:rFonts w:ascii="Arial Narrow" w:hAnsi="Arial Narrow"/>
          <w:b/>
          <w:sz w:val="20"/>
        </w:rPr>
        <w:t>3</w:t>
      </w:r>
      <w:r w:rsidRPr="001630A8">
        <w:rPr>
          <w:rFonts w:ascii="Arial Narrow" w:hAnsi="Arial Narrow"/>
          <w:b/>
          <w:sz w:val="20"/>
        </w:rPr>
        <w:fldChar w:fldCharType="end"/>
      </w:r>
      <w:bookmarkEnd w:id="25"/>
      <w:r w:rsidR="00C31E54" w:rsidRPr="001630A8">
        <w:rPr>
          <w:rFonts w:ascii="Arial Narrow" w:hAnsi="Arial Narrow"/>
          <w:b/>
          <w:sz w:val="20"/>
        </w:rPr>
        <w:t>: Univariate sensitivity analysis EMR verse LR for 40-month projection</w:t>
      </w:r>
      <w:bookmarkEnd w:id="26"/>
    </w:p>
    <w:p w14:paraId="1063FF72" w14:textId="77777777" w:rsidR="00C31E54" w:rsidRPr="003C23B3" w:rsidRDefault="00C31E54" w:rsidP="001630A8">
      <w:pPr>
        <w:pStyle w:val="Tablenotes"/>
        <w:keepNext/>
        <w:keepLines/>
        <w:jc w:val="left"/>
        <w:rPr>
          <w:bCs/>
        </w:rPr>
      </w:pPr>
      <w:r>
        <w:rPr>
          <w:bCs/>
        </w:rPr>
        <w:t>Source: Figure 12, p148 of DCAR</w:t>
      </w:r>
    </w:p>
    <w:p w14:paraId="674B82F7" w14:textId="77777777" w:rsidR="00C31E54" w:rsidRDefault="00C31E54" w:rsidP="001630A8">
      <w:pPr>
        <w:pStyle w:val="Tablenotes"/>
        <w:keepNext/>
        <w:keepLines/>
        <w:jc w:val="left"/>
      </w:pPr>
      <w:r w:rsidRPr="00795D4E">
        <w:rPr>
          <w:b/>
          <w:bCs/>
        </w:rPr>
        <w:t>Abbreviations:</w:t>
      </w:r>
      <w:r w:rsidRPr="00070DEB">
        <w:t xml:space="preserve"> </w:t>
      </w:r>
      <w:r>
        <w:t xml:space="preserve">AE= adverse event; </w:t>
      </w:r>
      <w:r w:rsidRPr="00795D4E">
        <w:t>EMR= endoscopic mucosal resection</w:t>
      </w:r>
      <w:r>
        <w:t>;</w:t>
      </w:r>
      <w:r w:rsidRPr="00795D4E">
        <w:t xml:space="preserve"> LR = Laparoscopic resection</w:t>
      </w:r>
      <w:r>
        <w:t>;</w:t>
      </w:r>
      <w:r w:rsidRPr="00795D4E">
        <w:t xml:space="preserve"> QALYs= quality adjusted life years</w:t>
      </w:r>
    </w:p>
    <w:p w14:paraId="720CB20A" w14:textId="6D385B97" w:rsidR="00C31E54" w:rsidRDefault="00C31E54" w:rsidP="00C31E54">
      <w:r w:rsidRPr="00D14107">
        <w:t>The assumption about the days which accrue a reduced utility (0.5 compared to 0.85) and LR costs have the l</w:t>
      </w:r>
      <w:r>
        <w:t>argest impact on model results (</w:t>
      </w:r>
      <w:r w:rsidR="00D440E1" w:rsidRPr="00D440E1">
        <w:rPr>
          <w:szCs w:val="24"/>
        </w:rPr>
        <w:fldChar w:fldCharType="begin"/>
      </w:r>
      <w:r w:rsidR="00D440E1" w:rsidRPr="00D440E1">
        <w:rPr>
          <w:szCs w:val="24"/>
        </w:rPr>
        <w:instrText xml:space="preserve"> REF _Ref51158281 \h  \* MERGEFORMAT </w:instrText>
      </w:r>
      <w:r w:rsidR="00D440E1" w:rsidRPr="00D440E1">
        <w:rPr>
          <w:szCs w:val="24"/>
        </w:rPr>
      </w:r>
      <w:r w:rsidR="00D440E1" w:rsidRPr="00D440E1">
        <w:rPr>
          <w:szCs w:val="24"/>
        </w:rPr>
        <w:fldChar w:fldCharType="separate"/>
      </w:r>
      <w:r w:rsidR="00D440E1" w:rsidRPr="00D440E1">
        <w:rPr>
          <w:szCs w:val="24"/>
        </w:rPr>
        <w:t>Table 6</w:t>
      </w:r>
      <w:r w:rsidR="00D440E1" w:rsidRPr="00D440E1">
        <w:rPr>
          <w:szCs w:val="24"/>
        </w:rPr>
        <w:fldChar w:fldCharType="end"/>
      </w:r>
      <w:r>
        <w:t>).</w:t>
      </w:r>
      <w:r w:rsidR="009E369F">
        <w:br w:type="page"/>
      </w:r>
    </w:p>
    <w:p w14:paraId="5BACF581" w14:textId="6A90079B" w:rsidR="00C31E54" w:rsidRPr="00D440E1" w:rsidRDefault="00D440E1" w:rsidP="00D440E1">
      <w:pPr>
        <w:rPr>
          <w:rFonts w:ascii="Arial Narrow" w:hAnsi="Arial Narrow"/>
          <w:b/>
          <w:sz w:val="20"/>
        </w:rPr>
      </w:pPr>
      <w:bookmarkStart w:id="27" w:name="_Ref51158281"/>
      <w:bookmarkStart w:id="28" w:name="_Toc25848439"/>
      <w:bookmarkStart w:id="29" w:name="_Toc29394119"/>
      <w:r w:rsidRPr="00D440E1">
        <w:rPr>
          <w:rFonts w:ascii="Arial Narrow" w:hAnsi="Arial Narrow"/>
          <w:b/>
          <w:sz w:val="20"/>
        </w:rPr>
        <w:t xml:space="preserve">Table </w:t>
      </w:r>
      <w:r w:rsidRPr="00D440E1">
        <w:rPr>
          <w:rFonts w:ascii="Arial Narrow" w:hAnsi="Arial Narrow"/>
          <w:b/>
          <w:sz w:val="20"/>
        </w:rPr>
        <w:fldChar w:fldCharType="begin"/>
      </w:r>
      <w:r w:rsidRPr="00D440E1">
        <w:rPr>
          <w:rFonts w:ascii="Arial Narrow" w:hAnsi="Arial Narrow"/>
          <w:b/>
          <w:sz w:val="20"/>
        </w:rPr>
        <w:instrText xml:space="preserve"> SEQ Table \* ARABIC </w:instrText>
      </w:r>
      <w:r w:rsidRPr="00D440E1">
        <w:rPr>
          <w:rFonts w:ascii="Arial Narrow" w:hAnsi="Arial Narrow"/>
          <w:b/>
          <w:sz w:val="20"/>
        </w:rPr>
        <w:fldChar w:fldCharType="separate"/>
      </w:r>
      <w:r w:rsidR="00376352">
        <w:rPr>
          <w:rFonts w:ascii="Arial Narrow" w:hAnsi="Arial Narrow"/>
          <w:b/>
          <w:noProof/>
          <w:sz w:val="20"/>
        </w:rPr>
        <w:t>6</w:t>
      </w:r>
      <w:r w:rsidRPr="00D440E1">
        <w:rPr>
          <w:rFonts w:ascii="Arial Narrow" w:hAnsi="Arial Narrow"/>
          <w:b/>
          <w:sz w:val="20"/>
        </w:rPr>
        <w:fldChar w:fldCharType="end"/>
      </w:r>
      <w:bookmarkEnd w:id="27"/>
      <w:r w:rsidR="00C31E54" w:rsidRPr="00D440E1">
        <w:rPr>
          <w:rFonts w:ascii="Arial Narrow" w:hAnsi="Arial Narrow"/>
          <w:b/>
          <w:sz w:val="20"/>
        </w:rPr>
        <w:tab/>
        <w:t>Drivers of the economic model</w:t>
      </w:r>
      <w:bookmarkEnd w:id="28"/>
      <w:bookmarkEnd w:id="29"/>
    </w:p>
    <w:tbl>
      <w:tblPr>
        <w:tblStyle w:val="TableGrid"/>
        <w:tblW w:w="5000" w:type="pct"/>
        <w:tblLook w:val="04A0" w:firstRow="1" w:lastRow="0" w:firstColumn="1" w:lastColumn="0" w:noHBand="0" w:noVBand="1"/>
        <w:tblCaption w:val="Table 24 Key drivers of the economic model"/>
        <w:tblDescription w:val="This table describes what factors and assumptions in the economic model affect the incremental cost-effectiveness to the greatest extent."/>
      </w:tblPr>
      <w:tblGrid>
        <w:gridCol w:w="1696"/>
        <w:gridCol w:w="4678"/>
        <w:gridCol w:w="2642"/>
      </w:tblGrid>
      <w:tr w:rsidR="00C31E54" w:rsidRPr="00A83BB0" w14:paraId="5E476F6C" w14:textId="77777777" w:rsidTr="008D5FAC">
        <w:trPr>
          <w:tblHeader/>
        </w:trPr>
        <w:tc>
          <w:tcPr>
            <w:tcW w:w="941" w:type="pct"/>
          </w:tcPr>
          <w:p w14:paraId="15533D7E" w14:textId="77777777" w:rsidR="00C31E54" w:rsidRPr="00A83BB0" w:rsidRDefault="00C31E54" w:rsidP="00EC16AC">
            <w:pPr>
              <w:pStyle w:val="TableHeading"/>
              <w:rPr>
                <w:snapToGrid w:val="0"/>
                <w:lang w:eastAsia="en-US"/>
              </w:rPr>
            </w:pPr>
            <w:r w:rsidRPr="00A83BB0">
              <w:rPr>
                <w:snapToGrid w:val="0"/>
                <w:lang w:eastAsia="en-US"/>
              </w:rPr>
              <w:t>Description</w:t>
            </w:r>
          </w:p>
        </w:tc>
        <w:tc>
          <w:tcPr>
            <w:tcW w:w="2594" w:type="pct"/>
          </w:tcPr>
          <w:p w14:paraId="356AC644" w14:textId="77777777" w:rsidR="00C31E54" w:rsidRPr="00A83BB0" w:rsidRDefault="00C31E54" w:rsidP="00EC16AC">
            <w:pPr>
              <w:pStyle w:val="TableHeading"/>
              <w:rPr>
                <w:snapToGrid w:val="0"/>
                <w:lang w:eastAsia="en-US"/>
              </w:rPr>
            </w:pPr>
            <w:r w:rsidRPr="00A83BB0">
              <w:rPr>
                <w:snapToGrid w:val="0"/>
                <w:lang w:eastAsia="en-US"/>
              </w:rPr>
              <w:t>Method/Value</w:t>
            </w:r>
          </w:p>
        </w:tc>
        <w:tc>
          <w:tcPr>
            <w:tcW w:w="1465" w:type="pct"/>
          </w:tcPr>
          <w:p w14:paraId="5C450115" w14:textId="77777777" w:rsidR="00C31E54" w:rsidRPr="00A83BB0" w:rsidRDefault="00C31E54" w:rsidP="00EC16AC">
            <w:pPr>
              <w:pStyle w:val="TableHeading"/>
              <w:rPr>
                <w:snapToGrid w:val="0"/>
                <w:lang w:eastAsia="en-US"/>
              </w:rPr>
            </w:pPr>
            <w:r w:rsidRPr="00A83BB0">
              <w:rPr>
                <w:snapToGrid w:val="0"/>
                <w:lang w:eastAsia="en-US"/>
              </w:rPr>
              <w:t>Impact</w:t>
            </w:r>
          </w:p>
        </w:tc>
      </w:tr>
      <w:tr w:rsidR="00C31E54" w:rsidRPr="00A83BB0" w14:paraId="66C5ACC3" w14:textId="77777777" w:rsidTr="008D5FAC">
        <w:trPr>
          <w:tblHeader/>
        </w:trPr>
        <w:tc>
          <w:tcPr>
            <w:tcW w:w="941" w:type="pct"/>
          </w:tcPr>
          <w:p w14:paraId="758A788B" w14:textId="77777777" w:rsidR="00C31E54" w:rsidRPr="00A83BB0" w:rsidRDefault="00C31E54" w:rsidP="00EC16AC">
            <w:pPr>
              <w:pStyle w:val="Tabletext0"/>
              <w:rPr>
                <w:snapToGrid w:val="0"/>
                <w:lang w:eastAsia="en-US"/>
              </w:rPr>
            </w:pPr>
            <w:r>
              <w:rPr>
                <w:snapToGrid w:val="0"/>
                <w:lang w:eastAsia="en-US"/>
              </w:rPr>
              <w:t xml:space="preserve">Hospital </w:t>
            </w:r>
            <w:r w:rsidRPr="00F50440">
              <w:rPr>
                <w:snapToGrid w:val="0"/>
                <w:lang w:eastAsia="en-US"/>
              </w:rPr>
              <w:t xml:space="preserve">days for </w:t>
            </w:r>
            <w:r>
              <w:rPr>
                <w:snapToGrid w:val="0"/>
                <w:lang w:eastAsia="en-US"/>
              </w:rPr>
              <w:t>intervention and comparator</w:t>
            </w:r>
          </w:p>
        </w:tc>
        <w:tc>
          <w:tcPr>
            <w:tcW w:w="2594" w:type="pct"/>
          </w:tcPr>
          <w:p w14:paraId="5C3F656E" w14:textId="77777777" w:rsidR="00C31E54" w:rsidRPr="00A83BB0" w:rsidRDefault="00C31E54" w:rsidP="00EC16AC">
            <w:pPr>
              <w:pStyle w:val="Tabletext0"/>
              <w:rPr>
                <w:snapToGrid w:val="0"/>
                <w:lang w:eastAsia="en-US"/>
              </w:rPr>
            </w:pPr>
            <w:r>
              <w:rPr>
                <w:snapToGrid w:val="0"/>
                <w:lang w:eastAsia="en-US"/>
              </w:rPr>
              <w:t xml:space="preserve">The average days for overnight inpatient stay was taken from Law et al. (2016) and is similar the AR-DRG for </w:t>
            </w:r>
            <w:r w:rsidRPr="005040BE">
              <w:rPr>
                <w:snapToGrid w:val="0"/>
                <w:lang w:eastAsia="en-US"/>
              </w:rPr>
              <w:t>G02C Major Small and Large Bowel Procedures, Minor Complexity</w:t>
            </w:r>
            <w:r>
              <w:rPr>
                <w:snapToGrid w:val="0"/>
                <w:lang w:eastAsia="en-US"/>
              </w:rPr>
              <w:t xml:space="preserve">. </w:t>
            </w:r>
          </w:p>
        </w:tc>
        <w:tc>
          <w:tcPr>
            <w:tcW w:w="1465" w:type="pct"/>
          </w:tcPr>
          <w:p w14:paraId="07230D66" w14:textId="77777777" w:rsidR="00C31E54" w:rsidRPr="00A83BB0" w:rsidRDefault="00C31E54" w:rsidP="00EC16AC">
            <w:pPr>
              <w:pStyle w:val="Tabletext0"/>
              <w:rPr>
                <w:snapToGrid w:val="0"/>
                <w:lang w:eastAsia="en-US"/>
              </w:rPr>
            </w:pPr>
            <w:r>
              <w:rPr>
                <w:snapToGrid w:val="0"/>
                <w:lang w:eastAsia="en-US"/>
              </w:rPr>
              <w:t xml:space="preserve">Reductions in the assumed number of hospital days and mortality for LR have the largest impact on the estimated ICER. Changes to hospital stay included in the sensitivity analyses of only 2 days does not change model results as EMR has a stay of 1 day. </w:t>
            </w:r>
          </w:p>
        </w:tc>
      </w:tr>
      <w:tr w:rsidR="00C31E54" w:rsidRPr="00A83BB0" w14:paraId="4144CC8F" w14:textId="77777777" w:rsidTr="008D5FAC">
        <w:trPr>
          <w:tblHeader/>
        </w:trPr>
        <w:tc>
          <w:tcPr>
            <w:tcW w:w="941" w:type="pct"/>
          </w:tcPr>
          <w:p w14:paraId="4881A336" w14:textId="77777777" w:rsidR="00C31E54" w:rsidRPr="00A83BB0" w:rsidRDefault="00C31E54" w:rsidP="00EC16AC">
            <w:pPr>
              <w:pStyle w:val="Tabletext0"/>
              <w:rPr>
                <w:snapToGrid w:val="0"/>
                <w:lang w:eastAsia="en-US"/>
              </w:rPr>
            </w:pPr>
            <w:r>
              <w:rPr>
                <w:snapToGrid w:val="0"/>
                <w:lang w:eastAsia="en-US"/>
              </w:rPr>
              <w:t>Cost of the proposed EMR Item Number</w:t>
            </w:r>
          </w:p>
        </w:tc>
        <w:tc>
          <w:tcPr>
            <w:tcW w:w="2594" w:type="pct"/>
          </w:tcPr>
          <w:p w14:paraId="305F1773" w14:textId="77777777" w:rsidR="00C31E54" w:rsidRPr="00A83BB0" w:rsidRDefault="00C31E54" w:rsidP="00EC16AC">
            <w:pPr>
              <w:pStyle w:val="Tabletext0"/>
              <w:rPr>
                <w:snapToGrid w:val="0"/>
                <w:lang w:eastAsia="en-US"/>
              </w:rPr>
            </w:pPr>
            <w:r w:rsidRPr="002D3C65">
              <w:rPr>
                <w:snapToGrid w:val="0"/>
                <w:lang w:eastAsia="en-US"/>
              </w:rPr>
              <w:t xml:space="preserve">PASC noted that the applicant has proposed a fee of $1,750 for EMR; however, it was not clear how that figure was derived. </w:t>
            </w:r>
          </w:p>
        </w:tc>
        <w:tc>
          <w:tcPr>
            <w:tcW w:w="1465" w:type="pct"/>
          </w:tcPr>
          <w:p w14:paraId="4B135F88" w14:textId="5137662A" w:rsidR="00C31E54" w:rsidRPr="00A83BB0" w:rsidRDefault="00C31E54" w:rsidP="00980CF5">
            <w:pPr>
              <w:pStyle w:val="Tabletext0"/>
              <w:rPr>
                <w:snapToGrid w:val="0"/>
                <w:lang w:eastAsia="en-US"/>
              </w:rPr>
            </w:pPr>
            <w:r>
              <w:rPr>
                <w:snapToGrid w:val="0"/>
                <w:lang w:eastAsia="en-US"/>
              </w:rPr>
              <w:t xml:space="preserve">A reduction in the EMR fee favours the </w:t>
            </w:r>
            <w:r w:rsidR="00980CF5">
              <w:rPr>
                <w:i/>
                <w:snapToGrid w:val="0"/>
                <w:lang w:eastAsia="en-US"/>
              </w:rPr>
              <w:t>intervention</w:t>
            </w:r>
            <w:r>
              <w:rPr>
                <w:snapToGrid w:val="0"/>
                <w:lang w:eastAsia="en-US"/>
              </w:rPr>
              <w:t>. It is the largest single cost item in the EMR budget and equal to all costs in Jayanna et al. (2016)</w:t>
            </w:r>
            <w:r w:rsidR="00AC446B">
              <w:rPr>
                <w:rStyle w:val="FootnoteReference"/>
                <w:snapToGrid w:val="0"/>
                <w:lang w:eastAsia="en-US"/>
              </w:rPr>
              <w:footnoteReference w:id="8"/>
            </w:r>
            <w:r>
              <w:rPr>
                <w:snapToGrid w:val="0"/>
                <w:lang w:eastAsia="en-US"/>
              </w:rPr>
              <w:t>. The reduction does not change results.</w:t>
            </w:r>
          </w:p>
        </w:tc>
      </w:tr>
      <w:tr w:rsidR="00C31E54" w:rsidRPr="00A83BB0" w14:paraId="535FA89C" w14:textId="77777777" w:rsidTr="008D5FAC">
        <w:trPr>
          <w:tblHeader/>
        </w:trPr>
        <w:tc>
          <w:tcPr>
            <w:tcW w:w="941" w:type="pct"/>
          </w:tcPr>
          <w:p w14:paraId="07684FDC" w14:textId="77777777" w:rsidR="00C31E54" w:rsidRPr="00A83BB0" w:rsidRDefault="00C31E54" w:rsidP="00EC16AC">
            <w:pPr>
              <w:pStyle w:val="Tabletext0"/>
              <w:rPr>
                <w:snapToGrid w:val="0"/>
                <w:lang w:eastAsia="en-US"/>
              </w:rPr>
            </w:pPr>
            <w:r>
              <w:rPr>
                <w:snapToGrid w:val="0"/>
                <w:lang w:eastAsia="en-US"/>
              </w:rPr>
              <w:t>Recurrence rate for EMR</w:t>
            </w:r>
          </w:p>
        </w:tc>
        <w:tc>
          <w:tcPr>
            <w:tcW w:w="2594" w:type="pct"/>
          </w:tcPr>
          <w:p w14:paraId="47CC7075" w14:textId="77777777" w:rsidR="00C31E54" w:rsidRPr="00A83BB0" w:rsidRDefault="00C31E54" w:rsidP="00EC16AC">
            <w:pPr>
              <w:pStyle w:val="Tabletext0"/>
              <w:rPr>
                <w:snapToGrid w:val="0"/>
                <w:lang w:eastAsia="en-US"/>
              </w:rPr>
            </w:pPr>
            <w:r w:rsidRPr="0057707F">
              <w:rPr>
                <w:snapToGrid w:val="0"/>
                <w:lang w:eastAsia="en-US"/>
              </w:rPr>
              <w:t xml:space="preserve">Sidhu et al. (2018) found 16.1% </w:t>
            </w:r>
            <w:r>
              <w:rPr>
                <w:snapToGrid w:val="0"/>
                <w:lang w:eastAsia="en-US"/>
              </w:rPr>
              <w:t xml:space="preserve">recurrence </w:t>
            </w:r>
            <w:r w:rsidRPr="0057707F">
              <w:rPr>
                <w:snapToGrid w:val="0"/>
                <w:lang w:eastAsia="en-US"/>
              </w:rPr>
              <w:t>at 4-6 months</w:t>
            </w:r>
            <w:r>
              <w:rPr>
                <w:snapToGrid w:val="0"/>
                <w:lang w:eastAsia="en-US"/>
              </w:rPr>
              <w:t xml:space="preserve"> for EMR</w:t>
            </w:r>
            <w:r w:rsidRPr="0057707F">
              <w:rPr>
                <w:snapToGrid w:val="0"/>
                <w:lang w:eastAsia="en-US"/>
              </w:rPr>
              <w:t>. This is converted to a monthly rate for the model</w:t>
            </w:r>
            <w:r>
              <w:rPr>
                <w:snapToGrid w:val="0"/>
                <w:lang w:eastAsia="en-US"/>
              </w:rPr>
              <w:t xml:space="preserve"> and compared to zero recurrence for LR. Higher recurrence results in higher follow-on costs, as further procedures are required to that for the index EMR.</w:t>
            </w:r>
          </w:p>
        </w:tc>
        <w:tc>
          <w:tcPr>
            <w:tcW w:w="1465" w:type="pct"/>
          </w:tcPr>
          <w:p w14:paraId="09030190" w14:textId="77777777" w:rsidR="00C31E54" w:rsidRPr="00A83BB0" w:rsidRDefault="00C31E54" w:rsidP="00EC16AC">
            <w:pPr>
              <w:pStyle w:val="Tabletext0"/>
              <w:rPr>
                <w:snapToGrid w:val="0"/>
                <w:lang w:eastAsia="en-US"/>
              </w:rPr>
            </w:pPr>
            <w:r>
              <w:rPr>
                <w:snapToGrid w:val="0"/>
                <w:lang w:eastAsia="en-US"/>
              </w:rPr>
              <w:t>Despite the higher recurrence rate for EMR, changes in this assumption are not enough to change model results. The cost difference between EMR and LR is large.</w:t>
            </w:r>
          </w:p>
        </w:tc>
      </w:tr>
    </w:tbl>
    <w:p w14:paraId="17D44476" w14:textId="77777777" w:rsidR="00C31E54" w:rsidRPr="003C23B3" w:rsidRDefault="00C31E54" w:rsidP="00C31E54">
      <w:pPr>
        <w:pStyle w:val="Tablenotes0"/>
      </w:pPr>
      <w:r>
        <w:t>Source: Table 75, p148 of DCAR</w:t>
      </w:r>
    </w:p>
    <w:p w14:paraId="455329E6" w14:textId="7FC1273B" w:rsidR="00C31E54" w:rsidRDefault="00C31E54" w:rsidP="00C31E54">
      <w:pPr>
        <w:pStyle w:val="Tablenotes0"/>
      </w:pPr>
      <w:r w:rsidRPr="008B6220">
        <w:rPr>
          <w:b/>
        </w:rPr>
        <w:t>Abbreviations</w:t>
      </w:r>
      <w:r>
        <w:t>: EMR = endoscopic mucosal resection; AR-DRG =Australian refined diagnosis related groups; G</w:t>
      </w:r>
      <w:r w:rsidRPr="005040BE">
        <w:rPr>
          <w:snapToGrid w:val="0"/>
        </w:rPr>
        <w:t>02C</w:t>
      </w:r>
      <w:r>
        <w:rPr>
          <w:snapToGrid w:val="0"/>
        </w:rPr>
        <w:t xml:space="preserve"> = Major small and large bowel procedures, minor complexity (AR-DRG v.9 code); LR = laparoscopic resection; </w:t>
      </w:r>
      <w:r w:rsidRPr="00183E4D">
        <w:t>ICER = Incremental Cost Effectiveness Ratio</w:t>
      </w:r>
      <w:r>
        <w:t xml:space="preserve">’ PASC = PICO Confirmation </w:t>
      </w:r>
      <w:r w:rsidRPr="00183E4D">
        <w:t>Advisory Sub</w:t>
      </w:r>
      <w:r>
        <w:t>-</w:t>
      </w:r>
      <w:r w:rsidRPr="00183E4D">
        <w:t>Committee</w:t>
      </w:r>
      <w:r>
        <w:t>.</w:t>
      </w:r>
    </w:p>
    <w:p w14:paraId="0A7A322B" w14:textId="4E197D1A" w:rsidR="00BC25D2" w:rsidRPr="00980CF5" w:rsidRDefault="00980CF5" w:rsidP="00980CF5">
      <w:pPr>
        <w:pStyle w:val="Tablenotes0"/>
        <w:rPr>
          <w:i/>
        </w:rPr>
      </w:pPr>
      <w:r w:rsidRPr="00980CF5">
        <w:rPr>
          <w:i/>
        </w:rPr>
        <w:t>Italics represents corrected by Department</w:t>
      </w:r>
    </w:p>
    <w:p w14:paraId="70BB96D6" w14:textId="1D9BB11F" w:rsidR="00BC25D2" w:rsidRDefault="00BC25D2" w:rsidP="00BC25D2">
      <w:pPr>
        <w:pStyle w:val="Heading2"/>
      </w:pPr>
      <w:r>
        <w:t>Post ESC revised MBS fee</w:t>
      </w:r>
    </w:p>
    <w:p w14:paraId="3992C31B" w14:textId="3AC776AB" w:rsidR="00BC25D2" w:rsidRDefault="00BC25D2" w:rsidP="00BC25D2">
      <w:r>
        <w:t xml:space="preserve">The base case economic model was updated by the Department to reflect the applicant’s revised fee for EMR of $1,000 (from $1,750). </w:t>
      </w:r>
      <w:r w:rsidR="002424EB">
        <w:t>Expectantly</w:t>
      </w:r>
      <w:r w:rsidR="00352B34">
        <w:t>,</w:t>
      </w:r>
      <w:r w:rsidR="002424EB">
        <w:t xml:space="preserve"> the ICER remained dominant</w:t>
      </w:r>
      <w:r w:rsidR="008013DF">
        <w:t xml:space="preserve"> (</w:t>
      </w:r>
      <w:r w:rsidR="00E701BF" w:rsidRPr="004A47B4">
        <w:rPr>
          <w:szCs w:val="24"/>
        </w:rPr>
        <w:fldChar w:fldCharType="begin"/>
      </w:r>
      <w:r w:rsidR="00E701BF" w:rsidRPr="004A47B4">
        <w:rPr>
          <w:szCs w:val="24"/>
        </w:rPr>
        <w:instrText xml:space="preserve"> REF _Ref51158348 \h </w:instrText>
      </w:r>
      <w:r w:rsidR="004A47B4" w:rsidRPr="004A47B4">
        <w:rPr>
          <w:szCs w:val="24"/>
        </w:rPr>
        <w:instrText xml:space="preserve"> \* MERGEFORMAT </w:instrText>
      </w:r>
      <w:r w:rsidR="00E701BF" w:rsidRPr="004A47B4">
        <w:rPr>
          <w:szCs w:val="24"/>
        </w:rPr>
      </w:r>
      <w:r w:rsidR="00E701BF" w:rsidRPr="004A47B4">
        <w:rPr>
          <w:szCs w:val="24"/>
        </w:rPr>
        <w:fldChar w:fldCharType="separate"/>
      </w:r>
      <w:r w:rsidR="00E701BF" w:rsidRPr="004A47B4">
        <w:rPr>
          <w:szCs w:val="24"/>
        </w:rPr>
        <w:t>Table 7</w:t>
      </w:r>
      <w:r w:rsidR="00E701BF" w:rsidRPr="004A47B4">
        <w:rPr>
          <w:szCs w:val="24"/>
        </w:rPr>
        <w:fldChar w:fldCharType="end"/>
      </w:r>
      <w:r w:rsidR="008013DF">
        <w:t>)</w:t>
      </w:r>
      <w:r w:rsidR="002424EB">
        <w:t xml:space="preserve">, with </w:t>
      </w:r>
      <w:r w:rsidR="009430CD">
        <w:t>higher savings of</w:t>
      </w:r>
      <w:r w:rsidR="002424EB">
        <w:t xml:space="preserve"> $12,854 per patient (from $11,983) in the one year model; and $12,647</w:t>
      </w:r>
      <w:r w:rsidR="009430CD">
        <w:t xml:space="preserve"> in the base case model</w:t>
      </w:r>
      <w:r w:rsidR="002424EB">
        <w:t xml:space="preserve"> (from $11,756)</w:t>
      </w:r>
      <w:r w:rsidR="009430CD">
        <w:t>.</w:t>
      </w:r>
    </w:p>
    <w:p w14:paraId="5AEBB4BB" w14:textId="15A0A3C0" w:rsidR="00BC25D2" w:rsidRPr="00E701BF" w:rsidRDefault="00E701BF" w:rsidP="00E701BF">
      <w:pPr>
        <w:spacing w:before="240"/>
        <w:rPr>
          <w:rFonts w:ascii="Arial Narrow" w:hAnsi="Arial Narrow"/>
          <w:b/>
          <w:sz w:val="20"/>
        </w:rPr>
      </w:pPr>
      <w:bookmarkStart w:id="30" w:name="_Ref51158348"/>
      <w:r w:rsidRPr="00E701BF">
        <w:rPr>
          <w:rFonts w:ascii="Arial Narrow" w:hAnsi="Arial Narrow"/>
          <w:b/>
          <w:sz w:val="20"/>
        </w:rPr>
        <w:t xml:space="preserve">Table </w:t>
      </w:r>
      <w:r w:rsidRPr="00E701BF">
        <w:rPr>
          <w:rFonts w:ascii="Arial Narrow" w:hAnsi="Arial Narrow"/>
          <w:b/>
          <w:sz w:val="20"/>
        </w:rPr>
        <w:fldChar w:fldCharType="begin"/>
      </w:r>
      <w:r w:rsidRPr="00E701BF">
        <w:rPr>
          <w:rFonts w:ascii="Arial Narrow" w:hAnsi="Arial Narrow"/>
          <w:b/>
          <w:sz w:val="20"/>
        </w:rPr>
        <w:instrText xml:space="preserve"> SEQ Table \* ARABIC </w:instrText>
      </w:r>
      <w:r w:rsidRPr="00E701BF">
        <w:rPr>
          <w:rFonts w:ascii="Arial Narrow" w:hAnsi="Arial Narrow"/>
          <w:b/>
          <w:sz w:val="20"/>
        </w:rPr>
        <w:fldChar w:fldCharType="separate"/>
      </w:r>
      <w:r w:rsidR="00376352">
        <w:rPr>
          <w:rFonts w:ascii="Arial Narrow" w:hAnsi="Arial Narrow"/>
          <w:b/>
          <w:noProof/>
          <w:sz w:val="20"/>
        </w:rPr>
        <w:t>7</w:t>
      </w:r>
      <w:r w:rsidRPr="00E701BF">
        <w:rPr>
          <w:rFonts w:ascii="Arial Narrow" w:hAnsi="Arial Narrow"/>
          <w:b/>
          <w:sz w:val="20"/>
        </w:rPr>
        <w:fldChar w:fldCharType="end"/>
      </w:r>
      <w:bookmarkEnd w:id="30"/>
      <w:r w:rsidR="00BC25D2" w:rsidRPr="00E701BF">
        <w:rPr>
          <w:rFonts w:ascii="Arial Narrow" w:hAnsi="Arial Narrow"/>
          <w:b/>
          <w:sz w:val="20"/>
        </w:rPr>
        <w:tab/>
        <w:t>Incremental Cost Effectiveness Ratio</w:t>
      </w:r>
      <w:r w:rsidR="00EC3CF2" w:rsidRPr="00E701BF">
        <w:rPr>
          <w:rFonts w:ascii="Arial Narrow" w:hAnsi="Arial Narrow"/>
          <w:b/>
          <w:sz w:val="20"/>
        </w:rPr>
        <w:t>:</w:t>
      </w:r>
      <w:r w:rsidR="002424EB" w:rsidRPr="00E701BF">
        <w:rPr>
          <w:rFonts w:ascii="Arial Narrow" w:hAnsi="Arial Narrow"/>
          <w:b/>
          <w:sz w:val="20"/>
        </w:rPr>
        <w:t xml:space="preserve"> applicant’s revised fee of $1,000 (from $1,750)</w:t>
      </w:r>
    </w:p>
    <w:tbl>
      <w:tblPr>
        <w:tblStyle w:val="TableGrid"/>
        <w:tblW w:w="5000" w:type="pct"/>
        <w:tblLook w:val="04A0" w:firstRow="1" w:lastRow="0" w:firstColumn="1" w:lastColumn="0" w:noHBand="0" w:noVBand="1"/>
        <w:tblDescription w:val="Incremental Cost Effectiveness Ratio: applicant’s revised fee of $1,000 (from $1,750)"/>
      </w:tblPr>
      <w:tblGrid>
        <w:gridCol w:w="2978"/>
        <w:gridCol w:w="1190"/>
        <w:gridCol w:w="1217"/>
        <w:gridCol w:w="1349"/>
        <w:gridCol w:w="1332"/>
        <w:gridCol w:w="950"/>
      </w:tblGrid>
      <w:tr w:rsidR="00BC25D2" w:rsidRPr="00F92012" w14:paraId="5D67D5DF" w14:textId="77777777" w:rsidTr="008D5FAC">
        <w:trPr>
          <w:trHeight w:val="645"/>
          <w:tblHeader/>
        </w:trPr>
        <w:tc>
          <w:tcPr>
            <w:tcW w:w="1226" w:type="pct"/>
            <w:shd w:val="clear" w:color="auto" w:fill="D9D9D9" w:themeFill="background1" w:themeFillShade="D9"/>
            <w:hideMark/>
          </w:tcPr>
          <w:p w14:paraId="1F814B31" w14:textId="77777777" w:rsidR="00BC25D2" w:rsidRPr="00F92012" w:rsidRDefault="00BC25D2" w:rsidP="00A90165">
            <w:pPr>
              <w:pStyle w:val="Tableheading0"/>
              <w:rPr>
                <w:rFonts w:cs="Calibri"/>
                <w:b w:val="0"/>
                <w:bCs/>
              </w:rPr>
            </w:pPr>
            <w:r w:rsidRPr="00F92012">
              <w:t> </w:t>
            </w:r>
          </w:p>
        </w:tc>
        <w:tc>
          <w:tcPr>
            <w:tcW w:w="822" w:type="pct"/>
            <w:shd w:val="clear" w:color="auto" w:fill="D9D9D9" w:themeFill="background1" w:themeFillShade="D9"/>
            <w:hideMark/>
          </w:tcPr>
          <w:p w14:paraId="3E2E67CC" w14:textId="77777777" w:rsidR="00BC25D2" w:rsidRPr="00F92012" w:rsidRDefault="00BC25D2" w:rsidP="00A90165">
            <w:pPr>
              <w:pStyle w:val="Tableheading0"/>
              <w:rPr>
                <w:rFonts w:cs="Calibri"/>
                <w:b w:val="0"/>
                <w:bCs/>
              </w:rPr>
            </w:pPr>
            <w:r w:rsidRPr="00F92012">
              <w:t>Discounted cost</w:t>
            </w:r>
          </w:p>
        </w:tc>
        <w:tc>
          <w:tcPr>
            <w:tcW w:w="725" w:type="pct"/>
            <w:shd w:val="clear" w:color="auto" w:fill="D9D9D9" w:themeFill="background1" w:themeFillShade="D9"/>
            <w:hideMark/>
          </w:tcPr>
          <w:p w14:paraId="1550E483" w14:textId="77777777" w:rsidR="00BC25D2" w:rsidRPr="00F92012" w:rsidRDefault="00BC25D2" w:rsidP="00A90165">
            <w:pPr>
              <w:pStyle w:val="Tableheading0"/>
              <w:rPr>
                <w:rFonts w:cs="Calibri"/>
                <w:b w:val="0"/>
                <w:bCs/>
              </w:rPr>
            </w:pPr>
            <w:r w:rsidRPr="00F92012">
              <w:t>Incremental cost</w:t>
            </w:r>
          </w:p>
        </w:tc>
        <w:tc>
          <w:tcPr>
            <w:tcW w:w="805" w:type="pct"/>
            <w:shd w:val="clear" w:color="auto" w:fill="D9D9D9" w:themeFill="background1" w:themeFillShade="D9"/>
            <w:hideMark/>
          </w:tcPr>
          <w:p w14:paraId="5B5B428A" w14:textId="77777777" w:rsidR="00BC25D2" w:rsidRPr="00F92012" w:rsidRDefault="00BC25D2" w:rsidP="00A90165">
            <w:pPr>
              <w:pStyle w:val="Tableheading0"/>
              <w:rPr>
                <w:rFonts w:cs="Calibri"/>
                <w:b w:val="0"/>
                <w:bCs/>
              </w:rPr>
            </w:pPr>
            <w:r w:rsidRPr="00F92012">
              <w:t>Effectiveness (QALYs)</w:t>
            </w:r>
          </w:p>
        </w:tc>
        <w:tc>
          <w:tcPr>
            <w:tcW w:w="857" w:type="pct"/>
            <w:shd w:val="clear" w:color="auto" w:fill="D9D9D9" w:themeFill="background1" w:themeFillShade="D9"/>
            <w:hideMark/>
          </w:tcPr>
          <w:p w14:paraId="571496E0" w14:textId="77777777" w:rsidR="00BC25D2" w:rsidRPr="00F92012" w:rsidRDefault="00BC25D2" w:rsidP="00A90165">
            <w:pPr>
              <w:pStyle w:val="Tableheading0"/>
              <w:rPr>
                <w:rFonts w:cs="Calibri"/>
                <w:b w:val="0"/>
                <w:bCs/>
              </w:rPr>
            </w:pPr>
            <w:r w:rsidRPr="00F92012">
              <w:t>Incremental effectiveness</w:t>
            </w:r>
          </w:p>
        </w:tc>
        <w:tc>
          <w:tcPr>
            <w:tcW w:w="565" w:type="pct"/>
            <w:shd w:val="clear" w:color="auto" w:fill="D9D9D9" w:themeFill="background1" w:themeFillShade="D9"/>
            <w:hideMark/>
          </w:tcPr>
          <w:p w14:paraId="4BECFB0C" w14:textId="77777777" w:rsidR="00BC25D2" w:rsidRPr="00F92012" w:rsidRDefault="00BC25D2" w:rsidP="00A90165">
            <w:pPr>
              <w:pStyle w:val="Tableheading0"/>
              <w:rPr>
                <w:rFonts w:cs="Calibri"/>
                <w:b w:val="0"/>
                <w:bCs/>
              </w:rPr>
            </w:pPr>
            <w:r w:rsidRPr="00F92012">
              <w:t>ICER</w:t>
            </w:r>
          </w:p>
        </w:tc>
      </w:tr>
      <w:tr w:rsidR="00BC25D2" w:rsidRPr="00F92012" w14:paraId="0700A2F0" w14:textId="77777777" w:rsidTr="008D5FAC">
        <w:trPr>
          <w:trHeight w:val="255"/>
        </w:trPr>
        <w:tc>
          <w:tcPr>
            <w:tcW w:w="1226" w:type="pct"/>
            <w:shd w:val="clear" w:color="auto" w:fill="D9D9D9" w:themeFill="background1" w:themeFillShade="D9"/>
            <w:noWrap/>
            <w:hideMark/>
          </w:tcPr>
          <w:p w14:paraId="7384B608" w14:textId="77777777" w:rsidR="00BC25D2" w:rsidRPr="00C03551" w:rsidRDefault="00BC25D2" w:rsidP="00A90165">
            <w:pPr>
              <w:pStyle w:val="Tabletext0"/>
              <w:rPr>
                <w:rFonts w:cs="Calibri"/>
                <w:b/>
              </w:rPr>
            </w:pPr>
            <w:r w:rsidRPr="00C03551">
              <w:rPr>
                <w:b/>
              </w:rPr>
              <w:t>1 year</w:t>
            </w:r>
          </w:p>
        </w:tc>
        <w:tc>
          <w:tcPr>
            <w:tcW w:w="822" w:type="pct"/>
            <w:shd w:val="clear" w:color="auto" w:fill="D9D9D9" w:themeFill="background1" w:themeFillShade="D9"/>
            <w:noWrap/>
            <w:hideMark/>
          </w:tcPr>
          <w:p w14:paraId="454851EF" w14:textId="77777777" w:rsidR="00BC25D2" w:rsidRPr="00F92012" w:rsidRDefault="00BC25D2" w:rsidP="00A90165">
            <w:pPr>
              <w:pStyle w:val="Tabletext0"/>
            </w:pPr>
          </w:p>
        </w:tc>
        <w:tc>
          <w:tcPr>
            <w:tcW w:w="725" w:type="pct"/>
            <w:shd w:val="clear" w:color="auto" w:fill="D9D9D9" w:themeFill="background1" w:themeFillShade="D9"/>
            <w:noWrap/>
            <w:hideMark/>
          </w:tcPr>
          <w:p w14:paraId="027C0F93" w14:textId="77777777" w:rsidR="00BC25D2" w:rsidRPr="00F92012" w:rsidRDefault="00BC25D2" w:rsidP="00A90165">
            <w:pPr>
              <w:pStyle w:val="Tabletext0"/>
            </w:pPr>
          </w:p>
        </w:tc>
        <w:tc>
          <w:tcPr>
            <w:tcW w:w="805" w:type="pct"/>
            <w:shd w:val="clear" w:color="auto" w:fill="D9D9D9" w:themeFill="background1" w:themeFillShade="D9"/>
            <w:noWrap/>
            <w:hideMark/>
          </w:tcPr>
          <w:p w14:paraId="6C6E3465" w14:textId="77777777" w:rsidR="00BC25D2" w:rsidRPr="00F92012" w:rsidRDefault="00BC25D2" w:rsidP="00A90165">
            <w:pPr>
              <w:pStyle w:val="Tabletext0"/>
            </w:pPr>
          </w:p>
        </w:tc>
        <w:tc>
          <w:tcPr>
            <w:tcW w:w="857" w:type="pct"/>
            <w:shd w:val="clear" w:color="auto" w:fill="D9D9D9" w:themeFill="background1" w:themeFillShade="D9"/>
            <w:noWrap/>
            <w:hideMark/>
          </w:tcPr>
          <w:p w14:paraId="5ADCF729" w14:textId="77777777" w:rsidR="00BC25D2" w:rsidRPr="00F92012" w:rsidRDefault="00BC25D2" w:rsidP="00A90165">
            <w:pPr>
              <w:pStyle w:val="Tabletext0"/>
            </w:pPr>
          </w:p>
        </w:tc>
        <w:tc>
          <w:tcPr>
            <w:tcW w:w="565" w:type="pct"/>
            <w:shd w:val="clear" w:color="auto" w:fill="D9D9D9" w:themeFill="background1" w:themeFillShade="D9"/>
            <w:noWrap/>
            <w:hideMark/>
          </w:tcPr>
          <w:p w14:paraId="6A02C306" w14:textId="77777777" w:rsidR="00BC25D2" w:rsidRPr="00F92012" w:rsidRDefault="00BC25D2" w:rsidP="00A90165">
            <w:pPr>
              <w:pStyle w:val="Tabletext0"/>
            </w:pPr>
          </w:p>
        </w:tc>
      </w:tr>
      <w:tr w:rsidR="00BC25D2" w:rsidRPr="00F92012" w14:paraId="09D38298" w14:textId="77777777" w:rsidTr="008D5FAC">
        <w:trPr>
          <w:trHeight w:val="255"/>
        </w:trPr>
        <w:tc>
          <w:tcPr>
            <w:tcW w:w="1226" w:type="pct"/>
            <w:noWrap/>
            <w:hideMark/>
          </w:tcPr>
          <w:p w14:paraId="3E7777ED" w14:textId="77777777" w:rsidR="00BC25D2" w:rsidRPr="00F92012" w:rsidRDefault="00BC25D2" w:rsidP="00A90165">
            <w:pPr>
              <w:pStyle w:val="Tabletext0"/>
            </w:pPr>
            <w:r w:rsidRPr="00F92012">
              <w:rPr>
                <w:rFonts w:cs="Calibri"/>
              </w:rPr>
              <w:t>Endoscopic Mucosal Resection (EMR)</w:t>
            </w:r>
          </w:p>
        </w:tc>
        <w:tc>
          <w:tcPr>
            <w:tcW w:w="822" w:type="pct"/>
            <w:noWrap/>
            <w:hideMark/>
          </w:tcPr>
          <w:p w14:paraId="0840956B" w14:textId="2D0A8BC9" w:rsidR="00BC25D2" w:rsidRPr="002424EB" w:rsidRDefault="002424EB" w:rsidP="00A90165">
            <w:pPr>
              <w:pStyle w:val="Tabletext0"/>
              <w:rPr>
                <w:i/>
                <w:color w:val="000000"/>
              </w:rPr>
            </w:pPr>
            <w:r w:rsidRPr="002424EB">
              <w:rPr>
                <w:rFonts w:cs="Calibri"/>
                <w:i/>
                <w:color w:val="000000"/>
              </w:rPr>
              <w:t>7,274</w:t>
            </w:r>
          </w:p>
        </w:tc>
        <w:tc>
          <w:tcPr>
            <w:tcW w:w="725" w:type="pct"/>
            <w:noWrap/>
            <w:hideMark/>
          </w:tcPr>
          <w:p w14:paraId="30B0E6F0" w14:textId="1580D693" w:rsidR="00BC25D2" w:rsidRPr="002424EB" w:rsidRDefault="002424EB" w:rsidP="00A90165">
            <w:pPr>
              <w:pStyle w:val="Tabletext0"/>
              <w:rPr>
                <w:i/>
                <w:color w:val="000000"/>
              </w:rPr>
            </w:pPr>
            <w:r w:rsidRPr="002424EB">
              <w:rPr>
                <w:rFonts w:cs="Calibri"/>
                <w:i/>
                <w:color w:val="000000"/>
              </w:rPr>
              <w:t>-12,854</w:t>
            </w:r>
          </w:p>
        </w:tc>
        <w:tc>
          <w:tcPr>
            <w:tcW w:w="805" w:type="pct"/>
            <w:noWrap/>
            <w:hideMark/>
          </w:tcPr>
          <w:p w14:paraId="0D986074" w14:textId="77777777" w:rsidR="00BC25D2" w:rsidRPr="00F92012" w:rsidRDefault="00BC25D2" w:rsidP="00A90165">
            <w:pPr>
              <w:pStyle w:val="Tabletext0"/>
              <w:rPr>
                <w:color w:val="000000"/>
              </w:rPr>
            </w:pPr>
            <w:r w:rsidRPr="00F92012">
              <w:rPr>
                <w:rFonts w:cs="Calibri"/>
                <w:color w:val="000000"/>
              </w:rPr>
              <w:t>0.90</w:t>
            </w:r>
          </w:p>
        </w:tc>
        <w:tc>
          <w:tcPr>
            <w:tcW w:w="857" w:type="pct"/>
            <w:noWrap/>
            <w:hideMark/>
          </w:tcPr>
          <w:p w14:paraId="29B8FEC2" w14:textId="77777777" w:rsidR="00BC25D2" w:rsidRPr="00F92012" w:rsidRDefault="00BC25D2" w:rsidP="00A90165">
            <w:pPr>
              <w:pStyle w:val="Tabletext0"/>
              <w:rPr>
                <w:color w:val="000000"/>
              </w:rPr>
            </w:pPr>
            <w:r w:rsidRPr="00F92012">
              <w:rPr>
                <w:rFonts w:cs="Calibri"/>
                <w:color w:val="000000"/>
              </w:rPr>
              <w:t>0.01</w:t>
            </w:r>
          </w:p>
        </w:tc>
        <w:tc>
          <w:tcPr>
            <w:tcW w:w="565" w:type="pct"/>
            <w:noWrap/>
            <w:hideMark/>
          </w:tcPr>
          <w:p w14:paraId="3912304B" w14:textId="77777777" w:rsidR="00BC25D2" w:rsidRPr="00F92012" w:rsidRDefault="00BC25D2" w:rsidP="00A90165">
            <w:pPr>
              <w:pStyle w:val="Tabletext0"/>
              <w:rPr>
                <w:color w:val="000000"/>
              </w:rPr>
            </w:pPr>
            <w:r w:rsidRPr="00F92012">
              <w:rPr>
                <w:rFonts w:cs="Calibri"/>
                <w:color w:val="000000"/>
              </w:rPr>
              <w:t>Dominant</w:t>
            </w:r>
          </w:p>
        </w:tc>
      </w:tr>
      <w:tr w:rsidR="00BC25D2" w:rsidRPr="00F92012" w14:paraId="684D84D2" w14:textId="77777777" w:rsidTr="008D5FAC">
        <w:trPr>
          <w:trHeight w:val="255"/>
        </w:trPr>
        <w:tc>
          <w:tcPr>
            <w:tcW w:w="1226" w:type="pct"/>
            <w:noWrap/>
            <w:hideMark/>
          </w:tcPr>
          <w:p w14:paraId="1245B06D" w14:textId="77777777" w:rsidR="00BC25D2" w:rsidRPr="00F92012" w:rsidRDefault="00BC25D2" w:rsidP="00A90165">
            <w:pPr>
              <w:pStyle w:val="Tabletext0"/>
            </w:pPr>
            <w:r w:rsidRPr="00F92012">
              <w:rPr>
                <w:rFonts w:cs="Calibri"/>
              </w:rPr>
              <w:t>Surgical Resection</w:t>
            </w:r>
          </w:p>
        </w:tc>
        <w:tc>
          <w:tcPr>
            <w:tcW w:w="822" w:type="pct"/>
            <w:noWrap/>
            <w:hideMark/>
          </w:tcPr>
          <w:p w14:paraId="168E09B6" w14:textId="59211C71" w:rsidR="00BC25D2" w:rsidRPr="00F92012" w:rsidRDefault="00BC25D2" w:rsidP="00A90165">
            <w:pPr>
              <w:pStyle w:val="Tabletext0"/>
              <w:rPr>
                <w:color w:val="000000"/>
              </w:rPr>
            </w:pPr>
            <w:r w:rsidRPr="00F92012">
              <w:rPr>
                <w:rFonts w:cs="Calibri"/>
                <w:color w:val="000000"/>
              </w:rPr>
              <w:t>20,128</w:t>
            </w:r>
          </w:p>
        </w:tc>
        <w:tc>
          <w:tcPr>
            <w:tcW w:w="725" w:type="pct"/>
            <w:noWrap/>
            <w:hideMark/>
          </w:tcPr>
          <w:p w14:paraId="621742DD" w14:textId="77777777" w:rsidR="00BC25D2" w:rsidRPr="00F92012" w:rsidRDefault="00BC25D2" w:rsidP="00A90165">
            <w:pPr>
              <w:pStyle w:val="Tabletext0"/>
              <w:rPr>
                <w:color w:val="000000"/>
              </w:rPr>
            </w:pPr>
            <w:r w:rsidRPr="00F92012">
              <w:rPr>
                <w:rFonts w:cs="Calibri"/>
                <w:color w:val="000000"/>
              </w:rPr>
              <w:t> </w:t>
            </w:r>
          </w:p>
        </w:tc>
        <w:tc>
          <w:tcPr>
            <w:tcW w:w="805" w:type="pct"/>
            <w:noWrap/>
            <w:hideMark/>
          </w:tcPr>
          <w:p w14:paraId="316CF785" w14:textId="77777777" w:rsidR="00BC25D2" w:rsidRPr="00F92012" w:rsidRDefault="00BC25D2" w:rsidP="00A90165">
            <w:pPr>
              <w:pStyle w:val="Tabletext0"/>
              <w:rPr>
                <w:color w:val="000000"/>
              </w:rPr>
            </w:pPr>
            <w:r w:rsidRPr="00F92012">
              <w:rPr>
                <w:rFonts w:cs="Calibri"/>
                <w:color w:val="000000"/>
              </w:rPr>
              <w:t>0.88</w:t>
            </w:r>
          </w:p>
        </w:tc>
        <w:tc>
          <w:tcPr>
            <w:tcW w:w="857" w:type="pct"/>
            <w:noWrap/>
            <w:hideMark/>
          </w:tcPr>
          <w:p w14:paraId="3C607DFC" w14:textId="77777777" w:rsidR="00BC25D2" w:rsidRPr="00F92012" w:rsidRDefault="00BC25D2" w:rsidP="00A90165">
            <w:pPr>
              <w:pStyle w:val="Tabletext0"/>
              <w:rPr>
                <w:color w:val="000000"/>
              </w:rPr>
            </w:pPr>
            <w:r w:rsidRPr="00F92012">
              <w:rPr>
                <w:rFonts w:cs="Calibri"/>
                <w:color w:val="000000"/>
              </w:rPr>
              <w:t> </w:t>
            </w:r>
          </w:p>
        </w:tc>
        <w:tc>
          <w:tcPr>
            <w:tcW w:w="565" w:type="pct"/>
            <w:noWrap/>
            <w:hideMark/>
          </w:tcPr>
          <w:p w14:paraId="5CCE1020" w14:textId="77777777" w:rsidR="00BC25D2" w:rsidRPr="00F92012" w:rsidRDefault="00BC25D2" w:rsidP="00A90165">
            <w:pPr>
              <w:pStyle w:val="Tabletext0"/>
              <w:rPr>
                <w:color w:val="000000"/>
              </w:rPr>
            </w:pPr>
            <w:r w:rsidRPr="00F92012">
              <w:rPr>
                <w:rFonts w:cs="Calibri"/>
                <w:color w:val="000000"/>
              </w:rPr>
              <w:t> </w:t>
            </w:r>
          </w:p>
        </w:tc>
      </w:tr>
      <w:tr w:rsidR="00BC25D2" w:rsidRPr="00F92012" w14:paraId="26FD4E7A" w14:textId="77777777" w:rsidTr="008D5FAC">
        <w:trPr>
          <w:trHeight w:val="255"/>
        </w:trPr>
        <w:tc>
          <w:tcPr>
            <w:tcW w:w="1226" w:type="pct"/>
            <w:shd w:val="clear" w:color="auto" w:fill="D9D9D9" w:themeFill="background1" w:themeFillShade="D9"/>
            <w:noWrap/>
            <w:hideMark/>
          </w:tcPr>
          <w:p w14:paraId="00ED6D65" w14:textId="77777777" w:rsidR="00BC25D2" w:rsidRPr="00F92012" w:rsidRDefault="00BC25D2" w:rsidP="00A90165">
            <w:pPr>
              <w:pStyle w:val="Tabletext0"/>
              <w:rPr>
                <w:rFonts w:cs="Calibri"/>
                <w:b/>
              </w:rPr>
            </w:pPr>
            <w:r w:rsidRPr="00F92012">
              <w:rPr>
                <w:rFonts w:cs="Calibri"/>
                <w:b/>
              </w:rPr>
              <w:t>40 months (Base case)</w:t>
            </w:r>
          </w:p>
        </w:tc>
        <w:tc>
          <w:tcPr>
            <w:tcW w:w="822" w:type="pct"/>
            <w:shd w:val="clear" w:color="auto" w:fill="D9D9D9" w:themeFill="background1" w:themeFillShade="D9"/>
            <w:noWrap/>
            <w:hideMark/>
          </w:tcPr>
          <w:p w14:paraId="2F8A6DE5" w14:textId="77777777" w:rsidR="00BC25D2" w:rsidRPr="00F92012" w:rsidRDefault="00BC25D2" w:rsidP="00A90165">
            <w:pPr>
              <w:pStyle w:val="Tabletext0"/>
              <w:rPr>
                <w:color w:val="FFFFFF"/>
              </w:rPr>
            </w:pPr>
            <w:r w:rsidRPr="00F92012">
              <w:rPr>
                <w:rFonts w:cs="Calibri"/>
                <w:color w:val="FFFFFF"/>
              </w:rPr>
              <w:t> </w:t>
            </w:r>
          </w:p>
        </w:tc>
        <w:tc>
          <w:tcPr>
            <w:tcW w:w="725" w:type="pct"/>
            <w:shd w:val="clear" w:color="auto" w:fill="D9D9D9" w:themeFill="background1" w:themeFillShade="D9"/>
            <w:noWrap/>
            <w:hideMark/>
          </w:tcPr>
          <w:p w14:paraId="6CA6B87E" w14:textId="77777777" w:rsidR="00BC25D2" w:rsidRPr="00F92012" w:rsidRDefault="00BC25D2" w:rsidP="00A90165">
            <w:pPr>
              <w:pStyle w:val="Tabletext0"/>
              <w:rPr>
                <w:color w:val="FFFFFF"/>
              </w:rPr>
            </w:pPr>
            <w:r w:rsidRPr="00F92012">
              <w:rPr>
                <w:rFonts w:cs="Calibri"/>
                <w:color w:val="FFFFFF"/>
              </w:rPr>
              <w:t> </w:t>
            </w:r>
          </w:p>
        </w:tc>
        <w:tc>
          <w:tcPr>
            <w:tcW w:w="805" w:type="pct"/>
            <w:shd w:val="clear" w:color="auto" w:fill="D9D9D9" w:themeFill="background1" w:themeFillShade="D9"/>
            <w:noWrap/>
            <w:hideMark/>
          </w:tcPr>
          <w:p w14:paraId="530097FF" w14:textId="77777777" w:rsidR="00BC25D2" w:rsidRPr="00F92012" w:rsidRDefault="00BC25D2" w:rsidP="00A90165">
            <w:pPr>
              <w:pStyle w:val="Tabletext0"/>
              <w:rPr>
                <w:color w:val="FFFFFF"/>
              </w:rPr>
            </w:pPr>
            <w:r w:rsidRPr="00F92012">
              <w:rPr>
                <w:rFonts w:cs="Calibri"/>
                <w:color w:val="FFFFFF"/>
              </w:rPr>
              <w:t> </w:t>
            </w:r>
          </w:p>
        </w:tc>
        <w:tc>
          <w:tcPr>
            <w:tcW w:w="857" w:type="pct"/>
            <w:shd w:val="clear" w:color="auto" w:fill="D9D9D9" w:themeFill="background1" w:themeFillShade="D9"/>
            <w:noWrap/>
            <w:hideMark/>
          </w:tcPr>
          <w:p w14:paraId="58D3E82D" w14:textId="77777777" w:rsidR="00BC25D2" w:rsidRPr="00F92012" w:rsidRDefault="00BC25D2" w:rsidP="00A90165">
            <w:pPr>
              <w:pStyle w:val="Tabletext0"/>
              <w:rPr>
                <w:color w:val="FFFFFF"/>
              </w:rPr>
            </w:pPr>
            <w:r w:rsidRPr="00F92012">
              <w:rPr>
                <w:rFonts w:cs="Calibri"/>
                <w:color w:val="FFFFFF"/>
              </w:rPr>
              <w:t> </w:t>
            </w:r>
          </w:p>
        </w:tc>
        <w:tc>
          <w:tcPr>
            <w:tcW w:w="565" w:type="pct"/>
            <w:shd w:val="clear" w:color="auto" w:fill="D9D9D9" w:themeFill="background1" w:themeFillShade="D9"/>
            <w:noWrap/>
            <w:hideMark/>
          </w:tcPr>
          <w:p w14:paraId="547EFEAE" w14:textId="77777777" w:rsidR="00BC25D2" w:rsidRPr="00F92012" w:rsidRDefault="00BC25D2" w:rsidP="00A90165">
            <w:pPr>
              <w:pStyle w:val="Tabletext0"/>
              <w:rPr>
                <w:color w:val="FFFFFF"/>
              </w:rPr>
            </w:pPr>
            <w:r w:rsidRPr="00F92012">
              <w:rPr>
                <w:rFonts w:cs="Calibri"/>
                <w:color w:val="FFFFFF"/>
              </w:rPr>
              <w:t> </w:t>
            </w:r>
          </w:p>
        </w:tc>
      </w:tr>
      <w:tr w:rsidR="00BC25D2" w:rsidRPr="00F92012" w14:paraId="1B5F9A55" w14:textId="77777777" w:rsidTr="008D5FAC">
        <w:trPr>
          <w:trHeight w:val="255"/>
        </w:trPr>
        <w:tc>
          <w:tcPr>
            <w:tcW w:w="1226" w:type="pct"/>
            <w:noWrap/>
            <w:hideMark/>
          </w:tcPr>
          <w:p w14:paraId="5EB85C0F" w14:textId="77777777" w:rsidR="00BC25D2" w:rsidRPr="00F92012" w:rsidRDefault="00BC25D2" w:rsidP="00A90165">
            <w:pPr>
              <w:pStyle w:val="Tabletext0"/>
            </w:pPr>
            <w:r w:rsidRPr="00F92012">
              <w:rPr>
                <w:rFonts w:cs="Calibri"/>
              </w:rPr>
              <w:t>Endoscopic Mucosal Resection (EMR)</w:t>
            </w:r>
          </w:p>
        </w:tc>
        <w:tc>
          <w:tcPr>
            <w:tcW w:w="822" w:type="pct"/>
            <w:noWrap/>
            <w:hideMark/>
          </w:tcPr>
          <w:p w14:paraId="61B09F10" w14:textId="0A97CFB9" w:rsidR="00BC25D2" w:rsidRPr="002424EB" w:rsidRDefault="002424EB" w:rsidP="00A90165">
            <w:pPr>
              <w:pStyle w:val="Tabletext0"/>
              <w:rPr>
                <w:i/>
                <w:color w:val="000000"/>
              </w:rPr>
            </w:pPr>
            <w:r w:rsidRPr="002424EB">
              <w:rPr>
                <w:rFonts w:cs="Calibri"/>
                <w:i/>
                <w:color w:val="000000"/>
              </w:rPr>
              <w:t>10,444</w:t>
            </w:r>
          </w:p>
        </w:tc>
        <w:tc>
          <w:tcPr>
            <w:tcW w:w="725" w:type="pct"/>
            <w:noWrap/>
            <w:hideMark/>
          </w:tcPr>
          <w:p w14:paraId="4FD30D11" w14:textId="2A6A6659" w:rsidR="00BC25D2" w:rsidRPr="002424EB" w:rsidRDefault="002424EB" w:rsidP="00A90165">
            <w:pPr>
              <w:pStyle w:val="Tabletext0"/>
              <w:rPr>
                <w:i/>
                <w:color w:val="000000"/>
              </w:rPr>
            </w:pPr>
            <w:r w:rsidRPr="002424EB">
              <w:rPr>
                <w:rFonts w:cs="Calibri"/>
                <w:i/>
                <w:color w:val="000000"/>
              </w:rPr>
              <w:t>-12,647</w:t>
            </w:r>
          </w:p>
        </w:tc>
        <w:tc>
          <w:tcPr>
            <w:tcW w:w="805" w:type="pct"/>
            <w:noWrap/>
            <w:hideMark/>
          </w:tcPr>
          <w:p w14:paraId="6EA9205C" w14:textId="77777777" w:rsidR="00BC25D2" w:rsidRPr="00F92012" w:rsidRDefault="00BC25D2" w:rsidP="00A90165">
            <w:pPr>
              <w:pStyle w:val="Tabletext0"/>
              <w:rPr>
                <w:color w:val="000000"/>
              </w:rPr>
            </w:pPr>
            <w:r w:rsidRPr="00F92012">
              <w:rPr>
                <w:rFonts w:cs="Calibri"/>
                <w:color w:val="000000"/>
              </w:rPr>
              <w:t>2.68</w:t>
            </w:r>
          </w:p>
        </w:tc>
        <w:tc>
          <w:tcPr>
            <w:tcW w:w="857" w:type="pct"/>
            <w:noWrap/>
            <w:hideMark/>
          </w:tcPr>
          <w:p w14:paraId="694B6BCB" w14:textId="77777777" w:rsidR="00BC25D2" w:rsidRPr="00F92012" w:rsidRDefault="00BC25D2" w:rsidP="00A90165">
            <w:pPr>
              <w:pStyle w:val="Tabletext0"/>
              <w:rPr>
                <w:color w:val="000000"/>
              </w:rPr>
            </w:pPr>
            <w:r w:rsidRPr="00F92012">
              <w:rPr>
                <w:rFonts w:cs="Calibri"/>
                <w:color w:val="000000"/>
              </w:rPr>
              <w:t>0.02</w:t>
            </w:r>
          </w:p>
        </w:tc>
        <w:tc>
          <w:tcPr>
            <w:tcW w:w="565" w:type="pct"/>
            <w:noWrap/>
            <w:hideMark/>
          </w:tcPr>
          <w:p w14:paraId="0D734D0D" w14:textId="77777777" w:rsidR="00BC25D2" w:rsidRPr="00F92012" w:rsidRDefault="00BC25D2" w:rsidP="00A90165">
            <w:pPr>
              <w:pStyle w:val="Tabletext0"/>
              <w:rPr>
                <w:color w:val="000000"/>
              </w:rPr>
            </w:pPr>
            <w:r w:rsidRPr="00F92012">
              <w:rPr>
                <w:rFonts w:cs="Calibri"/>
                <w:color w:val="000000"/>
              </w:rPr>
              <w:t>Dominant</w:t>
            </w:r>
          </w:p>
        </w:tc>
      </w:tr>
      <w:tr w:rsidR="00BC25D2" w:rsidRPr="00F92012" w14:paraId="506E1196" w14:textId="77777777" w:rsidTr="008D5FAC">
        <w:trPr>
          <w:trHeight w:val="255"/>
        </w:trPr>
        <w:tc>
          <w:tcPr>
            <w:tcW w:w="1226" w:type="pct"/>
            <w:noWrap/>
            <w:hideMark/>
          </w:tcPr>
          <w:p w14:paraId="3DB0619B" w14:textId="77777777" w:rsidR="00BC25D2" w:rsidRPr="00F92012" w:rsidRDefault="00BC25D2" w:rsidP="00A90165">
            <w:pPr>
              <w:pStyle w:val="Tabletext0"/>
            </w:pPr>
            <w:r w:rsidRPr="00F92012">
              <w:rPr>
                <w:rFonts w:cs="Calibri"/>
              </w:rPr>
              <w:t>Surgical Resection</w:t>
            </w:r>
          </w:p>
        </w:tc>
        <w:tc>
          <w:tcPr>
            <w:tcW w:w="822" w:type="pct"/>
            <w:noWrap/>
            <w:hideMark/>
          </w:tcPr>
          <w:p w14:paraId="329D5006" w14:textId="77777777" w:rsidR="00BC25D2" w:rsidRPr="00F92012" w:rsidRDefault="00BC25D2" w:rsidP="00A90165">
            <w:pPr>
              <w:pStyle w:val="Tabletext0"/>
              <w:rPr>
                <w:color w:val="000000"/>
              </w:rPr>
            </w:pPr>
            <w:r w:rsidRPr="00F92012">
              <w:rPr>
                <w:rFonts w:cs="Calibri"/>
                <w:color w:val="000000"/>
              </w:rPr>
              <w:t>23,091</w:t>
            </w:r>
          </w:p>
        </w:tc>
        <w:tc>
          <w:tcPr>
            <w:tcW w:w="725" w:type="pct"/>
            <w:noWrap/>
            <w:hideMark/>
          </w:tcPr>
          <w:p w14:paraId="5813D26A" w14:textId="77777777" w:rsidR="00BC25D2" w:rsidRPr="00F92012" w:rsidRDefault="00BC25D2" w:rsidP="00A90165">
            <w:pPr>
              <w:pStyle w:val="Tabletext0"/>
              <w:rPr>
                <w:color w:val="000000"/>
              </w:rPr>
            </w:pPr>
            <w:r w:rsidRPr="00F92012">
              <w:rPr>
                <w:rFonts w:cs="Calibri"/>
                <w:color w:val="000000"/>
              </w:rPr>
              <w:t> </w:t>
            </w:r>
          </w:p>
        </w:tc>
        <w:tc>
          <w:tcPr>
            <w:tcW w:w="805" w:type="pct"/>
            <w:noWrap/>
            <w:hideMark/>
          </w:tcPr>
          <w:p w14:paraId="0B7C1D5A" w14:textId="77777777" w:rsidR="00BC25D2" w:rsidRPr="00F92012" w:rsidRDefault="00BC25D2" w:rsidP="00A90165">
            <w:pPr>
              <w:pStyle w:val="Tabletext0"/>
              <w:rPr>
                <w:color w:val="000000"/>
              </w:rPr>
            </w:pPr>
            <w:r w:rsidRPr="00F92012">
              <w:rPr>
                <w:rFonts w:cs="Calibri"/>
                <w:color w:val="000000"/>
              </w:rPr>
              <w:t>2.65</w:t>
            </w:r>
          </w:p>
        </w:tc>
        <w:tc>
          <w:tcPr>
            <w:tcW w:w="857" w:type="pct"/>
            <w:noWrap/>
            <w:hideMark/>
          </w:tcPr>
          <w:p w14:paraId="337ECE4D" w14:textId="77777777" w:rsidR="00BC25D2" w:rsidRPr="00F92012" w:rsidRDefault="00BC25D2" w:rsidP="00A90165">
            <w:pPr>
              <w:pStyle w:val="Tabletext0"/>
              <w:rPr>
                <w:color w:val="000000"/>
              </w:rPr>
            </w:pPr>
            <w:r w:rsidRPr="00F92012">
              <w:rPr>
                <w:rFonts w:cs="Calibri"/>
                <w:color w:val="000000"/>
              </w:rPr>
              <w:t> </w:t>
            </w:r>
          </w:p>
        </w:tc>
        <w:tc>
          <w:tcPr>
            <w:tcW w:w="565" w:type="pct"/>
            <w:noWrap/>
            <w:hideMark/>
          </w:tcPr>
          <w:p w14:paraId="22BD3A30" w14:textId="77777777" w:rsidR="00BC25D2" w:rsidRPr="00F92012" w:rsidRDefault="00BC25D2" w:rsidP="00A90165">
            <w:pPr>
              <w:pStyle w:val="Tabletext0"/>
              <w:rPr>
                <w:color w:val="000000"/>
              </w:rPr>
            </w:pPr>
            <w:r w:rsidRPr="00F92012">
              <w:rPr>
                <w:rFonts w:cs="Calibri"/>
                <w:color w:val="000000"/>
              </w:rPr>
              <w:t> </w:t>
            </w:r>
          </w:p>
        </w:tc>
      </w:tr>
    </w:tbl>
    <w:p w14:paraId="29A592A4" w14:textId="77777777" w:rsidR="00BC25D2" w:rsidRPr="0005607E" w:rsidRDefault="00BC25D2" w:rsidP="00BC25D2">
      <w:pPr>
        <w:pStyle w:val="Tablenotes"/>
      </w:pPr>
      <w:r>
        <w:t>Source: Table 5, pp24-25 of the DCAR</w:t>
      </w:r>
    </w:p>
    <w:p w14:paraId="4FF76DAD" w14:textId="6A5B952F" w:rsidR="00BC25D2" w:rsidRDefault="00BC25D2" w:rsidP="00BC25D2">
      <w:pPr>
        <w:pStyle w:val="Tablenotes"/>
      </w:pPr>
      <w:r w:rsidRPr="008B6220">
        <w:rPr>
          <w:b/>
        </w:rPr>
        <w:t>Abbreviations</w:t>
      </w:r>
      <w:r w:rsidRPr="00F92012">
        <w:t>: EMR = endoscopic mucosal resection; ICER = Incremental Cost Effectiveness Ratio; QALYs = quality-adjusted life-years.</w:t>
      </w:r>
    </w:p>
    <w:p w14:paraId="123A946A" w14:textId="77777777" w:rsidR="00EA486E" w:rsidRPr="009430CD" w:rsidRDefault="00EA486E" w:rsidP="00EA486E">
      <w:pPr>
        <w:pStyle w:val="Tablenotes"/>
        <w:rPr>
          <w:i/>
        </w:rPr>
      </w:pPr>
      <w:r>
        <w:rPr>
          <w:i/>
        </w:rPr>
        <w:t>Italicised represents changed values as performed by Department, as result of applicants revised fee</w:t>
      </w:r>
    </w:p>
    <w:p w14:paraId="227B3DE3" w14:textId="77777777" w:rsidR="00BC1364" w:rsidRPr="00F715D1" w:rsidRDefault="00BC1364" w:rsidP="00F715D1">
      <w:pPr>
        <w:pStyle w:val="Heading1"/>
      </w:pPr>
      <w:r w:rsidRPr="00F715D1">
        <w:t>Financial/budgetary impacts</w:t>
      </w:r>
    </w:p>
    <w:p w14:paraId="0197303F" w14:textId="7503687E" w:rsidR="00C31E54" w:rsidRDefault="00C31E54" w:rsidP="00C31E54">
      <w:r>
        <w:t>The DCAR used an</w:t>
      </w:r>
      <w:r w:rsidRPr="004F3E7F">
        <w:t xml:space="preserve"> epidemiologic approach </w:t>
      </w:r>
      <w:r>
        <w:t>to estimate the financial impact of the new EMR item’s introduction</w:t>
      </w:r>
      <w:r w:rsidRPr="004F3E7F">
        <w:t>.</w:t>
      </w:r>
      <w:r w:rsidRPr="00B65D03">
        <w:t xml:space="preserve"> </w:t>
      </w:r>
      <w:r>
        <w:t>The new item for EMR could also result in patients currently availing EMR in state hospitals switching to private delivery using MBS financing: p</w:t>
      </w:r>
      <w:r w:rsidRPr="00576851">
        <w:t xml:space="preserve">ublic delivery of EMR is assumed to decrease from 70% </w:t>
      </w:r>
      <w:r>
        <w:t xml:space="preserve">of the patients </w:t>
      </w:r>
      <w:r w:rsidRPr="00576851">
        <w:t>to 50% with the introduction of the new item</w:t>
      </w:r>
      <w:r>
        <w:t xml:space="preserve">. This would reduce state level </w:t>
      </w:r>
      <w:r w:rsidR="005268DF">
        <w:t>costs and increase MBS support.</w:t>
      </w:r>
    </w:p>
    <w:p w14:paraId="67C55AED" w14:textId="6D3C5090" w:rsidR="00C31E54" w:rsidRDefault="00C31E54" w:rsidP="005268DF">
      <w:pPr>
        <w:spacing w:before="240"/>
      </w:pPr>
      <w:r w:rsidRPr="00C958FC">
        <w:t>The financial implications to the MBS resulting from the proposed listing is summarised in</w:t>
      </w:r>
      <w:r w:rsidR="00BC25D2">
        <w:t xml:space="preserve"> </w:t>
      </w:r>
      <w:r w:rsidR="002E445C" w:rsidRPr="002E445C">
        <w:rPr>
          <w:szCs w:val="24"/>
        </w:rPr>
        <w:fldChar w:fldCharType="begin"/>
      </w:r>
      <w:r w:rsidR="002E445C" w:rsidRPr="002E445C">
        <w:rPr>
          <w:szCs w:val="24"/>
        </w:rPr>
        <w:instrText xml:space="preserve"> REF _Ref29390423 \h  \* MERGEFORMAT </w:instrText>
      </w:r>
      <w:r w:rsidR="002E445C" w:rsidRPr="002E445C">
        <w:rPr>
          <w:szCs w:val="24"/>
        </w:rPr>
      </w:r>
      <w:r w:rsidR="002E445C" w:rsidRPr="002E445C">
        <w:rPr>
          <w:szCs w:val="24"/>
        </w:rPr>
        <w:fldChar w:fldCharType="separate"/>
      </w:r>
      <w:r w:rsidR="002E445C" w:rsidRPr="002E445C">
        <w:rPr>
          <w:szCs w:val="24"/>
        </w:rPr>
        <w:t>Table 8</w:t>
      </w:r>
      <w:r w:rsidR="002E445C" w:rsidRPr="002E445C">
        <w:rPr>
          <w:szCs w:val="24"/>
        </w:rPr>
        <w:fldChar w:fldCharType="end"/>
      </w:r>
      <w:r>
        <w:t xml:space="preserve">. The DCAR stated that a key uncertainty </w:t>
      </w:r>
      <w:r w:rsidRPr="005B7389">
        <w:t>is the number of polyps that would qualify for EMR under the item description</w:t>
      </w:r>
      <w:r>
        <w:t xml:space="preserve"> (</w:t>
      </w:r>
      <w:r w:rsidRPr="008A2D8B">
        <w:t>based on an assumed proportion of co</w:t>
      </w:r>
      <w:r>
        <w:t>lonoscopies with polyp removal [</w:t>
      </w:r>
      <w:r w:rsidRPr="00A573BA">
        <w:t>MBS Item 32093</w:t>
      </w:r>
      <w:r>
        <w:t>])</w:t>
      </w:r>
      <w:r w:rsidRPr="005B7389">
        <w:t xml:space="preserve"> and proportions of public an</w:t>
      </w:r>
      <w:r>
        <w:t>d private patients</w:t>
      </w:r>
      <w:r w:rsidR="00E70D1B">
        <w:t>.</w:t>
      </w:r>
    </w:p>
    <w:p w14:paraId="193E148C" w14:textId="0F02E3B0" w:rsidR="00C31E54" w:rsidRPr="002E445C" w:rsidRDefault="002E445C" w:rsidP="002E445C">
      <w:pPr>
        <w:spacing w:before="240"/>
        <w:rPr>
          <w:rFonts w:ascii="Arial Narrow" w:hAnsi="Arial Narrow"/>
          <w:b/>
          <w:sz w:val="20"/>
        </w:rPr>
      </w:pPr>
      <w:bookmarkStart w:id="31" w:name="_Ref29390423"/>
      <w:bookmarkStart w:id="32" w:name="_Toc29394120"/>
      <w:r w:rsidRPr="002E445C">
        <w:rPr>
          <w:rFonts w:ascii="Arial Narrow" w:hAnsi="Arial Narrow"/>
          <w:b/>
          <w:sz w:val="20"/>
        </w:rPr>
        <w:t xml:space="preserve">Table </w:t>
      </w:r>
      <w:r w:rsidRPr="002E445C">
        <w:rPr>
          <w:rFonts w:ascii="Arial Narrow" w:hAnsi="Arial Narrow"/>
          <w:b/>
          <w:sz w:val="20"/>
        </w:rPr>
        <w:fldChar w:fldCharType="begin"/>
      </w:r>
      <w:r w:rsidRPr="002E445C">
        <w:rPr>
          <w:rFonts w:ascii="Arial Narrow" w:hAnsi="Arial Narrow"/>
          <w:b/>
          <w:sz w:val="20"/>
        </w:rPr>
        <w:instrText xml:space="preserve"> SEQ Table \* ARABIC </w:instrText>
      </w:r>
      <w:r w:rsidRPr="002E445C">
        <w:rPr>
          <w:rFonts w:ascii="Arial Narrow" w:hAnsi="Arial Narrow"/>
          <w:b/>
          <w:sz w:val="20"/>
        </w:rPr>
        <w:fldChar w:fldCharType="separate"/>
      </w:r>
      <w:r w:rsidR="00376352">
        <w:rPr>
          <w:rFonts w:ascii="Arial Narrow" w:hAnsi="Arial Narrow"/>
          <w:b/>
          <w:noProof/>
          <w:sz w:val="20"/>
        </w:rPr>
        <w:t>8</w:t>
      </w:r>
      <w:r w:rsidRPr="002E445C">
        <w:rPr>
          <w:rFonts w:ascii="Arial Narrow" w:hAnsi="Arial Narrow"/>
          <w:b/>
          <w:sz w:val="20"/>
        </w:rPr>
        <w:fldChar w:fldCharType="end"/>
      </w:r>
      <w:bookmarkEnd w:id="31"/>
      <w:r w:rsidR="00C31E54" w:rsidRPr="002E445C">
        <w:rPr>
          <w:rFonts w:ascii="Arial Narrow" w:hAnsi="Arial Narrow"/>
          <w:b/>
          <w:sz w:val="20"/>
        </w:rPr>
        <w:tab/>
        <w:t>Total costs to the MBS associated with EMR</w:t>
      </w:r>
      <w:bookmarkEnd w:id="32"/>
    </w:p>
    <w:tbl>
      <w:tblPr>
        <w:tblStyle w:val="TableGrid"/>
        <w:tblW w:w="5000" w:type="pct"/>
        <w:tblLook w:val="04A0" w:firstRow="1" w:lastRow="0" w:firstColumn="1" w:lastColumn="0" w:noHBand="0" w:noVBand="1"/>
        <w:tblDescription w:val="Total costs to the MBS associated with EMR"/>
      </w:tblPr>
      <w:tblGrid>
        <w:gridCol w:w="3279"/>
        <w:gridCol w:w="1146"/>
        <w:gridCol w:w="1146"/>
        <w:gridCol w:w="1147"/>
        <w:gridCol w:w="1149"/>
        <w:gridCol w:w="1149"/>
      </w:tblGrid>
      <w:tr w:rsidR="00C31E54" w:rsidRPr="0043228F" w14:paraId="0761CE77" w14:textId="77777777" w:rsidTr="008D5FAC">
        <w:trPr>
          <w:trHeight w:val="255"/>
          <w:tblHeader/>
        </w:trPr>
        <w:tc>
          <w:tcPr>
            <w:tcW w:w="1818" w:type="pct"/>
            <w:shd w:val="clear" w:color="auto" w:fill="D9D9D9" w:themeFill="background1" w:themeFillShade="D9"/>
            <w:noWrap/>
            <w:hideMark/>
          </w:tcPr>
          <w:p w14:paraId="7DA703F1" w14:textId="77777777" w:rsidR="00C31E54" w:rsidRPr="00F12A05" w:rsidRDefault="00C31E54" w:rsidP="00EC16AC">
            <w:pPr>
              <w:rPr>
                <w:rFonts w:ascii="Arial Narrow" w:hAnsi="Arial Narrow" w:cs="Calibri"/>
                <w:b/>
                <w:bCs/>
                <w:color w:val="000000"/>
                <w:sz w:val="20"/>
              </w:rPr>
            </w:pPr>
          </w:p>
        </w:tc>
        <w:tc>
          <w:tcPr>
            <w:tcW w:w="636" w:type="pct"/>
            <w:shd w:val="clear" w:color="auto" w:fill="D9D9D9" w:themeFill="background1" w:themeFillShade="D9"/>
            <w:noWrap/>
            <w:hideMark/>
          </w:tcPr>
          <w:p w14:paraId="0B4F2087" w14:textId="77777777" w:rsidR="00C31E54" w:rsidRPr="00F12A05" w:rsidRDefault="00C31E54" w:rsidP="00EC16AC">
            <w:pPr>
              <w:jc w:val="center"/>
              <w:rPr>
                <w:rFonts w:ascii="Arial Narrow" w:hAnsi="Arial Narrow" w:cs="Calibri"/>
                <w:b/>
                <w:bCs/>
                <w:color w:val="000000"/>
                <w:sz w:val="20"/>
              </w:rPr>
            </w:pPr>
            <w:r w:rsidRPr="00F12A05">
              <w:rPr>
                <w:rFonts w:ascii="Arial Narrow" w:hAnsi="Arial Narrow" w:cs="Calibri"/>
                <w:b/>
                <w:bCs/>
                <w:color w:val="000000"/>
                <w:sz w:val="20"/>
              </w:rPr>
              <w:t>2020</w:t>
            </w:r>
          </w:p>
        </w:tc>
        <w:tc>
          <w:tcPr>
            <w:tcW w:w="636" w:type="pct"/>
            <w:shd w:val="clear" w:color="auto" w:fill="D9D9D9" w:themeFill="background1" w:themeFillShade="D9"/>
            <w:noWrap/>
            <w:hideMark/>
          </w:tcPr>
          <w:p w14:paraId="759F84C6" w14:textId="77777777" w:rsidR="00C31E54" w:rsidRPr="0099779A" w:rsidRDefault="00C31E54" w:rsidP="00EC16AC">
            <w:pPr>
              <w:jc w:val="center"/>
              <w:rPr>
                <w:rFonts w:ascii="Arial Narrow" w:hAnsi="Arial Narrow" w:cs="Calibri"/>
                <w:b/>
                <w:bCs/>
                <w:color w:val="000000"/>
                <w:sz w:val="20"/>
              </w:rPr>
            </w:pPr>
            <w:r w:rsidRPr="0099779A">
              <w:rPr>
                <w:rFonts w:ascii="Arial Narrow" w:hAnsi="Arial Narrow" w:cs="Calibri"/>
                <w:b/>
                <w:bCs/>
                <w:color w:val="000000"/>
                <w:sz w:val="20"/>
              </w:rPr>
              <w:t>2021</w:t>
            </w:r>
          </w:p>
        </w:tc>
        <w:tc>
          <w:tcPr>
            <w:tcW w:w="636" w:type="pct"/>
            <w:shd w:val="clear" w:color="auto" w:fill="D9D9D9" w:themeFill="background1" w:themeFillShade="D9"/>
            <w:noWrap/>
            <w:hideMark/>
          </w:tcPr>
          <w:p w14:paraId="03B5A6CE" w14:textId="77777777" w:rsidR="00C31E54" w:rsidRPr="002644CE" w:rsidRDefault="00C31E54" w:rsidP="00EC16AC">
            <w:pPr>
              <w:jc w:val="center"/>
              <w:rPr>
                <w:rFonts w:ascii="Arial Narrow" w:hAnsi="Arial Narrow" w:cs="Calibri"/>
                <w:b/>
                <w:bCs/>
                <w:color w:val="000000"/>
                <w:sz w:val="20"/>
              </w:rPr>
            </w:pPr>
            <w:r w:rsidRPr="002644CE">
              <w:rPr>
                <w:rFonts w:ascii="Arial Narrow" w:hAnsi="Arial Narrow" w:cs="Calibri"/>
                <w:b/>
                <w:bCs/>
                <w:color w:val="000000"/>
                <w:sz w:val="20"/>
              </w:rPr>
              <w:t>2022</w:t>
            </w:r>
          </w:p>
        </w:tc>
        <w:tc>
          <w:tcPr>
            <w:tcW w:w="637" w:type="pct"/>
            <w:shd w:val="clear" w:color="auto" w:fill="D9D9D9" w:themeFill="background1" w:themeFillShade="D9"/>
            <w:noWrap/>
            <w:hideMark/>
          </w:tcPr>
          <w:p w14:paraId="6ACCDE83" w14:textId="77777777" w:rsidR="00C31E54" w:rsidRPr="00C655CE" w:rsidRDefault="00C31E54" w:rsidP="00EC16AC">
            <w:pPr>
              <w:jc w:val="center"/>
              <w:rPr>
                <w:rFonts w:ascii="Arial Narrow" w:hAnsi="Arial Narrow" w:cs="Calibri"/>
                <w:b/>
                <w:bCs/>
                <w:color w:val="000000"/>
                <w:sz w:val="20"/>
              </w:rPr>
            </w:pPr>
            <w:r w:rsidRPr="00C655CE">
              <w:rPr>
                <w:rFonts w:ascii="Arial Narrow" w:hAnsi="Arial Narrow" w:cs="Calibri"/>
                <w:b/>
                <w:bCs/>
                <w:color w:val="000000"/>
                <w:sz w:val="20"/>
              </w:rPr>
              <w:t>2023</w:t>
            </w:r>
          </w:p>
        </w:tc>
        <w:tc>
          <w:tcPr>
            <w:tcW w:w="637" w:type="pct"/>
            <w:shd w:val="clear" w:color="auto" w:fill="D9D9D9" w:themeFill="background1" w:themeFillShade="D9"/>
            <w:noWrap/>
            <w:hideMark/>
          </w:tcPr>
          <w:p w14:paraId="508131D6" w14:textId="77777777" w:rsidR="00C31E54" w:rsidRPr="003C2957" w:rsidRDefault="00C31E54" w:rsidP="00EC16AC">
            <w:pPr>
              <w:jc w:val="center"/>
              <w:rPr>
                <w:rFonts w:ascii="Arial Narrow" w:hAnsi="Arial Narrow" w:cs="Calibri"/>
                <w:b/>
                <w:bCs/>
                <w:color w:val="000000"/>
                <w:sz w:val="20"/>
              </w:rPr>
            </w:pPr>
            <w:r w:rsidRPr="003C2957">
              <w:rPr>
                <w:rFonts w:ascii="Arial Narrow" w:hAnsi="Arial Narrow" w:cs="Calibri"/>
                <w:b/>
                <w:bCs/>
                <w:color w:val="000000"/>
                <w:sz w:val="20"/>
              </w:rPr>
              <w:t>2024</w:t>
            </w:r>
          </w:p>
        </w:tc>
      </w:tr>
      <w:tr w:rsidR="00C31E54" w:rsidRPr="00D606A2" w14:paraId="624B8A2C" w14:textId="77777777" w:rsidTr="008D5FAC">
        <w:trPr>
          <w:trHeight w:val="255"/>
        </w:trPr>
        <w:tc>
          <w:tcPr>
            <w:tcW w:w="1818" w:type="pct"/>
            <w:shd w:val="clear" w:color="auto" w:fill="D9D9D9" w:themeFill="background1" w:themeFillShade="D9"/>
            <w:noWrap/>
          </w:tcPr>
          <w:p w14:paraId="4E3A5809" w14:textId="77777777" w:rsidR="00C31E54" w:rsidRPr="00F12A05" w:rsidRDefault="00C31E54" w:rsidP="00EC16AC">
            <w:pPr>
              <w:rPr>
                <w:rFonts w:ascii="Arial Narrow" w:hAnsi="Arial Narrow" w:cs="Calibri"/>
                <w:b/>
                <w:bCs/>
                <w:color w:val="000000"/>
                <w:sz w:val="20"/>
              </w:rPr>
            </w:pPr>
            <w:r>
              <w:rPr>
                <w:rFonts w:ascii="Arial Narrow" w:hAnsi="Arial Narrow" w:cs="Calibri"/>
                <w:b/>
                <w:bCs/>
                <w:color w:val="000000"/>
                <w:sz w:val="20"/>
              </w:rPr>
              <w:t>Patient numbers</w:t>
            </w:r>
          </w:p>
        </w:tc>
        <w:tc>
          <w:tcPr>
            <w:tcW w:w="636" w:type="pct"/>
            <w:shd w:val="clear" w:color="auto" w:fill="D9D9D9" w:themeFill="background1" w:themeFillShade="D9"/>
            <w:noWrap/>
          </w:tcPr>
          <w:p w14:paraId="2F5042F0" w14:textId="77777777" w:rsidR="00C31E54" w:rsidRPr="0099779A" w:rsidRDefault="00C31E54" w:rsidP="00EC16AC">
            <w:pPr>
              <w:jc w:val="center"/>
              <w:rPr>
                <w:rFonts w:ascii="Arial Narrow" w:hAnsi="Arial Narrow" w:cs="Calibri"/>
                <w:b/>
                <w:bCs/>
                <w:color w:val="000000"/>
                <w:sz w:val="20"/>
              </w:rPr>
            </w:pPr>
          </w:p>
        </w:tc>
        <w:tc>
          <w:tcPr>
            <w:tcW w:w="636" w:type="pct"/>
            <w:shd w:val="clear" w:color="auto" w:fill="D9D9D9" w:themeFill="background1" w:themeFillShade="D9"/>
            <w:noWrap/>
          </w:tcPr>
          <w:p w14:paraId="3524B9B8" w14:textId="77777777" w:rsidR="00C31E54" w:rsidRPr="002644CE" w:rsidRDefault="00C31E54" w:rsidP="00EC16AC">
            <w:pPr>
              <w:jc w:val="center"/>
              <w:rPr>
                <w:rFonts w:ascii="Arial Narrow" w:hAnsi="Arial Narrow" w:cs="Calibri"/>
                <w:b/>
                <w:bCs/>
                <w:color w:val="000000"/>
                <w:sz w:val="20"/>
              </w:rPr>
            </w:pPr>
          </w:p>
        </w:tc>
        <w:tc>
          <w:tcPr>
            <w:tcW w:w="636" w:type="pct"/>
            <w:shd w:val="clear" w:color="auto" w:fill="D9D9D9" w:themeFill="background1" w:themeFillShade="D9"/>
            <w:noWrap/>
          </w:tcPr>
          <w:p w14:paraId="5CF59B16" w14:textId="77777777" w:rsidR="00C31E54" w:rsidRPr="00C655CE" w:rsidRDefault="00C31E54" w:rsidP="00EC16AC">
            <w:pPr>
              <w:jc w:val="center"/>
              <w:rPr>
                <w:rFonts w:ascii="Arial Narrow" w:hAnsi="Arial Narrow" w:cs="Calibri"/>
                <w:b/>
                <w:bCs/>
                <w:color w:val="000000"/>
                <w:sz w:val="20"/>
              </w:rPr>
            </w:pPr>
          </w:p>
        </w:tc>
        <w:tc>
          <w:tcPr>
            <w:tcW w:w="637" w:type="pct"/>
            <w:shd w:val="clear" w:color="auto" w:fill="D9D9D9" w:themeFill="background1" w:themeFillShade="D9"/>
            <w:noWrap/>
          </w:tcPr>
          <w:p w14:paraId="554B93A0" w14:textId="77777777" w:rsidR="00C31E54" w:rsidRPr="003C2957" w:rsidRDefault="00C31E54" w:rsidP="00EC16AC">
            <w:pPr>
              <w:jc w:val="center"/>
              <w:rPr>
                <w:rFonts w:ascii="Arial Narrow" w:hAnsi="Arial Narrow" w:cs="Calibri"/>
                <w:b/>
                <w:bCs/>
                <w:color w:val="000000"/>
                <w:sz w:val="20"/>
              </w:rPr>
            </w:pPr>
          </w:p>
        </w:tc>
        <w:tc>
          <w:tcPr>
            <w:tcW w:w="637" w:type="pct"/>
            <w:shd w:val="clear" w:color="auto" w:fill="D9D9D9" w:themeFill="background1" w:themeFillShade="D9"/>
            <w:noWrap/>
          </w:tcPr>
          <w:p w14:paraId="4F6B4BE6" w14:textId="77777777" w:rsidR="00C31E54" w:rsidRPr="0043228F" w:rsidRDefault="00C31E54" w:rsidP="00EC16AC">
            <w:pPr>
              <w:jc w:val="center"/>
              <w:rPr>
                <w:rFonts w:ascii="Arial Narrow" w:hAnsi="Arial Narrow" w:cs="Calibri"/>
                <w:b/>
                <w:bCs/>
                <w:color w:val="000000"/>
                <w:sz w:val="20"/>
              </w:rPr>
            </w:pPr>
          </w:p>
        </w:tc>
      </w:tr>
      <w:tr w:rsidR="00C31E54" w:rsidRPr="00D606A2" w14:paraId="04276CE7" w14:textId="77777777" w:rsidTr="008D5FAC">
        <w:trPr>
          <w:trHeight w:val="255"/>
        </w:trPr>
        <w:tc>
          <w:tcPr>
            <w:tcW w:w="1818" w:type="pct"/>
            <w:noWrap/>
          </w:tcPr>
          <w:p w14:paraId="0700AF1A" w14:textId="77777777" w:rsidR="00C31E54" w:rsidRDefault="00C31E54" w:rsidP="00EC16AC">
            <w:pPr>
              <w:rPr>
                <w:rFonts w:ascii="Arial Narrow" w:hAnsi="Arial Narrow" w:cs="Calibri"/>
                <w:bCs/>
                <w:i/>
                <w:color w:val="000000"/>
                <w:sz w:val="20"/>
                <w:vertAlign w:val="superscript"/>
              </w:rPr>
            </w:pPr>
            <w:r w:rsidRPr="007E6331">
              <w:rPr>
                <w:rFonts w:ascii="Arial Narrow" w:hAnsi="Arial Narrow" w:cs="Calibri"/>
                <w:bCs/>
                <w:color w:val="000000"/>
                <w:sz w:val="20"/>
              </w:rPr>
              <w:t>EMR with listing</w:t>
            </w:r>
          </w:p>
          <w:p w14:paraId="404A2840" w14:textId="77777777" w:rsidR="00C31E54" w:rsidRDefault="00C31E54" w:rsidP="00EC16AC">
            <w:pPr>
              <w:ind w:left="227"/>
              <w:rPr>
                <w:rFonts w:ascii="Arial Narrow" w:hAnsi="Arial Narrow" w:cs="Calibri"/>
                <w:bCs/>
                <w:color w:val="000000"/>
                <w:sz w:val="20"/>
              </w:rPr>
            </w:pPr>
            <w:r>
              <w:rPr>
                <w:rFonts w:ascii="Arial Narrow" w:hAnsi="Arial Narrow" w:cs="Calibri"/>
                <w:bCs/>
                <w:color w:val="000000"/>
                <w:sz w:val="20"/>
              </w:rPr>
              <w:t xml:space="preserve">Private patients (50%), MBS supported </w:t>
            </w:r>
          </w:p>
          <w:p w14:paraId="77F6F4BD" w14:textId="77777777" w:rsidR="00C31E54" w:rsidRPr="008F0DC8" w:rsidRDefault="00C31E54" w:rsidP="00EC16AC">
            <w:pPr>
              <w:ind w:left="227"/>
              <w:rPr>
                <w:rFonts w:ascii="Arial Narrow" w:hAnsi="Arial Narrow" w:cs="Calibri"/>
                <w:bCs/>
                <w:color w:val="000000"/>
                <w:sz w:val="20"/>
              </w:rPr>
            </w:pPr>
            <w:r>
              <w:rPr>
                <w:rFonts w:ascii="Arial Narrow" w:hAnsi="Arial Narrow" w:cs="Calibri"/>
                <w:bCs/>
                <w:color w:val="000000"/>
                <w:sz w:val="20"/>
              </w:rPr>
              <w:t xml:space="preserve">Public patients (50%), </w:t>
            </w:r>
          </w:p>
        </w:tc>
        <w:tc>
          <w:tcPr>
            <w:tcW w:w="636" w:type="pct"/>
            <w:noWrap/>
          </w:tcPr>
          <w:p w14:paraId="58180087" w14:textId="77777777" w:rsidR="00C31E54" w:rsidRDefault="00C31E54" w:rsidP="00EC16AC">
            <w:pPr>
              <w:jc w:val="center"/>
              <w:rPr>
                <w:rFonts w:ascii="Arial Narrow" w:hAnsi="Arial Narrow" w:cs="Calibri"/>
                <w:color w:val="000000"/>
                <w:sz w:val="20"/>
              </w:rPr>
            </w:pPr>
            <w:r w:rsidRPr="002644CE">
              <w:rPr>
                <w:rFonts w:ascii="Arial Narrow" w:hAnsi="Arial Narrow" w:cs="Calibri"/>
                <w:color w:val="000000"/>
                <w:sz w:val="20"/>
              </w:rPr>
              <w:t>9,839</w:t>
            </w:r>
          </w:p>
          <w:p w14:paraId="2BD91D47"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4,919</w:t>
            </w:r>
          </w:p>
          <w:p w14:paraId="4344E54A" w14:textId="77777777" w:rsidR="00C31E54" w:rsidRPr="008F0DC8" w:rsidRDefault="00C31E54" w:rsidP="00EC16AC">
            <w:pPr>
              <w:jc w:val="center"/>
              <w:rPr>
                <w:rFonts w:ascii="Arial Narrow" w:hAnsi="Arial Narrow" w:cs="Calibri"/>
                <w:bCs/>
                <w:color w:val="000000"/>
                <w:sz w:val="20"/>
              </w:rPr>
            </w:pPr>
            <w:r>
              <w:rPr>
                <w:rFonts w:ascii="Arial Narrow" w:hAnsi="Arial Narrow" w:cs="Calibri"/>
                <w:bCs/>
                <w:color w:val="000000"/>
                <w:sz w:val="20"/>
              </w:rPr>
              <w:t>4,919</w:t>
            </w:r>
          </w:p>
        </w:tc>
        <w:tc>
          <w:tcPr>
            <w:tcW w:w="636" w:type="pct"/>
            <w:noWrap/>
          </w:tcPr>
          <w:p w14:paraId="451D2013" w14:textId="77777777" w:rsidR="00C31E54" w:rsidRDefault="00C31E54" w:rsidP="00EC16AC">
            <w:pPr>
              <w:jc w:val="center"/>
              <w:rPr>
                <w:rFonts w:ascii="Arial Narrow" w:hAnsi="Arial Narrow" w:cs="Calibri"/>
                <w:color w:val="000000"/>
                <w:sz w:val="20"/>
              </w:rPr>
            </w:pPr>
            <w:r w:rsidRPr="00C655CE">
              <w:rPr>
                <w:rFonts w:ascii="Arial Narrow" w:hAnsi="Arial Narrow" w:cs="Calibri"/>
                <w:color w:val="000000"/>
                <w:sz w:val="20"/>
              </w:rPr>
              <w:t>10,322</w:t>
            </w:r>
          </w:p>
          <w:p w14:paraId="09644ABA"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5,161</w:t>
            </w:r>
          </w:p>
          <w:p w14:paraId="67938288" w14:textId="77777777" w:rsidR="00C31E54" w:rsidRPr="002644CE" w:rsidRDefault="00C31E54" w:rsidP="00EC16AC">
            <w:pPr>
              <w:jc w:val="center"/>
              <w:rPr>
                <w:rFonts w:ascii="Arial Narrow" w:hAnsi="Arial Narrow" w:cs="Calibri"/>
                <w:b/>
                <w:bCs/>
                <w:color w:val="000000"/>
                <w:sz w:val="20"/>
              </w:rPr>
            </w:pPr>
            <w:r>
              <w:rPr>
                <w:rFonts w:ascii="Arial Narrow" w:hAnsi="Arial Narrow" w:cs="Calibri"/>
                <w:color w:val="000000"/>
                <w:sz w:val="20"/>
              </w:rPr>
              <w:t>5,161</w:t>
            </w:r>
          </w:p>
        </w:tc>
        <w:tc>
          <w:tcPr>
            <w:tcW w:w="636" w:type="pct"/>
            <w:noWrap/>
          </w:tcPr>
          <w:p w14:paraId="210387C1" w14:textId="77777777" w:rsidR="00C31E54" w:rsidRDefault="00C31E54" w:rsidP="00EC16AC">
            <w:pPr>
              <w:jc w:val="center"/>
              <w:rPr>
                <w:rFonts w:ascii="Arial Narrow" w:hAnsi="Arial Narrow" w:cs="Calibri"/>
                <w:color w:val="000000"/>
                <w:sz w:val="20"/>
              </w:rPr>
            </w:pPr>
            <w:r w:rsidRPr="0043228F">
              <w:rPr>
                <w:rFonts w:ascii="Arial Narrow" w:hAnsi="Arial Narrow" w:cs="Calibri"/>
                <w:color w:val="000000"/>
                <w:sz w:val="20"/>
              </w:rPr>
              <w:t>10,805</w:t>
            </w:r>
          </w:p>
          <w:p w14:paraId="1F7BC39E"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5,403</w:t>
            </w:r>
          </w:p>
          <w:p w14:paraId="6A0C4955" w14:textId="77777777" w:rsidR="00C31E54" w:rsidRPr="00C655CE" w:rsidRDefault="00C31E54" w:rsidP="00EC16AC">
            <w:pPr>
              <w:jc w:val="center"/>
              <w:rPr>
                <w:rFonts w:ascii="Arial Narrow" w:hAnsi="Arial Narrow" w:cs="Calibri"/>
                <w:b/>
                <w:bCs/>
                <w:color w:val="000000"/>
                <w:sz w:val="20"/>
              </w:rPr>
            </w:pPr>
            <w:r>
              <w:rPr>
                <w:rFonts w:ascii="Arial Narrow" w:hAnsi="Arial Narrow" w:cs="Calibri"/>
                <w:color w:val="000000"/>
                <w:sz w:val="20"/>
              </w:rPr>
              <w:t>5,403</w:t>
            </w:r>
          </w:p>
        </w:tc>
        <w:tc>
          <w:tcPr>
            <w:tcW w:w="637" w:type="pct"/>
            <w:noWrap/>
          </w:tcPr>
          <w:p w14:paraId="74661FE9" w14:textId="77777777" w:rsidR="00C31E54" w:rsidRDefault="00C31E54" w:rsidP="00EC16AC">
            <w:pPr>
              <w:jc w:val="center"/>
              <w:rPr>
                <w:rFonts w:ascii="Arial Narrow" w:hAnsi="Arial Narrow" w:cs="Calibri"/>
                <w:color w:val="000000"/>
                <w:sz w:val="20"/>
              </w:rPr>
            </w:pPr>
            <w:r w:rsidRPr="00E17F8F">
              <w:rPr>
                <w:rFonts w:ascii="Arial Narrow" w:hAnsi="Arial Narrow" w:cs="Calibri"/>
                <w:color w:val="000000"/>
                <w:sz w:val="20"/>
              </w:rPr>
              <w:t>11,289</w:t>
            </w:r>
          </w:p>
          <w:p w14:paraId="0CE32C47"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5,644</w:t>
            </w:r>
          </w:p>
          <w:p w14:paraId="02265260" w14:textId="77777777" w:rsidR="00C31E54" w:rsidRPr="003C2957" w:rsidRDefault="00C31E54" w:rsidP="00EC16AC">
            <w:pPr>
              <w:jc w:val="center"/>
              <w:rPr>
                <w:rFonts w:ascii="Arial Narrow" w:hAnsi="Arial Narrow" w:cs="Calibri"/>
                <w:b/>
                <w:bCs/>
                <w:color w:val="000000"/>
                <w:sz w:val="20"/>
              </w:rPr>
            </w:pPr>
            <w:r>
              <w:rPr>
                <w:rFonts w:ascii="Arial Narrow" w:hAnsi="Arial Narrow" w:cs="Calibri"/>
                <w:color w:val="000000"/>
                <w:sz w:val="20"/>
              </w:rPr>
              <w:t>5,644</w:t>
            </w:r>
          </w:p>
        </w:tc>
        <w:tc>
          <w:tcPr>
            <w:tcW w:w="637" w:type="pct"/>
            <w:noWrap/>
          </w:tcPr>
          <w:p w14:paraId="1332D14B" w14:textId="77777777" w:rsidR="00C31E54" w:rsidRDefault="00C31E54" w:rsidP="00EC16AC">
            <w:pPr>
              <w:jc w:val="center"/>
              <w:rPr>
                <w:rFonts w:ascii="Arial Narrow" w:hAnsi="Arial Narrow" w:cs="Calibri"/>
                <w:color w:val="000000"/>
                <w:sz w:val="20"/>
              </w:rPr>
            </w:pPr>
            <w:r w:rsidRPr="00D42755">
              <w:rPr>
                <w:rFonts w:ascii="Arial Narrow" w:hAnsi="Arial Narrow" w:cs="Calibri"/>
                <w:color w:val="000000"/>
                <w:sz w:val="20"/>
              </w:rPr>
              <w:t>11,772</w:t>
            </w:r>
          </w:p>
          <w:p w14:paraId="1F93E85E"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5,886</w:t>
            </w:r>
          </w:p>
          <w:p w14:paraId="08461885" w14:textId="77777777" w:rsidR="00C31E54" w:rsidRPr="0043228F" w:rsidRDefault="00C31E54" w:rsidP="00EC16AC">
            <w:pPr>
              <w:jc w:val="center"/>
              <w:rPr>
                <w:rFonts w:ascii="Arial Narrow" w:hAnsi="Arial Narrow" w:cs="Calibri"/>
                <w:b/>
                <w:bCs/>
                <w:color w:val="000000"/>
                <w:sz w:val="20"/>
              </w:rPr>
            </w:pPr>
            <w:r>
              <w:rPr>
                <w:rFonts w:ascii="Arial Narrow" w:hAnsi="Arial Narrow" w:cs="Calibri"/>
                <w:color w:val="000000"/>
                <w:sz w:val="20"/>
              </w:rPr>
              <w:t>5,886</w:t>
            </w:r>
          </w:p>
        </w:tc>
      </w:tr>
      <w:tr w:rsidR="00C31E54" w:rsidRPr="00D606A2" w14:paraId="07BBEB36" w14:textId="77777777" w:rsidTr="008D5FAC">
        <w:trPr>
          <w:trHeight w:val="255"/>
        </w:trPr>
        <w:tc>
          <w:tcPr>
            <w:tcW w:w="1818" w:type="pct"/>
            <w:noWrap/>
          </w:tcPr>
          <w:p w14:paraId="77899170" w14:textId="77777777" w:rsidR="00C31E54" w:rsidRDefault="00C31E54" w:rsidP="00EC16AC">
            <w:pPr>
              <w:rPr>
                <w:rFonts w:ascii="Arial Narrow" w:hAnsi="Arial Narrow" w:cs="Calibri"/>
                <w:bCs/>
                <w:i/>
                <w:color w:val="000000"/>
                <w:sz w:val="20"/>
                <w:vertAlign w:val="superscript"/>
              </w:rPr>
            </w:pPr>
            <w:r w:rsidRPr="007E6331">
              <w:rPr>
                <w:rFonts w:ascii="Arial Narrow" w:hAnsi="Arial Narrow" w:cs="Calibri"/>
                <w:bCs/>
                <w:color w:val="000000"/>
                <w:sz w:val="20"/>
              </w:rPr>
              <w:t>EMR without listing</w:t>
            </w:r>
          </w:p>
          <w:p w14:paraId="739D6660" w14:textId="77777777" w:rsidR="00C31E54" w:rsidRDefault="00C31E54" w:rsidP="00EC16AC">
            <w:pPr>
              <w:ind w:left="227"/>
              <w:rPr>
                <w:rFonts w:ascii="Arial Narrow" w:hAnsi="Arial Narrow" w:cs="Calibri"/>
                <w:bCs/>
                <w:color w:val="000000"/>
                <w:sz w:val="20"/>
              </w:rPr>
            </w:pPr>
            <w:r>
              <w:rPr>
                <w:rFonts w:ascii="Arial Narrow" w:hAnsi="Arial Narrow" w:cs="Calibri"/>
                <w:bCs/>
                <w:color w:val="000000"/>
                <w:sz w:val="20"/>
              </w:rPr>
              <w:t xml:space="preserve">Private patients (30%), MBS supported </w:t>
            </w:r>
          </w:p>
          <w:p w14:paraId="786D7844" w14:textId="77777777" w:rsidR="00C31E54" w:rsidRPr="008F0DC8" w:rsidRDefault="00C31E54" w:rsidP="00EC16AC">
            <w:pPr>
              <w:ind w:left="227"/>
              <w:rPr>
                <w:rFonts w:ascii="Arial Narrow" w:hAnsi="Arial Narrow" w:cs="Calibri"/>
                <w:bCs/>
                <w:color w:val="000000"/>
                <w:sz w:val="20"/>
              </w:rPr>
            </w:pPr>
            <w:r>
              <w:rPr>
                <w:rFonts w:ascii="Arial Narrow" w:hAnsi="Arial Narrow" w:cs="Calibri"/>
                <w:bCs/>
                <w:color w:val="000000"/>
                <w:sz w:val="20"/>
              </w:rPr>
              <w:t xml:space="preserve">Public patients (70%) </w:t>
            </w:r>
          </w:p>
        </w:tc>
        <w:tc>
          <w:tcPr>
            <w:tcW w:w="636" w:type="pct"/>
            <w:noWrap/>
          </w:tcPr>
          <w:p w14:paraId="1AABD19A" w14:textId="77777777" w:rsidR="00C31E54" w:rsidRDefault="00C31E54" w:rsidP="00EC16AC">
            <w:pPr>
              <w:jc w:val="center"/>
              <w:rPr>
                <w:rFonts w:ascii="Arial Narrow" w:hAnsi="Arial Narrow" w:cs="Calibri"/>
                <w:color w:val="000000"/>
                <w:sz w:val="20"/>
              </w:rPr>
            </w:pPr>
            <w:r w:rsidRPr="002644CE">
              <w:rPr>
                <w:rFonts w:ascii="Arial Narrow" w:hAnsi="Arial Narrow" w:cs="Calibri"/>
                <w:color w:val="000000"/>
                <w:sz w:val="20"/>
              </w:rPr>
              <w:t>9,839</w:t>
            </w:r>
          </w:p>
          <w:p w14:paraId="4C94AF07"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2,952</w:t>
            </w:r>
          </w:p>
          <w:p w14:paraId="7F0B6E37" w14:textId="77777777" w:rsidR="00C31E54" w:rsidRPr="0099779A" w:rsidRDefault="00C31E54" w:rsidP="00EC16AC">
            <w:pPr>
              <w:jc w:val="center"/>
              <w:rPr>
                <w:rFonts w:ascii="Arial Narrow" w:hAnsi="Arial Narrow" w:cs="Calibri"/>
                <w:b/>
                <w:bCs/>
                <w:color w:val="000000"/>
                <w:sz w:val="20"/>
              </w:rPr>
            </w:pPr>
            <w:r>
              <w:rPr>
                <w:rFonts w:ascii="Arial Narrow" w:hAnsi="Arial Narrow" w:cs="Calibri"/>
                <w:bCs/>
                <w:color w:val="000000"/>
                <w:sz w:val="20"/>
              </w:rPr>
              <w:t>6,887</w:t>
            </w:r>
          </w:p>
        </w:tc>
        <w:tc>
          <w:tcPr>
            <w:tcW w:w="636" w:type="pct"/>
            <w:noWrap/>
          </w:tcPr>
          <w:p w14:paraId="7490298A" w14:textId="77777777" w:rsidR="00C31E54" w:rsidRDefault="00C31E54" w:rsidP="00EC16AC">
            <w:pPr>
              <w:jc w:val="center"/>
              <w:rPr>
                <w:rFonts w:ascii="Arial Narrow" w:hAnsi="Arial Narrow" w:cs="Calibri"/>
                <w:color w:val="000000"/>
                <w:sz w:val="20"/>
              </w:rPr>
            </w:pPr>
            <w:r w:rsidRPr="00C655CE">
              <w:rPr>
                <w:rFonts w:ascii="Arial Narrow" w:hAnsi="Arial Narrow" w:cs="Calibri"/>
                <w:color w:val="000000"/>
                <w:sz w:val="20"/>
              </w:rPr>
              <w:t>10,322</w:t>
            </w:r>
          </w:p>
          <w:p w14:paraId="5996932F"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3,097</w:t>
            </w:r>
          </w:p>
          <w:p w14:paraId="00995C40" w14:textId="77777777" w:rsidR="00C31E54" w:rsidRPr="002644CE" w:rsidRDefault="00C31E54" w:rsidP="00EC16AC">
            <w:pPr>
              <w:jc w:val="center"/>
              <w:rPr>
                <w:rFonts w:ascii="Arial Narrow" w:hAnsi="Arial Narrow" w:cs="Calibri"/>
                <w:b/>
                <w:bCs/>
                <w:color w:val="000000"/>
                <w:sz w:val="20"/>
              </w:rPr>
            </w:pPr>
            <w:r>
              <w:rPr>
                <w:rFonts w:ascii="Arial Narrow" w:hAnsi="Arial Narrow" w:cs="Calibri"/>
                <w:color w:val="000000"/>
                <w:sz w:val="20"/>
              </w:rPr>
              <w:t>7,225</w:t>
            </w:r>
          </w:p>
        </w:tc>
        <w:tc>
          <w:tcPr>
            <w:tcW w:w="636" w:type="pct"/>
            <w:noWrap/>
          </w:tcPr>
          <w:p w14:paraId="1674C57D" w14:textId="77777777" w:rsidR="00C31E54" w:rsidRDefault="00C31E54" w:rsidP="00EC16AC">
            <w:pPr>
              <w:jc w:val="center"/>
              <w:rPr>
                <w:rFonts w:ascii="Arial Narrow" w:hAnsi="Arial Narrow" w:cs="Calibri"/>
                <w:color w:val="000000"/>
                <w:sz w:val="20"/>
              </w:rPr>
            </w:pPr>
            <w:r w:rsidRPr="0043228F">
              <w:rPr>
                <w:rFonts w:ascii="Arial Narrow" w:hAnsi="Arial Narrow" w:cs="Calibri"/>
                <w:color w:val="000000"/>
                <w:sz w:val="20"/>
              </w:rPr>
              <w:t>10,805</w:t>
            </w:r>
          </w:p>
          <w:p w14:paraId="18C915C5"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3,242</w:t>
            </w:r>
          </w:p>
          <w:p w14:paraId="7554DEDF" w14:textId="77777777" w:rsidR="00C31E54" w:rsidRPr="00C655CE" w:rsidRDefault="00C31E54" w:rsidP="00EC16AC">
            <w:pPr>
              <w:jc w:val="center"/>
              <w:rPr>
                <w:rFonts w:ascii="Arial Narrow" w:hAnsi="Arial Narrow" w:cs="Calibri"/>
                <w:b/>
                <w:bCs/>
                <w:color w:val="000000"/>
                <w:sz w:val="20"/>
              </w:rPr>
            </w:pPr>
            <w:r>
              <w:rPr>
                <w:rFonts w:ascii="Arial Narrow" w:hAnsi="Arial Narrow" w:cs="Calibri"/>
                <w:color w:val="000000"/>
                <w:sz w:val="20"/>
              </w:rPr>
              <w:t>7,564</w:t>
            </w:r>
          </w:p>
        </w:tc>
        <w:tc>
          <w:tcPr>
            <w:tcW w:w="637" w:type="pct"/>
            <w:noWrap/>
          </w:tcPr>
          <w:p w14:paraId="53F71153" w14:textId="77777777" w:rsidR="00C31E54" w:rsidRDefault="00C31E54" w:rsidP="00EC16AC">
            <w:pPr>
              <w:jc w:val="center"/>
              <w:rPr>
                <w:rFonts w:ascii="Arial Narrow" w:hAnsi="Arial Narrow" w:cs="Calibri"/>
                <w:color w:val="000000"/>
                <w:sz w:val="20"/>
              </w:rPr>
            </w:pPr>
            <w:r w:rsidRPr="00E17F8F">
              <w:rPr>
                <w:rFonts w:ascii="Arial Narrow" w:hAnsi="Arial Narrow" w:cs="Calibri"/>
                <w:color w:val="000000"/>
                <w:sz w:val="20"/>
              </w:rPr>
              <w:t>11,289</w:t>
            </w:r>
          </w:p>
          <w:p w14:paraId="48608C92"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3,387</w:t>
            </w:r>
          </w:p>
          <w:p w14:paraId="3AFD9AB3" w14:textId="77777777" w:rsidR="00C31E54" w:rsidRPr="003C2957" w:rsidRDefault="00C31E54" w:rsidP="00EC16AC">
            <w:pPr>
              <w:jc w:val="center"/>
              <w:rPr>
                <w:rFonts w:ascii="Arial Narrow" w:hAnsi="Arial Narrow" w:cs="Calibri"/>
                <w:b/>
                <w:bCs/>
                <w:color w:val="000000"/>
                <w:sz w:val="20"/>
              </w:rPr>
            </w:pPr>
            <w:r>
              <w:rPr>
                <w:rFonts w:ascii="Arial Narrow" w:hAnsi="Arial Narrow" w:cs="Calibri"/>
                <w:color w:val="000000"/>
                <w:sz w:val="20"/>
              </w:rPr>
              <w:t>7,902</w:t>
            </w:r>
          </w:p>
        </w:tc>
        <w:tc>
          <w:tcPr>
            <w:tcW w:w="637" w:type="pct"/>
            <w:noWrap/>
          </w:tcPr>
          <w:p w14:paraId="2E24A0D1" w14:textId="77777777" w:rsidR="00C31E54" w:rsidRDefault="00C31E54" w:rsidP="00EC16AC">
            <w:pPr>
              <w:jc w:val="center"/>
              <w:rPr>
                <w:rFonts w:ascii="Arial Narrow" w:hAnsi="Arial Narrow" w:cs="Calibri"/>
                <w:color w:val="000000"/>
                <w:sz w:val="20"/>
              </w:rPr>
            </w:pPr>
            <w:r w:rsidRPr="00D42755">
              <w:rPr>
                <w:rFonts w:ascii="Arial Narrow" w:hAnsi="Arial Narrow" w:cs="Calibri"/>
                <w:color w:val="000000"/>
                <w:sz w:val="20"/>
              </w:rPr>
              <w:t>11,772</w:t>
            </w:r>
          </w:p>
          <w:p w14:paraId="4E3A38F5"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3,532</w:t>
            </w:r>
          </w:p>
          <w:p w14:paraId="2AA7F056" w14:textId="77777777" w:rsidR="00C31E54" w:rsidRPr="0043228F" w:rsidRDefault="00C31E54" w:rsidP="00EC16AC">
            <w:pPr>
              <w:jc w:val="center"/>
              <w:rPr>
                <w:rFonts w:ascii="Arial Narrow" w:hAnsi="Arial Narrow" w:cs="Calibri"/>
                <w:b/>
                <w:bCs/>
                <w:color w:val="000000"/>
                <w:sz w:val="20"/>
              </w:rPr>
            </w:pPr>
            <w:r>
              <w:rPr>
                <w:rFonts w:ascii="Arial Narrow" w:hAnsi="Arial Narrow" w:cs="Calibri"/>
                <w:color w:val="000000"/>
                <w:sz w:val="20"/>
              </w:rPr>
              <w:t>8,241</w:t>
            </w:r>
          </w:p>
        </w:tc>
      </w:tr>
      <w:tr w:rsidR="00C31E54" w:rsidRPr="00D606A2" w14:paraId="1877E115" w14:textId="77777777" w:rsidTr="008D5FAC">
        <w:trPr>
          <w:trHeight w:val="255"/>
        </w:trPr>
        <w:tc>
          <w:tcPr>
            <w:tcW w:w="1818" w:type="pct"/>
            <w:noWrap/>
          </w:tcPr>
          <w:p w14:paraId="4F3B3389" w14:textId="77777777" w:rsidR="00C31E54" w:rsidRDefault="00C31E54" w:rsidP="00EC16AC">
            <w:pPr>
              <w:rPr>
                <w:rFonts w:ascii="Arial Narrow" w:hAnsi="Arial Narrow" w:cs="Calibri"/>
                <w:bCs/>
                <w:color w:val="000000"/>
                <w:sz w:val="20"/>
              </w:rPr>
            </w:pPr>
            <w:r>
              <w:rPr>
                <w:rFonts w:ascii="Arial Narrow" w:hAnsi="Arial Narrow" w:cs="Calibri"/>
                <w:bCs/>
                <w:color w:val="000000"/>
                <w:sz w:val="20"/>
              </w:rPr>
              <w:t>Subtotal</w:t>
            </w:r>
          </w:p>
          <w:p w14:paraId="2D34DC19" w14:textId="77777777" w:rsidR="00C31E54" w:rsidRDefault="00C31E54" w:rsidP="00EC16AC">
            <w:pPr>
              <w:ind w:left="227"/>
              <w:rPr>
                <w:rFonts w:ascii="Arial Narrow" w:hAnsi="Arial Narrow" w:cs="Calibri"/>
                <w:bCs/>
                <w:color w:val="000000"/>
                <w:sz w:val="20"/>
              </w:rPr>
            </w:pPr>
            <w:r>
              <w:rPr>
                <w:rFonts w:ascii="Arial Narrow" w:hAnsi="Arial Narrow" w:cs="Calibri"/>
                <w:bCs/>
                <w:color w:val="000000"/>
                <w:sz w:val="20"/>
              </w:rPr>
              <w:t xml:space="preserve">Private patients, MBS supported </w:t>
            </w:r>
          </w:p>
          <w:p w14:paraId="5FEC6FF1" w14:textId="77777777" w:rsidR="00C31E54" w:rsidRPr="007E6331" w:rsidRDefault="00C31E54" w:rsidP="00EC16AC">
            <w:pPr>
              <w:ind w:left="227"/>
              <w:rPr>
                <w:rFonts w:ascii="Arial Narrow" w:hAnsi="Arial Narrow" w:cs="Calibri"/>
                <w:bCs/>
                <w:color w:val="000000"/>
                <w:sz w:val="20"/>
              </w:rPr>
            </w:pPr>
            <w:r>
              <w:rPr>
                <w:rFonts w:ascii="Arial Narrow" w:hAnsi="Arial Narrow" w:cs="Calibri"/>
                <w:bCs/>
                <w:color w:val="000000"/>
                <w:sz w:val="20"/>
              </w:rPr>
              <w:t>Public patients</w:t>
            </w:r>
          </w:p>
        </w:tc>
        <w:tc>
          <w:tcPr>
            <w:tcW w:w="636" w:type="pct"/>
            <w:noWrap/>
          </w:tcPr>
          <w:p w14:paraId="0C8F479F"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0</w:t>
            </w:r>
          </w:p>
          <w:p w14:paraId="6FBB54C8"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-1,968</w:t>
            </w:r>
          </w:p>
          <w:p w14:paraId="00B07B70" w14:textId="77777777" w:rsidR="00C31E54" w:rsidRPr="002644CE" w:rsidRDefault="00C31E54" w:rsidP="00EC16AC">
            <w:pPr>
              <w:jc w:val="center"/>
              <w:rPr>
                <w:rFonts w:ascii="Arial Narrow" w:hAnsi="Arial Narrow" w:cs="Calibri"/>
                <w:color w:val="000000"/>
                <w:sz w:val="20"/>
              </w:rPr>
            </w:pPr>
            <w:r>
              <w:rPr>
                <w:rFonts w:ascii="Arial Narrow" w:hAnsi="Arial Narrow" w:cs="Calibri"/>
                <w:color w:val="000000"/>
                <w:sz w:val="20"/>
              </w:rPr>
              <w:t>1,968</w:t>
            </w:r>
          </w:p>
        </w:tc>
        <w:tc>
          <w:tcPr>
            <w:tcW w:w="636" w:type="pct"/>
            <w:noWrap/>
          </w:tcPr>
          <w:p w14:paraId="0D7C380E"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0</w:t>
            </w:r>
          </w:p>
          <w:p w14:paraId="717F25AF"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-2,064</w:t>
            </w:r>
          </w:p>
          <w:p w14:paraId="35D5A38C" w14:textId="77777777" w:rsidR="00C31E54" w:rsidRPr="00C655CE" w:rsidRDefault="00C31E54" w:rsidP="00EC16AC">
            <w:pPr>
              <w:jc w:val="center"/>
              <w:rPr>
                <w:rFonts w:ascii="Arial Narrow" w:hAnsi="Arial Narrow" w:cs="Calibri"/>
                <w:color w:val="000000"/>
                <w:sz w:val="20"/>
              </w:rPr>
            </w:pPr>
            <w:r>
              <w:rPr>
                <w:rFonts w:ascii="Arial Narrow" w:hAnsi="Arial Narrow" w:cs="Calibri"/>
                <w:color w:val="000000"/>
                <w:sz w:val="20"/>
              </w:rPr>
              <w:t>2,064</w:t>
            </w:r>
          </w:p>
        </w:tc>
        <w:tc>
          <w:tcPr>
            <w:tcW w:w="636" w:type="pct"/>
            <w:noWrap/>
          </w:tcPr>
          <w:p w14:paraId="5FF0028E"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0</w:t>
            </w:r>
          </w:p>
          <w:p w14:paraId="159EF37B"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-2,161</w:t>
            </w:r>
          </w:p>
          <w:p w14:paraId="0DEF6CC2" w14:textId="77777777" w:rsidR="00C31E54" w:rsidRPr="0043228F" w:rsidRDefault="00C31E54" w:rsidP="00EC16AC">
            <w:pPr>
              <w:jc w:val="center"/>
              <w:rPr>
                <w:rFonts w:ascii="Arial Narrow" w:hAnsi="Arial Narrow" w:cs="Calibri"/>
                <w:color w:val="000000"/>
                <w:sz w:val="20"/>
              </w:rPr>
            </w:pPr>
            <w:r>
              <w:rPr>
                <w:rFonts w:ascii="Arial Narrow" w:hAnsi="Arial Narrow" w:cs="Calibri"/>
                <w:color w:val="000000"/>
                <w:sz w:val="20"/>
              </w:rPr>
              <w:t>2,161</w:t>
            </w:r>
          </w:p>
        </w:tc>
        <w:tc>
          <w:tcPr>
            <w:tcW w:w="637" w:type="pct"/>
            <w:noWrap/>
          </w:tcPr>
          <w:p w14:paraId="352C155C"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0</w:t>
            </w:r>
          </w:p>
          <w:p w14:paraId="773C3DD0"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-2,258</w:t>
            </w:r>
          </w:p>
          <w:p w14:paraId="5D1C5B22" w14:textId="77777777" w:rsidR="00C31E54" w:rsidRPr="00E17F8F" w:rsidRDefault="00C31E54" w:rsidP="00EC16AC">
            <w:pPr>
              <w:jc w:val="center"/>
              <w:rPr>
                <w:rFonts w:ascii="Arial Narrow" w:hAnsi="Arial Narrow" w:cs="Calibri"/>
                <w:color w:val="000000"/>
                <w:sz w:val="20"/>
              </w:rPr>
            </w:pPr>
            <w:r>
              <w:rPr>
                <w:rFonts w:ascii="Arial Narrow" w:hAnsi="Arial Narrow" w:cs="Calibri"/>
                <w:color w:val="000000"/>
                <w:sz w:val="20"/>
              </w:rPr>
              <w:t>2,258</w:t>
            </w:r>
          </w:p>
        </w:tc>
        <w:tc>
          <w:tcPr>
            <w:tcW w:w="637" w:type="pct"/>
            <w:noWrap/>
          </w:tcPr>
          <w:p w14:paraId="23E109E2"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0</w:t>
            </w:r>
          </w:p>
          <w:p w14:paraId="0B44F779" w14:textId="77777777" w:rsidR="00C31E54" w:rsidRDefault="00C31E54" w:rsidP="00EC16AC">
            <w:pPr>
              <w:jc w:val="center"/>
              <w:rPr>
                <w:rFonts w:ascii="Arial Narrow" w:hAnsi="Arial Narrow" w:cs="Calibri"/>
                <w:color w:val="000000"/>
                <w:sz w:val="20"/>
              </w:rPr>
            </w:pPr>
            <w:r>
              <w:rPr>
                <w:rFonts w:ascii="Arial Narrow" w:hAnsi="Arial Narrow" w:cs="Calibri"/>
                <w:color w:val="000000"/>
                <w:sz w:val="20"/>
              </w:rPr>
              <w:t>-2,354</w:t>
            </w:r>
          </w:p>
          <w:p w14:paraId="6FD6A4A9" w14:textId="77777777" w:rsidR="00C31E54" w:rsidRPr="00D42755" w:rsidRDefault="00C31E54" w:rsidP="00EC16AC">
            <w:pPr>
              <w:jc w:val="center"/>
              <w:rPr>
                <w:rFonts w:ascii="Arial Narrow" w:hAnsi="Arial Narrow" w:cs="Calibri"/>
                <w:color w:val="000000"/>
                <w:sz w:val="20"/>
              </w:rPr>
            </w:pPr>
            <w:r>
              <w:rPr>
                <w:rFonts w:ascii="Arial Narrow" w:hAnsi="Arial Narrow" w:cs="Calibri"/>
                <w:color w:val="000000"/>
                <w:sz w:val="20"/>
              </w:rPr>
              <w:t>2,354</w:t>
            </w:r>
          </w:p>
        </w:tc>
      </w:tr>
      <w:tr w:rsidR="00C31E54" w:rsidRPr="00D606A2" w14:paraId="276A9FA6" w14:textId="77777777" w:rsidTr="008D5FAC">
        <w:trPr>
          <w:trHeight w:val="255"/>
        </w:trPr>
        <w:tc>
          <w:tcPr>
            <w:tcW w:w="1818" w:type="pct"/>
            <w:shd w:val="clear" w:color="auto" w:fill="D9D9D9" w:themeFill="background1" w:themeFillShade="D9"/>
            <w:noWrap/>
            <w:hideMark/>
          </w:tcPr>
          <w:p w14:paraId="4A029581" w14:textId="77777777" w:rsidR="00C31E54" w:rsidRPr="00F12A05" w:rsidRDefault="00C31E54" w:rsidP="00EC16AC">
            <w:pPr>
              <w:rPr>
                <w:rFonts w:ascii="Arial Narrow" w:hAnsi="Arial Narrow" w:cs="Calibri"/>
                <w:b/>
                <w:bCs/>
                <w:color w:val="000000"/>
                <w:sz w:val="20"/>
              </w:rPr>
            </w:pPr>
            <w:r w:rsidRPr="00F12A05">
              <w:rPr>
                <w:rFonts w:ascii="Arial Narrow" w:hAnsi="Arial Narrow" w:cs="Calibri"/>
                <w:b/>
                <w:bCs/>
                <w:color w:val="000000"/>
                <w:sz w:val="20"/>
              </w:rPr>
              <w:t>MBS Costs</w:t>
            </w:r>
            <w:r>
              <w:rPr>
                <w:rFonts w:ascii="Arial Narrow" w:hAnsi="Arial Narrow" w:cs="Calibri"/>
                <w:b/>
                <w:bCs/>
                <w:color w:val="000000"/>
                <w:sz w:val="20"/>
              </w:rPr>
              <w:t xml:space="preserve"> </w:t>
            </w:r>
            <w:r w:rsidRPr="004D5ABA">
              <w:rPr>
                <w:rFonts w:ascii="Arial Narrow" w:hAnsi="Arial Narrow" w:cs="Calibri"/>
                <w:b/>
                <w:bCs/>
                <w:i/>
                <w:color w:val="000000"/>
                <w:sz w:val="20"/>
              </w:rPr>
              <w:t>(private patients)</w:t>
            </w:r>
          </w:p>
        </w:tc>
        <w:tc>
          <w:tcPr>
            <w:tcW w:w="636" w:type="pct"/>
            <w:shd w:val="clear" w:color="auto" w:fill="D9D9D9" w:themeFill="background1" w:themeFillShade="D9"/>
            <w:noWrap/>
            <w:hideMark/>
          </w:tcPr>
          <w:p w14:paraId="602E5C83" w14:textId="77777777" w:rsidR="00C31E54" w:rsidRPr="0099779A" w:rsidRDefault="00C31E54" w:rsidP="00EC16AC">
            <w:pPr>
              <w:jc w:val="center"/>
              <w:rPr>
                <w:rFonts w:ascii="Arial Narrow" w:hAnsi="Arial Narrow" w:cs="Calibri"/>
                <w:b/>
                <w:bCs/>
                <w:color w:val="000000"/>
                <w:sz w:val="20"/>
              </w:rPr>
            </w:pPr>
            <w:r w:rsidRPr="0099779A">
              <w:rPr>
                <w:rFonts w:ascii="Arial Narrow" w:hAnsi="Arial Narrow" w:cs="Calibri"/>
                <w:b/>
                <w:bCs/>
                <w:color w:val="000000"/>
                <w:sz w:val="20"/>
              </w:rPr>
              <w:t> </w:t>
            </w:r>
          </w:p>
        </w:tc>
        <w:tc>
          <w:tcPr>
            <w:tcW w:w="636" w:type="pct"/>
            <w:shd w:val="clear" w:color="auto" w:fill="D9D9D9" w:themeFill="background1" w:themeFillShade="D9"/>
            <w:noWrap/>
            <w:hideMark/>
          </w:tcPr>
          <w:p w14:paraId="6DA007F2" w14:textId="77777777" w:rsidR="00C31E54" w:rsidRPr="002644CE" w:rsidRDefault="00C31E54" w:rsidP="00EC16AC">
            <w:pPr>
              <w:jc w:val="center"/>
              <w:rPr>
                <w:rFonts w:ascii="Arial Narrow" w:hAnsi="Arial Narrow" w:cs="Calibri"/>
                <w:b/>
                <w:bCs/>
                <w:color w:val="000000"/>
                <w:sz w:val="20"/>
              </w:rPr>
            </w:pPr>
            <w:r w:rsidRPr="002644CE">
              <w:rPr>
                <w:rFonts w:ascii="Arial Narrow" w:hAnsi="Arial Narrow" w:cs="Calibri"/>
                <w:b/>
                <w:bCs/>
                <w:color w:val="000000"/>
                <w:sz w:val="20"/>
              </w:rPr>
              <w:t> </w:t>
            </w:r>
          </w:p>
        </w:tc>
        <w:tc>
          <w:tcPr>
            <w:tcW w:w="636" w:type="pct"/>
            <w:shd w:val="clear" w:color="auto" w:fill="D9D9D9" w:themeFill="background1" w:themeFillShade="D9"/>
            <w:noWrap/>
            <w:hideMark/>
          </w:tcPr>
          <w:p w14:paraId="2F5DC082" w14:textId="77777777" w:rsidR="00C31E54" w:rsidRPr="00C655CE" w:rsidRDefault="00C31E54" w:rsidP="00EC16AC">
            <w:pPr>
              <w:jc w:val="center"/>
              <w:rPr>
                <w:rFonts w:ascii="Arial Narrow" w:hAnsi="Arial Narrow" w:cs="Calibri"/>
                <w:b/>
                <w:bCs/>
                <w:color w:val="000000"/>
                <w:sz w:val="20"/>
              </w:rPr>
            </w:pPr>
            <w:r w:rsidRPr="00C655CE">
              <w:rPr>
                <w:rFonts w:ascii="Arial Narrow" w:hAnsi="Arial Narrow" w:cs="Calibri"/>
                <w:b/>
                <w:bCs/>
                <w:color w:val="000000"/>
                <w:sz w:val="20"/>
              </w:rPr>
              <w:t> </w:t>
            </w:r>
          </w:p>
        </w:tc>
        <w:tc>
          <w:tcPr>
            <w:tcW w:w="637" w:type="pct"/>
            <w:shd w:val="clear" w:color="auto" w:fill="D9D9D9" w:themeFill="background1" w:themeFillShade="D9"/>
            <w:noWrap/>
            <w:hideMark/>
          </w:tcPr>
          <w:p w14:paraId="3AAEFCCA" w14:textId="77777777" w:rsidR="00C31E54" w:rsidRPr="003C2957" w:rsidRDefault="00C31E54" w:rsidP="00EC16AC">
            <w:pPr>
              <w:jc w:val="center"/>
              <w:rPr>
                <w:rFonts w:ascii="Arial Narrow" w:hAnsi="Arial Narrow" w:cs="Calibri"/>
                <w:b/>
                <w:bCs/>
                <w:color w:val="000000"/>
                <w:sz w:val="20"/>
              </w:rPr>
            </w:pPr>
            <w:r w:rsidRPr="003C2957">
              <w:rPr>
                <w:rFonts w:ascii="Arial Narrow" w:hAnsi="Arial Narrow" w:cs="Calibri"/>
                <w:b/>
                <w:bCs/>
                <w:color w:val="000000"/>
                <w:sz w:val="20"/>
              </w:rPr>
              <w:t> </w:t>
            </w:r>
          </w:p>
        </w:tc>
        <w:tc>
          <w:tcPr>
            <w:tcW w:w="637" w:type="pct"/>
            <w:shd w:val="clear" w:color="auto" w:fill="D9D9D9" w:themeFill="background1" w:themeFillShade="D9"/>
            <w:noWrap/>
            <w:hideMark/>
          </w:tcPr>
          <w:p w14:paraId="6624A8BF" w14:textId="77777777" w:rsidR="00C31E54" w:rsidRPr="0043228F" w:rsidRDefault="00C31E54" w:rsidP="00EC16AC">
            <w:pPr>
              <w:jc w:val="center"/>
              <w:rPr>
                <w:rFonts w:ascii="Arial Narrow" w:hAnsi="Arial Narrow" w:cs="Calibri"/>
                <w:b/>
                <w:bCs/>
                <w:color w:val="000000"/>
                <w:sz w:val="20"/>
              </w:rPr>
            </w:pPr>
            <w:r w:rsidRPr="0043228F">
              <w:rPr>
                <w:rFonts w:ascii="Arial Narrow" w:hAnsi="Arial Narrow" w:cs="Calibri"/>
                <w:b/>
                <w:bCs/>
                <w:color w:val="000000"/>
                <w:sz w:val="20"/>
              </w:rPr>
              <w:t> </w:t>
            </w:r>
          </w:p>
        </w:tc>
      </w:tr>
      <w:tr w:rsidR="00C31E54" w:rsidRPr="00F12A05" w14:paraId="6569EC04" w14:textId="77777777" w:rsidTr="008D5FAC">
        <w:trPr>
          <w:trHeight w:val="255"/>
        </w:trPr>
        <w:tc>
          <w:tcPr>
            <w:tcW w:w="1818" w:type="pct"/>
            <w:noWrap/>
            <w:hideMark/>
          </w:tcPr>
          <w:p w14:paraId="407B6B3C" w14:textId="77777777" w:rsidR="00C31E54" w:rsidRPr="00F12A05" w:rsidRDefault="00C31E54" w:rsidP="00EC16AC">
            <w:pPr>
              <w:rPr>
                <w:rFonts w:ascii="Arial Narrow" w:hAnsi="Arial Narrow" w:cs="Calibri"/>
                <w:sz w:val="20"/>
              </w:rPr>
            </w:pPr>
            <w:r>
              <w:rPr>
                <w:rFonts w:ascii="Arial Narrow" w:hAnsi="Arial Narrow" w:cs="Calibri"/>
                <w:sz w:val="20"/>
              </w:rPr>
              <w:t>EMR with listing</w:t>
            </w:r>
            <w:r>
              <w:rPr>
                <w:rFonts w:ascii="Arial Narrow" w:hAnsi="Arial Narrow" w:cs="Calibri"/>
                <w:i/>
                <w:sz w:val="20"/>
                <w:vertAlign w:val="superscript"/>
              </w:rPr>
              <w:t>a</w:t>
            </w:r>
          </w:p>
        </w:tc>
        <w:tc>
          <w:tcPr>
            <w:tcW w:w="636" w:type="pct"/>
            <w:noWrap/>
            <w:hideMark/>
          </w:tcPr>
          <w:p w14:paraId="59CDC505" w14:textId="77777777" w:rsidR="00C31E54" w:rsidRPr="002644CE" w:rsidRDefault="00C31E54" w:rsidP="00EC16AC">
            <w:pPr>
              <w:jc w:val="center"/>
              <w:rPr>
                <w:rFonts w:ascii="Arial Narrow" w:hAnsi="Arial Narrow" w:cs="Calibri"/>
                <w:color w:val="000000"/>
                <w:sz w:val="20"/>
              </w:rPr>
            </w:pPr>
            <w:r w:rsidRPr="0099779A">
              <w:rPr>
                <w:rFonts w:ascii="Arial Narrow" w:hAnsi="Arial Narrow" w:cs="Calibri"/>
                <w:color w:val="000000"/>
                <w:sz w:val="20"/>
              </w:rPr>
              <w:t xml:space="preserve">8,736,783 </w:t>
            </w:r>
          </w:p>
        </w:tc>
        <w:tc>
          <w:tcPr>
            <w:tcW w:w="636" w:type="pct"/>
            <w:noWrap/>
            <w:hideMark/>
          </w:tcPr>
          <w:p w14:paraId="460C440E" w14:textId="77777777" w:rsidR="00C31E54" w:rsidRPr="003C2957" w:rsidRDefault="00C31E54" w:rsidP="00EC16AC">
            <w:pPr>
              <w:jc w:val="center"/>
              <w:rPr>
                <w:rFonts w:ascii="Arial Narrow" w:hAnsi="Arial Narrow" w:cs="Calibri"/>
                <w:color w:val="000000"/>
                <w:sz w:val="20"/>
              </w:rPr>
            </w:pPr>
            <w:r w:rsidRPr="00C655CE">
              <w:rPr>
                <w:rFonts w:ascii="Arial Narrow" w:hAnsi="Arial Narrow" w:cs="Calibri"/>
                <w:color w:val="000000"/>
                <w:sz w:val="20"/>
              </w:rPr>
              <w:t xml:space="preserve">9,166,090 </w:t>
            </w:r>
          </w:p>
        </w:tc>
        <w:tc>
          <w:tcPr>
            <w:tcW w:w="636" w:type="pct"/>
            <w:noWrap/>
            <w:hideMark/>
          </w:tcPr>
          <w:p w14:paraId="5F9BB4DC" w14:textId="77777777" w:rsidR="00C31E54" w:rsidRPr="00D606A2" w:rsidRDefault="00C31E54" w:rsidP="00EC16AC">
            <w:pPr>
              <w:jc w:val="center"/>
              <w:rPr>
                <w:rFonts w:ascii="Arial Narrow" w:hAnsi="Arial Narrow" w:cs="Calibri"/>
                <w:color w:val="000000"/>
                <w:sz w:val="20"/>
              </w:rPr>
            </w:pPr>
            <w:r w:rsidRPr="0043228F">
              <w:rPr>
                <w:rFonts w:ascii="Arial Narrow" w:hAnsi="Arial Narrow" w:cs="Calibri"/>
                <w:color w:val="000000"/>
                <w:sz w:val="20"/>
              </w:rPr>
              <w:t xml:space="preserve">9,595,398 </w:t>
            </w:r>
          </w:p>
        </w:tc>
        <w:tc>
          <w:tcPr>
            <w:tcW w:w="637" w:type="pct"/>
            <w:noWrap/>
            <w:hideMark/>
          </w:tcPr>
          <w:p w14:paraId="73764BB6" w14:textId="77777777" w:rsidR="00C31E54" w:rsidRPr="00E17F8F" w:rsidRDefault="00C31E54" w:rsidP="00EC16AC">
            <w:pPr>
              <w:jc w:val="center"/>
              <w:rPr>
                <w:rFonts w:ascii="Arial Narrow" w:hAnsi="Arial Narrow" w:cs="Calibri"/>
                <w:color w:val="000000"/>
                <w:sz w:val="20"/>
              </w:rPr>
            </w:pPr>
            <w:r w:rsidRPr="00E17F8F">
              <w:rPr>
                <w:rFonts w:ascii="Arial Narrow" w:hAnsi="Arial Narrow" w:cs="Calibri"/>
                <w:color w:val="000000"/>
                <w:sz w:val="20"/>
              </w:rPr>
              <w:t xml:space="preserve">10,024,706 </w:t>
            </w:r>
          </w:p>
        </w:tc>
        <w:tc>
          <w:tcPr>
            <w:tcW w:w="637" w:type="pct"/>
            <w:noWrap/>
            <w:hideMark/>
          </w:tcPr>
          <w:p w14:paraId="1C43859F" w14:textId="77777777" w:rsidR="00C31E54" w:rsidRPr="00D42755" w:rsidRDefault="00C31E54" w:rsidP="00EC16AC">
            <w:pPr>
              <w:jc w:val="center"/>
              <w:rPr>
                <w:rFonts w:ascii="Arial Narrow" w:hAnsi="Arial Narrow" w:cs="Calibri"/>
                <w:color w:val="000000"/>
                <w:sz w:val="20"/>
              </w:rPr>
            </w:pPr>
            <w:r w:rsidRPr="00ED5D10">
              <w:rPr>
                <w:rFonts w:ascii="Arial Narrow" w:hAnsi="Arial Narrow" w:cs="Calibri"/>
                <w:color w:val="000000"/>
                <w:sz w:val="20"/>
              </w:rPr>
              <w:t xml:space="preserve">10,454,013 </w:t>
            </w:r>
          </w:p>
        </w:tc>
      </w:tr>
      <w:tr w:rsidR="00C31E54" w:rsidRPr="00F12A05" w14:paraId="0F4A7B01" w14:textId="77777777" w:rsidTr="008D5FAC">
        <w:trPr>
          <w:trHeight w:val="255"/>
        </w:trPr>
        <w:tc>
          <w:tcPr>
            <w:tcW w:w="1818" w:type="pct"/>
            <w:noWrap/>
            <w:hideMark/>
          </w:tcPr>
          <w:p w14:paraId="2B904BB1" w14:textId="77777777" w:rsidR="00C31E54" w:rsidRPr="00716D6E" w:rsidRDefault="00C31E54" w:rsidP="00EC16AC">
            <w:pPr>
              <w:rPr>
                <w:rFonts w:ascii="Arial Narrow" w:hAnsi="Arial Narrow" w:cs="Calibri"/>
                <w:i/>
                <w:sz w:val="20"/>
              </w:rPr>
            </w:pPr>
            <w:r>
              <w:rPr>
                <w:rFonts w:ascii="Arial Narrow" w:hAnsi="Arial Narrow" w:cs="Calibri"/>
                <w:sz w:val="20"/>
              </w:rPr>
              <w:t>EMR without listing</w:t>
            </w:r>
            <w:r>
              <w:rPr>
                <w:rFonts w:ascii="Arial Narrow" w:hAnsi="Arial Narrow" w:cs="Calibri"/>
                <w:i/>
                <w:sz w:val="20"/>
                <w:vertAlign w:val="superscript"/>
              </w:rPr>
              <w:t>b</w:t>
            </w:r>
          </w:p>
        </w:tc>
        <w:tc>
          <w:tcPr>
            <w:tcW w:w="636" w:type="pct"/>
            <w:noWrap/>
            <w:hideMark/>
          </w:tcPr>
          <w:p w14:paraId="59B490E7" w14:textId="77777777" w:rsidR="00C31E54" w:rsidRPr="002644CE" w:rsidRDefault="00C31E54" w:rsidP="00EC16AC">
            <w:pPr>
              <w:jc w:val="center"/>
              <w:rPr>
                <w:rFonts w:ascii="Arial Narrow" w:hAnsi="Arial Narrow" w:cs="Calibri"/>
                <w:color w:val="000000"/>
                <w:sz w:val="20"/>
              </w:rPr>
            </w:pPr>
            <w:r w:rsidRPr="0099779A">
              <w:rPr>
                <w:rFonts w:ascii="Arial Narrow" w:hAnsi="Arial Narrow" w:cs="Calibri"/>
                <w:color w:val="000000"/>
                <w:sz w:val="20"/>
              </w:rPr>
              <w:t xml:space="preserve">2,423,410 </w:t>
            </w:r>
          </w:p>
        </w:tc>
        <w:tc>
          <w:tcPr>
            <w:tcW w:w="636" w:type="pct"/>
            <w:noWrap/>
            <w:hideMark/>
          </w:tcPr>
          <w:p w14:paraId="7F27D251" w14:textId="77777777" w:rsidR="00C31E54" w:rsidRPr="003C2957" w:rsidRDefault="00C31E54" w:rsidP="00EC16AC">
            <w:pPr>
              <w:jc w:val="center"/>
              <w:rPr>
                <w:rFonts w:ascii="Arial Narrow" w:hAnsi="Arial Narrow" w:cs="Calibri"/>
                <w:color w:val="000000"/>
                <w:sz w:val="20"/>
              </w:rPr>
            </w:pPr>
            <w:r w:rsidRPr="00C655CE">
              <w:rPr>
                <w:rFonts w:ascii="Arial Narrow" w:hAnsi="Arial Narrow" w:cs="Calibri"/>
                <w:color w:val="000000"/>
                <w:sz w:val="20"/>
              </w:rPr>
              <w:t xml:space="preserve">2,542,491 </w:t>
            </w:r>
          </w:p>
        </w:tc>
        <w:tc>
          <w:tcPr>
            <w:tcW w:w="636" w:type="pct"/>
            <w:noWrap/>
            <w:hideMark/>
          </w:tcPr>
          <w:p w14:paraId="35BC7CEA" w14:textId="77777777" w:rsidR="00C31E54" w:rsidRPr="00D606A2" w:rsidRDefault="00C31E54" w:rsidP="00EC16AC">
            <w:pPr>
              <w:jc w:val="center"/>
              <w:rPr>
                <w:rFonts w:ascii="Arial Narrow" w:hAnsi="Arial Narrow" w:cs="Calibri"/>
                <w:color w:val="000000"/>
                <w:sz w:val="20"/>
              </w:rPr>
            </w:pPr>
            <w:r w:rsidRPr="0043228F">
              <w:rPr>
                <w:rFonts w:ascii="Arial Narrow" w:hAnsi="Arial Narrow" w:cs="Calibri"/>
                <w:color w:val="000000"/>
                <w:sz w:val="20"/>
              </w:rPr>
              <w:t xml:space="preserve">2,661,573 </w:t>
            </w:r>
          </w:p>
        </w:tc>
        <w:tc>
          <w:tcPr>
            <w:tcW w:w="637" w:type="pct"/>
            <w:noWrap/>
            <w:hideMark/>
          </w:tcPr>
          <w:p w14:paraId="1B10F0DB" w14:textId="77777777" w:rsidR="00C31E54" w:rsidRPr="00E17F8F" w:rsidRDefault="00C31E54" w:rsidP="00EC16AC">
            <w:pPr>
              <w:jc w:val="center"/>
              <w:rPr>
                <w:rFonts w:ascii="Arial Narrow" w:hAnsi="Arial Narrow" w:cs="Calibri"/>
                <w:color w:val="000000"/>
                <w:sz w:val="20"/>
              </w:rPr>
            </w:pPr>
            <w:r w:rsidRPr="00E17F8F">
              <w:rPr>
                <w:rFonts w:ascii="Arial Narrow" w:hAnsi="Arial Narrow" w:cs="Calibri"/>
                <w:color w:val="000000"/>
                <w:sz w:val="20"/>
              </w:rPr>
              <w:t xml:space="preserve">2,780,654 </w:t>
            </w:r>
          </w:p>
        </w:tc>
        <w:tc>
          <w:tcPr>
            <w:tcW w:w="637" w:type="pct"/>
            <w:noWrap/>
            <w:hideMark/>
          </w:tcPr>
          <w:p w14:paraId="73F4BED9" w14:textId="77777777" w:rsidR="00C31E54" w:rsidRPr="00D42755" w:rsidRDefault="00C31E54" w:rsidP="00EC16AC">
            <w:pPr>
              <w:jc w:val="center"/>
              <w:rPr>
                <w:rFonts w:ascii="Arial Narrow" w:hAnsi="Arial Narrow" w:cs="Calibri"/>
                <w:color w:val="000000"/>
                <w:sz w:val="20"/>
              </w:rPr>
            </w:pPr>
            <w:r w:rsidRPr="00ED5D10">
              <w:rPr>
                <w:rFonts w:ascii="Arial Narrow" w:hAnsi="Arial Narrow" w:cs="Calibri"/>
                <w:color w:val="000000"/>
                <w:sz w:val="20"/>
              </w:rPr>
              <w:t xml:space="preserve">2,899,736 </w:t>
            </w:r>
          </w:p>
        </w:tc>
      </w:tr>
      <w:tr w:rsidR="00C31E54" w:rsidRPr="00F12A05" w14:paraId="4D6F8EC1" w14:textId="77777777" w:rsidTr="008D5FAC">
        <w:trPr>
          <w:trHeight w:val="300"/>
        </w:trPr>
        <w:tc>
          <w:tcPr>
            <w:tcW w:w="1818" w:type="pct"/>
            <w:noWrap/>
            <w:hideMark/>
          </w:tcPr>
          <w:p w14:paraId="375D85B1" w14:textId="77777777" w:rsidR="00C31E54" w:rsidRPr="0099779A" w:rsidRDefault="00C31E54" w:rsidP="00EC16AC">
            <w:pPr>
              <w:rPr>
                <w:rFonts w:ascii="Arial Narrow" w:hAnsi="Arial Narrow" w:cs="Calibri"/>
                <w:b/>
                <w:bCs/>
                <w:sz w:val="20"/>
              </w:rPr>
            </w:pPr>
            <w:r w:rsidRPr="0099779A">
              <w:rPr>
                <w:rFonts w:ascii="Arial Narrow" w:hAnsi="Arial Narrow" w:cs="Calibri"/>
                <w:b/>
                <w:bCs/>
                <w:sz w:val="20"/>
              </w:rPr>
              <w:t>Subtotal</w:t>
            </w:r>
          </w:p>
        </w:tc>
        <w:tc>
          <w:tcPr>
            <w:tcW w:w="636" w:type="pct"/>
            <w:noWrap/>
            <w:hideMark/>
          </w:tcPr>
          <w:p w14:paraId="19DEB736" w14:textId="77777777" w:rsidR="00C31E54" w:rsidRPr="00C655CE" w:rsidRDefault="00C31E54" w:rsidP="00EC16AC">
            <w:pPr>
              <w:jc w:val="center"/>
              <w:rPr>
                <w:rFonts w:ascii="Arial Narrow" w:hAnsi="Arial Narrow" w:cs="Calibri"/>
                <w:b/>
                <w:bCs/>
                <w:color w:val="000000"/>
                <w:sz w:val="20"/>
              </w:rPr>
            </w:pPr>
            <w:r w:rsidRPr="002644CE">
              <w:rPr>
                <w:rFonts w:ascii="Arial Narrow" w:hAnsi="Arial Narrow" w:cs="Calibri"/>
                <w:b/>
                <w:bCs/>
                <w:color w:val="000000"/>
                <w:sz w:val="20"/>
              </w:rPr>
              <w:t xml:space="preserve">6,313,373 </w:t>
            </w:r>
          </w:p>
        </w:tc>
        <w:tc>
          <w:tcPr>
            <w:tcW w:w="636" w:type="pct"/>
            <w:noWrap/>
            <w:hideMark/>
          </w:tcPr>
          <w:p w14:paraId="10275947" w14:textId="77777777" w:rsidR="00C31E54" w:rsidRPr="00D606A2" w:rsidRDefault="00C31E54" w:rsidP="00EC16AC">
            <w:pPr>
              <w:jc w:val="center"/>
              <w:rPr>
                <w:rFonts w:ascii="Arial Narrow" w:hAnsi="Arial Narrow" w:cs="Calibri"/>
                <w:b/>
                <w:bCs/>
                <w:color w:val="000000"/>
                <w:sz w:val="20"/>
              </w:rPr>
            </w:pPr>
            <w:r w:rsidRPr="003C2957">
              <w:rPr>
                <w:rFonts w:ascii="Arial Narrow" w:hAnsi="Arial Narrow" w:cs="Calibri"/>
                <w:b/>
                <w:bCs/>
                <w:color w:val="000000"/>
                <w:sz w:val="20"/>
              </w:rPr>
              <w:t xml:space="preserve">6,623,599 </w:t>
            </w:r>
          </w:p>
        </w:tc>
        <w:tc>
          <w:tcPr>
            <w:tcW w:w="636" w:type="pct"/>
            <w:noWrap/>
            <w:hideMark/>
          </w:tcPr>
          <w:p w14:paraId="5098B748" w14:textId="77777777" w:rsidR="00C31E54" w:rsidRPr="00E17F8F" w:rsidRDefault="00C31E54" w:rsidP="00EC16AC">
            <w:pPr>
              <w:jc w:val="center"/>
              <w:rPr>
                <w:rFonts w:ascii="Arial Narrow" w:hAnsi="Arial Narrow" w:cs="Calibri"/>
                <w:b/>
                <w:bCs/>
                <w:color w:val="000000"/>
                <w:sz w:val="20"/>
              </w:rPr>
            </w:pPr>
            <w:r w:rsidRPr="00D606A2">
              <w:rPr>
                <w:rFonts w:ascii="Arial Narrow" w:hAnsi="Arial Narrow" w:cs="Calibri"/>
                <w:b/>
                <w:bCs/>
                <w:color w:val="000000"/>
                <w:sz w:val="20"/>
              </w:rPr>
              <w:t xml:space="preserve">6,933,825 </w:t>
            </w:r>
          </w:p>
        </w:tc>
        <w:tc>
          <w:tcPr>
            <w:tcW w:w="637" w:type="pct"/>
            <w:noWrap/>
            <w:hideMark/>
          </w:tcPr>
          <w:p w14:paraId="0DBC31BB" w14:textId="77777777" w:rsidR="00C31E54" w:rsidRPr="00D42755" w:rsidRDefault="00C31E54" w:rsidP="00EC16AC">
            <w:pPr>
              <w:jc w:val="center"/>
              <w:rPr>
                <w:rFonts w:ascii="Arial Narrow" w:hAnsi="Arial Narrow" w:cs="Calibri"/>
                <w:b/>
                <w:bCs/>
                <w:color w:val="000000"/>
                <w:sz w:val="20"/>
              </w:rPr>
            </w:pPr>
            <w:r w:rsidRPr="00ED5D10">
              <w:rPr>
                <w:rFonts w:ascii="Arial Narrow" w:hAnsi="Arial Narrow" w:cs="Calibri"/>
                <w:b/>
                <w:bCs/>
                <w:color w:val="000000"/>
                <w:sz w:val="20"/>
              </w:rPr>
              <w:t xml:space="preserve">7,244,052 </w:t>
            </w:r>
          </w:p>
        </w:tc>
        <w:tc>
          <w:tcPr>
            <w:tcW w:w="637" w:type="pct"/>
            <w:noWrap/>
            <w:hideMark/>
          </w:tcPr>
          <w:p w14:paraId="07CC8DFB" w14:textId="77777777" w:rsidR="00C31E54" w:rsidRPr="00F12A05" w:rsidRDefault="00C31E54" w:rsidP="00EC16AC">
            <w:pPr>
              <w:jc w:val="center"/>
              <w:rPr>
                <w:rFonts w:ascii="Arial Narrow" w:hAnsi="Arial Narrow" w:cs="Calibri"/>
                <w:b/>
                <w:bCs/>
                <w:color w:val="000000"/>
                <w:sz w:val="20"/>
              </w:rPr>
            </w:pPr>
            <w:r w:rsidRPr="00F12A05">
              <w:rPr>
                <w:rFonts w:ascii="Arial Narrow" w:hAnsi="Arial Narrow" w:cs="Calibri"/>
                <w:b/>
                <w:bCs/>
                <w:color w:val="000000"/>
                <w:sz w:val="20"/>
              </w:rPr>
              <w:t xml:space="preserve">7,554,278 </w:t>
            </w:r>
          </w:p>
        </w:tc>
      </w:tr>
      <w:tr w:rsidR="00C31E54" w:rsidRPr="00F12A05" w14:paraId="753B8E0A" w14:textId="77777777" w:rsidTr="008D5FAC">
        <w:trPr>
          <w:trHeight w:val="255"/>
        </w:trPr>
        <w:tc>
          <w:tcPr>
            <w:tcW w:w="1818" w:type="pct"/>
            <w:shd w:val="clear" w:color="auto" w:fill="D9D9D9" w:themeFill="background1" w:themeFillShade="D9"/>
            <w:noWrap/>
          </w:tcPr>
          <w:p w14:paraId="4BC46146" w14:textId="77777777" w:rsidR="00C31E54" w:rsidRPr="00F12A05" w:rsidRDefault="00C31E54" w:rsidP="00EC16AC">
            <w:pPr>
              <w:rPr>
                <w:rFonts w:ascii="Arial Narrow" w:hAnsi="Arial Narrow" w:cs="Calibri"/>
                <w:sz w:val="20"/>
              </w:rPr>
            </w:pPr>
            <w:r>
              <w:rPr>
                <w:rFonts w:ascii="Arial Narrow" w:hAnsi="Arial Narrow" w:cs="Calibri"/>
                <w:b/>
                <w:bCs/>
                <w:color w:val="000000"/>
                <w:sz w:val="20"/>
              </w:rPr>
              <w:t xml:space="preserve">State Hospital Costs </w:t>
            </w:r>
            <w:r w:rsidRPr="004D5ABA">
              <w:rPr>
                <w:rFonts w:ascii="Arial Narrow" w:hAnsi="Arial Narrow" w:cs="Calibri"/>
                <w:b/>
                <w:bCs/>
                <w:i/>
                <w:color w:val="000000"/>
                <w:sz w:val="20"/>
              </w:rPr>
              <w:t>(public patients)</w:t>
            </w:r>
          </w:p>
        </w:tc>
        <w:tc>
          <w:tcPr>
            <w:tcW w:w="636" w:type="pct"/>
            <w:shd w:val="clear" w:color="auto" w:fill="D9D9D9" w:themeFill="background1" w:themeFillShade="D9"/>
            <w:noWrap/>
          </w:tcPr>
          <w:p w14:paraId="47D48821" w14:textId="77777777" w:rsidR="00C31E54" w:rsidRPr="00F12A05" w:rsidRDefault="00C31E54" w:rsidP="00EC16AC">
            <w:pPr>
              <w:jc w:val="center"/>
              <w:rPr>
                <w:rFonts w:ascii="Arial Narrow" w:hAnsi="Arial Narrow" w:cs="Calibri"/>
                <w:color w:val="000000"/>
                <w:sz w:val="20"/>
              </w:rPr>
            </w:pPr>
            <w:r w:rsidRPr="0099779A">
              <w:rPr>
                <w:rFonts w:ascii="Arial Narrow" w:hAnsi="Arial Narrow" w:cs="Calibri"/>
                <w:b/>
                <w:bCs/>
                <w:color w:val="000000"/>
                <w:sz w:val="20"/>
              </w:rPr>
              <w:t> </w:t>
            </w:r>
          </w:p>
        </w:tc>
        <w:tc>
          <w:tcPr>
            <w:tcW w:w="636" w:type="pct"/>
            <w:shd w:val="clear" w:color="auto" w:fill="D9D9D9" w:themeFill="background1" w:themeFillShade="D9"/>
            <w:noWrap/>
          </w:tcPr>
          <w:p w14:paraId="3F7741B0" w14:textId="77777777" w:rsidR="00C31E54" w:rsidRPr="00C655CE" w:rsidRDefault="00C31E54" w:rsidP="00EC16AC">
            <w:pPr>
              <w:jc w:val="center"/>
              <w:rPr>
                <w:rFonts w:ascii="Arial Narrow" w:hAnsi="Arial Narrow" w:cs="Calibri"/>
                <w:color w:val="000000"/>
                <w:sz w:val="20"/>
              </w:rPr>
            </w:pPr>
            <w:r w:rsidRPr="002644CE">
              <w:rPr>
                <w:rFonts w:ascii="Arial Narrow" w:hAnsi="Arial Narrow" w:cs="Calibri"/>
                <w:b/>
                <w:bCs/>
                <w:color w:val="000000"/>
                <w:sz w:val="20"/>
              </w:rPr>
              <w:t> </w:t>
            </w:r>
          </w:p>
        </w:tc>
        <w:tc>
          <w:tcPr>
            <w:tcW w:w="636" w:type="pct"/>
            <w:shd w:val="clear" w:color="auto" w:fill="D9D9D9" w:themeFill="background1" w:themeFillShade="D9"/>
            <w:noWrap/>
          </w:tcPr>
          <w:p w14:paraId="5D1FE5C3" w14:textId="77777777" w:rsidR="00C31E54" w:rsidRPr="0043228F" w:rsidRDefault="00C31E54" w:rsidP="00EC16AC">
            <w:pPr>
              <w:jc w:val="center"/>
              <w:rPr>
                <w:rFonts w:ascii="Arial Narrow" w:hAnsi="Arial Narrow" w:cs="Calibri"/>
                <w:color w:val="000000"/>
                <w:sz w:val="20"/>
              </w:rPr>
            </w:pPr>
            <w:r w:rsidRPr="00C655CE">
              <w:rPr>
                <w:rFonts w:ascii="Arial Narrow" w:hAnsi="Arial Narrow" w:cs="Calibri"/>
                <w:b/>
                <w:bCs/>
                <w:color w:val="000000"/>
                <w:sz w:val="20"/>
              </w:rPr>
              <w:t> </w:t>
            </w:r>
          </w:p>
        </w:tc>
        <w:tc>
          <w:tcPr>
            <w:tcW w:w="637" w:type="pct"/>
            <w:shd w:val="clear" w:color="auto" w:fill="D9D9D9" w:themeFill="background1" w:themeFillShade="D9"/>
            <w:noWrap/>
          </w:tcPr>
          <w:p w14:paraId="2BBE481A" w14:textId="77777777" w:rsidR="00C31E54" w:rsidRPr="00E17F8F" w:rsidRDefault="00C31E54" w:rsidP="00EC16AC">
            <w:pPr>
              <w:jc w:val="center"/>
              <w:rPr>
                <w:rFonts w:ascii="Arial Narrow" w:hAnsi="Arial Narrow" w:cs="Calibri"/>
                <w:color w:val="000000"/>
                <w:sz w:val="20"/>
              </w:rPr>
            </w:pPr>
            <w:r w:rsidRPr="003C2957">
              <w:rPr>
                <w:rFonts w:ascii="Arial Narrow" w:hAnsi="Arial Narrow" w:cs="Calibri"/>
                <w:b/>
                <w:bCs/>
                <w:color w:val="000000"/>
                <w:sz w:val="20"/>
              </w:rPr>
              <w:t> </w:t>
            </w:r>
          </w:p>
        </w:tc>
        <w:tc>
          <w:tcPr>
            <w:tcW w:w="637" w:type="pct"/>
            <w:shd w:val="clear" w:color="auto" w:fill="D9D9D9" w:themeFill="background1" w:themeFillShade="D9"/>
            <w:noWrap/>
          </w:tcPr>
          <w:p w14:paraId="3DE0D441" w14:textId="77777777" w:rsidR="00C31E54" w:rsidRPr="00E17F8F" w:rsidRDefault="00C31E54" w:rsidP="00EC16AC">
            <w:pPr>
              <w:jc w:val="center"/>
              <w:rPr>
                <w:rFonts w:ascii="Arial Narrow" w:hAnsi="Arial Narrow" w:cs="Calibri"/>
                <w:color w:val="000000"/>
                <w:sz w:val="20"/>
              </w:rPr>
            </w:pPr>
            <w:r w:rsidRPr="0043228F">
              <w:rPr>
                <w:rFonts w:ascii="Arial Narrow" w:hAnsi="Arial Narrow" w:cs="Calibri"/>
                <w:b/>
                <w:bCs/>
                <w:color w:val="000000"/>
                <w:sz w:val="20"/>
              </w:rPr>
              <w:t> </w:t>
            </w:r>
          </w:p>
        </w:tc>
      </w:tr>
      <w:tr w:rsidR="00C31E54" w:rsidRPr="00F12A05" w14:paraId="65837D7B" w14:textId="77777777" w:rsidTr="008D5FAC">
        <w:trPr>
          <w:trHeight w:val="255"/>
        </w:trPr>
        <w:tc>
          <w:tcPr>
            <w:tcW w:w="1818" w:type="pct"/>
            <w:noWrap/>
            <w:hideMark/>
          </w:tcPr>
          <w:p w14:paraId="08C4F9F7" w14:textId="77777777" w:rsidR="00C31E54" w:rsidRPr="00D64EDD" w:rsidRDefault="00C31E54" w:rsidP="00EC16AC">
            <w:pPr>
              <w:rPr>
                <w:rFonts w:ascii="Arial Narrow" w:hAnsi="Arial Narrow" w:cs="Calibri"/>
                <w:sz w:val="20"/>
                <w:vertAlign w:val="superscript"/>
              </w:rPr>
            </w:pPr>
            <w:r>
              <w:rPr>
                <w:rFonts w:ascii="Arial Narrow" w:hAnsi="Arial Narrow" w:cs="Calibri"/>
                <w:sz w:val="20"/>
              </w:rPr>
              <w:t>EMR with listing</w:t>
            </w:r>
            <w:r w:rsidRPr="00D64EDD">
              <w:rPr>
                <w:rFonts w:ascii="Arial Narrow" w:hAnsi="Arial Narrow" w:cs="Calibri"/>
                <w:i/>
                <w:sz w:val="20"/>
                <w:vertAlign w:val="superscript"/>
              </w:rPr>
              <w:t>c</w:t>
            </w:r>
          </w:p>
        </w:tc>
        <w:tc>
          <w:tcPr>
            <w:tcW w:w="636" w:type="pct"/>
            <w:noWrap/>
            <w:hideMark/>
          </w:tcPr>
          <w:p w14:paraId="07B6349A" w14:textId="77777777" w:rsidR="00C31E54" w:rsidRPr="002644CE" w:rsidRDefault="00C31E54" w:rsidP="00EC16AC">
            <w:pPr>
              <w:jc w:val="center"/>
              <w:rPr>
                <w:rFonts w:ascii="Arial Narrow" w:hAnsi="Arial Narrow" w:cs="Calibri"/>
                <w:color w:val="000000"/>
                <w:sz w:val="20"/>
              </w:rPr>
            </w:pPr>
            <w:r w:rsidRPr="00F12A05">
              <w:rPr>
                <w:rFonts w:ascii="Arial Narrow" w:hAnsi="Arial Narrow" w:cs="Calibri"/>
                <w:color w:val="000000"/>
                <w:sz w:val="20"/>
              </w:rPr>
              <w:t xml:space="preserve">9,695,853 </w:t>
            </w:r>
          </w:p>
        </w:tc>
        <w:tc>
          <w:tcPr>
            <w:tcW w:w="636" w:type="pct"/>
            <w:noWrap/>
            <w:hideMark/>
          </w:tcPr>
          <w:p w14:paraId="740CB070" w14:textId="77777777" w:rsidR="00C31E54" w:rsidRPr="003C2957" w:rsidRDefault="00C31E54" w:rsidP="00EC16AC">
            <w:pPr>
              <w:jc w:val="center"/>
              <w:rPr>
                <w:rFonts w:ascii="Arial Narrow" w:hAnsi="Arial Narrow" w:cs="Calibri"/>
                <w:color w:val="000000"/>
                <w:sz w:val="20"/>
              </w:rPr>
            </w:pPr>
            <w:r w:rsidRPr="00C655CE">
              <w:rPr>
                <w:rFonts w:ascii="Arial Narrow" w:hAnsi="Arial Narrow" w:cs="Calibri"/>
                <w:color w:val="000000"/>
                <w:sz w:val="20"/>
              </w:rPr>
              <w:t xml:space="preserve">10,172,288 </w:t>
            </w:r>
          </w:p>
        </w:tc>
        <w:tc>
          <w:tcPr>
            <w:tcW w:w="636" w:type="pct"/>
            <w:noWrap/>
            <w:hideMark/>
          </w:tcPr>
          <w:p w14:paraId="25D9B73E" w14:textId="77777777" w:rsidR="00C31E54" w:rsidRPr="00D606A2" w:rsidRDefault="00C31E54" w:rsidP="00EC16AC">
            <w:pPr>
              <w:jc w:val="center"/>
              <w:rPr>
                <w:rFonts w:ascii="Arial Narrow" w:hAnsi="Arial Narrow" w:cs="Calibri"/>
                <w:color w:val="000000"/>
                <w:sz w:val="20"/>
              </w:rPr>
            </w:pPr>
            <w:r w:rsidRPr="0043228F">
              <w:rPr>
                <w:rFonts w:ascii="Arial Narrow" w:hAnsi="Arial Narrow" w:cs="Calibri"/>
                <w:color w:val="000000"/>
                <w:sz w:val="20"/>
              </w:rPr>
              <w:t xml:space="preserve">10,648,722 </w:t>
            </w:r>
          </w:p>
        </w:tc>
        <w:tc>
          <w:tcPr>
            <w:tcW w:w="637" w:type="pct"/>
            <w:noWrap/>
            <w:hideMark/>
          </w:tcPr>
          <w:p w14:paraId="2C57976C" w14:textId="77777777" w:rsidR="00C31E54" w:rsidRPr="00E17F8F" w:rsidRDefault="00C31E54" w:rsidP="00EC16AC">
            <w:pPr>
              <w:jc w:val="center"/>
              <w:rPr>
                <w:rFonts w:ascii="Arial Narrow" w:hAnsi="Arial Narrow" w:cs="Calibri"/>
                <w:color w:val="000000"/>
                <w:sz w:val="20"/>
              </w:rPr>
            </w:pPr>
            <w:r w:rsidRPr="00E17F8F">
              <w:rPr>
                <w:rFonts w:ascii="Arial Narrow" w:hAnsi="Arial Narrow" w:cs="Calibri"/>
                <w:color w:val="000000"/>
                <w:sz w:val="20"/>
              </w:rPr>
              <w:t xml:space="preserve">11,125,156 </w:t>
            </w:r>
          </w:p>
        </w:tc>
        <w:tc>
          <w:tcPr>
            <w:tcW w:w="637" w:type="pct"/>
            <w:noWrap/>
            <w:hideMark/>
          </w:tcPr>
          <w:p w14:paraId="3758D22B" w14:textId="77777777" w:rsidR="00C31E54" w:rsidRPr="00E17F8F" w:rsidRDefault="00C31E54" w:rsidP="00EC16AC">
            <w:pPr>
              <w:jc w:val="center"/>
              <w:rPr>
                <w:rFonts w:ascii="Arial Narrow" w:hAnsi="Arial Narrow" w:cs="Calibri"/>
                <w:color w:val="000000"/>
                <w:sz w:val="20"/>
              </w:rPr>
            </w:pPr>
            <w:r w:rsidRPr="00E17F8F">
              <w:rPr>
                <w:rFonts w:ascii="Arial Narrow" w:hAnsi="Arial Narrow" w:cs="Calibri"/>
                <w:color w:val="000000"/>
                <w:sz w:val="20"/>
              </w:rPr>
              <w:t xml:space="preserve">11,601,591 </w:t>
            </w:r>
          </w:p>
        </w:tc>
      </w:tr>
      <w:tr w:rsidR="00C31E54" w:rsidRPr="00F12A05" w14:paraId="07A7FEC4" w14:textId="77777777" w:rsidTr="008D5FAC">
        <w:trPr>
          <w:trHeight w:val="255"/>
        </w:trPr>
        <w:tc>
          <w:tcPr>
            <w:tcW w:w="1818" w:type="pct"/>
            <w:noWrap/>
            <w:hideMark/>
          </w:tcPr>
          <w:p w14:paraId="0071CAED" w14:textId="77777777" w:rsidR="00C31E54" w:rsidRPr="00D64EDD" w:rsidRDefault="00C31E54" w:rsidP="00EC16AC">
            <w:pPr>
              <w:rPr>
                <w:rFonts w:ascii="Arial Narrow" w:hAnsi="Arial Narrow" w:cs="Calibri"/>
                <w:i/>
                <w:sz w:val="20"/>
                <w:vertAlign w:val="superscript"/>
              </w:rPr>
            </w:pPr>
            <w:r>
              <w:rPr>
                <w:rFonts w:ascii="Arial Narrow" w:hAnsi="Arial Narrow" w:cs="Calibri"/>
                <w:sz w:val="20"/>
              </w:rPr>
              <w:t>EMR without listing</w:t>
            </w:r>
            <w:r w:rsidRPr="00D64EDD">
              <w:rPr>
                <w:rFonts w:ascii="Arial Narrow" w:hAnsi="Arial Narrow" w:cs="Calibri"/>
                <w:i/>
                <w:sz w:val="20"/>
                <w:vertAlign w:val="superscript"/>
              </w:rPr>
              <w:t>c</w:t>
            </w:r>
          </w:p>
        </w:tc>
        <w:tc>
          <w:tcPr>
            <w:tcW w:w="636" w:type="pct"/>
            <w:noWrap/>
            <w:hideMark/>
          </w:tcPr>
          <w:p w14:paraId="2882A783" w14:textId="77777777" w:rsidR="00C31E54" w:rsidRPr="002644CE" w:rsidRDefault="00C31E54" w:rsidP="00EC16AC">
            <w:pPr>
              <w:jc w:val="center"/>
              <w:rPr>
                <w:rFonts w:ascii="Arial Narrow" w:hAnsi="Arial Narrow" w:cs="Calibri"/>
                <w:color w:val="000000"/>
                <w:sz w:val="20"/>
              </w:rPr>
            </w:pPr>
            <w:r w:rsidRPr="00F12A05">
              <w:rPr>
                <w:rFonts w:ascii="Arial Narrow" w:hAnsi="Arial Narrow" w:cs="Calibri"/>
                <w:color w:val="000000"/>
                <w:sz w:val="20"/>
              </w:rPr>
              <w:t xml:space="preserve">13,574,194 </w:t>
            </w:r>
          </w:p>
        </w:tc>
        <w:tc>
          <w:tcPr>
            <w:tcW w:w="636" w:type="pct"/>
            <w:noWrap/>
            <w:hideMark/>
          </w:tcPr>
          <w:p w14:paraId="37611606" w14:textId="77777777" w:rsidR="00C31E54" w:rsidRPr="003C2957" w:rsidRDefault="00C31E54" w:rsidP="00EC16AC">
            <w:pPr>
              <w:jc w:val="center"/>
              <w:rPr>
                <w:rFonts w:ascii="Arial Narrow" w:hAnsi="Arial Narrow" w:cs="Calibri"/>
                <w:color w:val="000000"/>
                <w:sz w:val="20"/>
              </w:rPr>
            </w:pPr>
            <w:r w:rsidRPr="00C655CE">
              <w:rPr>
                <w:rFonts w:ascii="Arial Narrow" w:hAnsi="Arial Narrow" w:cs="Calibri"/>
                <w:color w:val="000000"/>
                <w:sz w:val="20"/>
              </w:rPr>
              <w:t xml:space="preserve">14,241,203 </w:t>
            </w:r>
          </w:p>
        </w:tc>
        <w:tc>
          <w:tcPr>
            <w:tcW w:w="636" w:type="pct"/>
            <w:noWrap/>
            <w:hideMark/>
          </w:tcPr>
          <w:p w14:paraId="2296A375" w14:textId="77777777" w:rsidR="00C31E54" w:rsidRPr="00D606A2" w:rsidRDefault="00C31E54" w:rsidP="00EC16AC">
            <w:pPr>
              <w:jc w:val="center"/>
              <w:rPr>
                <w:rFonts w:ascii="Arial Narrow" w:hAnsi="Arial Narrow" w:cs="Calibri"/>
                <w:color w:val="000000"/>
                <w:sz w:val="20"/>
              </w:rPr>
            </w:pPr>
            <w:r w:rsidRPr="0043228F">
              <w:rPr>
                <w:rFonts w:ascii="Arial Narrow" w:hAnsi="Arial Narrow" w:cs="Calibri"/>
                <w:color w:val="000000"/>
                <w:sz w:val="20"/>
              </w:rPr>
              <w:t xml:space="preserve">14,908,211 </w:t>
            </w:r>
          </w:p>
        </w:tc>
        <w:tc>
          <w:tcPr>
            <w:tcW w:w="637" w:type="pct"/>
            <w:noWrap/>
            <w:hideMark/>
          </w:tcPr>
          <w:p w14:paraId="08099560" w14:textId="77777777" w:rsidR="00C31E54" w:rsidRPr="00E17F8F" w:rsidRDefault="00C31E54" w:rsidP="00EC16AC">
            <w:pPr>
              <w:jc w:val="center"/>
              <w:rPr>
                <w:rFonts w:ascii="Arial Narrow" w:hAnsi="Arial Narrow" w:cs="Calibri"/>
                <w:color w:val="000000"/>
                <w:sz w:val="20"/>
              </w:rPr>
            </w:pPr>
            <w:r w:rsidRPr="00E17F8F">
              <w:rPr>
                <w:rFonts w:ascii="Arial Narrow" w:hAnsi="Arial Narrow" w:cs="Calibri"/>
                <w:color w:val="000000"/>
                <w:sz w:val="20"/>
              </w:rPr>
              <w:t xml:space="preserve">15,575,219 </w:t>
            </w:r>
          </w:p>
        </w:tc>
        <w:tc>
          <w:tcPr>
            <w:tcW w:w="637" w:type="pct"/>
            <w:noWrap/>
            <w:hideMark/>
          </w:tcPr>
          <w:p w14:paraId="72B43D7E" w14:textId="77777777" w:rsidR="00C31E54" w:rsidRPr="00E17F8F" w:rsidRDefault="00C31E54" w:rsidP="00EC16AC">
            <w:pPr>
              <w:jc w:val="center"/>
              <w:rPr>
                <w:rFonts w:ascii="Arial Narrow" w:hAnsi="Arial Narrow" w:cs="Calibri"/>
                <w:color w:val="000000"/>
                <w:sz w:val="20"/>
              </w:rPr>
            </w:pPr>
            <w:r w:rsidRPr="00E17F8F">
              <w:rPr>
                <w:rFonts w:ascii="Arial Narrow" w:hAnsi="Arial Narrow" w:cs="Calibri"/>
                <w:color w:val="000000"/>
                <w:sz w:val="20"/>
              </w:rPr>
              <w:t xml:space="preserve">16,242,227 </w:t>
            </w:r>
          </w:p>
        </w:tc>
      </w:tr>
      <w:tr w:rsidR="00C31E54" w:rsidRPr="00F12A05" w14:paraId="12211F73" w14:textId="77777777" w:rsidTr="008D5FAC">
        <w:trPr>
          <w:trHeight w:val="300"/>
        </w:trPr>
        <w:tc>
          <w:tcPr>
            <w:tcW w:w="1818" w:type="pct"/>
            <w:noWrap/>
            <w:hideMark/>
          </w:tcPr>
          <w:p w14:paraId="52E55F92" w14:textId="77777777" w:rsidR="00C31E54" w:rsidRPr="00F12A05" w:rsidRDefault="00C31E54" w:rsidP="00EC16AC">
            <w:pPr>
              <w:rPr>
                <w:rFonts w:ascii="Arial Narrow" w:hAnsi="Arial Narrow" w:cs="Calibri"/>
                <w:b/>
                <w:bCs/>
                <w:sz w:val="20"/>
              </w:rPr>
            </w:pPr>
            <w:r w:rsidRPr="00F12A05">
              <w:rPr>
                <w:rFonts w:ascii="Arial Narrow" w:hAnsi="Arial Narrow" w:cs="Calibri"/>
                <w:b/>
                <w:bCs/>
                <w:sz w:val="20"/>
              </w:rPr>
              <w:t>Subtotal</w:t>
            </w:r>
          </w:p>
        </w:tc>
        <w:tc>
          <w:tcPr>
            <w:tcW w:w="636" w:type="pct"/>
            <w:noWrap/>
            <w:hideMark/>
          </w:tcPr>
          <w:p w14:paraId="449050FC" w14:textId="77777777" w:rsidR="00C31E54" w:rsidRPr="0099779A" w:rsidRDefault="00C31E54" w:rsidP="00EC16AC">
            <w:pPr>
              <w:jc w:val="center"/>
              <w:rPr>
                <w:rFonts w:ascii="Arial Narrow" w:hAnsi="Arial Narrow" w:cs="Calibri"/>
                <w:b/>
                <w:bCs/>
                <w:color w:val="000000"/>
                <w:sz w:val="20"/>
              </w:rPr>
            </w:pPr>
            <w:r w:rsidRPr="00F12A05">
              <w:rPr>
                <w:rFonts w:ascii="Arial Narrow" w:hAnsi="Arial Narrow" w:cs="Calibri"/>
                <w:b/>
                <w:bCs/>
                <w:color w:val="000000"/>
                <w:sz w:val="20"/>
              </w:rPr>
              <w:t xml:space="preserve">-3,878,341 </w:t>
            </w:r>
          </w:p>
        </w:tc>
        <w:tc>
          <w:tcPr>
            <w:tcW w:w="636" w:type="pct"/>
            <w:noWrap/>
            <w:hideMark/>
          </w:tcPr>
          <w:p w14:paraId="6F7FB16E" w14:textId="77777777" w:rsidR="00C31E54" w:rsidRPr="00C655CE" w:rsidRDefault="00C31E54" w:rsidP="00EC16AC">
            <w:pPr>
              <w:jc w:val="center"/>
              <w:rPr>
                <w:rFonts w:ascii="Arial Narrow" w:hAnsi="Arial Narrow" w:cs="Calibri"/>
                <w:b/>
                <w:bCs/>
                <w:color w:val="000000"/>
                <w:sz w:val="20"/>
              </w:rPr>
            </w:pPr>
            <w:r w:rsidRPr="002644CE">
              <w:rPr>
                <w:rFonts w:ascii="Arial Narrow" w:hAnsi="Arial Narrow" w:cs="Calibri"/>
                <w:b/>
                <w:bCs/>
                <w:color w:val="000000"/>
                <w:sz w:val="20"/>
              </w:rPr>
              <w:t xml:space="preserve">-4,068,915 </w:t>
            </w:r>
          </w:p>
        </w:tc>
        <w:tc>
          <w:tcPr>
            <w:tcW w:w="636" w:type="pct"/>
            <w:noWrap/>
            <w:hideMark/>
          </w:tcPr>
          <w:p w14:paraId="10C6B9A8" w14:textId="77777777" w:rsidR="00C31E54" w:rsidRPr="0043228F" w:rsidRDefault="00C31E54" w:rsidP="00EC16AC">
            <w:pPr>
              <w:jc w:val="center"/>
              <w:rPr>
                <w:rFonts w:ascii="Arial Narrow" w:hAnsi="Arial Narrow" w:cs="Calibri"/>
                <w:b/>
                <w:bCs/>
                <w:color w:val="000000"/>
                <w:sz w:val="20"/>
              </w:rPr>
            </w:pPr>
            <w:r w:rsidRPr="003C2957">
              <w:rPr>
                <w:rFonts w:ascii="Arial Narrow" w:hAnsi="Arial Narrow" w:cs="Calibri"/>
                <w:b/>
                <w:bCs/>
                <w:color w:val="000000"/>
                <w:sz w:val="20"/>
              </w:rPr>
              <w:t xml:space="preserve">-4,259,489 </w:t>
            </w:r>
          </w:p>
        </w:tc>
        <w:tc>
          <w:tcPr>
            <w:tcW w:w="637" w:type="pct"/>
            <w:noWrap/>
            <w:hideMark/>
          </w:tcPr>
          <w:p w14:paraId="32CD1CB4" w14:textId="77777777" w:rsidR="00C31E54" w:rsidRPr="00E17F8F" w:rsidRDefault="00C31E54" w:rsidP="00EC16AC">
            <w:pPr>
              <w:jc w:val="center"/>
              <w:rPr>
                <w:rFonts w:ascii="Arial Narrow" w:hAnsi="Arial Narrow" w:cs="Calibri"/>
                <w:b/>
                <w:bCs/>
                <w:color w:val="000000"/>
                <w:sz w:val="20"/>
              </w:rPr>
            </w:pPr>
            <w:r w:rsidRPr="00D606A2">
              <w:rPr>
                <w:rFonts w:ascii="Arial Narrow" w:hAnsi="Arial Narrow" w:cs="Calibri"/>
                <w:b/>
                <w:bCs/>
                <w:color w:val="000000"/>
                <w:sz w:val="20"/>
              </w:rPr>
              <w:t xml:space="preserve">-4,450,063 </w:t>
            </w:r>
          </w:p>
        </w:tc>
        <w:tc>
          <w:tcPr>
            <w:tcW w:w="637" w:type="pct"/>
            <w:noWrap/>
            <w:hideMark/>
          </w:tcPr>
          <w:p w14:paraId="01D2E17D" w14:textId="77777777" w:rsidR="00C31E54" w:rsidRPr="00E17F8F" w:rsidRDefault="00C31E54" w:rsidP="00EC16AC">
            <w:pPr>
              <w:jc w:val="center"/>
              <w:rPr>
                <w:rFonts w:ascii="Arial Narrow" w:hAnsi="Arial Narrow" w:cs="Calibri"/>
                <w:b/>
                <w:bCs/>
                <w:color w:val="000000"/>
                <w:sz w:val="20"/>
              </w:rPr>
            </w:pPr>
            <w:r w:rsidRPr="00E17F8F">
              <w:rPr>
                <w:rFonts w:ascii="Arial Narrow" w:hAnsi="Arial Narrow" w:cs="Calibri"/>
                <w:b/>
                <w:bCs/>
                <w:color w:val="000000"/>
                <w:sz w:val="20"/>
              </w:rPr>
              <w:t xml:space="preserve">-4,640,636 </w:t>
            </w:r>
          </w:p>
        </w:tc>
      </w:tr>
      <w:tr w:rsidR="00C31E54" w:rsidRPr="00F12A05" w14:paraId="062ECF05" w14:textId="77777777" w:rsidTr="008D5FAC">
        <w:trPr>
          <w:trHeight w:val="70"/>
        </w:trPr>
        <w:tc>
          <w:tcPr>
            <w:tcW w:w="1818" w:type="pct"/>
            <w:noWrap/>
            <w:hideMark/>
          </w:tcPr>
          <w:p w14:paraId="1BC04A9C" w14:textId="77777777" w:rsidR="00C31E54" w:rsidRPr="00F12A05" w:rsidRDefault="00C31E54" w:rsidP="00EC16AC">
            <w:pPr>
              <w:rPr>
                <w:rFonts w:ascii="Arial Narrow" w:hAnsi="Arial Narrow" w:cs="Calibri"/>
                <w:b/>
                <w:bCs/>
                <w:sz w:val="20"/>
              </w:rPr>
            </w:pPr>
            <w:r w:rsidRPr="00F12A05">
              <w:rPr>
                <w:rFonts w:ascii="Arial Narrow" w:hAnsi="Arial Narrow" w:cs="Calibri"/>
                <w:b/>
                <w:bCs/>
                <w:sz w:val="20"/>
              </w:rPr>
              <w:t>Total MBS and state</w:t>
            </w:r>
          </w:p>
        </w:tc>
        <w:tc>
          <w:tcPr>
            <w:tcW w:w="636" w:type="pct"/>
            <w:noWrap/>
            <w:hideMark/>
          </w:tcPr>
          <w:p w14:paraId="3AFB0642" w14:textId="77777777" w:rsidR="00C31E54" w:rsidRPr="002644CE" w:rsidRDefault="00C31E54" w:rsidP="00EC16AC">
            <w:pPr>
              <w:jc w:val="center"/>
              <w:rPr>
                <w:rFonts w:ascii="Arial Narrow" w:hAnsi="Arial Narrow" w:cs="Calibri"/>
                <w:b/>
                <w:bCs/>
                <w:color w:val="000000"/>
                <w:sz w:val="20"/>
              </w:rPr>
            </w:pPr>
            <w:r w:rsidRPr="00F12A05">
              <w:rPr>
                <w:rFonts w:ascii="Arial Narrow" w:hAnsi="Arial Narrow" w:cs="Calibri"/>
                <w:b/>
                <w:bCs/>
                <w:color w:val="000000"/>
                <w:sz w:val="20"/>
              </w:rPr>
              <w:t xml:space="preserve">2,435,032 </w:t>
            </w:r>
          </w:p>
        </w:tc>
        <w:tc>
          <w:tcPr>
            <w:tcW w:w="636" w:type="pct"/>
            <w:noWrap/>
            <w:hideMark/>
          </w:tcPr>
          <w:p w14:paraId="4B2BE5AC" w14:textId="77777777" w:rsidR="00C31E54" w:rsidRPr="003C2957" w:rsidRDefault="00C31E54" w:rsidP="00EC16AC">
            <w:pPr>
              <w:jc w:val="center"/>
              <w:rPr>
                <w:rFonts w:ascii="Arial Narrow" w:hAnsi="Arial Narrow" w:cs="Calibri"/>
                <w:b/>
                <w:bCs/>
                <w:color w:val="000000"/>
                <w:sz w:val="20"/>
              </w:rPr>
            </w:pPr>
            <w:r w:rsidRPr="00C655CE">
              <w:rPr>
                <w:rFonts w:ascii="Arial Narrow" w:hAnsi="Arial Narrow" w:cs="Calibri"/>
                <w:b/>
                <w:bCs/>
                <w:color w:val="000000"/>
                <w:sz w:val="20"/>
              </w:rPr>
              <w:t xml:space="preserve">2,554,684 </w:t>
            </w:r>
          </w:p>
        </w:tc>
        <w:tc>
          <w:tcPr>
            <w:tcW w:w="636" w:type="pct"/>
            <w:noWrap/>
            <w:hideMark/>
          </w:tcPr>
          <w:p w14:paraId="6E16CD33" w14:textId="77777777" w:rsidR="00C31E54" w:rsidRPr="00D606A2" w:rsidRDefault="00C31E54" w:rsidP="00EC16AC">
            <w:pPr>
              <w:jc w:val="center"/>
              <w:rPr>
                <w:rFonts w:ascii="Arial Narrow" w:hAnsi="Arial Narrow" w:cs="Calibri"/>
                <w:b/>
                <w:bCs/>
                <w:color w:val="000000"/>
                <w:sz w:val="20"/>
              </w:rPr>
            </w:pPr>
            <w:r w:rsidRPr="0043228F">
              <w:rPr>
                <w:rFonts w:ascii="Arial Narrow" w:hAnsi="Arial Narrow" w:cs="Calibri"/>
                <w:b/>
                <w:bCs/>
                <w:color w:val="000000"/>
                <w:sz w:val="20"/>
              </w:rPr>
              <w:t xml:space="preserve">2,674,337 </w:t>
            </w:r>
          </w:p>
        </w:tc>
        <w:tc>
          <w:tcPr>
            <w:tcW w:w="637" w:type="pct"/>
            <w:noWrap/>
            <w:hideMark/>
          </w:tcPr>
          <w:p w14:paraId="7BCB15EF" w14:textId="77777777" w:rsidR="00C31E54" w:rsidRPr="00E17F8F" w:rsidRDefault="00C31E54" w:rsidP="00EC16AC">
            <w:pPr>
              <w:jc w:val="center"/>
              <w:rPr>
                <w:rFonts w:ascii="Arial Narrow" w:hAnsi="Arial Narrow" w:cs="Calibri"/>
                <w:b/>
                <w:bCs/>
                <w:color w:val="000000"/>
                <w:sz w:val="20"/>
              </w:rPr>
            </w:pPr>
            <w:r w:rsidRPr="00E17F8F">
              <w:rPr>
                <w:rFonts w:ascii="Arial Narrow" w:hAnsi="Arial Narrow" w:cs="Calibri"/>
                <w:b/>
                <w:bCs/>
                <w:color w:val="000000"/>
                <w:sz w:val="20"/>
              </w:rPr>
              <w:t xml:space="preserve">2,793,989 </w:t>
            </w:r>
          </w:p>
        </w:tc>
        <w:tc>
          <w:tcPr>
            <w:tcW w:w="637" w:type="pct"/>
            <w:noWrap/>
            <w:hideMark/>
          </w:tcPr>
          <w:p w14:paraId="39156E22" w14:textId="77777777" w:rsidR="00C31E54" w:rsidRPr="00E17F8F" w:rsidRDefault="00C31E54" w:rsidP="00EC16AC">
            <w:pPr>
              <w:jc w:val="center"/>
              <w:rPr>
                <w:rFonts w:ascii="Arial Narrow" w:hAnsi="Arial Narrow" w:cs="Calibri"/>
                <w:b/>
                <w:bCs/>
                <w:color w:val="000000"/>
                <w:sz w:val="20"/>
              </w:rPr>
            </w:pPr>
            <w:r w:rsidRPr="00E17F8F">
              <w:rPr>
                <w:rFonts w:ascii="Arial Narrow" w:hAnsi="Arial Narrow" w:cs="Calibri"/>
                <w:b/>
                <w:bCs/>
                <w:color w:val="000000"/>
                <w:sz w:val="20"/>
              </w:rPr>
              <w:t xml:space="preserve">2,913,642 </w:t>
            </w:r>
          </w:p>
        </w:tc>
      </w:tr>
    </w:tbl>
    <w:p w14:paraId="4CC89CED" w14:textId="77777777" w:rsidR="00C31E54" w:rsidRPr="006B3DAD" w:rsidRDefault="00C31E54" w:rsidP="00C31E54">
      <w:pPr>
        <w:pStyle w:val="Tablenotes"/>
        <w:rPr>
          <w:noProof/>
        </w:rPr>
      </w:pPr>
      <w:r>
        <w:rPr>
          <w:noProof/>
        </w:rPr>
        <w:t xml:space="preserve">Source: </w:t>
      </w:r>
      <w:r w:rsidRPr="007E6331">
        <w:rPr>
          <w:i/>
          <w:noProof/>
        </w:rPr>
        <w:t>Compiled from</w:t>
      </w:r>
      <w:r>
        <w:rPr>
          <w:noProof/>
        </w:rPr>
        <w:t xml:space="preserve"> Table 7, p26; Table 82, p157; and Table 83, pp157-158 of the DCAR</w:t>
      </w:r>
    </w:p>
    <w:p w14:paraId="47390D15" w14:textId="77777777" w:rsidR="00C31E54" w:rsidRDefault="00C31E54" w:rsidP="00C31E54">
      <w:pPr>
        <w:pStyle w:val="Tablenotes"/>
        <w:rPr>
          <w:noProof/>
        </w:rPr>
      </w:pPr>
      <w:r w:rsidRPr="00C958FC">
        <w:rPr>
          <w:b/>
          <w:noProof/>
        </w:rPr>
        <w:t>Abbreviations</w:t>
      </w:r>
      <w:r w:rsidRPr="00C958FC">
        <w:rPr>
          <w:noProof/>
        </w:rPr>
        <w:t xml:space="preserve">: EMR = </w:t>
      </w:r>
      <w:r>
        <w:rPr>
          <w:noProof/>
        </w:rPr>
        <w:t>e</w:t>
      </w:r>
      <w:r w:rsidRPr="00C958FC">
        <w:t>ndoscopic mucosal resection,</w:t>
      </w:r>
      <w:r w:rsidRPr="00C958FC">
        <w:rPr>
          <w:noProof/>
        </w:rPr>
        <w:t xml:space="preserve"> MBS</w:t>
      </w:r>
      <w:r>
        <w:rPr>
          <w:noProof/>
        </w:rPr>
        <w:t xml:space="preserve"> = M</w:t>
      </w:r>
      <w:r w:rsidRPr="00C958FC">
        <w:rPr>
          <w:noProof/>
        </w:rPr>
        <w:t xml:space="preserve">edicare </w:t>
      </w:r>
      <w:r>
        <w:rPr>
          <w:noProof/>
        </w:rPr>
        <w:t>B</w:t>
      </w:r>
      <w:r w:rsidRPr="00C958FC">
        <w:rPr>
          <w:noProof/>
        </w:rPr>
        <w:t xml:space="preserve">enefits </w:t>
      </w:r>
      <w:r>
        <w:rPr>
          <w:noProof/>
        </w:rPr>
        <w:t>S</w:t>
      </w:r>
      <w:r w:rsidRPr="00C958FC">
        <w:rPr>
          <w:noProof/>
        </w:rPr>
        <w:t>chedule</w:t>
      </w:r>
    </w:p>
    <w:p w14:paraId="72B7C86D" w14:textId="77777777" w:rsidR="00C31E54" w:rsidRDefault="00C31E54" w:rsidP="00C31E54">
      <w:pPr>
        <w:pStyle w:val="Tablenotes"/>
        <w:rPr>
          <w:i/>
          <w:noProof/>
        </w:rPr>
      </w:pPr>
      <w:r>
        <w:rPr>
          <w:i/>
          <w:noProof/>
          <w:vertAlign w:val="superscript"/>
        </w:rPr>
        <w:t xml:space="preserve">a </w:t>
      </w:r>
      <w:r>
        <w:rPr>
          <w:i/>
          <w:noProof/>
        </w:rPr>
        <w:t>Using 75% rebate, the EMR cost per patient = $1,776.04 (New proposed item component = $1,312.50 ; other components include specialist consultation, pre-anaeathsia consultation, referred consultation, administration of anaesthesia, blood pressure monitroing and colonscopies proposed for EMR = $473.54)</w:t>
      </w:r>
    </w:p>
    <w:p w14:paraId="0F90E9B9" w14:textId="77777777" w:rsidR="00C31E54" w:rsidRDefault="00C31E54" w:rsidP="00C31E54">
      <w:pPr>
        <w:pStyle w:val="Tablenotes"/>
        <w:rPr>
          <w:i/>
          <w:noProof/>
        </w:rPr>
      </w:pPr>
      <w:r>
        <w:rPr>
          <w:i/>
          <w:noProof/>
          <w:vertAlign w:val="superscript"/>
        </w:rPr>
        <w:t xml:space="preserve">b </w:t>
      </w:r>
      <w:r w:rsidRPr="00D64EDD">
        <w:rPr>
          <w:i/>
          <w:noProof/>
        </w:rPr>
        <w:t>Using 75% rebate</w:t>
      </w:r>
      <w:r>
        <w:rPr>
          <w:i/>
          <w:noProof/>
        </w:rPr>
        <w:t>, EMR cost per patient = $821.06 (Current MBS items 32224+32229 component = $357.53; other components include specialist consultation, pre-anaeathsia consultation, referred consultation, administration of anaesthesia, blood pressure monitroing and colonscopies proposed for EMR = $473.54)</w:t>
      </w:r>
    </w:p>
    <w:p w14:paraId="568A2CF3" w14:textId="29427400" w:rsidR="002E23E1" w:rsidRDefault="00C31E54" w:rsidP="00C31E54">
      <w:pPr>
        <w:pStyle w:val="Tablenotes"/>
        <w:rPr>
          <w:i/>
          <w:noProof/>
        </w:rPr>
      </w:pPr>
      <w:r>
        <w:rPr>
          <w:i/>
          <w:noProof/>
          <w:vertAlign w:val="superscript"/>
        </w:rPr>
        <w:t xml:space="preserve">c </w:t>
      </w:r>
      <w:r>
        <w:rPr>
          <w:i/>
          <w:noProof/>
        </w:rPr>
        <w:t>EMR cost per patient = $1,970.84, inclusive of MBS costs using 75% hospital rebate and hospital services costs (nurse and surgery accomodation)</w:t>
      </w:r>
    </w:p>
    <w:p w14:paraId="32BCB948" w14:textId="77777777" w:rsidR="002E23E1" w:rsidRDefault="002E23E1" w:rsidP="002E23E1">
      <w:pPr>
        <w:pStyle w:val="Heading2"/>
      </w:pPr>
      <w:r>
        <w:t>Post ESC revised MBS fee</w:t>
      </w:r>
    </w:p>
    <w:p w14:paraId="203AA2E5" w14:textId="1A7A6287" w:rsidR="009E369F" w:rsidRPr="005268DF" w:rsidRDefault="002E23E1">
      <w:r w:rsidRPr="00EA486E">
        <w:t>The base case financial model was updated by the Department to reflect the applicant’s revised fee</w:t>
      </w:r>
      <w:r w:rsidR="00EA486E" w:rsidRPr="00EA486E">
        <w:t xml:space="preserve"> and benefit</w:t>
      </w:r>
      <w:r w:rsidRPr="00EA486E">
        <w:t xml:space="preserve"> for EMR of $1,000</w:t>
      </w:r>
      <w:r w:rsidR="00E70D1B">
        <w:t xml:space="preserve"> and</w:t>
      </w:r>
      <w:r w:rsidR="00EA486E" w:rsidRPr="00EA486E">
        <w:t xml:space="preserve"> $75</w:t>
      </w:r>
      <w:r w:rsidR="00EC3CF2" w:rsidRPr="00EA486E">
        <w:t>0</w:t>
      </w:r>
      <w:r w:rsidR="00EA486E" w:rsidRPr="00EA486E">
        <w:t xml:space="preserve"> respectively</w:t>
      </w:r>
      <w:r w:rsidRPr="00EA486E">
        <w:t xml:space="preserve"> (from $1,750</w:t>
      </w:r>
      <w:r w:rsidR="00E70D1B">
        <w:t xml:space="preserve"> and</w:t>
      </w:r>
      <w:r w:rsidR="00EA486E" w:rsidRPr="00EA486E">
        <w:t xml:space="preserve"> $1</w:t>
      </w:r>
      <w:r w:rsidR="00E70D1B">
        <w:t>,</w:t>
      </w:r>
      <w:r w:rsidR="00EA486E" w:rsidRPr="00EA486E">
        <w:t>312.50, respectively</w:t>
      </w:r>
      <w:r w:rsidRPr="00EA486E">
        <w:t>).</w:t>
      </w:r>
      <w:r w:rsidR="00EA486E">
        <w:t xml:space="preserve"> The revised financial analysis</w:t>
      </w:r>
      <w:r w:rsidR="009A3B02">
        <w:t xml:space="preserve"> has decreased MBS costs by 56% over the first five years to $19,474,033 (from $34,669,127), and</w:t>
      </w:r>
      <w:r w:rsidR="00EA486E">
        <w:t xml:space="preserve"> is </w:t>
      </w:r>
      <w:r w:rsidR="009A3B02">
        <w:t xml:space="preserve">also </w:t>
      </w:r>
      <w:r w:rsidR="00EA486E">
        <w:t xml:space="preserve">now cost saving to the </w:t>
      </w:r>
      <w:r w:rsidR="008013DF">
        <w:t>MBS and state (</w:t>
      </w:r>
      <w:r w:rsidR="00376352" w:rsidRPr="00376352">
        <w:rPr>
          <w:szCs w:val="24"/>
        </w:rPr>
        <w:fldChar w:fldCharType="begin"/>
      </w:r>
      <w:r w:rsidR="00376352" w:rsidRPr="00376352">
        <w:rPr>
          <w:szCs w:val="24"/>
        </w:rPr>
        <w:instrText xml:space="preserve"> REF _Ref51158902 \h  \* MERGEFORMAT </w:instrText>
      </w:r>
      <w:r w:rsidR="00376352" w:rsidRPr="00376352">
        <w:rPr>
          <w:szCs w:val="24"/>
        </w:rPr>
      </w:r>
      <w:r w:rsidR="00376352" w:rsidRPr="00376352">
        <w:rPr>
          <w:szCs w:val="24"/>
        </w:rPr>
        <w:fldChar w:fldCharType="separate"/>
      </w:r>
      <w:r w:rsidR="00376352" w:rsidRPr="00376352">
        <w:rPr>
          <w:szCs w:val="24"/>
        </w:rPr>
        <w:t>Table 9</w:t>
      </w:r>
      <w:r w:rsidR="00376352" w:rsidRPr="00376352">
        <w:rPr>
          <w:szCs w:val="24"/>
        </w:rPr>
        <w:fldChar w:fldCharType="end"/>
      </w:r>
      <w:r w:rsidR="008013DF">
        <w:t>).</w:t>
      </w:r>
      <w:r w:rsidR="009E369F">
        <w:br w:type="page"/>
      </w:r>
    </w:p>
    <w:p w14:paraId="4DB87FAD" w14:textId="50A708C4" w:rsidR="00EC3CF2" w:rsidRPr="00376352" w:rsidRDefault="00376352" w:rsidP="00376352">
      <w:pPr>
        <w:rPr>
          <w:rFonts w:ascii="Arial Narrow" w:hAnsi="Arial Narrow"/>
          <w:b/>
          <w:sz w:val="20"/>
        </w:rPr>
      </w:pPr>
      <w:bookmarkStart w:id="33" w:name="_Ref51158902"/>
      <w:r w:rsidRPr="00376352">
        <w:rPr>
          <w:rFonts w:ascii="Arial Narrow" w:hAnsi="Arial Narrow"/>
          <w:b/>
          <w:sz w:val="20"/>
        </w:rPr>
        <w:t xml:space="preserve">Table </w:t>
      </w:r>
      <w:r w:rsidRPr="00376352">
        <w:rPr>
          <w:rFonts w:ascii="Arial Narrow" w:hAnsi="Arial Narrow"/>
          <w:b/>
          <w:sz w:val="20"/>
        </w:rPr>
        <w:fldChar w:fldCharType="begin"/>
      </w:r>
      <w:r w:rsidRPr="00376352">
        <w:rPr>
          <w:rFonts w:ascii="Arial Narrow" w:hAnsi="Arial Narrow"/>
          <w:b/>
          <w:sz w:val="20"/>
        </w:rPr>
        <w:instrText xml:space="preserve"> SEQ Table \* ARABIC </w:instrText>
      </w:r>
      <w:r w:rsidRPr="00376352">
        <w:rPr>
          <w:rFonts w:ascii="Arial Narrow" w:hAnsi="Arial Narrow"/>
          <w:b/>
          <w:sz w:val="20"/>
        </w:rPr>
        <w:fldChar w:fldCharType="separate"/>
      </w:r>
      <w:r w:rsidRPr="00376352">
        <w:rPr>
          <w:rFonts w:ascii="Arial Narrow" w:hAnsi="Arial Narrow"/>
          <w:b/>
          <w:sz w:val="20"/>
        </w:rPr>
        <w:t>9</w:t>
      </w:r>
      <w:r w:rsidRPr="00376352">
        <w:rPr>
          <w:rFonts w:ascii="Arial Narrow" w:hAnsi="Arial Narrow"/>
          <w:b/>
          <w:sz w:val="20"/>
        </w:rPr>
        <w:fldChar w:fldCharType="end"/>
      </w:r>
      <w:bookmarkEnd w:id="33"/>
      <w:r w:rsidR="00EC3CF2" w:rsidRPr="00376352">
        <w:rPr>
          <w:rFonts w:ascii="Arial Narrow" w:hAnsi="Arial Narrow"/>
          <w:b/>
          <w:sz w:val="20"/>
        </w:rPr>
        <w:tab/>
        <w:t>Total costs to the MBS associated with EMR: using applicant’s revised benefit of $750 (from $1,313)</w:t>
      </w:r>
    </w:p>
    <w:tbl>
      <w:tblPr>
        <w:tblStyle w:val="TableGrid"/>
        <w:tblW w:w="5000" w:type="pct"/>
        <w:tblLook w:val="04A0" w:firstRow="1" w:lastRow="0" w:firstColumn="1" w:lastColumn="0" w:noHBand="0" w:noVBand="1"/>
        <w:tblDescription w:val="Total costs to the MBS associated with EMR: using applicant’s revised benefit of $750 (from $1,313)"/>
      </w:tblPr>
      <w:tblGrid>
        <w:gridCol w:w="3279"/>
        <w:gridCol w:w="1146"/>
        <w:gridCol w:w="1146"/>
        <w:gridCol w:w="1147"/>
        <w:gridCol w:w="1149"/>
        <w:gridCol w:w="1149"/>
      </w:tblGrid>
      <w:tr w:rsidR="00EC3CF2" w:rsidRPr="0043228F" w14:paraId="0512BB56" w14:textId="77777777" w:rsidTr="008D5FAC">
        <w:trPr>
          <w:trHeight w:val="255"/>
          <w:tblHeader/>
        </w:trPr>
        <w:tc>
          <w:tcPr>
            <w:tcW w:w="1818" w:type="pct"/>
            <w:shd w:val="clear" w:color="auto" w:fill="D9D9D9" w:themeFill="background1" w:themeFillShade="D9"/>
            <w:noWrap/>
            <w:hideMark/>
          </w:tcPr>
          <w:p w14:paraId="3A06F9A6" w14:textId="77777777" w:rsidR="00EC3CF2" w:rsidRPr="00F12A05" w:rsidRDefault="00EC3CF2" w:rsidP="00A90165">
            <w:pPr>
              <w:rPr>
                <w:rFonts w:ascii="Arial Narrow" w:hAnsi="Arial Narrow" w:cs="Calibri"/>
                <w:b/>
                <w:bCs/>
                <w:color w:val="000000"/>
                <w:sz w:val="20"/>
              </w:rPr>
            </w:pPr>
          </w:p>
        </w:tc>
        <w:tc>
          <w:tcPr>
            <w:tcW w:w="636" w:type="pct"/>
            <w:shd w:val="clear" w:color="auto" w:fill="D9D9D9" w:themeFill="background1" w:themeFillShade="D9"/>
            <w:noWrap/>
            <w:hideMark/>
          </w:tcPr>
          <w:p w14:paraId="38A41B10" w14:textId="77777777" w:rsidR="00EC3CF2" w:rsidRPr="00F12A05" w:rsidRDefault="00EC3CF2" w:rsidP="00A90165">
            <w:pPr>
              <w:jc w:val="center"/>
              <w:rPr>
                <w:rFonts w:ascii="Arial Narrow" w:hAnsi="Arial Narrow" w:cs="Calibri"/>
                <w:b/>
                <w:bCs/>
                <w:color w:val="000000"/>
                <w:sz w:val="20"/>
              </w:rPr>
            </w:pPr>
            <w:r w:rsidRPr="00F12A05">
              <w:rPr>
                <w:rFonts w:ascii="Arial Narrow" w:hAnsi="Arial Narrow" w:cs="Calibri"/>
                <w:b/>
                <w:bCs/>
                <w:color w:val="000000"/>
                <w:sz w:val="20"/>
              </w:rPr>
              <w:t>2020</w:t>
            </w:r>
          </w:p>
        </w:tc>
        <w:tc>
          <w:tcPr>
            <w:tcW w:w="636" w:type="pct"/>
            <w:shd w:val="clear" w:color="auto" w:fill="D9D9D9" w:themeFill="background1" w:themeFillShade="D9"/>
            <w:noWrap/>
            <w:hideMark/>
          </w:tcPr>
          <w:p w14:paraId="0AAF12C7" w14:textId="77777777" w:rsidR="00EC3CF2" w:rsidRPr="0099779A" w:rsidRDefault="00EC3CF2" w:rsidP="00A90165">
            <w:pPr>
              <w:jc w:val="center"/>
              <w:rPr>
                <w:rFonts w:ascii="Arial Narrow" w:hAnsi="Arial Narrow" w:cs="Calibri"/>
                <w:b/>
                <w:bCs/>
                <w:color w:val="000000"/>
                <w:sz w:val="20"/>
              </w:rPr>
            </w:pPr>
            <w:r w:rsidRPr="0099779A">
              <w:rPr>
                <w:rFonts w:ascii="Arial Narrow" w:hAnsi="Arial Narrow" w:cs="Calibri"/>
                <w:b/>
                <w:bCs/>
                <w:color w:val="000000"/>
                <w:sz w:val="20"/>
              </w:rPr>
              <w:t>2021</w:t>
            </w:r>
          </w:p>
        </w:tc>
        <w:tc>
          <w:tcPr>
            <w:tcW w:w="636" w:type="pct"/>
            <w:shd w:val="clear" w:color="auto" w:fill="D9D9D9" w:themeFill="background1" w:themeFillShade="D9"/>
            <w:noWrap/>
            <w:hideMark/>
          </w:tcPr>
          <w:p w14:paraId="79700739" w14:textId="77777777" w:rsidR="00EC3CF2" w:rsidRPr="002644CE" w:rsidRDefault="00EC3CF2" w:rsidP="00A90165">
            <w:pPr>
              <w:jc w:val="center"/>
              <w:rPr>
                <w:rFonts w:ascii="Arial Narrow" w:hAnsi="Arial Narrow" w:cs="Calibri"/>
                <w:b/>
                <w:bCs/>
                <w:color w:val="000000"/>
                <w:sz w:val="20"/>
              </w:rPr>
            </w:pPr>
            <w:r w:rsidRPr="002644CE">
              <w:rPr>
                <w:rFonts w:ascii="Arial Narrow" w:hAnsi="Arial Narrow" w:cs="Calibri"/>
                <w:b/>
                <w:bCs/>
                <w:color w:val="000000"/>
                <w:sz w:val="20"/>
              </w:rPr>
              <w:t>2022</w:t>
            </w:r>
          </w:p>
        </w:tc>
        <w:tc>
          <w:tcPr>
            <w:tcW w:w="637" w:type="pct"/>
            <w:shd w:val="clear" w:color="auto" w:fill="D9D9D9" w:themeFill="background1" w:themeFillShade="D9"/>
            <w:noWrap/>
            <w:hideMark/>
          </w:tcPr>
          <w:p w14:paraId="59D218FB" w14:textId="77777777" w:rsidR="00EC3CF2" w:rsidRPr="00C655CE" w:rsidRDefault="00EC3CF2" w:rsidP="00A90165">
            <w:pPr>
              <w:jc w:val="center"/>
              <w:rPr>
                <w:rFonts w:ascii="Arial Narrow" w:hAnsi="Arial Narrow" w:cs="Calibri"/>
                <w:b/>
                <w:bCs/>
                <w:color w:val="000000"/>
                <w:sz w:val="20"/>
              </w:rPr>
            </w:pPr>
            <w:r w:rsidRPr="00C655CE">
              <w:rPr>
                <w:rFonts w:ascii="Arial Narrow" w:hAnsi="Arial Narrow" w:cs="Calibri"/>
                <w:b/>
                <w:bCs/>
                <w:color w:val="000000"/>
                <w:sz w:val="20"/>
              </w:rPr>
              <w:t>2023</w:t>
            </w:r>
          </w:p>
        </w:tc>
        <w:tc>
          <w:tcPr>
            <w:tcW w:w="637" w:type="pct"/>
            <w:shd w:val="clear" w:color="auto" w:fill="D9D9D9" w:themeFill="background1" w:themeFillShade="D9"/>
            <w:noWrap/>
            <w:hideMark/>
          </w:tcPr>
          <w:p w14:paraId="6C153803" w14:textId="77777777" w:rsidR="00EC3CF2" w:rsidRPr="003C2957" w:rsidRDefault="00EC3CF2" w:rsidP="00A90165">
            <w:pPr>
              <w:jc w:val="center"/>
              <w:rPr>
                <w:rFonts w:ascii="Arial Narrow" w:hAnsi="Arial Narrow" w:cs="Calibri"/>
                <w:b/>
                <w:bCs/>
                <w:color w:val="000000"/>
                <w:sz w:val="20"/>
              </w:rPr>
            </w:pPr>
            <w:r w:rsidRPr="003C2957">
              <w:rPr>
                <w:rFonts w:ascii="Arial Narrow" w:hAnsi="Arial Narrow" w:cs="Calibri"/>
                <w:b/>
                <w:bCs/>
                <w:color w:val="000000"/>
                <w:sz w:val="20"/>
              </w:rPr>
              <w:t>2024</w:t>
            </w:r>
          </w:p>
        </w:tc>
      </w:tr>
      <w:tr w:rsidR="00EC3CF2" w:rsidRPr="00D606A2" w14:paraId="3BD87F1E" w14:textId="77777777" w:rsidTr="008D5FAC">
        <w:trPr>
          <w:trHeight w:val="255"/>
        </w:trPr>
        <w:tc>
          <w:tcPr>
            <w:tcW w:w="1818" w:type="pct"/>
            <w:shd w:val="clear" w:color="auto" w:fill="D9D9D9" w:themeFill="background1" w:themeFillShade="D9"/>
            <w:noWrap/>
          </w:tcPr>
          <w:p w14:paraId="3AA9899D" w14:textId="77777777" w:rsidR="00EC3CF2" w:rsidRPr="00F12A05" w:rsidRDefault="00EC3CF2" w:rsidP="00A90165">
            <w:pPr>
              <w:rPr>
                <w:rFonts w:ascii="Arial Narrow" w:hAnsi="Arial Narrow" w:cs="Calibri"/>
                <w:b/>
                <w:bCs/>
                <w:color w:val="000000"/>
                <w:sz w:val="20"/>
              </w:rPr>
            </w:pPr>
            <w:r>
              <w:rPr>
                <w:rFonts w:ascii="Arial Narrow" w:hAnsi="Arial Narrow" w:cs="Calibri"/>
                <w:b/>
                <w:bCs/>
                <w:color w:val="000000"/>
                <w:sz w:val="20"/>
              </w:rPr>
              <w:t>Patient numbers</w:t>
            </w:r>
          </w:p>
        </w:tc>
        <w:tc>
          <w:tcPr>
            <w:tcW w:w="636" w:type="pct"/>
            <w:shd w:val="clear" w:color="auto" w:fill="D9D9D9" w:themeFill="background1" w:themeFillShade="D9"/>
            <w:noWrap/>
          </w:tcPr>
          <w:p w14:paraId="15112ECB" w14:textId="77777777" w:rsidR="00EC3CF2" w:rsidRPr="0099779A" w:rsidRDefault="00EC3CF2" w:rsidP="00A90165">
            <w:pPr>
              <w:jc w:val="center"/>
              <w:rPr>
                <w:rFonts w:ascii="Arial Narrow" w:hAnsi="Arial Narrow" w:cs="Calibri"/>
                <w:b/>
                <w:bCs/>
                <w:color w:val="000000"/>
                <w:sz w:val="20"/>
              </w:rPr>
            </w:pPr>
          </w:p>
        </w:tc>
        <w:tc>
          <w:tcPr>
            <w:tcW w:w="636" w:type="pct"/>
            <w:shd w:val="clear" w:color="auto" w:fill="D9D9D9" w:themeFill="background1" w:themeFillShade="D9"/>
            <w:noWrap/>
          </w:tcPr>
          <w:p w14:paraId="4F3CE4A8" w14:textId="77777777" w:rsidR="00EC3CF2" w:rsidRPr="002644CE" w:rsidRDefault="00EC3CF2" w:rsidP="00A90165">
            <w:pPr>
              <w:jc w:val="center"/>
              <w:rPr>
                <w:rFonts w:ascii="Arial Narrow" w:hAnsi="Arial Narrow" w:cs="Calibri"/>
                <w:b/>
                <w:bCs/>
                <w:color w:val="000000"/>
                <w:sz w:val="20"/>
              </w:rPr>
            </w:pPr>
          </w:p>
        </w:tc>
        <w:tc>
          <w:tcPr>
            <w:tcW w:w="636" w:type="pct"/>
            <w:shd w:val="clear" w:color="auto" w:fill="D9D9D9" w:themeFill="background1" w:themeFillShade="D9"/>
            <w:noWrap/>
          </w:tcPr>
          <w:p w14:paraId="6E1CE2BC" w14:textId="77777777" w:rsidR="00EC3CF2" w:rsidRPr="00C655CE" w:rsidRDefault="00EC3CF2" w:rsidP="00A90165">
            <w:pPr>
              <w:jc w:val="center"/>
              <w:rPr>
                <w:rFonts w:ascii="Arial Narrow" w:hAnsi="Arial Narrow" w:cs="Calibri"/>
                <w:b/>
                <w:bCs/>
                <w:color w:val="000000"/>
                <w:sz w:val="20"/>
              </w:rPr>
            </w:pPr>
          </w:p>
        </w:tc>
        <w:tc>
          <w:tcPr>
            <w:tcW w:w="637" w:type="pct"/>
            <w:shd w:val="clear" w:color="auto" w:fill="D9D9D9" w:themeFill="background1" w:themeFillShade="D9"/>
            <w:noWrap/>
          </w:tcPr>
          <w:p w14:paraId="6533411A" w14:textId="77777777" w:rsidR="00EC3CF2" w:rsidRPr="003C2957" w:rsidRDefault="00EC3CF2" w:rsidP="00A90165">
            <w:pPr>
              <w:jc w:val="center"/>
              <w:rPr>
                <w:rFonts w:ascii="Arial Narrow" w:hAnsi="Arial Narrow" w:cs="Calibri"/>
                <w:b/>
                <w:bCs/>
                <w:color w:val="000000"/>
                <w:sz w:val="20"/>
              </w:rPr>
            </w:pPr>
          </w:p>
        </w:tc>
        <w:tc>
          <w:tcPr>
            <w:tcW w:w="637" w:type="pct"/>
            <w:shd w:val="clear" w:color="auto" w:fill="D9D9D9" w:themeFill="background1" w:themeFillShade="D9"/>
            <w:noWrap/>
          </w:tcPr>
          <w:p w14:paraId="7A55778E" w14:textId="77777777" w:rsidR="00EC3CF2" w:rsidRPr="0043228F" w:rsidRDefault="00EC3CF2" w:rsidP="00A90165">
            <w:pPr>
              <w:jc w:val="center"/>
              <w:rPr>
                <w:rFonts w:ascii="Arial Narrow" w:hAnsi="Arial Narrow" w:cs="Calibri"/>
                <w:b/>
                <w:bCs/>
                <w:color w:val="000000"/>
                <w:sz w:val="20"/>
              </w:rPr>
            </w:pPr>
          </w:p>
        </w:tc>
      </w:tr>
      <w:tr w:rsidR="00EC3CF2" w:rsidRPr="00D606A2" w14:paraId="73ED9069" w14:textId="77777777" w:rsidTr="008D5FAC">
        <w:trPr>
          <w:trHeight w:val="255"/>
        </w:trPr>
        <w:tc>
          <w:tcPr>
            <w:tcW w:w="1818" w:type="pct"/>
            <w:noWrap/>
          </w:tcPr>
          <w:p w14:paraId="7B91778A" w14:textId="77777777" w:rsidR="00EC3CF2" w:rsidRDefault="00EC3CF2" w:rsidP="00A90165">
            <w:pPr>
              <w:rPr>
                <w:rFonts w:ascii="Arial Narrow" w:hAnsi="Arial Narrow" w:cs="Calibri"/>
                <w:bCs/>
                <w:i/>
                <w:color w:val="000000"/>
                <w:sz w:val="20"/>
                <w:vertAlign w:val="superscript"/>
              </w:rPr>
            </w:pPr>
            <w:r w:rsidRPr="007E6331">
              <w:rPr>
                <w:rFonts w:ascii="Arial Narrow" w:hAnsi="Arial Narrow" w:cs="Calibri"/>
                <w:bCs/>
                <w:color w:val="000000"/>
                <w:sz w:val="20"/>
              </w:rPr>
              <w:t>EMR with listing</w:t>
            </w:r>
          </w:p>
          <w:p w14:paraId="16A3DA94" w14:textId="77777777" w:rsidR="00EC3CF2" w:rsidRDefault="00EC3CF2" w:rsidP="00A90165">
            <w:pPr>
              <w:ind w:left="227"/>
              <w:rPr>
                <w:rFonts w:ascii="Arial Narrow" w:hAnsi="Arial Narrow" w:cs="Calibri"/>
                <w:bCs/>
                <w:color w:val="000000"/>
                <w:sz w:val="20"/>
              </w:rPr>
            </w:pPr>
            <w:r>
              <w:rPr>
                <w:rFonts w:ascii="Arial Narrow" w:hAnsi="Arial Narrow" w:cs="Calibri"/>
                <w:bCs/>
                <w:color w:val="000000"/>
                <w:sz w:val="20"/>
              </w:rPr>
              <w:t xml:space="preserve">Private patients (50%), MBS supported </w:t>
            </w:r>
          </w:p>
          <w:p w14:paraId="2705138B" w14:textId="77777777" w:rsidR="00EC3CF2" w:rsidRPr="008F0DC8" w:rsidRDefault="00EC3CF2" w:rsidP="00A90165">
            <w:pPr>
              <w:ind w:left="227"/>
              <w:rPr>
                <w:rFonts w:ascii="Arial Narrow" w:hAnsi="Arial Narrow" w:cs="Calibri"/>
                <w:bCs/>
                <w:color w:val="000000"/>
                <w:sz w:val="20"/>
              </w:rPr>
            </w:pPr>
            <w:r>
              <w:rPr>
                <w:rFonts w:ascii="Arial Narrow" w:hAnsi="Arial Narrow" w:cs="Calibri"/>
                <w:bCs/>
                <w:color w:val="000000"/>
                <w:sz w:val="20"/>
              </w:rPr>
              <w:t xml:space="preserve">Public patients (50%), </w:t>
            </w:r>
          </w:p>
        </w:tc>
        <w:tc>
          <w:tcPr>
            <w:tcW w:w="636" w:type="pct"/>
            <w:noWrap/>
          </w:tcPr>
          <w:p w14:paraId="08CB82AF" w14:textId="77777777" w:rsidR="00EC3CF2" w:rsidRDefault="00EC3CF2" w:rsidP="00A90165">
            <w:pPr>
              <w:jc w:val="center"/>
              <w:rPr>
                <w:rFonts w:ascii="Arial Narrow" w:hAnsi="Arial Narrow" w:cs="Calibri"/>
                <w:color w:val="000000"/>
                <w:sz w:val="20"/>
              </w:rPr>
            </w:pPr>
            <w:r w:rsidRPr="002644CE">
              <w:rPr>
                <w:rFonts w:ascii="Arial Narrow" w:hAnsi="Arial Narrow" w:cs="Calibri"/>
                <w:color w:val="000000"/>
                <w:sz w:val="20"/>
              </w:rPr>
              <w:t>9,839</w:t>
            </w:r>
          </w:p>
          <w:p w14:paraId="0261161F"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4,919</w:t>
            </w:r>
          </w:p>
          <w:p w14:paraId="619A4C9F" w14:textId="77777777" w:rsidR="00EC3CF2" w:rsidRPr="008F0DC8" w:rsidRDefault="00EC3CF2" w:rsidP="00A90165">
            <w:pPr>
              <w:jc w:val="center"/>
              <w:rPr>
                <w:rFonts w:ascii="Arial Narrow" w:hAnsi="Arial Narrow" w:cs="Calibri"/>
                <w:bCs/>
                <w:color w:val="000000"/>
                <w:sz w:val="20"/>
              </w:rPr>
            </w:pPr>
            <w:r>
              <w:rPr>
                <w:rFonts w:ascii="Arial Narrow" w:hAnsi="Arial Narrow" w:cs="Calibri"/>
                <w:bCs/>
                <w:color w:val="000000"/>
                <w:sz w:val="20"/>
              </w:rPr>
              <w:t>4,919</w:t>
            </w:r>
          </w:p>
        </w:tc>
        <w:tc>
          <w:tcPr>
            <w:tcW w:w="636" w:type="pct"/>
            <w:noWrap/>
          </w:tcPr>
          <w:p w14:paraId="777A53CA" w14:textId="77777777" w:rsidR="00EC3CF2" w:rsidRDefault="00EC3CF2" w:rsidP="00A90165">
            <w:pPr>
              <w:jc w:val="center"/>
              <w:rPr>
                <w:rFonts w:ascii="Arial Narrow" w:hAnsi="Arial Narrow" w:cs="Calibri"/>
                <w:color w:val="000000"/>
                <w:sz w:val="20"/>
              </w:rPr>
            </w:pPr>
            <w:r w:rsidRPr="00C655CE">
              <w:rPr>
                <w:rFonts w:ascii="Arial Narrow" w:hAnsi="Arial Narrow" w:cs="Calibri"/>
                <w:color w:val="000000"/>
                <w:sz w:val="20"/>
              </w:rPr>
              <w:t>10,322</w:t>
            </w:r>
          </w:p>
          <w:p w14:paraId="2AED7009"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5,161</w:t>
            </w:r>
          </w:p>
          <w:p w14:paraId="71EFC24A" w14:textId="77777777" w:rsidR="00EC3CF2" w:rsidRPr="002644CE" w:rsidRDefault="00EC3CF2" w:rsidP="00A90165">
            <w:pPr>
              <w:jc w:val="center"/>
              <w:rPr>
                <w:rFonts w:ascii="Arial Narrow" w:hAnsi="Arial Narrow" w:cs="Calibri"/>
                <w:b/>
                <w:bCs/>
                <w:color w:val="000000"/>
                <w:sz w:val="20"/>
              </w:rPr>
            </w:pPr>
            <w:r>
              <w:rPr>
                <w:rFonts w:ascii="Arial Narrow" w:hAnsi="Arial Narrow" w:cs="Calibri"/>
                <w:color w:val="000000"/>
                <w:sz w:val="20"/>
              </w:rPr>
              <w:t>5,161</w:t>
            </w:r>
          </w:p>
        </w:tc>
        <w:tc>
          <w:tcPr>
            <w:tcW w:w="636" w:type="pct"/>
            <w:noWrap/>
          </w:tcPr>
          <w:p w14:paraId="15FD737E" w14:textId="77777777" w:rsidR="00EC3CF2" w:rsidRDefault="00EC3CF2" w:rsidP="00A90165">
            <w:pPr>
              <w:jc w:val="center"/>
              <w:rPr>
                <w:rFonts w:ascii="Arial Narrow" w:hAnsi="Arial Narrow" w:cs="Calibri"/>
                <w:color w:val="000000"/>
                <w:sz w:val="20"/>
              </w:rPr>
            </w:pPr>
            <w:r w:rsidRPr="0043228F">
              <w:rPr>
                <w:rFonts w:ascii="Arial Narrow" w:hAnsi="Arial Narrow" w:cs="Calibri"/>
                <w:color w:val="000000"/>
                <w:sz w:val="20"/>
              </w:rPr>
              <w:t>10,805</w:t>
            </w:r>
          </w:p>
          <w:p w14:paraId="37445DC0"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5,403</w:t>
            </w:r>
          </w:p>
          <w:p w14:paraId="54CD5256" w14:textId="77777777" w:rsidR="00EC3CF2" w:rsidRPr="00C655CE" w:rsidRDefault="00EC3CF2" w:rsidP="00A90165">
            <w:pPr>
              <w:jc w:val="center"/>
              <w:rPr>
                <w:rFonts w:ascii="Arial Narrow" w:hAnsi="Arial Narrow" w:cs="Calibri"/>
                <w:b/>
                <w:bCs/>
                <w:color w:val="000000"/>
                <w:sz w:val="20"/>
              </w:rPr>
            </w:pPr>
            <w:r>
              <w:rPr>
                <w:rFonts w:ascii="Arial Narrow" w:hAnsi="Arial Narrow" w:cs="Calibri"/>
                <w:color w:val="000000"/>
                <w:sz w:val="20"/>
              </w:rPr>
              <w:t>5,403</w:t>
            </w:r>
          </w:p>
        </w:tc>
        <w:tc>
          <w:tcPr>
            <w:tcW w:w="637" w:type="pct"/>
            <w:noWrap/>
          </w:tcPr>
          <w:p w14:paraId="63DC80EF" w14:textId="77777777" w:rsidR="00EC3CF2" w:rsidRDefault="00EC3CF2" w:rsidP="00A90165">
            <w:pPr>
              <w:jc w:val="center"/>
              <w:rPr>
                <w:rFonts w:ascii="Arial Narrow" w:hAnsi="Arial Narrow" w:cs="Calibri"/>
                <w:color w:val="000000"/>
                <w:sz w:val="20"/>
              </w:rPr>
            </w:pPr>
            <w:r w:rsidRPr="00E17F8F">
              <w:rPr>
                <w:rFonts w:ascii="Arial Narrow" w:hAnsi="Arial Narrow" w:cs="Calibri"/>
                <w:color w:val="000000"/>
                <w:sz w:val="20"/>
              </w:rPr>
              <w:t>11,289</w:t>
            </w:r>
          </w:p>
          <w:p w14:paraId="1D4B4CE8"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5,644</w:t>
            </w:r>
          </w:p>
          <w:p w14:paraId="6CD23253" w14:textId="77777777" w:rsidR="00EC3CF2" w:rsidRPr="003C2957" w:rsidRDefault="00EC3CF2" w:rsidP="00A90165">
            <w:pPr>
              <w:jc w:val="center"/>
              <w:rPr>
                <w:rFonts w:ascii="Arial Narrow" w:hAnsi="Arial Narrow" w:cs="Calibri"/>
                <w:b/>
                <w:bCs/>
                <w:color w:val="000000"/>
                <w:sz w:val="20"/>
              </w:rPr>
            </w:pPr>
            <w:r>
              <w:rPr>
                <w:rFonts w:ascii="Arial Narrow" w:hAnsi="Arial Narrow" w:cs="Calibri"/>
                <w:color w:val="000000"/>
                <w:sz w:val="20"/>
              </w:rPr>
              <w:t>5,644</w:t>
            </w:r>
          </w:p>
        </w:tc>
        <w:tc>
          <w:tcPr>
            <w:tcW w:w="637" w:type="pct"/>
            <w:noWrap/>
          </w:tcPr>
          <w:p w14:paraId="56E19662" w14:textId="77777777" w:rsidR="00EC3CF2" w:rsidRDefault="00EC3CF2" w:rsidP="00A90165">
            <w:pPr>
              <w:jc w:val="center"/>
              <w:rPr>
                <w:rFonts w:ascii="Arial Narrow" w:hAnsi="Arial Narrow" w:cs="Calibri"/>
                <w:color w:val="000000"/>
                <w:sz w:val="20"/>
              </w:rPr>
            </w:pPr>
            <w:r w:rsidRPr="00D42755">
              <w:rPr>
                <w:rFonts w:ascii="Arial Narrow" w:hAnsi="Arial Narrow" w:cs="Calibri"/>
                <w:color w:val="000000"/>
                <w:sz w:val="20"/>
              </w:rPr>
              <w:t>11,772</w:t>
            </w:r>
          </w:p>
          <w:p w14:paraId="27530DBD"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5,886</w:t>
            </w:r>
          </w:p>
          <w:p w14:paraId="3842C0DC" w14:textId="77777777" w:rsidR="00EC3CF2" w:rsidRPr="0043228F" w:rsidRDefault="00EC3CF2" w:rsidP="00A90165">
            <w:pPr>
              <w:jc w:val="center"/>
              <w:rPr>
                <w:rFonts w:ascii="Arial Narrow" w:hAnsi="Arial Narrow" w:cs="Calibri"/>
                <w:b/>
                <w:bCs/>
                <w:color w:val="000000"/>
                <w:sz w:val="20"/>
              </w:rPr>
            </w:pPr>
            <w:r>
              <w:rPr>
                <w:rFonts w:ascii="Arial Narrow" w:hAnsi="Arial Narrow" w:cs="Calibri"/>
                <w:color w:val="000000"/>
                <w:sz w:val="20"/>
              </w:rPr>
              <w:t>5,886</w:t>
            </w:r>
          </w:p>
        </w:tc>
      </w:tr>
      <w:tr w:rsidR="00EC3CF2" w:rsidRPr="00D606A2" w14:paraId="0880C697" w14:textId="77777777" w:rsidTr="008D5FAC">
        <w:trPr>
          <w:trHeight w:val="255"/>
        </w:trPr>
        <w:tc>
          <w:tcPr>
            <w:tcW w:w="1818" w:type="pct"/>
            <w:noWrap/>
          </w:tcPr>
          <w:p w14:paraId="7BC9F9D6" w14:textId="77777777" w:rsidR="00EC3CF2" w:rsidRDefault="00EC3CF2" w:rsidP="00A90165">
            <w:pPr>
              <w:rPr>
                <w:rFonts w:ascii="Arial Narrow" w:hAnsi="Arial Narrow" w:cs="Calibri"/>
                <w:bCs/>
                <w:i/>
                <w:color w:val="000000"/>
                <w:sz w:val="20"/>
                <w:vertAlign w:val="superscript"/>
              </w:rPr>
            </w:pPr>
            <w:r w:rsidRPr="007E6331">
              <w:rPr>
                <w:rFonts w:ascii="Arial Narrow" w:hAnsi="Arial Narrow" w:cs="Calibri"/>
                <w:bCs/>
                <w:color w:val="000000"/>
                <w:sz w:val="20"/>
              </w:rPr>
              <w:t>EMR without listing</w:t>
            </w:r>
          </w:p>
          <w:p w14:paraId="0E8283F3" w14:textId="77777777" w:rsidR="00EC3CF2" w:rsidRDefault="00EC3CF2" w:rsidP="00A90165">
            <w:pPr>
              <w:ind w:left="227"/>
              <w:rPr>
                <w:rFonts w:ascii="Arial Narrow" w:hAnsi="Arial Narrow" w:cs="Calibri"/>
                <w:bCs/>
                <w:color w:val="000000"/>
                <w:sz w:val="20"/>
              </w:rPr>
            </w:pPr>
            <w:r>
              <w:rPr>
                <w:rFonts w:ascii="Arial Narrow" w:hAnsi="Arial Narrow" w:cs="Calibri"/>
                <w:bCs/>
                <w:color w:val="000000"/>
                <w:sz w:val="20"/>
              </w:rPr>
              <w:t xml:space="preserve">Private patients (30%), MBS supported </w:t>
            </w:r>
          </w:p>
          <w:p w14:paraId="400CC8D6" w14:textId="77777777" w:rsidR="00EC3CF2" w:rsidRPr="008F0DC8" w:rsidRDefault="00EC3CF2" w:rsidP="00A90165">
            <w:pPr>
              <w:ind w:left="227"/>
              <w:rPr>
                <w:rFonts w:ascii="Arial Narrow" w:hAnsi="Arial Narrow" w:cs="Calibri"/>
                <w:bCs/>
                <w:color w:val="000000"/>
                <w:sz w:val="20"/>
              </w:rPr>
            </w:pPr>
            <w:r>
              <w:rPr>
                <w:rFonts w:ascii="Arial Narrow" w:hAnsi="Arial Narrow" w:cs="Calibri"/>
                <w:bCs/>
                <w:color w:val="000000"/>
                <w:sz w:val="20"/>
              </w:rPr>
              <w:t xml:space="preserve">Public patients (70%) </w:t>
            </w:r>
          </w:p>
        </w:tc>
        <w:tc>
          <w:tcPr>
            <w:tcW w:w="636" w:type="pct"/>
            <w:noWrap/>
          </w:tcPr>
          <w:p w14:paraId="45817F20" w14:textId="77777777" w:rsidR="00EC3CF2" w:rsidRDefault="00EC3CF2" w:rsidP="00A90165">
            <w:pPr>
              <w:jc w:val="center"/>
              <w:rPr>
                <w:rFonts w:ascii="Arial Narrow" w:hAnsi="Arial Narrow" w:cs="Calibri"/>
                <w:color w:val="000000"/>
                <w:sz w:val="20"/>
              </w:rPr>
            </w:pPr>
            <w:r w:rsidRPr="002644CE">
              <w:rPr>
                <w:rFonts w:ascii="Arial Narrow" w:hAnsi="Arial Narrow" w:cs="Calibri"/>
                <w:color w:val="000000"/>
                <w:sz w:val="20"/>
              </w:rPr>
              <w:t>9,839</w:t>
            </w:r>
          </w:p>
          <w:p w14:paraId="13F6D01C"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2,952</w:t>
            </w:r>
          </w:p>
          <w:p w14:paraId="7E9A81B5" w14:textId="77777777" w:rsidR="00EC3CF2" w:rsidRPr="0099779A" w:rsidRDefault="00EC3CF2" w:rsidP="00A90165">
            <w:pPr>
              <w:jc w:val="center"/>
              <w:rPr>
                <w:rFonts w:ascii="Arial Narrow" w:hAnsi="Arial Narrow" w:cs="Calibri"/>
                <w:b/>
                <w:bCs/>
                <w:color w:val="000000"/>
                <w:sz w:val="20"/>
              </w:rPr>
            </w:pPr>
            <w:r>
              <w:rPr>
                <w:rFonts w:ascii="Arial Narrow" w:hAnsi="Arial Narrow" w:cs="Calibri"/>
                <w:bCs/>
                <w:color w:val="000000"/>
                <w:sz w:val="20"/>
              </w:rPr>
              <w:t>6,887</w:t>
            </w:r>
          </w:p>
        </w:tc>
        <w:tc>
          <w:tcPr>
            <w:tcW w:w="636" w:type="pct"/>
            <w:noWrap/>
          </w:tcPr>
          <w:p w14:paraId="086EFE29" w14:textId="77777777" w:rsidR="00EC3CF2" w:rsidRDefault="00EC3CF2" w:rsidP="00A90165">
            <w:pPr>
              <w:jc w:val="center"/>
              <w:rPr>
                <w:rFonts w:ascii="Arial Narrow" w:hAnsi="Arial Narrow" w:cs="Calibri"/>
                <w:color w:val="000000"/>
                <w:sz w:val="20"/>
              </w:rPr>
            </w:pPr>
            <w:r w:rsidRPr="00C655CE">
              <w:rPr>
                <w:rFonts w:ascii="Arial Narrow" w:hAnsi="Arial Narrow" w:cs="Calibri"/>
                <w:color w:val="000000"/>
                <w:sz w:val="20"/>
              </w:rPr>
              <w:t>10,322</w:t>
            </w:r>
          </w:p>
          <w:p w14:paraId="251912AF"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3,097</w:t>
            </w:r>
          </w:p>
          <w:p w14:paraId="4DEE885C" w14:textId="77777777" w:rsidR="00EC3CF2" w:rsidRPr="002644CE" w:rsidRDefault="00EC3CF2" w:rsidP="00A90165">
            <w:pPr>
              <w:jc w:val="center"/>
              <w:rPr>
                <w:rFonts w:ascii="Arial Narrow" w:hAnsi="Arial Narrow" w:cs="Calibri"/>
                <w:b/>
                <w:bCs/>
                <w:color w:val="000000"/>
                <w:sz w:val="20"/>
              </w:rPr>
            </w:pPr>
            <w:r>
              <w:rPr>
                <w:rFonts w:ascii="Arial Narrow" w:hAnsi="Arial Narrow" w:cs="Calibri"/>
                <w:color w:val="000000"/>
                <w:sz w:val="20"/>
              </w:rPr>
              <w:t>7,225</w:t>
            </w:r>
          </w:p>
        </w:tc>
        <w:tc>
          <w:tcPr>
            <w:tcW w:w="636" w:type="pct"/>
            <w:noWrap/>
          </w:tcPr>
          <w:p w14:paraId="52F20185" w14:textId="77777777" w:rsidR="00EC3CF2" w:rsidRDefault="00EC3CF2" w:rsidP="00A90165">
            <w:pPr>
              <w:jc w:val="center"/>
              <w:rPr>
                <w:rFonts w:ascii="Arial Narrow" w:hAnsi="Arial Narrow" w:cs="Calibri"/>
                <w:color w:val="000000"/>
                <w:sz w:val="20"/>
              </w:rPr>
            </w:pPr>
            <w:r w:rsidRPr="0043228F">
              <w:rPr>
                <w:rFonts w:ascii="Arial Narrow" w:hAnsi="Arial Narrow" w:cs="Calibri"/>
                <w:color w:val="000000"/>
                <w:sz w:val="20"/>
              </w:rPr>
              <w:t>10,805</w:t>
            </w:r>
          </w:p>
          <w:p w14:paraId="29312BD3"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3,242</w:t>
            </w:r>
          </w:p>
          <w:p w14:paraId="5E6B15B1" w14:textId="77777777" w:rsidR="00EC3CF2" w:rsidRPr="00C655CE" w:rsidRDefault="00EC3CF2" w:rsidP="00A90165">
            <w:pPr>
              <w:jc w:val="center"/>
              <w:rPr>
                <w:rFonts w:ascii="Arial Narrow" w:hAnsi="Arial Narrow" w:cs="Calibri"/>
                <w:b/>
                <w:bCs/>
                <w:color w:val="000000"/>
                <w:sz w:val="20"/>
              </w:rPr>
            </w:pPr>
            <w:r>
              <w:rPr>
                <w:rFonts w:ascii="Arial Narrow" w:hAnsi="Arial Narrow" w:cs="Calibri"/>
                <w:color w:val="000000"/>
                <w:sz w:val="20"/>
              </w:rPr>
              <w:t>7,564</w:t>
            </w:r>
          </w:p>
        </w:tc>
        <w:tc>
          <w:tcPr>
            <w:tcW w:w="637" w:type="pct"/>
            <w:noWrap/>
          </w:tcPr>
          <w:p w14:paraId="4D2C118C" w14:textId="77777777" w:rsidR="00EC3CF2" w:rsidRDefault="00EC3CF2" w:rsidP="00A90165">
            <w:pPr>
              <w:jc w:val="center"/>
              <w:rPr>
                <w:rFonts w:ascii="Arial Narrow" w:hAnsi="Arial Narrow" w:cs="Calibri"/>
                <w:color w:val="000000"/>
                <w:sz w:val="20"/>
              </w:rPr>
            </w:pPr>
            <w:r w:rsidRPr="00E17F8F">
              <w:rPr>
                <w:rFonts w:ascii="Arial Narrow" w:hAnsi="Arial Narrow" w:cs="Calibri"/>
                <w:color w:val="000000"/>
                <w:sz w:val="20"/>
              </w:rPr>
              <w:t>11,289</w:t>
            </w:r>
          </w:p>
          <w:p w14:paraId="2EAA176E"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3,387</w:t>
            </w:r>
          </w:p>
          <w:p w14:paraId="4E519C32" w14:textId="77777777" w:rsidR="00EC3CF2" w:rsidRPr="003C2957" w:rsidRDefault="00EC3CF2" w:rsidP="00A90165">
            <w:pPr>
              <w:jc w:val="center"/>
              <w:rPr>
                <w:rFonts w:ascii="Arial Narrow" w:hAnsi="Arial Narrow" w:cs="Calibri"/>
                <w:b/>
                <w:bCs/>
                <w:color w:val="000000"/>
                <w:sz w:val="20"/>
              </w:rPr>
            </w:pPr>
            <w:r>
              <w:rPr>
                <w:rFonts w:ascii="Arial Narrow" w:hAnsi="Arial Narrow" w:cs="Calibri"/>
                <w:color w:val="000000"/>
                <w:sz w:val="20"/>
              </w:rPr>
              <w:t>7,902</w:t>
            </w:r>
          </w:p>
        </w:tc>
        <w:tc>
          <w:tcPr>
            <w:tcW w:w="637" w:type="pct"/>
            <w:noWrap/>
          </w:tcPr>
          <w:p w14:paraId="2BE1FDB6" w14:textId="77777777" w:rsidR="00EC3CF2" w:rsidRDefault="00EC3CF2" w:rsidP="00A90165">
            <w:pPr>
              <w:jc w:val="center"/>
              <w:rPr>
                <w:rFonts w:ascii="Arial Narrow" w:hAnsi="Arial Narrow" w:cs="Calibri"/>
                <w:color w:val="000000"/>
                <w:sz w:val="20"/>
              </w:rPr>
            </w:pPr>
            <w:r w:rsidRPr="00D42755">
              <w:rPr>
                <w:rFonts w:ascii="Arial Narrow" w:hAnsi="Arial Narrow" w:cs="Calibri"/>
                <w:color w:val="000000"/>
                <w:sz w:val="20"/>
              </w:rPr>
              <w:t>11,772</w:t>
            </w:r>
          </w:p>
          <w:p w14:paraId="17CEF6E7"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3,532</w:t>
            </w:r>
          </w:p>
          <w:p w14:paraId="79E2AFD7" w14:textId="77777777" w:rsidR="00EC3CF2" w:rsidRPr="0043228F" w:rsidRDefault="00EC3CF2" w:rsidP="00A90165">
            <w:pPr>
              <w:jc w:val="center"/>
              <w:rPr>
                <w:rFonts w:ascii="Arial Narrow" w:hAnsi="Arial Narrow" w:cs="Calibri"/>
                <w:b/>
                <w:bCs/>
                <w:color w:val="000000"/>
                <w:sz w:val="20"/>
              </w:rPr>
            </w:pPr>
            <w:r>
              <w:rPr>
                <w:rFonts w:ascii="Arial Narrow" w:hAnsi="Arial Narrow" w:cs="Calibri"/>
                <w:color w:val="000000"/>
                <w:sz w:val="20"/>
              </w:rPr>
              <w:t>8,241</w:t>
            </w:r>
          </w:p>
        </w:tc>
      </w:tr>
      <w:tr w:rsidR="00EC3CF2" w:rsidRPr="00D606A2" w14:paraId="0E90B15F" w14:textId="77777777" w:rsidTr="008D5FAC">
        <w:trPr>
          <w:trHeight w:val="255"/>
        </w:trPr>
        <w:tc>
          <w:tcPr>
            <w:tcW w:w="1818" w:type="pct"/>
            <w:noWrap/>
          </w:tcPr>
          <w:p w14:paraId="4F4F4F85" w14:textId="77777777" w:rsidR="00EC3CF2" w:rsidRDefault="00EC3CF2" w:rsidP="00A90165">
            <w:pPr>
              <w:rPr>
                <w:rFonts w:ascii="Arial Narrow" w:hAnsi="Arial Narrow" w:cs="Calibri"/>
                <w:bCs/>
                <w:color w:val="000000"/>
                <w:sz w:val="20"/>
              </w:rPr>
            </w:pPr>
            <w:r>
              <w:rPr>
                <w:rFonts w:ascii="Arial Narrow" w:hAnsi="Arial Narrow" w:cs="Calibri"/>
                <w:bCs/>
                <w:color w:val="000000"/>
                <w:sz w:val="20"/>
              </w:rPr>
              <w:t>Subtotal</w:t>
            </w:r>
          </w:p>
          <w:p w14:paraId="30AA71CA" w14:textId="77777777" w:rsidR="00EC3CF2" w:rsidRDefault="00EC3CF2" w:rsidP="00A90165">
            <w:pPr>
              <w:ind w:left="227"/>
              <w:rPr>
                <w:rFonts w:ascii="Arial Narrow" w:hAnsi="Arial Narrow" w:cs="Calibri"/>
                <w:bCs/>
                <w:color w:val="000000"/>
                <w:sz w:val="20"/>
              </w:rPr>
            </w:pPr>
            <w:r>
              <w:rPr>
                <w:rFonts w:ascii="Arial Narrow" w:hAnsi="Arial Narrow" w:cs="Calibri"/>
                <w:bCs/>
                <w:color w:val="000000"/>
                <w:sz w:val="20"/>
              </w:rPr>
              <w:t xml:space="preserve">Private patients, MBS supported </w:t>
            </w:r>
          </w:p>
          <w:p w14:paraId="15DC2F5F" w14:textId="77777777" w:rsidR="00EC3CF2" w:rsidRPr="007E6331" w:rsidRDefault="00EC3CF2" w:rsidP="00A90165">
            <w:pPr>
              <w:ind w:left="227"/>
              <w:rPr>
                <w:rFonts w:ascii="Arial Narrow" w:hAnsi="Arial Narrow" w:cs="Calibri"/>
                <w:bCs/>
                <w:color w:val="000000"/>
                <w:sz w:val="20"/>
              </w:rPr>
            </w:pPr>
            <w:r>
              <w:rPr>
                <w:rFonts w:ascii="Arial Narrow" w:hAnsi="Arial Narrow" w:cs="Calibri"/>
                <w:bCs/>
                <w:color w:val="000000"/>
                <w:sz w:val="20"/>
              </w:rPr>
              <w:t>Public patients</w:t>
            </w:r>
          </w:p>
        </w:tc>
        <w:tc>
          <w:tcPr>
            <w:tcW w:w="636" w:type="pct"/>
            <w:noWrap/>
          </w:tcPr>
          <w:p w14:paraId="3B1212F3"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0</w:t>
            </w:r>
          </w:p>
          <w:p w14:paraId="3F6DBA09"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-1,968</w:t>
            </w:r>
          </w:p>
          <w:p w14:paraId="6F86C93A" w14:textId="77777777" w:rsidR="00EC3CF2" w:rsidRPr="002644CE" w:rsidRDefault="00EC3CF2" w:rsidP="00A90165">
            <w:pPr>
              <w:jc w:val="center"/>
              <w:rPr>
                <w:rFonts w:ascii="Arial Narrow" w:hAnsi="Arial Narrow" w:cs="Calibri"/>
                <w:color w:val="000000"/>
                <w:sz w:val="20"/>
              </w:rPr>
            </w:pPr>
            <w:r>
              <w:rPr>
                <w:rFonts w:ascii="Arial Narrow" w:hAnsi="Arial Narrow" w:cs="Calibri"/>
                <w:color w:val="000000"/>
                <w:sz w:val="20"/>
              </w:rPr>
              <w:t>1,968</w:t>
            </w:r>
          </w:p>
        </w:tc>
        <w:tc>
          <w:tcPr>
            <w:tcW w:w="636" w:type="pct"/>
            <w:noWrap/>
          </w:tcPr>
          <w:p w14:paraId="20E2ADBC"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0</w:t>
            </w:r>
          </w:p>
          <w:p w14:paraId="332FBBEC"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-2,064</w:t>
            </w:r>
          </w:p>
          <w:p w14:paraId="4949102B" w14:textId="77777777" w:rsidR="00EC3CF2" w:rsidRPr="00C655CE" w:rsidRDefault="00EC3CF2" w:rsidP="00A90165">
            <w:pPr>
              <w:jc w:val="center"/>
              <w:rPr>
                <w:rFonts w:ascii="Arial Narrow" w:hAnsi="Arial Narrow" w:cs="Calibri"/>
                <w:color w:val="000000"/>
                <w:sz w:val="20"/>
              </w:rPr>
            </w:pPr>
            <w:r>
              <w:rPr>
                <w:rFonts w:ascii="Arial Narrow" w:hAnsi="Arial Narrow" w:cs="Calibri"/>
                <w:color w:val="000000"/>
                <w:sz w:val="20"/>
              </w:rPr>
              <w:t>2,064</w:t>
            </w:r>
          </w:p>
        </w:tc>
        <w:tc>
          <w:tcPr>
            <w:tcW w:w="636" w:type="pct"/>
            <w:noWrap/>
          </w:tcPr>
          <w:p w14:paraId="12FE2DBF"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0</w:t>
            </w:r>
          </w:p>
          <w:p w14:paraId="3C2DAFFC"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-2,161</w:t>
            </w:r>
          </w:p>
          <w:p w14:paraId="3FC527D8" w14:textId="77777777" w:rsidR="00EC3CF2" w:rsidRPr="0043228F" w:rsidRDefault="00EC3CF2" w:rsidP="00A90165">
            <w:pPr>
              <w:jc w:val="center"/>
              <w:rPr>
                <w:rFonts w:ascii="Arial Narrow" w:hAnsi="Arial Narrow" w:cs="Calibri"/>
                <w:color w:val="000000"/>
                <w:sz w:val="20"/>
              </w:rPr>
            </w:pPr>
            <w:r>
              <w:rPr>
                <w:rFonts w:ascii="Arial Narrow" w:hAnsi="Arial Narrow" w:cs="Calibri"/>
                <w:color w:val="000000"/>
                <w:sz w:val="20"/>
              </w:rPr>
              <w:t>2,161</w:t>
            </w:r>
          </w:p>
        </w:tc>
        <w:tc>
          <w:tcPr>
            <w:tcW w:w="637" w:type="pct"/>
            <w:noWrap/>
          </w:tcPr>
          <w:p w14:paraId="09966662"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0</w:t>
            </w:r>
          </w:p>
          <w:p w14:paraId="69E27A11"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-2,258</w:t>
            </w:r>
          </w:p>
          <w:p w14:paraId="3071CE6B" w14:textId="77777777" w:rsidR="00EC3CF2" w:rsidRPr="00E17F8F" w:rsidRDefault="00EC3CF2" w:rsidP="00A90165">
            <w:pPr>
              <w:jc w:val="center"/>
              <w:rPr>
                <w:rFonts w:ascii="Arial Narrow" w:hAnsi="Arial Narrow" w:cs="Calibri"/>
                <w:color w:val="000000"/>
                <w:sz w:val="20"/>
              </w:rPr>
            </w:pPr>
            <w:r>
              <w:rPr>
                <w:rFonts w:ascii="Arial Narrow" w:hAnsi="Arial Narrow" w:cs="Calibri"/>
                <w:color w:val="000000"/>
                <w:sz w:val="20"/>
              </w:rPr>
              <w:t>2,258</w:t>
            </w:r>
          </w:p>
        </w:tc>
        <w:tc>
          <w:tcPr>
            <w:tcW w:w="637" w:type="pct"/>
            <w:noWrap/>
          </w:tcPr>
          <w:p w14:paraId="1908BC76"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0</w:t>
            </w:r>
          </w:p>
          <w:p w14:paraId="7F32A952" w14:textId="77777777" w:rsidR="00EC3CF2" w:rsidRDefault="00EC3CF2" w:rsidP="00A90165">
            <w:pPr>
              <w:jc w:val="center"/>
              <w:rPr>
                <w:rFonts w:ascii="Arial Narrow" w:hAnsi="Arial Narrow" w:cs="Calibri"/>
                <w:color w:val="000000"/>
                <w:sz w:val="20"/>
              </w:rPr>
            </w:pPr>
            <w:r>
              <w:rPr>
                <w:rFonts w:ascii="Arial Narrow" w:hAnsi="Arial Narrow" w:cs="Calibri"/>
                <w:color w:val="000000"/>
                <w:sz w:val="20"/>
              </w:rPr>
              <w:t>-2,354</w:t>
            </w:r>
          </w:p>
          <w:p w14:paraId="5596A04E" w14:textId="77777777" w:rsidR="00EC3CF2" w:rsidRPr="00D42755" w:rsidRDefault="00EC3CF2" w:rsidP="00A90165">
            <w:pPr>
              <w:jc w:val="center"/>
              <w:rPr>
                <w:rFonts w:ascii="Arial Narrow" w:hAnsi="Arial Narrow" w:cs="Calibri"/>
                <w:color w:val="000000"/>
                <w:sz w:val="20"/>
              </w:rPr>
            </w:pPr>
            <w:r>
              <w:rPr>
                <w:rFonts w:ascii="Arial Narrow" w:hAnsi="Arial Narrow" w:cs="Calibri"/>
                <w:color w:val="000000"/>
                <w:sz w:val="20"/>
              </w:rPr>
              <w:t>2,354</w:t>
            </w:r>
          </w:p>
        </w:tc>
      </w:tr>
      <w:tr w:rsidR="00EC3CF2" w:rsidRPr="00D606A2" w14:paraId="21B2DEB8" w14:textId="77777777" w:rsidTr="008D5FAC">
        <w:trPr>
          <w:trHeight w:val="255"/>
        </w:trPr>
        <w:tc>
          <w:tcPr>
            <w:tcW w:w="1818" w:type="pct"/>
            <w:shd w:val="clear" w:color="auto" w:fill="D9D9D9" w:themeFill="background1" w:themeFillShade="D9"/>
            <w:noWrap/>
            <w:hideMark/>
          </w:tcPr>
          <w:p w14:paraId="5FF1459A" w14:textId="77777777" w:rsidR="00EC3CF2" w:rsidRPr="00F12A05" w:rsidRDefault="00EC3CF2" w:rsidP="00A90165">
            <w:pPr>
              <w:rPr>
                <w:rFonts w:ascii="Arial Narrow" w:hAnsi="Arial Narrow" w:cs="Calibri"/>
                <w:b/>
                <w:bCs/>
                <w:color w:val="000000"/>
                <w:sz w:val="20"/>
              </w:rPr>
            </w:pPr>
            <w:r w:rsidRPr="00F12A05">
              <w:rPr>
                <w:rFonts w:ascii="Arial Narrow" w:hAnsi="Arial Narrow" w:cs="Calibri"/>
                <w:b/>
                <w:bCs/>
                <w:color w:val="000000"/>
                <w:sz w:val="20"/>
              </w:rPr>
              <w:t>MBS Costs</w:t>
            </w:r>
            <w:r>
              <w:rPr>
                <w:rFonts w:ascii="Arial Narrow" w:hAnsi="Arial Narrow" w:cs="Calibri"/>
                <w:b/>
                <w:bCs/>
                <w:color w:val="000000"/>
                <w:sz w:val="20"/>
              </w:rPr>
              <w:t xml:space="preserve"> </w:t>
            </w:r>
            <w:r w:rsidRPr="004D5ABA">
              <w:rPr>
                <w:rFonts w:ascii="Arial Narrow" w:hAnsi="Arial Narrow" w:cs="Calibri"/>
                <w:b/>
                <w:bCs/>
                <w:i/>
                <w:color w:val="000000"/>
                <w:sz w:val="20"/>
              </w:rPr>
              <w:t>(private patients)</w:t>
            </w:r>
          </w:p>
        </w:tc>
        <w:tc>
          <w:tcPr>
            <w:tcW w:w="636" w:type="pct"/>
            <w:shd w:val="clear" w:color="auto" w:fill="D9D9D9" w:themeFill="background1" w:themeFillShade="D9"/>
            <w:noWrap/>
            <w:hideMark/>
          </w:tcPr>
          <w:p w14:paraId="460818B6" w14:textId="77777777" w:rsidR="00EC3CF2" w:rsidRPr="0099779A" w:rsidRDefault="00EC3CF2" w:rsidP="00A90165">
            <w:pPr>
              <w:jc w:val="center"/>
              <w:rPr>
                <w:rFonts w:ascii="Arial Narrow" w:hAnsi="Arial Narrow" w:cs="Calibri"/>
                <w:b/>
                <w:bCs/>
                <w:color w:val="000000"/>
                <w:sz w:val="20"/>
              </w:rPr>
            </w:pPr>
            <w:r w:rsidRPr="0099779A">
              <w:rPr>
                <w:rFonts w:ascii="Arial Narrow" w:hAnsi="Arial Narrow" w:cs="Calibri"/>
                <w:b/>
                <w:bCs/>
                <w:color w:val="000000"/>
                <w:sz w:val="20"/>
              </w:rPr>
              <w:t> </w:t>
            </w:r>
          </w:p>
        </w:tc>
        <w:tc>
          <w:tcPr>
            <w:tcW w:w="636" w:type="pct"/>
            <w:shd w:val="clear" w:color="auto" w:fill="D9D9D9" w:themeFill="background1" w:themeFillShade="D9"/>
            <w:noWrap/>
            <w:hideMark/>
          </w:tcPr>
          <w:p w14:paraId="3FA8C9F2" w14:textId="77777777" w:rsidR="00EC3CF2" w:rsidRPr="002644CE" w:rsidRDefault="00EC3CF2" w:rsidP="00A90165">
            <w:pPr>
              <w:jc w:val="center"/>
              <w:rPr>
                <w:rFonts w:ascii="Arial Narrow" w:hAnsi="Arial Narrow" w:cs="Calibri"/>
                <w:b/>
                <w:bCs/>
                <w:color w:val="000000"/>
                <w:sz w:val="20"/>
              </w:rPr>
            </w:pPr>
            <w:r w:rsidRPr="002644CE">
              <w:rPr>
                <w:rFonts w:ascii="Arial Narrow" w:hAnsi="Arial Narrow" w:cs="Calibri"/>
                <w:b/>
                <w:bCs/>
                <w:color w:val="000000"/>
                <w:sz w:val="20"/>
              </w:rPr>
              <w:t> </w:t>
            </w:r>
          </w:p>
        </w:tc>
        <w:tc>
          <w:tcPr>
            <w:tcW w:w="636" w:type="pct"/>
            <w:shd w:val="clear" w:color="auto" w:fill="D9D9D9" w:themeFill="background1" w:themeFillShade="D9"/>
            <w:noWrap/>
            <w:hideMark/>
          </w:tcPr>
          <w:p w14:paraId="49581BDC" w14:textId="77777777" w:rsidR="00EC3CF2" w:rsidRPr="00C655CE" w:rsidRDefault="00EC3CF2" w:rsidP="00A90165">
            <w:pPr>
              <w:jc w:val="center"/>
              <w:rPr>
                <w:rFonts w:ascii="Arial Narrow" w:hAnsi="Arial Narrow" w:cs="Calibri"/>
                <w:b/>
                <w:bCs/>
                <w:color w:val="000000"/>
                <w:sz w:val="20"/>
              </w:rPr>
            </w:pPr>
            <w:r w:rsidRPr="00C655CE">
              <w:rPr>
                <w:rFonts w:ascii="Arial Narrow" w:hAnsi="Arial Narrow" w:cs="Calibri"/>
                <w:b/>
                <w:bCs/>
                <w:color w:val="000000"/>
                <w:sz w:val="20"/>
              </w:rPr>
              <w:t> </w:t>
            </w:r>
          </w:p>
        </w:tc>
        <w:tc>
          <w:tcPr>
            <w:tcW w:w="637" w:type="pct"/>
            <w:shd w:val="clear" w:color="auto" w:fill="D9D9D9" w:themeFill="background1" w:themeFillShade="D9"/>
            <w:noWrap/>
            <w:hideMark/>
          </w:tcPr>
          <w:p w14:paraId="5431A3AF" w14:textId="77777777" w:rsidR="00EC3CF2" w:rsidRPr="003C2957" w:rsidRDefault="00EC3CF2" w:rsidP="00A90165">
            <w:pPr>
              <w:jc w:val="center"/>
              <w:rPr>
                <w:rFonts w:ascii="Arial Narrow" w:hAnsi="Arial Narrow" w:cs="Calibri"/>
                <w:b/>
                <w:bCs/>
                <w:color w:val="000000"/>
                <w:sz w:val="20"/>
              </w:rPr>
            </w:pPr>
            <w:r w:rsidRPr="003C2957">
              <w:rPr>
                <w:rFonts w:ascii="Arial Narrow" w:hAnsi="Arial Narrow" w:cs="Calibri"/>
                <w:b/>
                <w:bCs/>
                <w:color w:val="000000"/>
                <w:sz w:val="20"/>
              </w:rPr>
              <w:t> </w:t>
            </w:r>
          </w:p>
        </w:tc>
        <w:tc>
          <w:tcPr>
            <w:tcW w:w="637" w:type="pct"/>
            <w:shd w:val="clear" w:color="auto" w:fill="D9D9D9" w:themeFill="background1" w:themeFillShade="D9"/>
            <w:noWrap/>
            <w:hideMark/>
          </w:tcPr>
          <w:p w14:paraId="0F614579" w14:textId="77777777" w:rsidR="00EC3CF2" w:rsidRPr="0043228F" w:rsidRDefault="00EC3CF2" w:rsidP="00A90165">
            <w:pPr>
              <w:jc w:val="center"/>
              <w:rPr>
                <w:rFonts w:ascii="Arial Narrow" w:hAnsi="Arial Narrow" w:cs="Calibri"/>
                <w:b/>
                <w:bCs/>
                <w:color w:val="000000"/>
                <w:sz w:val="20"/>
              </w:rPr>
            </w:pPr>
            <w:r w:rsidRPr="0043228F">
              <w:rPr>
                <w:rFonts w:ascii="Arial Narrow" w:hAnsi="Arial Narrow" w:cs="Calibri"/>
                <w:b/>
                <w:bCs/>
                <w:color w:val="000000"/>
                <w:sz w:val="20"/>
              </w:rPr>
              <w:t> </w:t>
            </w:r>
          </w:p>
        </w:tc>
      </w:tr>
      <w:tr w:rsidR="00EA486E" w:rsidRPr="00F12A05" w14:paraId="1DEAC26F" w14:textId="77777777" w:rsidTr="008D5FAC">
        <w:trPr>
          <w:trHeight w:val="255"/>
        </w:trPr>
        <w:tc>
          <w:tcPr>
            <w:tcW w:w="1818" w:type="pct"/>
            <w:noWrap/>
            <w:hideMark/>
          </w:tcPr>
          <w:p w14:paraId="6616EF51" w14:textId="77777777" w:rsidR="00EA486E" w:rsidRPr="00F12A05" w:rsidRDefault="00EA486E" w:rsidP="00EA486E">
            <w:pPr>
              <w:rPr>
                <w:rFonts w:ascii="Arial Narrow" w:hAnsi="Arial Narrow" w:cs="Calibri"/>
                <w:sz w:val="20"/>
              </w:rPr>
            </w:pPr>
            <w:r>
              <w:rPr>
                <w:rFonts w:ascii="Arial Narrow" w:hAnsi="Arial Narrow" w:cs="Calibri"/>
                <w:sz w:val="20"/>
              </w:rPr>
              <w:t>EMR with listing</w:t>
            </w:r>
            <w:r>
              <w:rPr>
                <w:rFonts w:ascii="Arial Narrow" w:hAnsi="Arial Narrow" w:cs="Calibri"/>
                <w:i/>
                <w:sz w:val="20"/>
                <w:vertAlign w:val="superscript"/>
              </w:rPr>
              <w:t>a</w:t>
            </w:r>
          </w:p>
        </w:tc>
        <w:tc>
          <w:tcPr>
            <w:tcW w:w="636" w:type="pct"/>
            <w:noWrap/>
            <w:hideMark/>
          </w:tcPr>
          <w:p w14:paraId="18E7D24A" w14:textId="0A2FC966" w:rsidR="00EA486E" w:rsidRPr="00EA486E" w:rsidRDefault="00EA486E" w:rsidP="00EA486E">
            <w:pPr>
              <w:jc w:val="center"/>
              <w:rPr>
                <w:rFonts w:ascii="Arial Narrow" w:hAnsi="Arial Narrow" w:cs="Calibri"/>
                <w:i/>
                <w:color w:val="000000"/>
                <w:sz w:val="20"/>
              </w:rPr>
            </w:pPr>
            <w:r w:rsidRPr="00EA486E">
              <w:rPr>
                <w:rFonts w:ascii="Arial Narrow" w:hAnsi="Arial Narrow" w:cs="Calibri"/>
                <w:bCs/>
                <w:i/>
                <w:color w:val="000000"/>
                <w:sz w:val="20"/>
              </w:rPr>
              <w:t>5,969,701</w:t>
            </w:r>
          </w:p>
        </w:tc>
        <w:tc>
          <w:tcPr>
            <w:tcW w:w="636" w:type="pct"/>
            <w:noWrap/>
            <w:hideMark/>
          </w:tcPr>
          <w:p w14:paraId="107B2EE3" w14:textId="5CE20A71" w:rsidR="00EA486E" w:rsidRPr="00EA486E" w:rsidRDefault="00EA486E" w:rsidP="00EA486E">
            <w:pPr>
              <w:jc w:val="center"/>
              <w:rPr>
                <w:rFonts w:ascii="Arial Narrow" w:hAnsi="Arial Narrow" w:cs="Calibri"/>
                <w:i/>
                <w:color w:val="000000"/>
                <w:sz w:val="20"/>
              </w:rPr>
            </w:pPr>
            <w:r w:rsidRPr="00EA486E">
              <w:rPr>
                <w:rFonts w:ascii="Arial Narrow" w:hAnsi="Arial Narrow" w:cs="Calibri"/>
                <w:bCs/>
                <w:i/>
                <w:color w:val="000000"/>
                <w:sz w:val="20"/>
              </w:rPr>
              <w:t>6,263,040</w:t>
            </w:r>
          </w:p>
        </w:tc>
        <w:tc>
          <w:tcPr>
            <w:tcW w:w="636" w:type="pct"/>
            <w:noWrap/>
            <w:hideMark/>
          </w:tcPr>
          <w:p w14:paraId="60C27150" w14:textId="29BCAE43" w:rsidR="00EA486E" w:rsidRPr="00EA486E" w:rsidRDefault="00EA486E" w:rsidP="00EA486E">
            <w:pPr>
              <w:jc w:val="center"/>
              <w:rPr>
                <w:rFonts w:ascii="Arial Narrow" w:hAnsi="Arial Narrow" w:cs="Calibri"/>
                <w:i/>
                <w:color w:val="000000"/>
                <w:sz w:val="20"/>
              </w:rPr>
            </w:pPr>
            <w:r w:rsidRPr="00EA486E">
              <w:rPr>
                <w:rFonts w:ascii="Arial Narrow" w:hAnsi="Arial Narrow" w:cs="Calibri"/>
                <w:bCs/>
                <w:i/>
                <w:color w:val="000000"/>
                <w:sz w:val="20"/>
              </w:rPr>
              <w:t>6,556,379</w:t>
            </w:r>
          </w:p>
        </w:tc>
        <w:tc>
          <w:tcPr>
            <w:tcW w:w="637" w:type="pct"/>
            <w:noWrap/>
            <w:hideMark/>
          </w:tcPr>
          <w:p w14:paraId="1E81E268" w14:textId="3B614DB0" w:rsidR="00EA486E" w:rsidRPr="00EA486E" w:rsidRDefault="00EA486E" w:rsidP="00EA486E">
            <w:pPr>
              <w:jc w:val="center"/>
              <w:rPr>
                <w:rFonts w:ascii="Arial Narrow" w:hAnsi="Arial Narrow" w:cs="Calibri"/>
                <w:i/>
                <w:color w:val="000000"/>
                <w:sz w:val="20"/>
              </w:rPr>
            </w:pPr>
            <w:r w:rsidRPr="00EA486E">
              <w:rPr>
                <w:rFonts w:ascii="Arial Narrow" w:hAnsi="Arial Narrow" w:cs="Calibri"/>
                <w:bCs/>
                <w:i/>
                <w:color w:val="000000"/>
                <w:sz w:val="20"/>
              </w:rPr>
              <w:t>6,849,718</w:t>
            </w:r>
          </w:p>
        </w:tc>
        <w:tc>
          <w:tcPr>
            <w:tcW w:w="637" w:type="pct"/>
            <w:noWrap/>
            <w:hideMark/>
          </w:tcPr>
          <w:p w14:paraId="77D7692C" w14:textId="2FA0D630" w:rsidR="00EA486E" w:rsidRPr="00EA486E" w:rsidRDefault="00EA486E" w:rsidP="00EA486E">
            <w:pPr>
              <w:jc w:val="center"/>
              <w:rPr>
                <w:rFonts w:ascii="Arial Narrow" w:hAnsi="Arial Narrow" w:cs="Calibri"/>
                <w:i/>
                <w:color w:val="000000"/>
                <w:sz w:val="20"/>
              </w:rPr>
            </w:pPr>
            <w:r w:rsidRPr="00EA486E">
              <w:rPr>
                <w:rFonts w:ascii="Arial Narrow" w:hAnsi="Arial Narrow" w:cs="Calibri"/>
                <w:bCs/>
                <w:i/>
                <w:color w:val="000000"/>
                <w:sz w:val="20"/>
              </w:rPr>
              <w:t>7,143,057</w:t>
            </w:r>
          </w:p>
        </w:tc>
      </w:tr>
      <w:tr w:rsidR="00EC3CF2" w:rsidRPr="00F12A05" w14:paraId="07F18B1E" w14:textId="77777777" w:rsidTr="008D5FAC">
        <w:trPr>
          <w:trHeight w:val="255"/>
        </w:trPr>
        <w:tc>
          <w:tcPr>
            <w:tcW w:w="1818" w:type="pct"/>
            <w:noWrap/>
            <w:hideMark/>
          </w:tcPr>
          <w:p w14:paraId="5231E321" w14:textId="77777777" w:rsidR="00EC3CF2" w:rsidRPr="00716D6E" w:rsidRDefault="00EC3CF2" w:rsidP="00A90165">
            <w:pPr>
              <w:rPr>
                <w:rFonts w:ascii="Arial Narrow" w:hAnsi="Arial Narrow" w:cs="Calibri"/>
                <w:i/>
                <w:sz w:val="20"/>
              </w:rPr>
            </w:pPr>
            <w:r>
              <w:rPr>
                <w:rFonts w:ascii="Arial Narrow" w:hAnsi="Arial Narrow" w:cs="Calibri"/>
                <w:sz w:val="20"/>
              </w:rPr>
              <w:t>EMR without listing</w:t>
            </w:r>
            <w:r>
              <w:rPr>
                <w:rFonts w:ascii="Arial Narrow" w:hAnsi="Arial Narrow" w:cs="Calibri"/>
                <w:i/>
                <w:sz w:val="20"/>
                <w:vertAlign w:val="superscript"/>
              </w:rPr>
              <w:t>b</w:t>
            </w:r>
          </w:p>
        </w:tc>
        <w:tc>
          <w:tcPr>
            <w:tcW w:w="636" w:type="pct"/>
            <w:noWrap/>
            <w:hideMark/>
          </w:tcPr>
          <w:p w14:paraId="5EE35BC7" w14:textId="77777777" w:rsidR="00EC3CF2" w:rsidRPr="002644CE" w:rsidRDefault="00EC3CF2" w:rsidP="00A90165">
            <w:pPr>
              <w:jc w:val="center"/>
              <w:rPr>
                <w:rFonts w:ascii="Arial Narrow" w:hAnsi="Arial Narrow" w:cs="Calibri"/>
                <w:color w:val="000000"/>
                <w:sz w:val="20"/>
              </w:rPr>
            </w:pPr>
            <w:r w:rsidRPr="0099779A">
              <w:rPr>
                <w:rFonts w:ascii="Arial Narrow" w:hAnsi="Arial Narrow" w:cs="Calibri"/>
                <w:color w:val="000000"/>
                <w:sz w:val="20"/>
              </w:rPr>
              <w:t xml:space="preserve">2,423,410 </w:t>
            </w:r>
          </w:p>
        </w:tc>
        <w:tc>
          <w:tcPr>
            <w:tcW w:w="636" w:type="pct"/>
            <w:noWrap/>
            <w:hideMark/>
          </w:tcPr>
          <w:p w14:paraId="5344C59F" w14:textId="77777777" w:rsidR="00EC3CF2" w:rsidRPr="003C2957" w:rsidRDefault="00EC3CF2" w:rsidP="00A90165">
            <w:pPr>
              <w:jc w:val="center"/>
              <w:rPr>
                <w:rFonts w:ascii="Arial Narrow" w:hAnsi="Arial Narrow" w:cs="Calibri"/>
                <w:color w:val="000000"/>
                <w:sz w:val="20"/>
              </w:rPr>
            </w:pPr>
            <w:r w:rsidRPr="00C655CE">
              <w:rPr>
                <w:rFonts w:ascii="Arial Narrow" w:hAnsi="Arial Narrow" w:cs="Calibri"/>
                <w:color w:val="000000"/>
                <w:sz w:val="20"/>
              </w:rPr>
              <w:t xml:space="preserve">2,542,491 </w:t>
            </w:r>
          </w:p>
        </w:tc>
        <w:tc>
          <w:tcPr>
            <w:tcW w:w="636" w:type="pct"/>
            <w:noWrap/>
            <w:hideMark/>
          </w:tcPr>
          <w:p w14:paraId="105E46EC" w14:textId="77777777" w:rsidR="00EC3CF2" w:rsidRPr="00D606A2" w:rsidRDefault="00EC3CF2" w:rsidP="00A90165">
            <w:pPr>
              <w:jc w:val="center"/>
              <w:rPr>
                <w:rFonts w:ascii="Arial Narrow" w:hAnsi="Arial Narrow" w:cs="Calibri"/>
                <w:color w:val="000000"/>
                <w:sz w:val="20"/>
              </w:rPr>
            </w:pPr>
            <w:r w:rsidRPr="0043228F">
              <w:rPr>
                <w:rFonts w:ascii="Arial Narrow" w:hAnsi="Arial Narrow" w:cs="Calibri"/>
                <w:color w:val="000000"/>
                <w:sz w:val="20"/>
              </w:rPr>
              <w:t xml:space="preserve">2,661,573 </w:t>
            </w:r>
          </w:p>
        </w:tc>
        <w:tc>
          <w:tcPr>
            <w:tcW w:w="637" w:type="pct"/>
            <w:noWrap/>
            <w:hideMark/>
          </w:tcPr>
          <w:p w14:paraId="0BD37D44" w14:textId="77777777" w:rsidR="00EC3CF2" w:rsidRPr="00E17F8F" w:rsidRDefault="00EC3CF2" w:rsidP="00A90165">
            <w:pPr>
              <w:jc w:val="center"/>
              <w:rPr>
                <w:rFonts w:ascii="Arial Narrow" w:hAnsi="Arial Narrow" w:cs="Calibri"/>
                <w:color w:val="000000"/>
                <w:sz w:val="20"/>
              </w:rPr>
            </w:pPr>
            <w:r w:rsidRPr="00E17F8F">
              <w:rPr>
                <w:rFonts w:ascii="Arial Narrow" w:hAnsi="Arial Narrow" w:cs="Calibri"/>
                <w:color w:val="000000"/>
                <w:sz w:val="20"/>
              </w:rPr>
              <w:t xml:space="preserve">2,780,654 </w:t>
            </w:r>
          </w:p>
        </w:tc>
        <w:tc>
          <w:tcPr>
            <w:tcW w:w="637" w:type="pct"/>
            <w:noWrap/>
            <w:hideMark/>
          </w:tcPr>
          <w:p w14:paraId="4B794FA7" w14:textId="77777777" w:rsidR="00EC3CF2" w:rsidRPr="00D42755" w:rsidRDefault="00EC3CF2" w:rsidP="00A90165">
            <w:pPr>
              <w:jc w:val="center"/>
              <w:rPr>
                <w:rFonts w:ascii="Arial Narrow" w:hAnsi="Arial Narrow" w:cs="Calibri"/>
                <w:color w:val="000000"/>
                <w:sz w:val="20"/>
              </w:rPr>
            </w:pPr>
            <w:r w:rsidRPr="00ED5D10">
              <w:rPr>
                <w:rFonts w:ascii="Arial Narrow" w:hAnsi="Arial Narrow" w:cs="Calibri"/>
                <w:color w:val="000000"/>
                <w:sz w:val="20"/>
              </w:rPr>
              <w:t xml:space="preserve">2,899,736 </w:t>
            </w:r>
          </w:p>
        </w:tc>
      </w:tr>
      <w:tr w:rsidR="00EA486E" w:rsidRPr="00F12A05" w14:paraId="37B12793" w14:textId="77777777" w:rsidTr="008D5FAC">
        <w:trPr>
          <w:trHeight w:val="300"/>
        </w:trPr>
        <w:tc>
          <w:tcPr>
            <w:tcW w:w="1818" w:type="pct"/>
            <w:noWrap/>
            <w:hideMark/>
          </w:tcPr>
          <w:p w14:paraId="5872C262" w14:textId="77777777" w:rsidR="00EA486E" w:rsidRPr="0099779A" w:rsidRDefault="00EA486E" w:rsidP="00EA486E">
            <w:pPr>
              <w:rPr>
                <w:rFonts w:ascii="Arial Narrow" w:hAnsi="Arial Narrow" w:cs="Calibri"/>
                <w:b/>
                <w:bCs/>
                <w:sz w:val="20"/>
              </w:rPr>
            </w:pPr>
            <w:r w:rsidRPr="0099779A">
              <w:rPr>
                <w:rFonts w:ascii="Arial Narrow" w:hAnsi="Arial Narrow" w:cs="Calibri"/>
                <w:b/>
                <w:bCs/>
                <w:sz w:val="20"/>
              </w:rPr>
              <w:t>Subtotal</w:t>
            </w:r>
          </w:p>
        </w:tc>
        <w:tc>
          <w:tcPr>
            <w:tcW w:w="636" w:type="pct"/>
            <w:noWrap/>
            <w:hideMark/>
          </w:tcPr>
          <w:p w14:paraId="45980431" w14:textId="0BF4A6A8" w:rsidR="00EA486E" w:rsidRPr="00EA486E" w:rsidRDefault="00EA486E" w:rsidP="00EA486E">
            <w:pPr>
              <w:jc w:val="center"/>
              <w:rPr>
                <w:rFonts w:ascii="Arial Narrow" w:hAnsi="Arial Narrow" w:cs="Calibri"/>
                <w:bCs/>
                <w:i/>
                <w:color w:val="000000"/>
                <w:sz w:val="20"/>
              </w:rPr>
            </w:pPr>
            <w:r w:rsidRPr="00EA486E">
              <w:rPr>
                <w:rFonts w:ascii="Arial Narrow" w:hAnsi="Arial Narrow" w:cs="Calibri"/>
                <w:bCs/>
                <w:i/>
                <w:color w:val="000000"/>
                <w:sz w:val="20"/>
              </w:rPr>
              <w:t xml:space="preserve">3,546,291 </w:t>
            </w:r>
          </w:p>
        </w:tc>
        <w:tc>
          <w:tcPr>
            <w:tcW w:w="636" w:type="pct"/>
            <w:noWrap/>
            <w:hideMark/>
          </w:tcPr>
          <w:p w14:paraId="73E5966D" w14:textId="74D22B5C" w:rsidR="00EA486E" w:rsidRPr="00EA486E" w:rsidRDefault="00EA486E" w:rsidP="00EA486E">
            <w:pPr>
              <w:jc w:val="center"/>
              <w:rPr>
                <w:rFonts w:ascii="Arial Narrow" w:hAnsi="Arial Narrow" w:cs="Calibri"/>
                <w:bCs/>
                <w:i/>
                <w:color w:val="000000"/>
                <w:sz w:val="20"/>
              </w:rPr>
            </w:pPr>
            <w:r w:rsidRPr="00EA486E">
              <w:rPr>
                <w:rFonts w:ascii="Arial Narrow" w:hAnsi="Arial Narrow" w:cs="Calibri"/>
                <w:bCs/>
                <w:i/>
                <w:color w:val="000000"/>
                <w:sz w:val="20"/>
              </w:rPr>
              <w:t xml:space="preserve">3,720,549 </w:t>
            </w:r>
          </w:p>
        </w:tc>
        <w:tc>
          <w:tcPr>
            <w:tcW w:w="636" w:type="pct"/>
            <w:noWrap/>
            <w:hideMark/>
          </w:tcPr>
          <w:p w14:paraId="49C8D081" w14:textId="623CB91E" w:rsidR="00EA486E" w:rsidRPr="00EA486E" w:rsidRDefault="00EA486E" w:rsidP="00EA486E">
            <w:pPr>
              <w:jc w:val="center"/>
              <w:rPr>
                <w:rFonts w:ascii="Arial Narrow" w:hAnsi="Arial Narrow" w:cs="Calibri"/>
                <w:bCs/>
                <w:i/>
                <w:color w:val="000000"/>
                <w:sz w:val="20"/>
              </w:rPr>
            </w:pPr>
            <w:r w:rsidRPr="00EA486E">
              <w:rPr>
                <w:rFonts w:ascii="Arial Narrow" w:hAnsi="Arial Narrow" w:cs="Calibri"/>
                <w:bCs/>
                <w:i/>
                <w:color w:val="000000"/>
                <w:sz w:val="20"/>
              </w:rPr>
              <w:t xml:space="preserve">3,894,807 </w:t>
            </w:r>
          </w:p>
        </w:tc>
        <w:tc>
          <w:tcPr>
            <w:tcW w:w="637" w:type="pct"/>
            <w:noWrap/>
            <w:hideMark/>
          </w:tcPr>
          <w:p w14:paraId="37F3B6E9" w14:textId="01667639" w:rsidR="00EA486E" w:rsidRPr="00EA486E" w:rsidRDefault="00EA486E" w:rsidP="00EA486E">
            <w:pPr>
              <w:jc w:val="center"/>
              <w:rPr>
                <w:rFonts w:ascii="Arial Narrow" w:hAnsi="Arial Narrow" w:cs="Calibri"/>
                <w:bCs/>
                <w:i/>
                <w:color w:val="000000"/>
                <w:sz w:val="20"/>
              </w:rPr>
            </w:pPr>
            <w:r w:rsidRPr="00EA486E">
              <w:rPr>
                <w:rFonts w:ascii="Arial Narrow" w:hAnsi="Arial Narrow" w:cs="Calibri"/>
                <w:bCs/>
                <w:i/>
                <w:color w:val="000000"/>
                <w:sz w:val="20"/>
              </w:rPr>
              <w:t xml:space="preserve">4,069,064 </w:t>
            </w:r>
          </w:p>
        </w:tc>
        <w:tc>
          <w:tcPr>
            <w:tcW w:w="637" w:type="pct"/>
            <w:noWrap/>
            <w:hideMark/>
          </w:tcPr>
          <w:p w14:paraId="1BBCDE84" w14:textId="6205E371" w:rsidR="00EA486E" w:rsidRPr="00EA486E" w:rsidRDefault="00EA486E" w:rsidP="00EA486E">
            <w:pPr>
              <w:jc w:val="center"/>
              <w:rPr>
                <w:rFonts w:ascii="Arial Narrow" w:hAnsi="Arial Narrow" w:cs="Calibri"/>
                <w:bCs/>
                <w:i/>
                <w:color w:val="000000"/>
                <w:sz w:val="20"/>
              </w:rPr>
            </w:pPr>
            <w:r w:rsidRPr="00EA486E">
              <w:rPr>
                <w:rFonts w:ascii="Arial Narrow" w:hAnsi="Arial Narrow" w:cs="Calibri"/>
                <w:bCs/>
                <w:i/>
                <w:color w:val="000000"/>
                <w:sz w:val="20"/>
              </w:rPr>
              <w:t xml:space="preserve">4,243,322 </w:t>
            </w:r>
          </w:p>
        </w:tc>
      </w:tr>
      <w:tr w:rsidR="00EC3CF2" w:rsidRPr="00F12A05" w14:paraId="74CE411F" w14:textId="77777777" w:rsidTr="008D5FAC">
        <w:trPr>
          <w:trHeight w:val="255"/>
        </w:trPr>
        <w:tc>
          <w:tcPr>
            <w:tcW w:w="1818" w:type="pct"/>
            <w:shd w:val="clear" w:color="auto" w:fill="D9D9D9" w:themeFill="background1" w:themeFillShade="D9"/>
            <w:noWrap/>
          </w:tcPr>
          <w:p w14:paraId="22480008" w14:textId="77777777" w:rsidR="00EC3CF2" w:rsidRPr="00F12A05" w:rsidRDefault="00EC3CF2" w:rsidP="00A90165">
            <w:pPr>
              <w:rPr>
                <w:rFonts w:ascii="Arial Narrow" w:hAnsi="Arial Narrow" w:cs="Calibri"/>
                <w:sz w:val="20"/>
              </w:rPr>
            </w:pPr>
            <w:r>
              <w:rPr>
                <w:rFonts w:ascii="Arial Narrow" w:hAnsi="Arial Narrow" w:cs="Calibri"/>
                <w:b/>
                <w:bCs/>
                <w:color w:val="000000"/>
                <w:sz w:val="20"/>
              </w:rPr>
              <w:t xml:space="preserve">State Hospital Costs </w:t>
            </w:r>
            <w:r w:rsidRPr="004D5ABA">
              <w:rPr>
                <w:rFonts w:ascii="Arial Narrow" w:hAnsi="Arial Narrow" w:cs="Calibri"/>
                <w:b/>
                <w:bCs/>
                <w:i/>
                <w:color w:val="000000"/>
                <w:sz w:val="20"/>
              </w:rPr>
              <w:t>(public patients)</w:t>
            </w:r>
          </w:p>
        </w:tc>
        <w:tc>
          <w:tcPr>
            <w:tcW w:w="636" w:type="pct"/>
            <w:shd w:val="clear" w:color="auto" w:fill="D9D9D9" w:themeFill="background1" w:themeFillShade="D9"/>
            <w:noWrap/>
          </w:tcPr>
          <w:p w14:paraId="3F35ED47" w14:textId="77777777" w:rsidR="00EC3CF2" w:rsidRPr="00F12A05" w:rsidRDefault="00EC3CF2" w:rsidP="00A90165">
            <w:pPr>
              <w:jc w:val="center"/>
              <w:rPr>
                <w:rFonts w:ascii="Arial Narrow" w:hAnsi="Arial Narrow" w:cs="Calibri"/>
                <w:color w:val="000000"/>
                <w:sz w:val="20"/>
              </w:rPr>
            </w:pPr>
            <w:r w:rsidRPr="0099779A">
              <w:rPr>
                <w:rFonts w:ascii="Arial Narrow" w:hAnsi="Arial Narrow" w:cs="Calibri"/>
                <w:b/>
                <w:bCs/>
                <w:color w:val="000000"/>
                <w:sz w:val="20"/>
              </w:rPr>
              <w:t> </w:t>
            </w:r>
          </w:p>
        </w:tc>
        <w:tc>
          <w:tcPr>
            <w:tcW w:w="636" w:type="pct"/>
            <w:shd w:val="clear" w:color="auto" w:fill="D9D9D9" w:themeFill="background1" w:themeFillShade="D9"/>
            <w:noWrap/>
          </w:tcPr>
          <w:p w14:paraId="12DC8361" w14:textId="77777777" w:rsidR="00EC3CF2" w:rsidRPr="00C655CE" w:rsidRDefault="00EC3CF2" w:rsidP="00A90165">
            <w:pPr>
              <w:jc w:val="center"/>
              <w:rPr>
                <w:rFonts w:ascii="Arial Narrow" w:hAnsi="Arial Narrow" w:cs="Calibri"/>
                <w:color w:val="000000"/>
                <w:sz w:val="20"/>
              </w:rPr>
            </w:pPr>
            <w:r w:rsidRPr="002644CE">
              <w:rPr>
                <w:rFonts w:ascii="Arial Narrow" w:hAnsi="Arial Narrow" w:cs="Calibri"/>
                <w:b/>
                <w:bCs/>
                <w:color w:val="000000"/>
                <w:sz w:val="20"/>
              </w:rPr>
              <w:t> </w:t>
            </w:r>
          </w:p>
        </w:tc>
        <w:tc>
          <w:tcPr>
            <w:tcW w:w="636" w:type="pct"/>
            <w:shd w:val="clear" w:color="auto" w:fill="D9D9D9" w:themeFill="background1" w:themeFillShade="D9"/>
            <w:noWrap/>
          </w:tcPr>
          <w:p w14:paraId="30A8D7C3" w14:textId="77777777" w:rsidR="00EC3CF2" w:rsidRPr="0043228F" w:rsidRDefault="00EC3CF2" w:rsidP="00A90165">
            <w:pPr>
              <w:jc w:val="center"/>
              <w:rPr>
                <w:rFonts w:ascii="Arial Narrow" w:hAnsi="Arial Narrow" w:cs="Calibri"/>
                <w:color w:val="000000"/>
                <w:sz w:val="20"/>
              </w:rPr>
            </w:pPr>
            <w:r w:rsidRPr="00C655CE">
              <w:rPr>
                <w:rFonts w:ascii="Arial Narrow" w:hAnsi="Arial Narrow" w:cs="Calibri"/>
                <w:b/>
                <w:bCs/>
                <w:color w:val="000000"/>
                <w:sz w:val="20"/>
              </w:rPr>
              <w:t> </w:t>
            </w:r>
          </w:p>
        </w:tc>
        <w:tc>
          <w:tcPr>
            <w:tcW w:w="637" w:type="pct"/>
            <w:shd w:val="clear" w:color="auto" w:fill="D9D9D9" w:themeFill="background1" w:themeFillShade="D9"/>
            <w:noWrap/>
          </w:tcPr>
          <w:p w14:paraId="586A1E2B" w14:textId="77777777" w:rsidR="00EC3CF2" w:rsidRPr="00E17F8F" w:rsidRDefault="00EC3CF2" w:rsidP="00A90165">
            <w:pPr>
              <w:jc w:val="center"/>
              <w:rPr>
                <w:rFonts w:ascii="Arial Narrow" w:hAnsi="Arial Narrow" w:cs="Calibri"/>
                <w:color w:val="000000"/>
                <w:sz w:val="20"/>
              </w:rPr>
            </w:pPr>
            <w:r w:rsidRPr="003C2957">
              <w:rPr>
                <w:rFonts w:ascii="Arial Narrow" w:hAnsi="Arial Narrow" w:cs="Calibri"/>
                <w:b/>
                <w:bCs/>
                <w:color w:val="000000"/>
                <w:sz w:val="20"/>
              </w:rPr>
              <w:t> </w:t>
            </w:r>
          </w:p>
        </w:tc>
        <w:tc>
          <w:tcPr>
            <w:tcW w:w="637" w:type="pct"/>
            <w:shd w:val="clear" w:color="auto" w:fill="D9D9D9" w:themeFill="background1" w:themeFillShade="D9"/>
            <w:noWrap/>
          </w:tcPr>
          <w:p w14:paraId="7A1438A6" w14:textId="77777777" w:rsidR="00EC3CF2" w:rsidRPr="00E17F8F" w:rsidRDefault="00EC3CF2" w:rsidP="00A90165">
            <w:pPr>
              <w:jc w:val="center"/>
              <w:rPr>
                <w:rFonts w:ascii="Arial Narrow" w:hAnsi="Arial Narrow" w:cs="Calibri"/>
                <w:color w:val="000000"/>
                <w:sz w:val="20"/>
              </w:rPr>
            </w:pPr>
            <w:r w:rsidRPr="0043228F">
              <w:rPr>
                <w:rFonts w:ascii="Arial Narrow" w:hAnsi="Arial Narrow" w:cs="Calibri"/>
                <w:b/>
                <w:bCs/>
                <w:color w:val="000000"/>
                <w:sz w:val="20"/>
              </w:rPr>
              <w:t> </w:t>
            </w:r>
          </w:p>
        </w:tc>
      </w:tr>
      <w:tr w:rsidR="00EC3CF2" w:rsidRPr="00F12A05" w14:paraId="1BE55F85" w14:textId="77777777" w:rsidTr="008D5FAC">
        <w:trPr>
          <w:trHeight w:val="255"/>
        </w:trPr>
        <w:tc>
          <w:tcPr>
            <w:tcW w:w="1818" w:type="pct"/>
            <w:noWrap/>
            <w:hideMark/>
          </w:tcPr>
          <w:p w14:paraId="27A5362D" w14:textId="77777777" w:rsidR="00EC3CF2" w:rsidRPr="00D64EDD" w:rsidRDefault="00EC3CF2" w:rsidP="00A90165">
            <w:pPr>
              <w:rPr>
                <w:rFonts w:ascii="Arial Narrow" w:hAnsi="Arial Narrow" w:cs="Calibri"/>
                <w:sz w:val="20"/>
                <w:vertAlign w:val="superscript"/>
              </w:rPr>
            </w:pPr>
            <w:r>
              <w:rPr>
                <w:rFonts w:ascii="Arial Narrow" w:hAnsi="Arial Narrow" w:cs="Calibri"/>
                <w:sz w:val="20"/>
              </w:rPr>
              <w:t>EMR with listing</w:t>
            </w:r>
            <w:r w:rsidRPr="00D64EDD">
              <w:rPr>
                <w:rFonts w:ascii="Arial Narrow" w:hAnsi="Arial Narrow" w:cs="Calibri"/>
                <w:i/>
                <w:sz w:val="20"/>
                <w:vertAlign w:val="superscript"/>
              </w:rPr>
              <w:t>c</w:t>
            </w:r>
          </w:p>
        </w:tc>
        <w:tc>
          <w:tcPr>
            <w:tcW w:w="636" w:type="pct"/>
            <w:noWrap/>
            <w:hideMark/>
          </w:tcPr>
          <w:p w14:paraId="081C3631" w14:textId="77777777" w:rsidR="00EC3CF2" w:rsidRPr="002644CE" w:rsidRDefault="00EC3CF2" w:rsidP="00A90165">
            <w:pPr>
              <w:jc w:val="center"/>
              <w:rPr>
                <w:rFonts w:ascii="Arial Narrow" w:hAnsi="Arial Narrow" w:cs="Calibri"/>
                <w:color w:val="000000"/>
                <w:sz w:val="20"/>
              </w:rPr>
            </w:pPr>
            <w:r w:rsidRPr="00F12A05">
              <w:rPr>
                <w:rFonts w:ascii="Arial Narrow" w:hAnsi="Arial Narrow" w:cs="Calibri"/>
                <w:color w:val="000000"/>
                <w:sz w:val="20"/>
              </w:rPr>
              <w:t xml:space="preserve">9,695,853 </w:t>
            </w:r>
          </w:p>
        </w:tc>
        <w:tc>
          <w:tcPr>
            <w:tcW w:w="636" w:type="pct"/>
            <w:noWrap/>
            <w:hideMark/>
          </w:tcPr>
          <w:p w14:paraId="3D57A11C" w14:textId="77777777" w:rsidR="00EC3CF2" w:rsidRPr="003C2957" w:rsidRDefault="00EC3CF2" w:rsidP="00A90165">
            <w:pPr>
              <w:jc w:val="center"/>
              <w:rPr>
                <w:rFonts w:ascii="Arial Narrow" w:hAnsi="Arial Narrow" w:cs="Calibri"/>
                <w:color w:val="000000"/>
                <w:sz w:val="20"/>
              </w:rPr>
            </w:pPr>
            <w:r w:rsidRPr="00C655CE">
              <w:rPr>
                <w:rFonts w:ascii="Arial Narrow" w:hAnsi="Arial Narrow" w:cs="Calibri"/>
                <w:color w:val="000000"/>
                <w:sz w:val="20"/>
              </w:rPr>
              <w:t xml:space="preserve">10,172,288 </w:t>
            </w:r>
          </w:p>
        </w:tc>
        <w:tc>
          <w:tcPr>
            <w:tcW w:w="636" w:type="pct"/>
            <w:noWrap/>
            <w:hideMark/>
          </w:tcPr>
          <w:p w14:paraId="65CC888F" w14:textId="77777777" w:rsidR="00EC3CF2" w:rsidRPr="00D606A2" w:rsidRDefault="00EC3CF2" w:rsidP="00A90165">
            <w:pPr>
              <w:jc w:val="center"/>
              <w:rPr>
                <w:rFonts w:ascii="Arial Narrow" w:hAnsi="Arial Narrow" w:cs="Calibri"/>
                <w:color w:val="000000"/>
                <w:sz w:val="20"/>
              </w:rPr>
            </w:pPr>
            <w:r w:rsidRPr="0043228F">
              <w:rPr>
                <w:rFonts w:ascii="Arial Narrow" w:hAnsi="Arial Narrow" w:cs="Calibri"/>
                <w:color w:val="000000"/>
                <w:sz w:val="20"/>
              </w:rPr>
              <w:t xml:space="preserve">10,648,722 </w:t>
            </w:r>
          </w:p>
        </w:tc>
        <w:tc>
          <w:tcPr>
            <w:tcW w:w="637" w:type="pct"/>
            <w:noWrap/>
            <w:hideMark/>
          </w:tcPr>
          <w:p w14:paraId="729FCA89" w14:textId="77777777" w:rsidR="00EC3CF2" w:rsidRPr="00E17F8F" w:rsidRDefault="00EC3CF2" w:rsidP="00A90165">
            <w:pPr>
              <w:jc w:val="center"/>
              <w:rPr>
                <w:rFonts w:ascii="Arial Narrow" w:hAnsi="Arial Narrow" w:cs="Calibri"/>
                <w:color w:val="000000"/>
                <w:sz w:val="20"/>
              </w:rPr>
            </w:pPr>
            <w:r w:rsidRPr="00E17F8F">
              <w:rPr>
                <w:rFonts w:ascii="Arial Narrow" w:hAnsi="Arial Narrow" w:cs="Calibri"/>
                <w:color w:val="000000"/>
                <w:sz w:val="20"/>
              </w:rPr>
              <w:t xml:space="preserve">11,125,156 </w:t>
            </w:r>
          </w:p>
        </w:tc>
        <w:tc>
          <w:tcPr>
            <w:tcW w:w="637" w:type="pct"/>
            <w:noWrap/>
            <w:hideMark/>
          </w:tcPr>
          <w:p w14:paraId="7729DBE2" w14:textId="77777777" w:rsidR="00EC3CF2" w:rsidRPr="00E17F8F" w:rsidRDefault="00EC3CF2" w:rsidP="00A90165">
            <w:pPr>
              <w:jc w:val="center"/>
              <w:rPr>
                <w:rFonts w:ascii="Arial Narrow" w:hAnsi="Arial Narrow" w:cs="Calibri"/>
                <w:color w:val="000000"/>
                <w:sz w:val="20"/>
              </w:rPr>
            </w:pPr>
            <w:r w:rsidRPr="00E17F8F">
              <w:rPr>
                <w:rFonts w:ascii="Arial Narrow" w:hAnsi="Arial Narrow" w:cs="Calibri"/>
                <w:color w:val="000000"/>
                <w:sz w:val="20"/>
              </w:rPr>
              <w:t xml:space="preserve">11,601,591 </w:t>
            </w:r>
          </w:p>
        </w:tc>
      </w:tr>
      <w:tr w:rsidR="00EC3CF2" w:rsidRPr="00F12A05" w14:paraId="0EE06734" w14:textId="77777777" w:rsidTr="008D5FAC">
        <w:trPr>
          <w:trHeight w:val="255"/>
        </w:trPr>
        <w:tc>
          <w:tcPr>
            <w:tcW w:w="1818" w:type="pct"/>
            <w:noWrap/>
            <w:hideMark/>
          </w:tcPr>
          <w:p w14:paraId="498E32E1" w14:textId="77777777" w:rsidR="00EC3CF2" w:rsidRPr="00D64EDD" w:rsidRDefault="00EC3CF2" w:rsidP="00A90165">
            <w:pPr>
              <w:rPr>
                <w:rFonts w:ascii="Arial Narrow" w:hAnsi="Arial Narrow" w:cs="Calibri"/>
                <w:i/>
                <w:sz w:val="20"/>
                <w:vertAlign w:val="superscript"/>
              </w:rPr>
            </w:pPr>
            <w:r>
              <w:rPr>
                <w:rFonts w:ascii="Arial Narrow" w:hAnsi="Arial Narrow" w:cs="Calibri"/>
                <w:sz w:val="20"/>
              </w:rPr>
              <w:t>EMR without listing</w:t>
            </w:r>
            <w:r w:rsidRPr="00D64EDD">
              <w:rPr>
                <w:rFonts w:ascii="Arial Narrow" w:hAnsi="Arial Narrow" w:cs="Calibri"/>
                <w:i/>
                <w:sz w:val="20"/>
                <w:vertAlign w:val="superscript"/>
              </w:rPr>
              <w:t>c</w:t>
            </w:r>
          </w:p>
        </w:tc>
        <w:tc>
          <w:tcPr>
            <w:tcW w:w="636" w:type="pct"/>
            <w:noWrap/>
            <w:hideMark/>
          </w:tcPr>
          <w:p w14:paraId="6F42B91A" w14:textId="77777777" w:rsidR="00EC3CF2" w:rsidRPr="002644CE" w:rsidRDefault="00EC3CF2" w:rsidP="00A90165">
            <w:pPr>
              <w:jc w:val="center"/>
              <w:rPr>
                <w:rFonts w:ascii="Arial Narrow" w:hAnsi="Arial Narrow" w:cs="Calibri"/>
                <w:color w:val="000000"/>
                <w:sz w:val="20"/>
              </w:rPr>
            </w:pPr>
            <w:r w:rsidRPr="00F12A05">
              <w:rPr>
                <w:rFonts w:ascii="Arial Narrow" w:hAnsi="Arial Narrow" w:cs="Calibri"/>
                <w:color w:val="000000"/>
                <w:sz w:val="20"/>
              </w:rPr>
              <w:t xml:space="preserve">13,574,194 </w:t>
            </w:r>
          </w:p>
        </w:tc>
        <w:tc>
          <w:tcPr>
            <w:tcW w:w="636" w:type="pct"/>
            <w:noWrap/>
            <w:hideMark/>
          </w:tcPr>
          <w:p w14:paraId="6DC412B4" w14:textId="77777777" w:rsidR="00EC3CF2" w:rsidRPr="003C2957" w:rsidRDefault="00EC3CF2" w:rsidP="00A90165">
            <w:pPr>
              <w:jc w:val="center"/>
              <w:rPr>
                <w:rFonts w:ascii="Arial Narrow" w:hAnsi="Arial Narrow" w:cs="Calibri"/>
                <w:color w:val="000000"/>
                <w:sz w:val="20"/>
              </w:rPr>
            </w:pPr>
            <w:r w:rsidRPr="00C655CE">
              <w:rPr>
                <w:rFonts w:ascii="Arial Narrow" w:hAnsi="Arial Narrow" w:cs="Calibri"/>
                <w:color w:val="000000"/>
                <w:sz w:val="20"/>
              </w:rPr>
              <w:t xml:space="preserve">14,241,203 </w:t>
            </w:r>
          </w:p>
        </w:tc>
        <w:tc>
          <w:tcPr>
            <w:tcW w:w="636" w:type="pct"/>
            <w:noWrap/>
            <w:hideMark/>
          </w:tcPr>
          <w:p w14:paraId="160E71C3" w14:textId="77777777" w:rsidR="00EC3CF2" w:rsidRPr="00D606A2" w:rsidRDefault="00EC3CF2" w:rsidP="00A90165">
            <w:pPr>
              <w:jc w:val="center"/>
              <w:rPr>
                <w:rFonts w:ascii="Arial Narrow" w:hAnsi="Arial Narrow" w:cs="Calibri"/>
                <w:color w:val="000000"/>
                <w:sz w:val="20"/>
              </w:rPr>
            </w:pPr>
            <w:r w:rsidRPr="0043228F">
              <w:rPr>
                <w:rFonts w:ascii="Arial Narrow" w:hAnsi="Arial Narrow" w:cs="Calibri"/>
                <w:color w:val="000000"/>
                <w:sz w:val="20"/>
              </w:rPr>
              <w:t xml:space="preserve">14,908,211 </w:t>
            </w:r>
          </w:p>
        </w:tc>
        <w:tc>
          <w:tcPr>
            <w:tcW w:w="637" w:type="pct"/>
            <w:noWrap/>
            <w:hideMark/>
          </w:tcPr>
          <w:p w14:paraId="432F0EBF" w14:textId="77777777" w:rsidR="00EC3CF2" w:rsidRPr="00E17F8F" w:rsidRDefault="00EC3CF2" w:rsidP="00A90165">
            <w:pPr>
              <w:jc w:val="center"/>
              <w:rPr>
                <w:rFonts w:ascii="Arial Narrow" w:hAnsi="Arial Narrow" w:cs="Calibri"/>
                <w:color w:val="000000"/>
                <w:sz w:val="20"/>
              </w:rPr>
            </w:pPr>
            <w:r w:rsidRPr="00E17F8F">
              <w:rPr>
                <w:rFonts w:ascii="Arial Narrow" w:hAnsi="Arial Narrow" w:cs="Calibri"/>
                <w:color w:val="000000"/>
                <w:sz w:val="20"/>
              </w:rPr>
              <w:t xml:space="preserve">15,575,219 </w:t>
            </w:r>
          </w:p>
        </w:tc>
        <w:tc>
          <w:tcPr>
            <w:tcW w:w="637" w:type="pct"/>
            <w:noWrap/>
            <w:hideMark/>
          </w:tcPr>
          <w:p w14:paraId="7F55851B" w14:textId="77777777" w:rsidR="00EC3CF2" w:rsidRPr="00E17F8F" w:rsidRDefault="00EC3CF2" w:rsidP="00A90165">
            <w:pPr>
              <w:jc w:val="center"/>
              <w:rPr>
                <w:rFonts w:ascii="Arial Narrow" w:hAnsi="Arial Narrow" w:cs="Calibri"/>
                <w:color w:val="000000"/>
                <w:sz w:val="20"/>
              </w:rPr>
            </w:pPr>
            <w:r w:rsidRPr="00E17F8F">
              <w:rPr>
                <w:rFonts w:ascii="Arial Narrow" w:hAnsi="Arial Narrow" w:cs="Calibri"/>
                <w:color w:val="000000"/>
                <w:sz w:val="20"/>
              </w:rPr>
              <w:t xml:space="preserve">16,242,227 </w:t>
            </w:r>
          </w:p>
        </w:tc>
      </w:tr>
      <w:tr w:rsidR="00EC3CF2" w:rsidRPr="00F12A05" w14:paraId="26F73939" w14:textId="77777777" w:rsidTr="008D5FAC">
        <w:trPr>
          <w:trHeight w:val="300"/>
        </w:trPr>
        <w:tc>
          <w:tcPr>
            <w:tcW w:w="1818" w:type="pct"/>
            <w:noWrap/>
            <w:hideMark/>
          </w:tcPr>
          <w:p w14:paraId="51E3FC3F" w14:textId="77777777" w:rsidR="00EC3CF2" w:rsidRPr="00F12A05" w:rsidRDefault="00EC3CF2" w:rsidP="00A90165">
            <w:pPr>
              <w:rPr>
                <w:rFonts w:ascii="Arial Narrow" w:hAnsi="Arial Narrow" w:cs="Calibri"/>
                <w:b/>
                <w:bCs/>
                <w:sz w:val="20"/>
              </w:rPr>
            </w:pPr>
            <w:r w:rsidRPr="00F12A05">
              <w:rPr>
                <w:rFonts w:ascii="Arial Narrow" w:hAnsi="Arial Narrow" w:cs="Calibri"/>
                <w:b/>
                <w:bCs/>
                <w:sz w:val="20"/>
              </w:rPr>
              <w:t>Subtotal</w:t>
            </w:r>
          </w:p>
        </w:tc>
        <w:tc>
          <w:tcPr>
            <w:tcW w:w="636" w:type="pct"/>
            <w:noWrap/>
            <w:hideMark/>
          </w:tcPr>
          <w:p w14:paraId="3250EC3B" w14:textId="77777777" w:rsidR="00EC3CF2" w:rsidRPr="0099779A" w:rsidRDefault="00EC3CF2" w:rsidP="00A90165">
            <w:pPr>
              <w:jc w:val="center"/>
              <w:rPr>
                <w:rFonts w:ascii="Arial Narrow" w:hAnsi="Arial Narrow" w:cs="Calibri"/>
                <w:b/>
                <w:bCs/>
                <w:color w:val="000000"/>
                <w:sz w:val="20"/>
              </w:rPr>
            </w:pPr>
            <w:r w:rsidRPr="00F12A05">
              <w:rPr>
                <w:rFonts w:ascii="Arial Narrow" w:hAnsi="Arial Narrow" w:cs="Calibri"/>
                <w:b/>
                <w:bCs/>
                <w:color w:val="000000"/>
                <w:sz w:val="20"/>
              </w:rPr>
              <w:t xml:space="preserve">-3,878,341 </w:t>
            </w:r>
          </w:p>
        </w:tc>
        <w:tc>
          <w:tcPr>
            <w:tcW w:w="636" w:type="pct"/>
            <w:noWrap/>
            <w:hideMark/>
          </w:tcPr>
          <w:p w14:paraId="65836A20" w14:textId="77777777" w:rsidR="00EC3CF2" w:rsidRPr="00C655CE" w:rsidRDefault="00EC3CF2" w:rsidP="00A90165">
            <w:pPr>
              <w:jc w:val="center"/>
              <w:rPr>
                <w:rFonts w:ascii="Arial Narrow" w:hAnsi="Arial Narrow" w:cs="Calibri"/>
                <w:b/>
                <w:bCs/>
                <w:color w:val="000000"/>
                <w:sz w:val="20"/>
              </w:rPr>
            </w:pPr>
            <w:r w:rsidRPr="002644CE">
              <w:rPr>
                <w:rFonts w:ascii="Arial Narrow" w:hAnsi="Arial Narrow" w:cs="Calibri"/>
                <w:b/>
                <w:bCs/>
                <w:color w:val="000000"/>
                <w:sz w:val="20"/>
              </w:rPr>
              <w:t xml:space="preserve">-4,068,915 </w:t>
            </w:r>
          </w:p>
        </w:tc>
        <w:tc>
          <w:tcPr>
            <w:tcW w:w="636" w:type="pct"/>
            <w:noWrap/>
            <w:hideMark/>
          </w:tcPr>
          <w:p w14:paraId="7D8B2D88" w14:textId="77777777" w:rsidR="00EC3CF2" w:rsidRPr="0043228F" w:rsidRDefault="00EC3CF2" w:rsidP="00A90165">
            <w:pPr>
              <w:jc w:val="center"/>
              <w:rPr>
                <w:rFonts w:ascii="Arial Narrow" w:hAnsi="Arial Narrow" w:cs="Calibri"/>
                <w:b/>
                <w:bCs/>
                <w:color w:val="000000"/>
                <w:sz w:val="20"/>
              </w:rPr>
            </w:pPr>
            <w:r w:rsidRPr="003C2957">
              <w:rPr>
                <w:rFonts w:ascii="Arial Narrow" w:hAnsi="Arial Narrow" w:cs="Calibri"/>
                <w:b/>
                <w:bCs/>
                <w:color w:val="000000"/>
                <w:sz w:val="20"/>
              </w:rPr>
              <w:t xml:space="preserve">-4,259,489 </w:t>
            </w:r>
          </w:p>
        </w:tc>
        <w:tc>
          <w:tcPr>
            <w:tcW w:w="637" w:type="pct"/>
            <w:noWrap/>
            <w:hideMark/>
          </w:tcPr>
          <w:p w14:paraId="5F5EA76D" w14:textId="77777777" w:rsidR="00EC3CF2" w:rsidRPr="00E17F8F" w:rsidRDefault="00EC3CF2" w:rsidP="00A90165">
            <w:pPr>
              <w:jc w:val="center"/>
              <w:rPr>
                <w:rFonts w:ascii="Arial Narrow" w:hAnsi="Arial Narrow" w:cs="Calibri"/>
                <w:b/>
                <w:bCs/>
                <w:color w:val="000000"/>
                <w:sz w:val="20"/>
              </w:rPr>
            </w:pPr>
            <w:r w:rsidRPr="00D606A2">
              <w:rPr>
                <w:rFonts w:ascii="Arial Narrow" w:hAnsi="Arial Narrow" w:cs="Calibri"/>
                <w:b/>
                <w:bCs/>
                <w:color w:val="000000"/>
                <w:sz w:val="20"/>
              </w:rPr>
              <w:t xml:space="preserve">-4,450,063 </w:t>
            </w:r>
          </w:p>
        </w:tc>
        <w:tc>
          <w:tcPr>
            <w:tcW w:w="637" w:type="pct"/>
            <w:noWrap/>
            <w:hideMark/>
          </w:tcPr>
          <w:p w14:paraId="4D49E587" w14:textId="77777777" w:rsidR="00EC3CF2" w:rsidRPr="00E17F8F" w:rsidRDefault="00EC3CF2" w:rsidP="00A90165">
            <w:pPr>
              <w:jc w:val="center"/>
              <w:rPr>
                <w:rFonts w:ascii="Arial Narrow" w:hAnsi="Arial Narrow" w:cs="Calibri"/>
                <w:b/>
                <w:bCs/>
                <w:color w:val="000000"/>
                <w:sz w:val="20"/>
              </w:rPr>
            </w:pPr>
            <w:r w:rsidRPr="00E17F8F">
              <w:rPr>
                <w:rFonts w:ascii="Arial Narrow" w:hAnsi="Arial Narrow" w:cs="Calibri"/>
                <w:b/>
                <w:bCs/>
                <w:color w:val="000000"/>
                <w:sz w:val="20"/>
              </w:rPr>
              <w:t xml:space="preserve">-4,640,636 </w:t>
            </w:r>
          </w:p>
        </w:tc>
      </w:tr>
      <w:tr w:rsidR="00EA486E" w:rsidRPr="00F12A05" w14:paraId="70707EF0" w14:textId="77777777" w:rsidTr="008D5FAC">
        <w:trPr>
          <w:trHeight w:val="70"/>
        </w:trPr>
        <w:tc>
          <w:tcPr>
            <w:tcW w:w="1818" w:type="pct"/>
            <w:noWrap/>
            <w:hideMark/>
          </w:tcPr>
          <w:p w14:paraId="755AF6A0" w14:textId="77777777" w:rsidR="00EA486E" w:rsidRPr="00F12A05" w:rsidRDefault="00EA486E" w:rsidP="00EA486E">
            <w:pPr>
              <w:rPr>
                <w:rFonts w:ascii="Arial Narrow" w:hAnsi="Arial Narrow" w:cs="Calibri"/>
                <w:b/>
                <w:bCs/>
                <w:sz w:val="20"/>
              </w:rPr>
            </w:pPr>
            <w:r w:rsidRPr="00F12A05">
              <w:rPr>
                <w:rFonts w:ascii="Arial Narrow" w:hAnsi="Arial Narrow" w:cs="Calibri"/>
                <w:b/>
                <w:bCs/>
                <w:sz w:val="20"/>
              </w:rPr>
              <w:t>Total MBS and state</w:t>
            </w:r>
          </w:p>
        </w:tc>
        <w:tc>
          <w:tcPr>
            <w:tcW w:w="636" w:type="pct"/>
            <w:noWrap/>
            <w:hideMark/>
          </w:tcPr>
          <w:p w14:paraId="3DB45DCC" w14:textId="1291FFFD" w:rsidR="00EA486E" w:rsidRPr="00EA486E" w:rsidRDefault="00EA486E" w:rsidP="00EA486E">
            <w:pPr>
              <w:jc w:val="center"/>
              <w:rPr>
                <w:rFonts w:ascii="Arial Narrow" w:hAnsi="Arial Narrow" w:cs="Calibri"/>
                <w:bCs/>
                <w:i/>
                <w:color w:val="000000"/>
                <w:sz w:val="20"/>
              </w:rPr>
            </w:pPr>
            <w:r w:rsidRPr="00EA486E">
              <w:rPr>
                <w:rFonts w:ascii="Arial Narrow" w:hAnsi="Arial Narrow" w:cs="Calibri"/>
                <w:bCs/>
                <w:i/>
                <w:color w:val="000000"/>
                <w:sz w:val="20"/>
              </w:rPr>
              <w:t xml:space="preserve">-332,050 </w:t>
            </w:r>
          </w:p>
        </w:tc>
        <w:tc>
          <w:tcPr>
            <w:tcW w:w="636" w:type="pct"/>
            <w:noWrap/>
            <w:hideMark/>
          </w:tcPr>
          <w:p w14:paraId="4B7F36BF" w14:textId="1EAB27E6" w:rsidR="00EA486E" w:rsidRPr="00EA486E" w:rsidRDefault="00EA486E" w:rsidP="00EA486E">
            <w:pPr>
              <w:jc w:val="center"/>
              <w:rPr>
                <w:rFonts w:ascii="Arial Narrow" w:hAnsi="Arial Narrow" w:cs="Calibri"/>
                <w:bCs/>
                <w:i/>
                <w:color w:val="000000"/>
                <w:sz w:val="20"/>
              </w:rPr>
            </w:pPr>
            <w:r w:rsidRPr="00EA486E">
              <w:rPr>
                <w:rFonts w:ascii="Arial Narrow" w:hAnsi="Arial Narrow" w:cs="Calibri"/>
                <w:bCs/>
                <w:i/>
                <w:color w:val="000000"/>
                <w:sz w:val="20"/>
              </w:rPr>
              <w:t xml:space="preserve">-348,366 </w:t>
            </w:r>
          </w:p>
        </w:tc>
        <w:tc>
          <w:tcPr>
            <w:tcW w:w="636" w:type="pct"/>
            <w:noWrap/>
            <w:hideMark/>
          </w:tcPr>
          <w:p w14:paraId="6A641CD8" w14:textId="05EA3522" w:rsidR="00EA486E" w:rsidRPr="00EA486E" w:rsidRDefault="00EA486E" w:rsidP="00EA486E">
            <w:pPr>
              <w:jc w:val="center"/>
              <w:rPr>
                <w:rFonts w:ascii="Arial Narrow" w:hAnsi="Arial Narrow" w:cs="Calibri"/>
                <w:bCs/>
                <w:i/>
                <w:color w:val="000000"/>
                <w:sz w:val="20"/>
              </w:rPr>
            </w:pPr>
            <w:r w:rsidRPr="00EA486E">
              <w:rPr>
                <w:rFonts w:ascii="Arial Narrow" w:hAnsi="Arial Narrow" w:cs="Calibri"/>
                <w:bCs/>
                <w:i/>
                <w:color w:val="000000"/>
                <w:sz w:val="20"/>
              </w:rPr>
              <w:t xml:space="preserve">-364,682 </w:t>
            </w:r>
          </w:p>
        </w:tc>
        <w:tc>
          <w:tcPr>
            <w:tcW w:w="637" w:type="pct"/>
            <w:noWrap/>
            <w:hideMark/>
          </w:tcPr>
          <w:p w14:paraId="1DB3740C" w14:textId="2CBBBED8" w:rsidR="00EA486E" w:rsidRPr="00EA486E" w:rsidRDefault="00EA486E" w:rsidP="00EA486E">
            <w:pPr>
              <w:jc w:val="center"/>
              <w:rPr>
                <w:rFonts w:ascii="Arial Narrow" w:hAnsi="Arial Narrow" w:cs="Calibri"/>
                <w:bCs/>
                <w:i/>
                <w:color w:val="000000"/>
                <w:sz w:val="20"/>
              </w:rPr>
            </w:pPr>
            <w:r w:rsidRPr="00EA486E">
              <w:rPr>
                <w:rFonts w:ascii="Arial Narrow" w:hAnsi="Arial Narrow" w:cs="Calibri"/>
                <w:bCs/>
                <w:i/>
                <w:color w:val="000000"/>
                <w:sz w:val="20"/>
              </w:rPr>
              <w:t xml:space="preserve">-380,999 </w:t>
            </w:r>
          </w:p>
        </w:tc>
        <w:tc>
          <w:tcPr>
            <w:tcW w:w="637" w:type="pct"/>
            <w:noWrap/>
            <w:hideMark/>
          </w:tcPr>
          <w:p w14:paraId="0877A137" w14:textId="2E02A8AF" w:rsidR="00EA486E" w:rsidRPr="00EA486E" w:rsidRDefault="00EA486E" w:rsidP="00EA486E">
            <w:pPr>
              <w:jc w:val="center"/>
              <w:rPr>
                <w:rFonts w:ascii="Arial Narrow" w:hAnsi="Arial Narrow" w:cs="Calibri"/>
                <w:bCs/>
                <w:i/>
                <w:color w:val="000000"/>
                <w:sz w:val="20"/>
              </w:rPr>
            </w:pPr>
            <w:r w:rsidRPr="00EA486E">
              <w:rPr>
                <w:rFonts w:ascii="Arial Narrow" w:hAnsi="Arial Narrow" w:cs="Calibri"/>
                <w:bCs/>
                <w:i/>
                <w:color w:val="000000"/>
                <w:sz w:val="20"/>
              </w:rPr>
              <w:t xml:space="preserve">-397,315 </w:t>
            </w:r>
          </w:p>
        </w:tc>
      </w:tr>
    </w:tbl>
    <w:p w14:paraId="26C2B3BA" w14:textId="77777777" w:rsidR="00EC3CF2" w:rsidRPr="006B3DAD" w:rsidRDefault="00EC3CF2" w:rsidP="00EC3CF2">
      <w:pPr>
        <w:pStyle w:val="Tablenotes"/>
        <w:rPr>
          <w:noProof/>
        </w:rPr>
      </w:pPr>
      <w:r>
        <w:rPr>
          <w:noProof/>
        </w:rPr>
        <w:t xml:space="preserve">Source: </w:t>
      </w:r>
      <w:r w:rsidRPr="007E6331">
        <w:rPr>
          <w:i/>
          <w:noProof/>
        </w:rPr>
        <w:t>Compiled from</w:t>
      </w:r>
      <w:r>
        <w:rPr>
          <w:noProof/>
        </w:rPr>
        <w:t xml:space="preserve"> Table 7, p26; Table 82, p157; and Table 83, pp157-158 of the DCAR</w:t>
      </w:r>
    </w:p>
    <w:p w14:paraId="1675A7D6" w14:textId="77777777" w:rsidR="00EC3CF2" w:rsidRDefault="00EC3CF2" w:rsidP="00EC3CF2">
      <w:pPr>
        <w:pStyle w:val="Tablenotes"/>
        <w:rPr>
          <w:noProof/>
        </w:rPr>
      </w:pPr>
      <w:r w:rsidRPr="00C958FC">
        <w:rPr>
          <w:b/>
          <w:noProof/>
        </w:rPr>
        <w:t>Abbreviations</w:t>
      </w:r>
      <w:r w:rsidRPr="00C958FC">
        <w:rPr>
          <w:noProof/>
        </w:rPr>
        <w:t xml:space="preserve">: EMR = </w:t>
      </w:r>
      <w:r>
        <w:rPr>
          <w:noProof/>
        </w:rPr>
        <w:t>e</w:t>
      </w:r>
      <w:r w:rsidRPr="00C958FC">
        <w:t>ndoscopic mucosal resection,</w:t>
      </w:r>
      <w:r w:rsidRPr="00C958FC">
        <w:rPr>
          <w:noProof/>
        </w:rPr>
        <w:t xml:space="preserve"> MBS</w:t>
      </w:r>
      <w:r>
        <w:rPr>
          <w:noProof/>
        </w:rPr>
        <w:t xml:space="preserve"> = M</w:t>
      </w:r>
      <w:r w:rsidRPr="00C958FC">
        <w:rPr>
          <w:noProof/>
        </w:rPr>
        <w:t xml:space="preserve">edicare </w:t>
      </w:r>
      <w:r>
        <w:rPr>
          <w:noProof/>
        </w:rPr>
        <w:t>B</w:t>
      </w:r>
      <w:r w:rsidRPr="00C958FC">
        <w:rPr>
          <w:noProof/>
        </w:rPr>
        <w:t xml:space="preserve">enefits </w:t>
      </w:r>
      <w:r>
        <w:rPr>
          <w:noProof/>
        </w:rPr>
        <w:t>S</w:t>
      </w:r>
      <w:r w:rsidRPr="00C958FC">
        <w:rPr>
          <w:noProof/>
        </w:rPr>
        <w:t>chedule</w:t>
      </w:r>
    </w:p>
    <w:p w14:paraId="3AB4783C" w14:textId="77777777" w:rsidR="00EC3CF2" w:rsidRDefault="00EC3CF2" w:rsidP="00EC3CF2">
      <w:pPr>
        <w:pStyle w:val="Tablenotes"/>
        <w:rPr>
          <w:i/>
          <w:noProof/>
        </w:rPr>
      </w:pPr>
      <w:r>
        <w:rPr>
          <w:i/>
          <w:noProof/>
          <w:vertAlign w:val="superscript"/>
        </w:rPr>
        <w:t xml:space="preserve">a </w:t>
      </w:r>
      <w:r>
        <w:rPr>
          <w:i/>
          <w:noProof/>
        </w:rPr>
        <w:t>Using 75% rebate, the EMR cost per patient = $1,776.04 (New proposed item component = $1,312.50 ; other components include specialist consultation, pre-anaeathsia consultation, referred consultation, administration of anaesthesia, blood pressure monitroing and colonscopies proposed for EMR = $473.54)</w:t>
      </w:r>
    </w:p>
    <w:p w14:paraId="3875782E" w14:textId="77777777" w:rsidR="00EC3CF2" w:rsidRDefault="00EC3CF2" w:rsidP="00EC3CF2">
      <w:pPr>
        <w:pStyle w:val="Tablenotes"/>
        <w:rPr>
          <w:i/>
          <w:noProof/>
        </w:rPr>
      </w:pPr>
      <w:r>
        <w:rPr>
          <w:i/>
          <w:noProof/>
          <w:vertAlign w:val="superscript"/>
        </w:rPr>
        <w:t xml:space="preserve">b </w:t>
      </w:r>
      <w:r w:rsidRPr="00D64EDD">
        <w:rPr>
          <w:i/>
          <w:noProof/>
        </w:rPr>
        <w:t>Using 75% rebate</w:t>
      </w:r>
      <w:r>
        <w:rPr>
          <w:i/>
          <w:noProof/>
        </w:rPr>
        <w:t>, EMR cost per patient = $821.06 (Current MBS items 32224+32229 component = $357.53; other components include specialist consultation, pre-anaeathsia consultation, referred consultation, administration of anaesthesia, blood pressure monitroing and colonscopies proposed for EMR = $473.54)</w:t>
      </w:r>
    </w:p>
    <w:p w14:paraId="0D904326" w14:textId="027E0052" w:rsidR="00EC3CF2" w:rsidRDefault="00EC3CF2" w:rsidP="00EC3CF2">
      <w:pPr>
        <w:pStyle w:val="Tablenotes"/>
        <w:rPr>
          <w:i/>
          <w:noProof/>
        </w:rPr>
      </w:pPr>
      <w:r>
        <w:rPr>
          <w:i/>
          <w:noProof/>
          <w:vertAlign w:val="superscript"/>
        </w:rPr>
        <w:t xml:space="preserve">c </w:t>
      </w:r>
      <w:r>
        <w:rPr>
          <w:i/>
          <w:noProof/>
        </w:rPr>
        <w:t>EMR cost per patient = $1,970.84, inclusive of MBS costs using 75% hospital rebate and hospital services costs (nurse and surgery accomodation)</w:t>
      </w:r>
    </w:p>
    <w:p w14:paraId="7CDF2BA6" w14:textId="0983BCF8" w:rsidR="00EC3CF2" w:rsidRPr="004D25EE" w:rsidRDefault="00EA486E" w:rsidP="00D16877">
      <w:pPr>
        <w:pStyle w:val="Tablenotes"/>
        <w:rPr>
          <w:i/>
        </w:rPr>
      </w:pPr>
      <w:r>
        <w:rPr>
          <w:i/>
        </w:rPr>
        <w:t xml:space="preserve">Italicised represents changed values as performed by Department, as result of </w:t>
      </w:r>
      <w:r w:rsidR="00E70D1B">
        <w:rPr>
          <w:i/>
        </w:rPr>
        <w:t>applicant’s</w:t>
      </w:r>
      <w:r>
        <w:rPr>
          <w:i/>
        </w:rPr>
        <w:t xml:space="preserve"> revised fee</w:t>
      </w:r>
    </w:p>
    <w:p w14:paraId="054B3102" w14:textId="77777777" w:rsidR="006A0D97" w:rsidRPr="00F715D1" w:rsidRDefault="006A0D97" w:rsidP="00F715D1">
      <w:pPr>
        <w:pStyle w:val="Heading1"/>
      </w:pPr>
      <w:r w:rsidRPr="00F715D1">
        <w:t>Key issues from ESC for MSAC</w:t>
      </w:r>
    </w:p>
    <w:tbl>
      <w:tblPr>
        <w:tblStyle w:val="TableGrid"/>
        <w:tblW w:w="9016" w:type="dxa"/>
        <w:tblCellMar>
          <w:left w:w="28" w:type="dxa"/>
          <w:right w:w="28" w:type="dxa"/>
        </w:tblCellMar>
        <w:tblLook w:val="04A0" w:firstRow="1" w:lastRow="0" w:firstColumn="1" w:lastColumn="0" w:noHBand="0" w:noVBand="1"/>
        <w:tblCaption w:val="Key issues from ESC for MSAC"/>
        <w:tblDescription w:val="Summary of key ESC issues to MSAC"/>
      </w:tblPr>
      <w:tblGrid>
        <w:gridCol w:w="1980"/>
        <w:gridCol w:w="7036"/>
      </w:tblGrid>
      <w:tr w:rsidR="00724C66" w:rsidRPr="00266D74" w14:paraId="0AE2443C" w14:textId="77777777" w:rsidTr="00724C66">
        <w:trPr>
          <w:tblHeader/>
        </w:trPr>
        <w:tc>
          <w:tcPr>
            <w:tcW w:w="1980" w:type="dxa"/>
          </w:tcPr>
          <w:p w14:paraId="30A3CC28" w14:textId="77777777" w:rsidR="00724C66" w:rsidRPr="00266D74" w:rsidRDefault="00724C66" w:rsidP="00EC16AC">
            <w:pPr>
              <w:pStyle w:val="TableHeading"/>
              <w:keepNext w:val="0"/>
              <w:widowControl w:val="0"/>
            </w:pPr>
            <w:r w:rsidRPr="00266D74">
              <w:t>ESC key issue</w:t>
            </w:r>
          </w:p>
        </w:tc>
        <w:tc>
          <w:tcPr>
            <w:tcW w:w="7036" w:type="dxa"/>
          </w:tcPr>
          <w:p w14:paraId="16DBD760" w14:textId="77777777" w:rsidR="00724C66" w:rsidRPr="00266D74" w:rsidRDefault="00724C66" w:rsidP="00EC16AC">
            <w:pPr>
              <w:pStyle w:val="TableHeading"/>
              <w:keepNext w:val="0"/>
              <w:widowControl w:val="0"/>
            </w:pPr>
            <w:r w:rsidRPr="00266D74">
              <w:t>ESC advice to MSAC</w:t>
            </w:r>
          </w:p>
        </w:tc>
      </w:tr>
      <w:tr w:rsidR="00724C66" w:rsidRPr="00266D74" w14:paraId="67737574" w14:textId="77777777" w:rsidTr="00EC16AC">
        <w:trPr>
          <w:trHeight w:val="359"/>
        </w:trPr>
        <w:tc>
          <w:tcPr>
            <w:tcW w:w="1980" w:type="dxa"/>
          </w:tcPr>
          <w:p w14:paraId="25607AC7" w14:textId="77777777" w:rsidR="00724C66" w:rsidRDefault="00724C66" w:rsidP="00EC16AC">
            <w:pPr>
              <w:pStyle w:val="TableText"/>
              <w:keepNext w:val="0"/>
              <w:widowControl w:val="0"/>
            </w:pPr>
            <w:r>
              <w:t>Safety</w:t>
            </w:r>
          </w:p>
        </w:tc>
        <w:tc>
          <w:tcPr>
            <w:tcW w:w="7036" w:type="dxa"/>
          </w:tcPr>
          <w:p w14:paraId="0152FAFD" w14:textId="77777777" w:rsidR="00724C66" w:rsidRDefault="00724C66" w:rsidP="00EC16AC">
            <w:pPr>
              <w:pStyle w:val="TableText"/>
              <w:keepNext w:val="0"/>
              <w:widowControl w:val="0"/>
            </w:pPr>
            <w:r>
              <w:t>ESC considered EMR to be a minimally invasive procedure compared with surgery.  Complications reported from 8.6% to 27.7%; most treated endoscopically or with conservative management.</w:t>
            </w:r>
          </w:p>
        </w:tc>
      </w:tr>
      <w:tr w:rsidR="00724C66" w:rsidRPr="00266D74" w14:paraId="2247E21B" w14:textId="77777777" w:rsidTr="00EC16AC">
        <w:trPr>
          <w:trHeight w:val="359"/>
        </w:trPr>
        <w:tc>
          <w:tcPr>
            <w:tcW w:w="1980" w:type="dxa"/>
          </w:tcPr>
          <w:p w14:paraId="536DD029" w14:textId="77777777" w:rsidR="00724C66" w:rsidRDefault="00724C66" w:rsidP="00EC16AC">
            <w:pPr>
              <w:pStyle w:val="TableText"/>
              <w:keepNext w:val="0"/>
              <w:widowControl w:val="0"/>
            </w:pPr>
            <w:r>
              <w:t xml:space="preserve">Effectiveness </w:t>
            </w:r>
          </w:p>
        </w:tc>
        <w:tc>
          <w:tcPr>
            <w:tcW w:w="7036" w:type="dxa"/>
          </w:tcPr>
          <w:p w14:paraId="36D7A537" w14:textId="77777777" w:rsidR="00724C66" w:rsidRDefault="00724C66" w:rsidP="00EC16AC">
            <w:pPr>
              <w:pStyle w:val="TableText"/>
              <w:keepNext w:val="0"/>
              <w:widowControl w:val="0"/>
            </w:pPr>
            <w:r>
              <w:t>ESC noted that s</w:t>
            </w:r>
            <w:r w:rsidRPr="00455987">
              <w:t xml:space="preserve">urgical resection </w:t>
            </w:r>
            <w:r>
              <w:t xml:space="preserve">is </w:t>
            </w:r>
            <w:r w:rsidRPr="00455987">
              <w:t>considered curative</w:t>
            </w:r>
            <w:r>
              <w:t xml:space="preserve">, which means that </w:t>
            </w:r>
            <w:r w:rsidRPr="00455987">
              <w:t xml:space="preserve">EMR </w:t>
            </w:r>
            <w:r>
              <w:t>is considered</w:t>
            </w:r>
            <w:r w:rsidRPr="00455987">
              <w:t xml:space="preserve"> </w:t>
            </w:r>
            <w:r>
              <w:t xml:space="preserve">to be </w:t>
            </w:r>
            <w:r w:rsidRPr="00455987">
              <w:t>inferio</w:t>
            </w:r>
            <w:r>
              <w:t>r, even though the technical success of EMR is considered to be high. In a few (up to 5.5%), EMR may just delay surgery (0-5.5%)</w:t>
            </w:r>
          </w:p>
          <w:p w14:paraId="09E9ED2D" w14:textId="77777777" w:rsidR="00724C66" w:rsidRDefault="00724C66" w:rsidP="00EC16AC">
            <w:pPr>
              <w:pStyle w:val="TableText"/>
              <w:keepNext w:val="0"/>
              <w:widowControl w:val="0"/>
            </w:pPr>
            <w:r>
              <w:t>ESC noted that if malignancy is detected in the resected specimen (range: 3.6 to 5.9% of cases),</w:t>
            </w:r>
            <w:r w:rsidRPr="00A34D59">
              <w:t xml:space="preserve"> </w:t>
            </w:r>
            <w:r>
              <w:t>patients may be referred to surgery after an EMR procedure.</w:t>
            </w:r>
          </w:p>
          <w:p w14:paraId="6E3C81AE" w14:textId="77777777" w:rsidR="00724C66" w:rsidRDefault="00724C66" w:rsidP="00EC16AC">
            <w:pPr>
              <w:pStyle w:val="TableText"/>
              <w:keepNext w:val="0"/>
              <w:widowControl w:val="0"/>
            </w:pPr>
            <w:r>
              <w:t>Overall, ESC noted that the benefits of EMR has been accepted in clinical practice as outweighing the comparative shortcomings of EMR relative to surgery (i.e. surgery is considered curative, whilst there is a risk of residual adenoma/recurrence following EMR).</w:t>
            </w:r>
          </w:p>
        </w:tc>
      </w:tr>
      <w:tr w:rsidR="00724C66" w:rsidRPr="00266D74" w14:paraId="02C6451A" w14:textId="77777777" w:rsidTr="00EC16AC">
        <w:trPr>
          <w:trHeight w:val="359"/>
        </w:trPr>
        <w:tc>
          <w:tcPr>
            <w:tcW w:w="1980" w:type="dxa"/>
          </w:tcPr>
          <w:p w14:paraId="3AB9DCE2" w14:textId="77777777" w:rsidR="00724C66" w:rsidRPr="00266D74" w:rsidRDefault="00724C66" w:rsidP="00EC16AC">
            <w:pPr>
              <w:pStyle w:val="TableText"/>
              <w:keepNext w:val="0"/>
              <w:widowControl w:val="0"/>
            </w:pPr>
            <w:r>
              <w:t>Item descriptor issues</w:t>
            </w:r>
          </w:p>
        </w:tc>
        <w:tc>
          <w:tcPr>
            <w:tcW w:w="7036" w:type="dxa"/>
          </w:tcPr>
          <w:p w14:paraId="075B90FD" w14:textId="77777777" w:rsidR="00724C66" w:rsidRDefault="00724C66" w:rsidP="00EC16AC">
            <w:pPr>
              <w:pStyle w:val="TableText"/>
              <w:keepNext w:val="0"/>
              <w:widowControl w:val="0"/>
            </w:pPr>
            <w:r>
              <w:t xml:space="preserve">Lesion size: </w:t>
            </w:r>
            <w:r w:rsidRPr="00425F2D">
              <w:t>ESC also noted that the proposed MBS population is for patients with lesions ≥ 25 mm, even though in clinical practice it is done on lesions that are &gt; 20 mm. ESC queried if a threshold consistent with clinical practice would be more appropriate. However, if there is an expectation that EMR cannot be performed on lesions &lt; 25 mm, then ESC considered there was concern that this may lead to other, potentially higher risk and or less effective procedures for such lesions</w:t>
            </w:r>
          </w:p>
          <w:p w14:paraId="5ED5E6F1" w14:textId="77777777" w:rsidR="00724C66" w:rsidRDefault="00724C66" w:rsidP="00EC16AC">
            <w:pPr>
              <w:pStyle w:val="TableText"/>
              <w:keepNext w:val="0"/>
              <w:widowControl w:val="0"/>
            </w:pPr>
            <w:r>
              <w:t>ESC queried if Service may be claimable if attempted but not technically feasible (e.g. lesions not elevated with submucosal injection)</w:t>
            </w:r>
          </w:p>
          <w:p w14:paraId="4F098BC2" w14:textId="77777777" w:rsidR="00724C66" w:rsidRDefault="00724C66" w:rsidP="00EC16AC">
            <w:pPr>
              <w:pStyle w:val="TableText"/>
              <w:keepNext w:val="0"/>
              <w:widowControl w:val="0"/>
            </w:pPr>
            <w:r>
              <w:t>ESC noted that 2-stage EMR can be performed (28.6% of cases in Australian study by Tate et al. 2017) and queried if this was adequately captured in the Item and frequency restrictions</w:t>
            </w:r>
          </w:p>
          <w:p w14:paraId="3C437402" w14:textId="77777777" w:rsidR="00724C66" w:rsidRDefault="00724C66" w:rsidP="00EC16AC">
            <w:pPr>
              <w:pStyle w:val="TableText"/>
              <w:keepNext w:val="0"/>
              <w:widowControl w:val="0"/>
            </w:pPr>
            <w:r>
              <w:t>ESC noted the potential leakage risk to cold snare EMR, and queried Item descriptor restriction to avoid.</w:t>
            </w:r>
          </w:p>
        </w:tc>
      </w:tr>
      <w:tr w:rsidR="00724C66" w:rsidRPr="00266D74" w14:paraId="1F0E30A0" w14:textId="77777777" w:rsidTr="00EC16AC">
        <w:trPr>
          <w:trHeight w:val="359"/>
        </w:trPr>
        <w:tc>
          <w:tcPr>
            <w:tcW w:w="1980" w:type="dxa"/>
          </w:tcPr>
          <w:p w14:paraId="0B5597CB" w14:textId="77777777" w:rsidR="00724C66" w:rsidRDefault="00724C66" w:rsidP="00EC16AC">
            <w:pPr>
              <w:pStyle w:val="TableText"/>
              <w:keepNext w:val="0"/>
              <w:widowControl w:val="0"/>
            </w:pPr>
            <w:r>
              <w:t>EMR setting</w:t>
            </w:r>
          </w:p>
        </w:tc>
        <w:tc>
          <w:tcPr>
            <w:tcW w:w="7036" w:type="dxa"/>
          </w:tcPr>
          <w:p w14:paraId="6DACF3B4" w14:textId="77777777" w:rsidR="00724C66" w:rsidRDefault="00724C66" w:rsidP="00EC16AC">
            <w:pPr>
              <w:pStyle w:val="TableText"/>
              <w:keepNext w:val="0"/>
              <w:widowControl w:val="0"/>
            </w:pPr>
            <w:r>
              <w:t>Expert opinion indicated a preference for EMR to be performed in tertiary centres. ESC also raised concern about the quality of performing the procedure and patient outcomes in settings with low patient volumes; however, ESC considered restricting EMR to tertiary centres would impact equity of access.</w:t>
            </w:r>
          </w:p>
        </w:tc>
      </w:tr>
      <w:tr w:rsidR="00724C66" w:rsidRPr="00266D74" w14:paraId="157D6594" w14:textId="77777777" w:rsidTr="00EC16AC">
        <w:trPr>
          <w:trHeight w:val="359"/>
        </w:trPr>
        <w:tc>
          <w:tcPr>
            <w:tcW w:w="1980" w:type="dxa"/>
          </w:tcPr>
          <w:p w14:paraId="7E6C3892" w14:textId="77777777" w:rsidR="00724C66" w:rsidRPr="00266D74" w:rsidRDefault="00724C66" w:rsidP="00EC16AC">
            <w:pPr>
              <w:pStyle w:val="TableText"/>
              <w:keepNext w:val="0"/>
              <w:widowControl w:val="0"/>
            </w:pPr>
            <w:r>
              <w:t>Proposed fee of $</w:t>
            </w:r>
            <w:r w:rsidRPr="00266D74">
              <w:t>1,750 is not justified</w:t>
            </w:r>
          </w:p>
        </w:tc>
        <w:tc>
          <w:tcPr>
            <w:tcW w:w="7036" w:type="dxa"/>
          </w:tcPr>
          <w:p w14:paraId="18C34010" w14:textId="4EF6ED84" w:rsidR="00724C66" w:rsidRPr="00266D74" w:rsidRDefault="00724C66" w:rsidP="00E70D1B">
            <w:pPr>
              <w:pStyle w:val="TableText"/>
              <w:keepNext w:val="0"/>
              <w:widowControl w:val="0"/>
            </w:pPr>
            <w:r>
              <w:t>ESC advises, w</w:t>
            </w:r>
            <w:r w:rsidRPr="00266D74">
              <w:t xml:space="preserve">ith the support of the </w:t>
            </w:r>
            <w:r>
              <w:t>D</w:t>
            </w:r>
            <w:r w:rsidRPr="00266D74">
              <w:t xml:space="preserve">epartment, cost calculation anticipating the technical complexity of the procedure and potentially the complexity of the assessment </w:t>
            </w:r>
            <w:r>
              <w:t xml:space="preserve">as </w:t>
            </w:r>
            <w:r w:rsidRPr="00266D74">
              <w:t>per RCPA</w:t>
            </w:r>
            <w:r>
              <w:t xml:space="preserve">’s </w:t>
            </w:r>
            <w:r w:rsidRPr="00266D74">
              <w:t xml:space="preserve">recommendation.  </w:t>
            </w:r>
          </w:p>
        </w:tc>
      </w:tr>
      <w:tr w:rsidR="00724C66" w:rsidRPr="00266D74" w14:paraId="5C432B4C" w14:textId="77777777" w:rsidTr="00EC16AC">
        <w:trPr>
          <w:trHeight w:val="359"/>
        </w:trPr>
        <w:tc>
          <w:tcPr>
            <w:tcW w:w="1980" w:type="dxa"/>
          </w:tcPr>
          <w:p w14:paraId="06AEA859" w14:textId="77777777" w:rsidR="00724C66" w:rsidRPr="00266D74" w:rsidRDefault="00724C66" w:rsidP="00EC16AC">
            <w:pPr>
              <w:pStyle w:val="TableText"/>
              <w:keepNext w:val="0"/>
              <w:widowControl w:val="0"/>
            </w:pPr>
            <w:r w:rsidRPr="00266D74">
              <w:t>Financial implications</w:t>
            </w:r>
          </w:p>
        </w:tc>
        <w:tc>
          <w:tcPr>
            <w:tcW w:w="7036" w:type="dxa"/>
          </w:tcPr>
          <w:p w14:paraId="757D200B" w14:textId="2A131773" w:rsidR="00724C66" w:rsidRPr="00266D74" w:rsidRDefault="00A90165" w:rsidP="00EC16AC">
            <w:pPr>
              <w:pStyle w:val="TableText"/>
              <w:keepNext w:val="0"/>
              <w:widowControl w:val="0"/>
            </w:pPr>
            <w:r>
              <w:t>ESC noted that u</w:t>
            </w:r>
            <w:r w:rsidR="00724C66" w:rsidRPr="00266D74">
              <w:t>ncertainties in the estimates are related to the number of patients eligible for EMR over time and assumptions made about substitution</w:t>
            </w:r>
            <w:r w:rsidR="00724C66">
              <w:t xml:space="preserve"> (that is, replacement of other colonoscopy MBS items)</w:t>
            </w:r>
            <w:r w:rsidR="00724C66" w:rsidRPr="00266D74">
              <w:t xml:space="preserve">. </w:t>
            </w:r>
          </w:p>
        </w:tc>
      </w:tr>
      <w:tr w:rsidR="00724C66" w:rsidRPr="00266D74" w14:paraId="5259F9CD" w14:textId="77777777" w:rsidTr="00EC16AC">
        <w:trPr>
          <w:trHeight w:val="359"/>
        </w:trPr>
        <w:tc>
          <w:tcPr>
            <w:tcW w:w="1980" w:type="dxa"/>
          </w:tcPr>
          <w:p w14:paraId="17E0F2A1" w14:textId="77777777" w:rsidR="00724C66" w:rsidRPr="00266D74" w:rsidRDefault="00724C66" w:rsidP="00EC16AC">
            <w:pPr>
              <w:pStyle w:val="TableText"/>
              <w:keepNext w:val="0"/>
              <w:widowControl w:val="0"/>
            </w:pPr>
            <w:r w:rsidRPr="00266D74">
              <w:t>Shift from state-funded hospital budgets to MBS budgets</w:t>
            </w:r>
          </w:p>
        </w:tc>
        <w:tc>
          <w:tcPr>
            <w:tcW w:w="7036" w:type="dxa"/>
          </w:tcPr>
          <w:p w14:paraId="2BC8D32C" w14:textId="77777777" w:rsidR="00724C66" w:rsidRPr="00266D74" w:rsidRDefault="00724C66" w:rsidP="00EC16AC">
            <w:pPr>
              <w:pStyle w:val="TableText"/>
              <w:keepNext w:val="0"/>
              <w:widowControl w:val="0"/>
            </w:pPr>
            <w:r w:rsidRPr="00261900">
              <w:t xml:space="preserve">If listed, it is assumed the delivery of EMR will shift from the public </w:t>
            </w:r>
            <w:r>
              <w:t xml:space="preserve">to the private </w:t>
            </w:r>
            <w:r w:rsidRPr="00261900">
              <w:t>system (from 70% to 50%</w:t>
            </w:r>
            <w:r>
              <w:t xml:space="preserve"> of procedures in public system</w:t>
            </w:r>
            <w:r w:rsidRPr="00261900">
              <w:t>), because EMR would become available for private patients at no additional out-of-pocket costs.</w:t>
            </w:r>
            <w:r w:rsidRPr="00266D74">
              <w:t xml:space="preserve"> </w:t>
            </w:r>
            <w:r>
              <w:t>However,</w:t>
            </w:r>
            <w:r w:rsidRPr="00261900">
              <w:t xml:space="preserve"> Experts estimate a significant number of EMRs will still be performed in public hospitals.</w:t>
            </w:r>
            <w:r>
              <w:t xml:space="preserve"> Overall, ESC considered the degree of cost shifting was uncertain and could benefit from further clarification.</w:t>
            </w:r>
          </w:p>
        </w:tc>
      </w:tr>
      <w:tr w:rsidR="00724C66" w:rsidRPr="00266D74" w14:paraId="59D3DBC6" w14:textId="77777777" w:rsidTr="00EC16AC">
        <w:trPr>
          <w:trHeight w:val="359"/>
        </w:trPr>
        <w:tc>
          <w:tcPr>
            <w:tcW w:w="1980" w:type="dxa"/>
          </w:tcPr>
          <w:p w14:paraId="60D11DDD" w14:textId="77777777" w:rsidR="00724C66" w:rsidRPr="00266D74" w:rsidRDefault="00724C66" w:rsidP="00EC16AC">
            <w:pPr>
              <w:pStyle w:val="TableText"/>
              <w:keepNext w:val="0"/>
              <w:widowControl w:val="0"/>
            </w:pPr>
            <w:r w:rsidRPr="00266D74">
              <w:t>Economic evaluation is dominant in favour of EMR</w:t>
            </w:r>
          </w:p>
        </w:tc>
        <w:tc>
          <w:tcPr>
            <w:tcW w:w="7036" w:type="dxa"/>
          </w:tcPr>
          <w:p w14:paraId="517392CE" w14:textId="77777777" w:rsidR="00724C66" w:rsidRPr="00266D74" w:rsidRDefault="00724C66" w:rsidP="00EC16AC">
            <w:pPr>
              <w:pStyle w:val="TableText"/>
              <w:keepNext w:val="0"/>
              <w:widowControl w:val="0"/>
            </w:pPr>
            <w:r>
              <w:t xml:space="preserve">The economic evaluation was based on historical controls (i.e. laparoscopic surgery). However, the standard of care in Australia is EMR, making the results of the economic evaluation less relevant. Thus, </w:t>
            </w:r>
            <w:r w:rsidRPr="00266D74">
              <w:t xml:space="preserve">ESC advises </w:t>
            </w:r>
            <w:r>
              <w:t xml:space="preserve">MSAC </w:t>
            </w:r>
            <w:r w:rsidRPr="00266D74">
              <w:t xml:space="preserve">to consider the economic evaluation results to be supportive but not </w:t>
            </w:r>
            <w:r>
              <w:t>definitive</w:t>
            </w:r>
            <w:r w:rsidRPr="00266D74">
              <w:t xml:space="preserve"> in making a recommendation. </w:t>
            </w:r>
          </w:p>
        </w:tc>
      </w:tr>
    </w:tbl>
    <w:p w14:paraId="2209B115" w14:textId="77777777" w:rsidR="006A0D97" w:rsidRDefault="00F56D7F" w:rsidP="009E369F">
      <w:pPr>
        <w:spacing w:before="240" w:after="240"/>
        <w:rPr>
          <w:b/>
        </w:rPr>
      </w:pPr>
      <w:r w:rsidRPr="00F56D7F">
        <w:rPr>
          <w:b/>
        </w:rPr>
        <w:t>ESC discussion</w:t>
      </w:r>
    </w:p>
    <w:p w14:paraId="3A23AD8D" w14:textId="5278E952" w:rsidR="00724C66" w:rsidRDefault="00724C66" w:rsidP="00724C66">
      <w:r>
        <w:t xml:space="preserve">ESC noted that this application is for a new item for </w:t>
      </w:r>
      <w:r w:rsidRPr="00630E13">
        <w:t>endoscopic mucosal resection (EMR)</w:t>
      </w:r>
      <w:r>
        <w:t xml:space="preserve"> for the </w:t>
      </w:r>
      <w:r w:rsidRPr="00737BCF">
        <w:t>removal of non-invasiv</w:t>
      </w:r>
      <w:r>
        <w:t>e colorectal lesions ≥ 25 mm, which</w:t>
      </w:r>
      <w:r w:rsidRPr="00737BCF">
        <w:t xml:space="preserve"> </w:t>
      </w:r>
      <w:r>
        <w:t>is currently being performed as standard of care in public hospitals. In addition, ESC noted that it is also likely EMR is already being claimed on the MBS, as colonoscopy and polypectomy (MBS items</w:t>
      </w:r>
      <w:r w:rsidR="005268DF">
        <w:t xml:space="preserve"> 32222-32226, 32228 and 32229).</w:t>
      </w:r>
    </w:p>
    <w:p w14:paraId="0FB60EE3" w14:textId="65B4F1C7" w:rsidR="00724C66" w:rsidRDefault="00724C66" w:rsidP="005268DF">
      <w:pPr>
        <w:spacing w:before="240"/>
        <w:rPr>
          <w:lang w:eastAsia="en-US"/>
        </w:rPr>
      </w:pPr>
      <w:r>
        <w:t xml:space="preserve">ESC also noted that the proposed </w:t>
      </w:r>
      <w:r w:rsidRPr="00043C03">
        <w:rPr>
          <w:lang w:eastAsia="en-US"/>
        </w:rPr>
        <w:t xml:space="preserve">MBS </w:t>
      </w:r>
      <w:r>
        <w:rPr>
          <w:lang w:eastAsia="en-US"/>
        </w:rPr>
        <w:t xml:space="preserve">population </w:t>
      </w:r>
      <w:r w:rsidRPr="00043C03">
        <w:rPr>
          <w:lang w:eastAsia="en-US"/>
        </w:rPr>
        <w:t xml:space="preserve">is for patients with lesions </w:t>
      </w:r>
      <w:r w:rsidRPr="00630E13">
        <w:t>≥</w:t>
      </w:r>
      <w:r>
        <w:t> </w:t>
      </w:r>
      <w:r w:rsidRPr="00043C03">
        <w:rPr>
          <w:lang w:eastAsia="en-US"/>
        </w:rPr>
        <w:t>25</w:t>
      </w:r>
      <w:r>
        <w:rPr>
          <w:lang w:eastAsia="en-US"/>
        </w:rPr>
        <w:t> </w:t>
      </w:r>
      <w:r w:rsidRPr="00043C03">
        <w:rPr>
          <w:lang w:eastAsia="en-US"/>
        </w:rPr>
        <w:t>mm</w:t>
      </w:r>
      <w:r>
        <w:rPr>
          <w:lang w:eastAsia="en-US"/>
        </w:rPr>
        <w:t>, even though in clinical practice it is done on lesions that are &gt; 20 mm</w:t>
      </w:r>
      <w:r w:rsidRPr="00043C03">
        <w:rPr>
          <w:lang w:eastAsia="en-US"/>
        </w:rPr>
        <w:t>.</w:t>
      </w:r>
      <w:r>
        <w:rPr>
          <w:lang w:eastAsia="en-US"/>
        </w:rPr>
        <w:t xml:space="preserve"> In its pre-ESC response, the applicant highlighted this was decided upon at PASC to </w:t>
      </w:r>
      <w:r w:rsidRPr="00AF6A29">
        <w:rPr>
          <w:lang w:eastAsia="en-US"/>
        </w:rPr>
        <w:t>reduce risk of leakage</w:t>
      </w:r>
      <w:r>
        <w:rPr>
          <w:lang w:eastAsia="en-US"/>
        </w:rPr>
        <w:t>; however, the applicant</w:t>
      </w:r>
      <w:r w:rsidRPr="00AF6A29">
        <w:rPr>
          <w:lang w:eastAsia="en-US"/>
        </w:rPr>
        <w:t xml:space="preserve"> </w:t>
      </w:r>
      <w:r>
        <w:rPr>
          <w:lang w:eastAsia="en-US"/>
        </w:rPr>
        <w:t>confirmed that e</w:t>
      </w:r>
      <w:r w:rsidRPr="00AF6A29">
        <w:rPr>
          <w:lang w:eastAsia="en-US"/>
        </w:rPr>
        <w:t>xpert advi</w:t>
      </w:r>
      <w:r>
        <w:rPr>
          <w:lang w:eastAsia="en-US"/>
        </w:rPr>
        <w:t>ce suggested</w:t>
      </w:r>
      <w:r w:rsidRPr="00AF6A29">
        <w:rPr>
          <w:lang w:eastAsia="en-US"/>
        </w:rPr>
        <w:t xml:space="preserve"> this will not change the generalisability of the results.</w:t>
      </w:r>
      <w:r>
        <w:rPr>
          <w:lang w:eastAsia="en-US"/>
        </w:rPr>
        <w:t xml:space="preserve"> ESC considered that i</w:t>
      </w:r>
      <w:r w:rsidRPr="00043C03">
        <w:rPr>
          <w:lang w:eastAsia="en-US"/>
        </w:rPr>
        <w:t xml:space="preserve">t is </w:t>
      </w:r>
      <w:r>
        <w:rPr>
          <w:lang w:eastAsia="en-US"/>
        </w:rPr>
        <w:t>unclear</w:t>
      </w:r>
      <w:r w:rsidRPr="00043C03">
        <w:rPr>
          <w:lang w:eastAsia="en-US"/>
        </w:rPr>
        <w:t xml:space="preserve"> what </w:t>
      </w:r>
      <w:r>
        <w:rPr>
          <w:lang w:eastAsia="en-US"/>
        </w:rPr>
        <w:t xml:space="preserve">will </w:t>
      </w:r>
      <w:r w:rsidRPr="00043C03">
        <w:rPr>
          <w:lang w:eastAsia="en-US"/>
        </w:rPr>
        <w:t>happen to patients with lesions between 20</w:t>
      </w:r>
      <w:r>
        <w:rPr>
          <w:lang w:eastAsia="en-US"/>
        </w:rPr>
        <w:t>-24</w:t>
      </w:r>
      <w:r w:rsidRPr="00043C03">
        <w:rPr>
          <w:lang w:eastAsia="en-US"/>
        </w:rPr>
        <w:t xml:space="preserve"> mm in both </w:t>
      </w:r>
      <w:r>
        <w:rPr>
          <w:lang w:eastAsia="en-US"/>
        </w:rPr>
        <w:t xml:space="preserve">the </w:t>
      </w:r>
      <w:r w:rsidRPr="00043C03">
        <w:rPr>
          <w:lang w:eastAsia="en-US"/>
        </w:rPr>
        <w:t>private and public sector</w:t>
      </w:r>
      <w:r>
        <w:rPr>
          <w:lang w:eastAsia="en-US"/>
        </w:rPr>
        <w:t>s, but considered EMR to be the most likely treatment option</w:t>
      </w:r>
      <w:r>
        <w:t>. Thus, ESC queried if a threshold consistent with clinical practice would be more appropriate. However, i</w:t>
      </w:r>
      <w:r>
        <w:rPr>
          <w:lang w:eastAsia="en-US"/>
        </w:rPr>
        <w:t>f there is an expectation that EMR cannot be performed on lesions &lt; 25 mm, then ESC considered there was concern that this may lead to other, potentially higher risk and or less effecti</w:t>
      </w:r>
      <w:r w:rsidR="005268DF">
        <w:rPr>
          <w:lang w:eastAsia="en-US"/>
        </w:rPr>
        <w:t>ve procedures for such lesions.</w:t>
      </w:r>
    </w:p>
    <w:p w14:paraId="1B2FE180" w14:textId="4057D11A" w:rsidR="00724C66" w:rsidRDefault="00724C66" w:rsidP="005268DF">
      <w:pPr>
        <w:spacing w:before="240"/>
        <w:rPr>
          <w:lang w:eastAsia="en-US"/>
        </w:rPr>
      </w:pPr>
      <w:r>
        <w:rPr>
          <w:lang w:eastAsia="en-US"/>
        </w:rPr>
        <w:t>ESC noted that t</w:t>
      </w:r>
      <w:r w:rsidRPr="00043C03">
        <w:rPr>
          <w:lang w:eastAsia="en-US"/>
        </w:rPr>
        <w:t>he proposed item descriptor does not include an 85% out-of-hospital benefit,</w:t>
      </w:r>
      <w:r>
        <w:rPr>
          <w:lang w:eastAsia="en-US"/>
        </w:rPr>
        <w:t xml:space="preserve"> and there was discussion about whether</w:t>
      </w:r>
      <w:r w:rsidRPr="00043C03">
        <w:rPr>
          <w:lang w:eastAsia="en-US"/>
        </w:rPr>
        <w:t xml:space="preserve"> this service </w:t>
      </w:r>
      <w:r>
        <w:rPr>
          <w:lang w:eastAsia="en-US"/>
        </w:rPr>
        <w:t>would</w:t>
      </w:r>
      <w:r w:rsidRPr="00043C03">
        <w:rPr>
          <w:lang w:eastAsia="en-US"/>
        </w:rPr>
        <w:t xml:space="preserve"> be performed exclusively in-hospital</w:t>
      </w:r>
      <w:r>
        <w:rPr>
          <w:lang w:eastAsia="en-US"/>
        </w:rPr>
        <w:t xml:space="preserve">. It was noted that this is increasingly becoming a day-only procedure. However, ESC queried the safety of this procedure performed as day surgery, given the nature of the invasive surgery. In addition, </w:t>
      </w:r>
      <w:r>
        <w:t>ESC noted the applicant’s concern with some aspects of the descriptor, including that cold EMR (i.e. snare without electrocautery) should be excluded from the item number because it</w:t>
      </w:r>
      <w:r w:rsidRPr="00E721FB">
        <w:t xml:space="preserve"> </w:t>
      </w:r>
      <w:r>
        <w:t xml:space="preserve">was not reported on, nor applicable to the proposed EMR service. ESC also noted in the </w:t>
      </w:r>
      <w:r>
        <w:rPr>
          <w:lang w:eastAsia="en-US"/>
        </w:rPr>
        <w:t>applicant’s pre-ESC response</w:t>
      </w:r>
      <w:r>
        <w:t xml:space="preserve"> that there was an Australian study underway in cold EMR (</w:t>
      </w:r>
      <w:r w:rsidRPr="001006F5">
        <w:rPr>
          <w:i/>
        </w:rPr>
        <w:t>vs</w:t>
      </w:r>
      <w:r>
        <w:t>. EMR) in patients with 15-40 mm lesions.</w:t>
      </w:r>
    </w:p>
    <w:p w14:paraId="16EAAE6A" w14:textId="77777777" w:rsidR="00724C66" w:rsidRDefault="00724C66" w:rsidP="005268DF">
      <w:pPr>
        <w:spacing w:before="240"/>
      </w:pPr>
      <w:r>
        <w:t>ESC noted that there are no randomised controlled trials (RCTs) or comparative studies comparing EMR directly with surgery; the primary analysis of comparative safety and effectiveness was informed by a naïve comparison of:</w:t>
      </w:r>
    </w:p>
    <w:p w14:paraId="4431D3DA" w14:textId="77777777" w:rsidR="00724C66" w:rsidRDefault="00724C66" w:rsidP="00724C66">
      <w:pPr>
        <w:pStyle w:val="ListParagraph"/>
        <w:numPr>
          <w:ilvl w:val="0"/>
          <w:numId w:val="26"/>
        </w:numPr>
      </w:pPr>
      <w:r>
        <w:t xml:space="preserve">EMR, from five studies, including a single prospective </w:t>
      </w:r>
      <w:r w:rsidRPr="0087552D">
        <w:t>study</w:t>
      </w:r>
      <w:r>
        <w:t xml:space="preserve"> that enrolled patients from eight tertiary centres</w:t>
      </w:r>
      <w:r w:rsidRPr="0087552D">
        <w:t xml:space="preserve"> – the Australian Multicentre Colonic Endoscopic Mucosal Resecti</w:t>
      </w:r>
      <w:r>
        <w:t>on (ACE/EMR) Study (n=2,675; primary data source: Sidhu et al. 2018)</w:t>
      </w:r>
    </w:p>
    <w:p w14:paraId="469926A4" w14:textId="77777777" w:rsidR="00724C66" w:rsidRDefault="00724C66" w:rsidP="00724C66">
      <w:pPr>
        <w:pStyle w:val="ListParagraph"/>
        <w:numPr>
          <w:ilvl w:val="0"/>
          <w:numId w:val="26"/>
        </w:numPr>
      </w:pPr>
      <w:r>
        <w:t>surgery, from a recently published (October 2019)</w:t>
      </w:r>
      <w:r w:rsidRPr="007622A9">
        <w:t xml:space="preserve"> </w:t>
      </w:r>
      <w:r>
        <w:t xml:space="preserve">systematic review </w:t>
      </w:r>
      <w:r>
        <w:rPr>
          <w:noProof/>
        </w:rPr>
        <w:t>(de Neree Tot Babberich et al., 2019)</w:t>
      </w:r>
      <w:r>
        <w:t xml:space="preserve">. </w:t>
      </w:r>
    </w:p>
    <w:p w14:paraId="5D83FCD0" w14:textId="2FC4C4A6" w:rsidR="00724C66" w:rsidRDefault="00724C66" w:rsidP="005268DF">
      <w:pPr>
        <w:spacing w:before="240"/>
      </w:pPr>
      <w:r>
        <w:t xml:space="preserve">Overall, ESC agreed with the DCAR which considered that the populations (and surgical procedures included for the comparator in the systematic review) were relatively well matched with the population specified in the PICO Confirmation. ESC also noted the DCAR included five RCTs that assessed the effect of EMR with three different cointerventions, </w:t>
      </w:r>
      <w:r w:rsidR="005268DF">
        <w:t>included as secondary analysis.</w:t>
      </w:r>
    </w:p>
    <w:p w14:paraId="647F2E59" w14:textId="260476FF" w:rsidR="00724C66" w:rsidRDefault="00724C66" w:rsidP="005268DF">
      <w:pPr>
        <w:spacing w:before="240"/>
      </w:pPr>
      <w:r>
        <w:t xml:space="preserve">In terms of comparative safety, ESC considered EMR to be a minimally invasive procedure compared with surgery. The five included studies were of high quality but also had a high risk of bias. Generally, complications could be treated endoscopically or with conservative management, while surgical intervention was only required in rare </w:t>
      </w:r>
      <w:r w:rsidRPr="004A5981">
        <w:t>instances to treat post</w:t>
      </w:r>
      <w:r>
        <w:t>-</w:t>
      </w:r>
      <w:r w:rsidRPr="004A5981">
        <w:t xml:space="preserve">polypectomy bleeds or </w:t>
      </w:r>
      <w:r>
        <w:t xml:space="preserve">a </w:t>
      </w:r>
      <w:r w:rsidRPr="004A5981">
        <w:t>perforation.</w:t>
      </w:r>
      <w:r>
        <w:t xml:space="preserve"> No mortality was associated</w:t>
      </w:r>
      <w:r w:rsidR="005268DF">
        <w:t xml:space="preserve"> with EMR.</w:t>
      </w:r>
    </w:p>
    <w:p w14:paraId="76B2EA34" w14:textId="5C3B09A0" w:rsidR="00724C66" w:rsidRDefault="00724C66" w:rsidP="005268DF">
      <w:pPr>
        <w:spacing w:before="240"/>
      </w:pPr>
      <w:r>
        <w:t>In terms of comparative effectiveness, ESC noted that s</w:t>
      </w:r>
      <w:r w:rsidRPr="00455987">
        <w:t xml:space="preserve">urgical resection </w:t>
      </w:r>
      <w:r>
        <w:t xml:space="preserve">is </w:t>
      </w:r>
      <w:r w:rsidRPr="00455987">
        <w:t>considered curative</w:t>
      </w:r>
      <w:r>
        <w:t xml:space="preserve">, which means that </w:t>
      </w:r>
      <w:r w:rsidRPr="00455987">
        <w:t xml:space="preserve">EMR </w:t>
      </w:r>
      <w:r>
        <w:t>is considered</w:t>
      </w:r>
      <w:r w:rsidRPr="00455987">
        <w:t xml:space="preserve"> </w:t>
      </w:r>
      <w:r>
        <w:t xml:space="preserve">to be </w:t>
      </w:r>
      <w:r w:rsidRPr="00455987">
        <w:t>inferio</w:t>
      </w:r>
      <w:r>
        <w:t>r, even though the technical success of EMR is considered to be high. N</w:t>
      </w:r>
      <w:r w:rsidRPr="00455987">
        <w:t xml:space="preserve">either technical success nor recurrence outcomes differed between EMR and </w:t>
      </w:r>
      <w:r w:rsidRPr="00B558D3">
        <w:t>trans</w:t>
      </w:r>
      <w:r>
        <w:t>-</w:t>
      </w:r>
      <w:r w:rsidRPr="00B558D3">
        <w:t xml:space="preserve">anal endoscopic </w:t>
      </w:r>
      <w:r>
        <w:t>microsurgery. However, ESC noted that if malignancy is detected in the resected specimen (range: 3.6 to 5.9% of cases),</w:t>
      </w:r>
      <w:r w:rsidRPr="00A34D59">
        <w:t xml:space="preserve"> </w:t>
      </w:r>
      <w:r>
        <w:t xml:space="preserve">patients may be referred to surgery after an EMR procedure. ESC also noted in Australian clinical practice, that EMR, as estimated by expert opinion, is generally performed as a day-case procedure, with only a small portion (approx. 5%) requiring an overnight admission, compared with an average of 5.1 days for surgery (95% confidence interval [CI]: 4.4, 5.9). Overall, ESC noted that the benefits of EMR (reduced mortality risk [see </w:t>
      </w:r>
      <w:r w:rsidR="0090039E" w:rsidRPr="0090039E">
        <w:rPr>
          <w:szCs w:val="24"/>
        </w:rPr>
        <w:fldChar w:fldCharType="begin"/>
      </w:r>
      <w:r w:rsidR="0090039E" w:rsidRPr="0090039E">
        <w:rPr>
          <w:szCs w:val="24"/>
        </w:rPr>
        <w:instrText xml:space="preserve"> REF _Ref25593777 \h  \* MERGEFORMAT </w:instrText>
      </w:r>
      <w:r w:rsidR="0090039E" w:rsidRPr="0090039E">
        <w:rPr>
          <w:szCs w:val="24"/>
        </w:rPr>
      </w:r>
      <w:r w:rsidR="0090039E" w:rsidRPr="0090039E">
        <w:rPr>
          <w:szCs w:val="24"/>
        </w:rPr>
        <w:fldChar w:fldCharType="separate"/>
      </w:r>
      <w:r w:rsidR="0090039E" w:rsidRPr="0090039E">
        <w:rPr>
          <w:szCs w:val="24"/>
        </w:rPr>
        <w:t xml:space="preserve">Table </w:t>
      </w:r>
      <w:r w:rsidR="0090039E" w:rsidRPr="0090039E">
        <w:rPr>
          <w:noProof/>
          <w:szCs w:val="24"/>
        </w:rPr>
        <w:t>3</w:t>
      </w:r>
      <w:r w:rsidR="0090039E" w:rsidRPr="0090039E">
        <w:rPr>
          <w:szCs w:val="24"/>
        </w:rPr>
        <w:fldChar w:fldCharType="end"/>
      </w:r>
      <w:r>
        <w:t>], reduced length of stay) has been accepted in clinical practice as outweighing the comparative shortcomings of EMR relative to surgery (i.e. surgery is considered curative, whilst there is a risk of residual ade</w:t>
      </w:r>
      <w:r w:rsidR="005268DF">
        <w:t>noma/recurrence following EMR).</w:t>
      </w:r>
    </w:p>
    <w:p w14:paraId="65F36F5D" w14:textId="2540879E" w:rsidR="00724C66" w:rsidRDefault="00724C66" w:rsidP="005268DF">
      <w:pPr>
        <w:spacing w:before="240"/>
      </w:pPr>
      <w:r>
        <w:t>ESC noted that expert opinion indicated a preference for EMR to be performed in tertiary centres, due to the expertise of the assisting staff is more advanced (relative to outside tertiary centres). ESC raised concern about the quality of performing the procedure and patient outcomes in settings with low patient volumes, but considered restricting EMR to tertiary centres would impact equity of access.</w:t>
      </w:r>
    </w:p>
    <w:p w14:paraId="47041EA6" w14:textId="77777777" w:rsidR="00724C66" w:rsidRDefault="00724C66" w:rsidP="005268DF">
      <w:pPr>
        <w:spacing w:before="240"/>
      </w:pPr>
      <w:r>
        <w:rPr>
          <w:lang w:eastAsia="en-US"/>
        </w:rPr>
        <w:t>ESC noted that a cost-utility analysis was used, based on superiority in short-term and non-inferiority in long-term, and</w:t>
      </w:r>
      <w:r w:rsidRPr="00043C03">
        <w:t xml:space="preserve"> based on historical controls </w:t>
      </w:r>
      <w:r>
        <w:t>(</w:t>
      </w:r>
      <w:r w:rsidRPr="00043C03">
        <w:t>i.e. laparoscopic surgery</w:t>
      </w:r>
      <w:r>
        <w:t>)</w:t>
      </w:r>
      <w:r w:rsidRPr="00043C03">
        <w:t xml:space="preserve">. </w:t>
      </w:r>
      <w:r>
        <w:rPr>
          <w:lang w:eastAsia="en-US"/>
        </w:rPr>
        <w:t xml:space="preserve">However, ESC noted that </w:t>
      </w:r>
      <w:r>
        <w:t>t</w:t>
      </w:r>
      <w:r w:rsidRPr="00043C03">
        <w:t>he standard of care in Australia is EMR</w:t>
      </w:r>
      <w:r>
        <w:t>,</w:t>
      </w:r>
      <w:r w:rsidRPr="00043C03">
        <w:t xml:space="preserve"> which makes the results of the economic evaluation less relevant</w:t>
      </w:r>
      <w:r>
        <w:t xml:space="preserve"> for MSAC decision-making</w:t>
      </w:r>
      <w:r w:rsidRPr="00043C03">
        <w:t>.</w:t>
      </w:r>
      <w:r>
        <w:t xml:space="preserve"> ESC noted the DCARs modelled economic evaluation was largely informed by evidence from Australian cohort studies, and quality-adjusted life years were informed by Australian population norms and applying disutilities from published evidence.  </w:t>
      </w:r>
      <w:r>
        <w:rPr>
          <w:lang w:eastAsia="en-US"/>
        </w:rPr>
        <w:t>ESC accepted that EMR is dominant over laparoscopic resection at 40 months, and noted the DCARs result was consistent with the published evidence, including an Australian cost-effectiveness study (Jayanna et al. 2016). ESC also noted that the incremental cost-effectiveness ratio (ICER) was robust under one-way sensitivity analysis, including when the cost of laparoscopic surgery was the same as the cost of EMR. Overall, ESC considered that results of the economic evaluation to be supportive but not leading in making a recommendation.</w:t>
      </w:r>
    </w:p>
    <w:p w14:paraId="608B4033" w14:textId="6A2EB524" w:rsidR="00724C66" w:rsidRPr="00F84DD3" w:rsidRDefault="00724C66" w:rsidP="005268DF">
      <w:pPr>
        <w:spacing w:before="240"/>
      </w:pPr>
      <w:r>
        <w:t>ESC considered that the proposed fee (based on Jayanna et al. 2016) was not adequately justified. MSAC may want to work with the D</w:t>
      </w:r>
      <w:r w:rsidRPr="00F84DD3">
        <w:t>epartment</w:t>
      </w:r>
      <w:r>
        <w:t xml:space="preserve"> to calculate cost based on complexity of the procedure, as </w:t>
      </w:r>
      <w:r w:rsidRPr="00F84DD3">
        <w:t xml:space="preserve">per the </w:t>
      </w:r>
      <w:r w:rsidRPr="00B558D3">
        <w:t>Royal College of Pathologists of Australasia</w:t>
      </w:r>
      <w:r>
        <w:t>’s</w:t>
      </w:r>
      <w:r w:rsidRPr="00B558D3">
        <w:t xml:space="preserve"> </w:t>
      </w:r>
      <w:r w:rsidRPr="00F84DD3">
        <w:t>recommendation.</w:t>
      </w:r>
    </w:p>
    <w:p w14:paraId="58B9039A" w14:textId="58B1E39A" w:rsidR="00724C66" w:rsidRDefault="00724C66" w:rsidP="005268DF">
      <w:pPr>
        <w:spacing w:before="240"/>
        <w:rPr>
          <w:lang w:eastAsia="en-US"/>
        </w:rPr>
      </w:pPr>
      <w:r>
        <w:t>ESC noted that t</w:t>
      </w:r>
      <w:r w:rsidRPr="00043C03">
        <w:t>he financial implication is an additional $3</w:t>
      </w:r>
      <w:r>
        <w:t> </w:t>
      </w:r>
      <w:r w:rsidRPr="00043C03">
        <w:t>m</w:t>
      </w:r>
      <w:r>
        <w:t>illion</w:t>
      </w:r>
      <w:r w:rsidRPr="00043C03">
        <w:t xml:space="preserve"> for the MBS</w:t>
      </w:r>
      <w:r>
        <w:t>,</w:t>
      </w:r>
      <w:r w:rsidRPr="00043C03">
        <w:t xml:space="preserve"> and states</w:t>
      </w:r>
      <w:r>
        <w:t xml:space="preserve"> and territories</w:t>
      </w:r>
      <w:r w:rsidRPr="00043C03">
        <w:t xml:space="preserve"> in 2024. The additional costs for MBS of $7.6</w:t>
      </w:r>
      <w:r>
        <w:t> </w:t>
      </w:r>
      <w:r w:rsidRPr="00043C03">
        <w:t>m</w:t>
      </w:r>
      <w:r>
        <w:t>illion</w:t>
      </w:r>
      <w:r w:rsidRPr="00043C03">
        <w:t xml:space="preserve"> in 2024 is compensated by savings of $4.6</w:t>
      </w:r>
      <w:r>
        <w:t> </w:t>
      </w:r>
      <w:r w:rsidRPr="00043C03">
        <w:t>m</w:t>
      </w:r>
      <w:r>
        <w:t>illion</w:t>
      </w:r>
      <w:r w:rsidRPr="00043C03">
        <w:t xml:space="preserve"> at the state-</w:t>
      </w:r>
      <w:r>
        <w:t xml:space="preserve"> and territory-</w:t>
      </w:r>
      <w:r w:rsidRPr="00043C03">
        <w:t>level for hospital procedures.</w:t>
      </w:r>
      <w:r>
        <w:t xml:space="preserve"> However, ESC considered there was considerable uncertainty with these estimates, mainly related to the number of patients eligible for EMR over time (</w:t>
      </w:r>
      <w:r w:rsidRPr="008A2D8B">
        <w:t>based on an assumed proportion of co</w:t>
      </w:r>
      <w:r>
        <w:t>lonoscopies with polyp removal [</w:t>
      </w:r>
      <w:r w:rsidRPr="00A573BA">
        <w:t>MBS Item 32093</w:t>
      </w:r>
      <w:r>
        <w:t>])</w:t>
      </w:r>
      <w:r w:rsidRPr="005B7389">
        <w:t xml:space="preserve"> and proportions of public an</w:t>
      </w:r>
      <w:r>
        <w:t xml:space="preserve">d private patients availing EMR estimated from assumption and applicant observation of EMRs done in public practice. ESC also noted a key driver of the financial impact was the estimated proportion of patients with </w:t>
      </w:r>
      <w:r w:rsidRPr="00043C03">
        <w:rPr>
          <w:lang w:eastAsia="en-US"/>
        </w:rPr>
        <w:t>lesions &gt;25</w:t>
      </w:r>
      <w:r>
        <w:rPr>
          <w:lang w:eastAsia="en-US"/>
        </w:rPr>
        <w:t> </w:t>
      </w:r>
      <w:r w:rsidRPr="00043C03">
        <w:rPr>
          <w:lang w:eastAsia="en-US"/>
        </w:rPr>
        <w:t>mm</w:t>
      </w:r>
      <w:r>
        <w:rPr>
          <w:lang w:eastAsia="en-US"/>
        </w:rPr>
        <w:t>, which can drive cost to the MBS up by 67%.</w:t>
      </w:r>
    </w:p>
    <w:p w14:paraId="4CC32374" w14:textId="7026D3B7" w:rsidR="00724C66" w:rsidRDefault="00724C66" w:rsidP="005268DF">
      <w:pPr>
        <w:spacing w:before="240"/>
      </w:pPr>
      <w:r>
        <w:rPr>
          <w:lang w:eastAsia="en-US"/>
        </w:rPr>
        <w:t>ESC also noted that it was assumed that listing of EMR will lead to a shift in the delivery of EMR in the public system from 70% of the patients to 50% because EMR now becomes available for private patients at no additional out-of-pocket costs. ESC noted t</w:t>
      </w:r>
      <w:r w:rsidRPr="00455987">
        <w:rPr>
          <w:lang w:eastAsia="en-US"/>
        </w:rPr>
        <w:t xml:space="preserve">here is an estimated increase in number of EMR procedures </w:t>
      </w:r>
      <w:r>
        <w:rPr>
          <w:lang w:eastAsia="en-US"/>
        </w:rPr>
        <w:t>even though</w:t>
      </w:r>
      <w:r w:rsidRPr="00455987">
        <w:rPr>
          <w:lang w:eastAsia="en-US"/>
        </w:rPr>
        <w:t xml:space="preserve"> EMR is </w:t>
      </w:r>
      <w:r>
        <w:rPr>
          <w:lang w:eastAsia="en-US"/>
        </w:rPr>
        <w:t xml:space="preserve">currently </w:t>
      </w:r>
      <w:r w:rsidRPr="00455987">
        <w:rPr>
          <w:lang w:eastAsia="en-US"/>
        </w:rPr>
        <w:t xml:space="preserve">the standard of care. This is explained by </w:t>
      </w:r>
      <w:r>
        <w:rPr>
          <w:lang w:eastAsia="en-US"/>
        </w:rPr>
        <w:t xml:space="preserve">expected </w:t>
      </w:r>
      <w:r w:rsidRPr="00455987">
        <w:rPr>
          <w:lang w:eastAsia="en-US"/>
        </w:rPr>
        <w:t>expanded access in</w:t>
      </w:r>
      <w:r>
        <w:rPr>
          <w:lang w:eastAsia="en-US"/>
        </w:rPr>
        <w:t xml:space="preserve"> the</w:t>
      </w:r>
      <w:r w:rsidRPr="00455987">
        <w:rPr>
          <w:lang w:eastAsia="en-US"/>
        </w:rPr>
        <w:t xml:space="preserve"> private sector</w:t>
      </w:r>
      <w:r>
        <w:rPr>
          <w:lang w:eastAsia="en-US"/>
        </w:rPr>
        <w:t>, but it is unclear why that is the expectation.</w:t>
      </w:r>
      <w:r w:rsidRPr="00455987">
        <w:rPr>
          <w:lang w:eastAsia="en-US"/>
        </w:rPr>
        <w:t xml:space="preserve"> </w:t>
      </w:r>
      <w:r>
        <w:t>ESC noted that e</w:t>
      </w:r>
      <w:r w:rsidRPr="00043C03">
        <w:t>xperts estimate a significant number of EMRs will still be performed in public hospitals.</w:t>
      </w:r>
      <w:r>
        <w:t xml:space="preserve"> Overall, ESC considered the degree of cost shifting was uncertain and could bene</w:t>
      </w:r>
      <w:r w:rsidR="005268DF">
        <w:t>fit from further clarification.</w:t>
      </w:r>
    </w:p>
    <w:p w14:paraId="75340196" w14:textId="77777777" w:rsidR="00724C66" w:rsidRDefault="00724C66" w:rsidP="005268DF">
      <w:pPr>
        <w:spacing w:before="240"/>
        <w:rPr>
          <w:lang w:eastAsia="en-US"/>
        </w:rPr>
      </w:pPr>
      <w:r>
        <w:t>ESC considered that if EMR is mainly done as day surgery it would be reasonable for it to be subject to a cap on Extended Medicare Safety Net (EMSN) benefits.</w:t>
      </w:r>
    </w:p>
    <w:p w14:paraId="65E94BB3" w14:textId="77777777" w:rsidR="00D90A38" w:rsidRPr="00F715D1" w:rsidRDefault="00BC1364" w:rsidP="00F715D1">
      <w:pPr>
        <w:pStyle w:val="Heading1"/>
      </w:pPr>
      <w:r w:rsidRPr="00F715D1">
        <w:t>Other significant factors</w:t>
      </w:r>
    </w:p>
    <w:p w14:paraId="420A09EA" w14:textId="77777777" w:rsidR="00BC1364" w:rsidRPr="00724C66" w:rsidRDefault="00724C66" w:rsidP="00F715D1">
      <w:pPr>
        <w:spacing w:after="240"/>
        <w:rPr>
          <w:szCs w:val="24"/>
        </w:rPr>
      </w:pPr>
      <w:r w:rsidRPr="00724C66">
        <w:rPr>
          <w:szCs w:val="24"/>
        </w:rPr>
        <w:t>Nil.</w:t>
      </w:r>
    </w:p>
    <w:p w14:paraId="162B2177"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0FAF8256" w14:textId="553F3CF5" w:rsidR="00BC1364" w:rsidRPr="00D032B1" w:rsidRDefault="00D032B1" w:rsidP="00D032B1">
      <w:pPr>
        <w:autoSpaceDE w:val="0"/>
        <w:autoSpaceDN w:val="0"/>
        <w:adjustRightInd w:val="0"/>
        <w:rPr>
          <w:szCs w:val="24"/>
        </w:rPr>
      </w:pPr>
      <w:r w:rsidRPr="00D032B1">
        <w:rPr>
          <w:szCs w:val="24"/>
        </w:rPr>
        <w:t>We thank you for the opportunity to review the Public Summary Document (PSD) for A</w:t>
      </w:r>
      <w:r>
        <w:rPr>
          <w:szCs w:val="24"/>
        </w:rPr>
        <w:t>pplication 1559</w:t>
      </w:r>
      <w:r w:rsidRPr="00D032B1">
        <w:rPr>
          <w:szCs w:val="24"/>
        </w:rPr>
        <w:t xml:space="preserve">. We find the document to be accurate according to the current published evidence. We support the current proposed wording of the item descriptor in relation to EMR. </w:t>
      </w:r>
    </w:p>
    <w:p w14:paraId="5B27E83E" w14:textId="77777777" w:rsidR="00BC1364" w:rsidRPr="00F715D1" w:rsidRDefault="00271F18" w:rsidP="00F715D1">
      <w:pPr>
        <w:pStyle w:val="Heading1"/>
      </w:pPr>
      <w:r w:rsidRPr="00F715D1">
        <w:t>Further information on MSAC</w:t>
      </w:r>
    </w:p>
    <w:p w14:paraId="25058BE9"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6" w:tooltip="Link to Medical Services Advisory Committee website" w:history="1">
        <w:r w:rsidR="00BC2667" w:rsidRPr="00F715D1">
          <w:rPr>
            <w:rStyle w:val="Hyperlink"/>
            <w:szCs w:val="24"/>
          </w:rPr>
          <w:t>visit the MSAC website</w:t>
        </w:r>
      </w:hyperlink>
      <w:bookmarkStart w:id="34" w:name="_GoBack"/>
      <w:bookmarkEnd w:id="34"/>
    </w:p>
    <w:sectPr w:rsidR="00BC1364" w:rsidRPr="00F715D1" w:rsidSect="00271F18">
      <w:headerReference w:type="even" r:id="rId17"/>
      <w:headerReference w:type="default" r:id="rId18"/>
      <w:footerReference w:type="even" r:id="rId19"/>
      <w:footerReference w:type="default" r:id="rId20"/>
      <w:headerReference w:type="first" r:id="rId21"/>
      <w:footerReference w:type="first" r:id="rId22"/>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3D4A1" w16cex:dateUtc="2020-08-28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66B7A0" w16cid:durableId="22F3D4A1"/>
  <w16cid:commentId w16cid:paraId="507804D9" w16cid:durableId="22EA914F"/>
  <w16cid:commentId w16cid:paraId="131E8A80" w16cid:durableId="22EA9150"/>
  <w16cid:commentId w16cid:paraId="7F5DCA46" w16cid:durableId="22F3D3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F5157" w14:textId="77777777" w:rsidR="003F2060" w:rsidRDefault="003F2060" w:rsidP="00065623">
      <w:r>
        <w:separator/>
      </w:r>
    </w:p>
  </w:endnote>
  <w:endnote w:type="continuationSeparator" w:id="0">
    <w:p w14:paraId="5BB07683" w14:textId="77777777" w:rsidR="003F2060" w:rsidRDefault="003F206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C785" w14:textId="77777777" w:rsidR="00B32829" w:rsidRDefault="00B32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536EDDD4" w14:textId="0E638400" w:rsidR="003F2060" w:rsidRDefault="003F2060">
        <w:pPr>
          <w:pStyle w:val="Footer"/>
          <w:jc w:val="right"/>
        </w:pPr>
        <w:r>
          <w:fldChar w:fldCharType="begin"/>
        </w:r>
        <w:r>
          <w:instrText xml:space="preserve"> PAGE   \* MERGEFORMAT </w:instrText>
        </w:r>
        <w:r>
          <w:fldChar w:fldCharType="separate"/>
        </w:r>
        <w:r w:rsidR="00A404D6">
          <w:rPr>
            <w:noProof/>
          </w:rPr>
          <w:t>19</w:t>
        </w:r>
        <w:r>
          <w:rPr>
            <w:noProof/>
          </w:rPr>
          <w:fldChar w:fldCharType="end"/>
        </w:r>
      </w:p>
    </w:sdtContent>
  </w:sdt>
  <w:p w14:paraId="5F40F6B0" w14:textId="77777777" w:rsidR="003F2060" w:rsidRDefault="003F2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65CA" w14:textId="77777777" w:rsidR="00B32829" w:rsidRDefault="00B32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1E44F" w14:textId="77777777" w:rsidR="003F2060" w:rsidRDefault="003F2060" w:rsidP="00065623">
      <w:r>
        <w:separator/>
      </w:r>
    </w:p>
  </w:footnote>
  <w:footnote w:type="continuationSeparator" w:id="0">
    <w:p w14:paraId="7DF7FEAA" w14:textId="77777777" w:rsidR="003F2060" w:rsidRDefault="003F2060" w:rsidP="00065623">
      <w:r>
        <w:continuationSeparator/>
      </w:r>
    </w:p>
  </w:footnote>
  <w:footnote w:id="1">
    <w:p w14:paraId="521BE306" w14:textId="7DF63E65" w:rsidR="003F2060" w:rsidRDefault="003F2060">
      <w:pPr>
        <w:pStyle w:val="FootnoteText"/>
      </w:pPr>
      <w:r>
        <w:rPr>
          <w:rStyle w:val="FootnoteReference"/>
        </w:rPr>
        <w:footnoteRef/>
      </w:r>
      <w:r>
        <w:t xml:space="preserve"> </w:t>
      </w:r>
      <w:r w:rsidRPr="0032451D">
        <w:t>Sidhu, M., Tate, D. J., Desomer, L., Brown, G., Hourigan, L. F., Lee, E. Y. T., Moss, A., Raftopoulos, S., Singh, R., Williams, S. J., Zanati, S., Burgess, N. &amp; Bourke, M. J. 2018. The size, morphology, site, and access score predicts critical outcomes of endoscopic mucosal resection in the colon. Endoscopy, 50, 684-692.</w:t>
      </w:r>
    </w:p>
  </w:footnote>
  <w:footnote w:id="2">
    <w:p w14:paraId="12E1488E" w14:textId="56E1B5F3" w:rsidR="003F2060" w:rsidRDefault="003F2060">
      <w:pPr>
        <w:pStyle w:val="FootnoteText"/>
      </w:pPr>
      <w:r>
        <w:rPr>
          <w:rStyle w:val="FootnoteReference"/>
        </w:rPr>
        <w:footnoteRef/>
      </w:r>
      <w:r>
        <w:t xml:space="preserve"> </w:t>
      </w:r>
      <w:r w:rsidRPr="0032451D">
        <w:t>Bahin, F. F., Rasouli, K. N., Byth, K., Hourigan, L. F., Singh, R., Brown, G. J., Zanati, S. A., Moss, A., Raftopoulos, S., Williams, S. J. &amp; Bourke, M. J. 2016. Prediction of Clinically Significant Bleeding Following Wide-Field Endoscopic Resection of Large Sessile and Laterally Spreading Colorectal Lesions: A Clinical Risk Score. A</w:t>
      </w:r>
      <w:r>
        <w:t>m J Gastroenterol, 111, 1115-22.</w:t>
      </w:r>
    </w:p>
  </w:footnote>
  <w:footnote w:id="3">
    <w:p w14:paraId="67A92E39" w14:textId="0AE0F6BA" w:rsidR="003F2060" w:rsidRDefault="003F2060">
      <w:pPr>
        <w:pStyle w:val="FootnoteText"/>
      </w:pPr>
      <w:r>
        <w:rPr>
          <w:rStyle w:val="FootnoteReference"/>
        </w:rPr>
        <w:footnoteRef/>
      </w:r>
      <w:r>
        <w:t xml:space="preserve"> </w:t>
      </w:r>
      <w:r w:rsidRPr="0032451D">
        <w:t>Moss, A., Williams, S. J., Hourigan, L. F., Brown, G., Tam, W., Singh, R., Zanati, S., Burgess, N. G., Sonson, R., Byth, K. &amp; Bourke, M. J. 2015. Long-term adenoma recurrence following wide-field endoscopic mucosal resection (WF-EMR) for advanced colonic mucosal neoplasia is infrequent: results and risk factors in 1000 cases from the Australian Colonic EMR (ACE) study. Gut, 64, 57-65.</w:t>
      </w:r>
    </w:p>
  </w:footnote>
  <w:footnote w:id="4">
    <w:p w14:paraId="605F3B37" w14:textId="4CBDC8D9" w:rsidR="003F2060" w:rsidRDefault="003F2060">
      <w:pPr>
        <w:pStyle w:val="FootnoteText"/>
      </w:pPr>
      <w:r>
        <w:rPr>
          <w:rStyle w:val="FootnoteReference"/>
        </w:rPr>
        <w:footnoteRef/>
      </w:r>
      <w:r>
        <w:t xml:space="preserve"> </w:t>
      </w:r>
      <w:r w:rsidRPr="0032451D">
        <w:t>Tate, D. J., Desomer, L., Hourigan, L. F., Moss, A., Singh, R. &amp; Bourke, M. J. 2017. Two-stage endoscopic mucosal resection is a safe and effective salvage therapy after a failed single-session approach. Endoscopy, 49, 888-898.</w:t>
      </w:r>
    </w:p>
  </w:footnote>
  <w:footnote w:id="5">
    <w:p w14:paraId="406F8625" w14:textId="0D1E7AAB" w:rsidR="003F2060" w:rsidRDefault="003F2060">
      <w:pPr>
        <w:pStyle w:val="FootnoteText"/>
      </w:pPr>
      <w:r>
        <w:rPr>
          <w:rStyle w:val="FootnoteReference"/>
        </w:rPr>
        <w:footnoteRef/>
      </w:r>
      <w:r>
        <w:t xml:space="preserve"> </w:t>
      </w:r>
      <w:r w:rsidRPr="00C951FC">
        <w:t>De neree tot babberich, M. P. M., Bronzwaer, M. E. S., Andriessen, J. O., Bastiaansen, B. A. J., Mostafavi, N., Bemelman, W. A., Fockens, P., Tanis, P. J. &amp; Dekker, E. 2019. Outcomes of surgical resections for benign colon polyps: a systematic review. Endoscopy, 51, 961-972.</w:t>
      </w:r>
    </w:p>
  </w:footnote>
  <w:footnote w:id="6">
    <w:p w14:paraId="5A6B046B" w14:textId="21915F15" w:rsidR="003F2060" w:rsidRDefault="003F2060">
      <w:pPr>
        <w:pStyle w:val="FootnoteText"/>
      </w:pPr>
      <w:r>
        <w:rPr>
          <w:rStyle w:val="FootnoteReference"/>
        </w:rPr>
        <w:footnoteRef/>
      </w:r>
      <w:r>
        <w:t xml:space="preserve"> </w:t>
      </w:r>
      <w:r w:rsidRPr="00AC446B">
        <w:t>Knabe, M., Pohl, J., Gerges, C., Ell, C., Neuhaus, H. &amp; Schumacher, B. 2014. Standardized long-term follow-up after endoscopic resection of large, nonpedunculated colorectal lesions: a prospective two-center study. Am J Gastroenterol, 109, 183-9.</w:t>
      </w:r>
    </w:p>
  </w:footnote>
  <w:footnote w:id="7">
    <w:p w14:paraId="2EED4588" w14:textId="01E91BA3" w:rsidR="003F2060" w:rsidRDefault="003F2060">
      <w:pPr>
        <w:pStyle w:val="FootnoteText"/>
      </w:pPr>
      <w:r>
        <w:rPr>
          <w:rStyle w:val="FootnoteReference"/>
        </w:rPr>
        <w:footnoteRef/>
      </w:r>
      <w:r>
        <w:t xml:space="preserve"> </w:t>
      </w:r>
      <w:r w:rsidRPr="00AC446B">
        <w:t>Law, R., Das, A., Gregory, D., Komanduri, S., Muthusamy, R., Rastogi, A., Vargo, J., Wallace, M. B., Raju, G. S., Mounzer, R., Klapman, J., Shah, J., Watson, R., Wilson, R., Edmundowicz, S. A. &amp; Wani, S. 2016. Endoscopic resection is cost-effective compared with laparoscopic resection in the management of complex colon polyps: an economic analysis. Gastrointest Endosc, 83, 1248-57.</w:t>
      </w:r>
    </w:p>
  </w:footnote>
  <w:footnote w:id="8">
    <w:p w14:paraId="7AE2BFA2" w14:textId="3E309A07" w:rsidR="003F2060" w:rsidRDefault="003F2060">
      <w:pPr>
        <w:pStyle w:val="FootnoteText"/>
      </w:pPr>
      <w:r>
        <w:rPr>
          <w:rStyle w:val="FootnoteReference"/>
        </w:rPr>
        <w:footnoteRef/>
      </w:r>
      <w:r>
        <w:t xml:space="preserve"> </w:t>
      </w:r>
      <w:r w:rsidRPr="00AC446B">
        <w:t>Jayanna, M., Burgess, N. G., Singh, R., Hourigan, L. F., Brown, G. J., Zanati, S. A., Moss, A., Lim, J., Sonson, R., Williams, S. J. &amp; Bourke, M. J. 2016. Cost Analysis of Endoscopic Mucosal Resection vs Surgery for Large Laterally Spreading Colorectal Lesions. Clin Gastroenterol Hepatol, 14, 271-8.e1-2.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ACD0D" w14:textId="77777777" w:rsidR="00B32829" w:rsidRDefault="00B32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7826C" w14:textId="77777777" w:rsidR="00B32829" w:rsidRDefault="00B32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F9B8" w14:textId="77777777" w:rsidR="00B32829" w:rsidRDefault="00B32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9004970"/>
    <w:multiLevelType w:val="hybridMultilevel"/>
    <w:tmpl w:val="4B020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BA1904"/>
    <w:multiLevelType w:val="hybridMultilevel"/>
    <w:tmpl w:val="B658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6FBA0B51"/>
    <w:multiLevelType w:val="hybridMultilevel"/>
    <w:tmpl w:val="ED38208A"/>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3F0466"/>
    <w:multiLevelType w:val="hybridMultilevel"/>
    <w:tmpl w:val="EC8C3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
  </w:num>
  <w:num w:numId="4">
    <w:abstractNumId w:val="17"/>
  </w:num>
  <w:num w:numId="5">
    <w:abstractNumId w:val="10"/>
  </w:num>
  <w:num w:numId="6">
    <w:abstractNumId w:val="16"/>
  </w:num>
  <w:num w:numId="7">
    <w:abstractNumId w:val="20"/>
  </w:num>
  <w:num w:numId="8">
    <w:abstractNumId w:val="11"/>
  </w:num>
  <w:num w:numId="9">
    <w:abstractNumId w:val="28"/>
  </w:num>
  <w:num w:numId="10">
    <w:abstractNumId w:val="0"/>
  </w:num>
  <w:num w:numId="11">
    <w:abstractNumId w:val="19"/>
  </w:num>
  <w:num w:numId="12">
    <w:abstractNumId w:val="21"/>
  </w:num>
  <w:num w:numId="13">
    <w:abstractNumId w:val="5"/>
  </w:num>
  <w:num w:numId="14">
    <w:abstractNumId w:val="2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3"/>
  </w:num>
  <w:num w:numId="22">
    <w:abstractNumId w:val="9"/>
  </w:num>
  <w:num w:numId="23">
    <w:abstractNumId w:val="2"/>
  </w:num>
  <w:num w:numId="24">
    <w:abstractNumId w:val="8"/>
  </w:num>
  <w:num w:numId="25">
    <w:abstractNumId w:val="6"/>
  </w:num>
  <w:num w:numId="26">
    <w:abstractNumId w:val="4"/>
  </w:num>
  <w:num w:numId="27">
    <w:abstractNumId w:val="13"/>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317F2"/>
    <w:rsid w:val="00047606"/>
    <w:rsid w:val="00065623"/>
    <w:rsid w:val="000756B9"/>
    <w:rsid w:val="00096B67"/>
    <w:rsid w:val="00096DAF"/>
    <w:rsid w:val="000C2F47"/>
    <w:rsid w:val="000C4703"/>
    <w:rsid w:val="000D2B9A"/>
    <w:rsid w:val="000D6C00"/>
    <w:rsid w:val="000D7703"/>
    <w:rsid w:val="000E0BAC"/>
    <w:rsid w:val="000E4E04"/>
    <w:rsid w:val="000F14B4"/>
    <w:rsid w:val="000F75DF"/>
    <w:rsid w:val="001023DC"/>
    <w:rsid w:val="00107AB2"/>
    <w:rsid w:val="001325AB"/>
    <w:rsid w:val="001328FA"/>
    <w:rsid w:val="00147AAF"/>
    <w:rsid w:val="001552C0"/>
    <w:rsid w:val="001578F3"/>
    <w:rsid w:val="001630A8"/>
    <w:rsid w:val="001640B1"/>
    <w:rsid w:val="001842B7"/>
    <w:rsid w:val="0018435E"/>
    <w:rsid w:val="001865F9"/>
    <w:rsid w:val="0019012E"/>
    <w:rsid w:val="001905B1"/>
    <w:rsid w:val="001B3D22"/>
    <w:rsid w:val="001D33D5"/>
    <w:rsid w:val="001D7EB5"/>
    <w:rsid w:val="002041A1"/>
    <w:rsid w:val="002054F0"/>
    <w:rsid w:val="00216376"/>
    <w:rsid w:val="00230D6B"/>
    <w:rsid w:val="00232068"/>
    <w:rsid w:val="002330F2"/>
    <w:rsid w:val="002424EB"/>
    <w:rsid w:val="00243D9E"/>
    <w:rsid w:val="00253B66"/>
    <w:rsid w:val="00261DF1"/>
    <w:rsid w:val="00271F18"/>
    <w:rsid w:val="0028237B"/>
    <w:rsid w:val="00282779"/>
    <w:rsid w:val="0028334D"/>
    <w:rsid w:val="002840BA"/>
    <w:rsid w:val="0029519F"/>
    <w:rsid w:val="00296158"/>
    <w:rsid w:val="002B62D4"/>
    <w:rsid w:val="002B7FFA"/>
    <w:rsid w:val="002C2BCF"/>
    <w:rsid w:val="002E23E1"/>
    <w:rsid w:val="002E445C"/>
    <w:rsid w:val="002F279D"/>
    <w:rsid w:val="002F43B8"/>
    <w:rsid w:val="0031589D"/>
    <w:rsid w:val="0032451D"/>
    <w:rsid w:val="00336856"/>
    <w:rsid w:val="0034554D"/>
    <w:rsid w:val="00352224"/>
    <w:rsid w:val="00352B34"/>
    <w:rsid w:val="003671E6"/>
    <w:rsid w:val="00373377"/>
    <w:rsid w:val="00376352"/>
    <w:rsid w:val="00384272"/>
    <w:rsid w:val="00386D67"/>
    <w:rsid w:val="003902AE"/>
    <w:rsid w:val="003922AF"/>
    <w:rsid w:val="003945B8"/>
    <w:rsid w:val="003A3E95"/>
    <w:rsid w:val="003A6859"/>
    <w:rsid w:val="003D36CF"/>
    <w:rsid w:val="003D7F29"/>
    <w:rsid w:val="003E70F4"/>
    <w:rsid w:val="003F2060"/>
    <w:rsid w:val="00405A6B"/>
    <w:rsid w:val="00407B1F"/>
    <w:rsid w:val="00410DF4"/>
    <w:rsid w:val="0041184F"/>
    <w:rsid w:val="00414C57"/>
    <w:rsid w:val="00415C44"/>
    <w:rsid w:val="0041758C"/>
    <w:rsid w:val="00444EE3"/>
    <w:rsid w:val="004539DE"/>
    <w:rsid w:val="004805CE"/>
    <w:rsid w:val="004A2CF1"/>
    <w:rsid w:val="004A47B4"/>
    <w:rsid w:val="004B286A"/>
    <w:rsid w:val="004B4617"/>
    <w:rsid w:val="004C29F9"/>
    <w:rsid w:val="004C3035"/>
    <w:rsid w:val="004C307F"/>
    <w:rsid w:val="004C6F97"/>
    <w:rsid w:val="004E13F1"/>
    <w:rsid w:val="004E4BA8"/>
    <w:rsid w:val="004E54F0"/>
    <w:rsid w:val="004F26FA"/>
    <w:rsid w:val="004F340F"/>
    <w:rsid w:val="004F3D54"/>
    <w:rsid w:val="004F6D0F"/>
    <w:rsid w:val="004F7B7C"/>
    <w:rsid w:val="005171A0"/>
    <w:rsid w:val="0052243D"/>
    <w:rsid w:val="005229F5"/>
    <w:rsid w:val="005268DF"/>
    <w:rsid w:val="00532435"/>
    <w:rsid w:val="005371C0"/>
    <w:rsid w:val="00550354"/>
    <w:rsid w:val="00571236"/>
    <w:rsid w:val="005842C6"/>
    <w:rsid w:val="005953A1"/>
    <w:rsid w:val="005A4362"/>
    <w:rsid w:val="005B5434"/>
    <w:rsid w:val="005C2681"/>
    <w:rsid w:val="005C540D"/>
    <w:rsid w:val="005D0332"/>
    <w:rsid w:val="005D0D8C"/>
    <w:rsid w:val="00612172"/>
    <w:rsid w:val="0062156F"/>
    <w:rsid w:val="00640A46"/>
    <w:rsid w:val="006462B8"/>
    <w:rsid w:val="00655299"/>
    <w:rsid w:val="0067055E"/>
    <w:rsid w:val="006776AE"/>
    <w:rsid w:val="00677F34"/>
    <w:rsid w:val="00697685"/>
    <w:rsid w:val="006A0D97"/>
    <w:rsid w:val="006B1F86"/>
    <w:rsid w:val="006C0A91"/>
    <w:rsid w:val="006C4BBF"/>
    <w:rsid w:val="007054BB"/>
    <w:rsid w:val="00707064"/>
    <w:rsid w:val="00724C12"/>
    <w:rsid w:val="00724C66"/>
    <w:rsid w:val="00730683"/>
    <w:rsid w:val="0075261F"/>
    <w:rsid w:val="0075468E"/>
    <w:rsid w:val="00757328"/>
    <w:rsid w:val="007665D8"/>
    <w:rsid w:val="00766E36"/>
    <w:rsid w:val="007765F4"/>
    <w:rsid w:val="00776633"/>
    <w:rsid w:val="00784D53"/>
    <w:rsid w:val="007865B8"/>
    <w:rsid w:val="00797797"/>
    <w:rsid w:val="007A63C9"/>
    <w:rsid w:val="007B32D1"/>
    <w:rsid w:val="007B7095"/>
    <w:rsid w:val="007D24E1"/>
    <w:rsid w:val="007D6288"/>
    <w:rsid w:val="007D63F2"/>
    <w:rsid w:val="007F4CE9"/>
    <w:rsid w:val="007F4E20"/>
    <w:rsid w:val="007F4E24"/>
    <w:rsid w:val="008013DF"/>
    <w:rsid w:val="00822C7E"/>
    <w:rsid w:val="00826A2F"/>
    <w:rsid w:val="00847060"/>
    <w:rsid w:val="00847A36"/>
    <w:rsid w:val="00856A33"/>
    <w:rsid w:val="00873793"/>
    <w:rsid w:val="0087527B"/>
    <w:rsid w:val="00883EAC"/>
    <w:rsid w:val="00892620"/>
    <w:rsid w:val="008C778E"/>
    <w:rsid w:val="008C7D37"/>
    <w:rsid w:val="008D5885"/>
    <w:rsid w:val="008D5FAC"/>
    <w:rsid w:val="008F13C8"/>
    <w:rsid w:val="008F76D0"/>
    <w:rsid w:val="0090039E"/>
    <w:rsid w:val="0090599A"/>
    <w:rsid w:val="00923FA2"/>
    <w:rsid w:val="0092613A"/>
    <w:rsid w:val="00931A25"/>
    <w:rsid w:val="009430CD"/>
    <w:rsid w:val="00954D15"/>
    <w:rsid w:val="0096060D"/>
    <w:rsid w:val="00974A50"/>
    <w:rsid w:val="0097585A"/>
    <w:rsid w:val="00980CF5"/>
    <w:rsid w:val="009924B0"/>
    <w:rsid w:val="009942C9"/>
    <w:rsid w:val="009A19C2"/>
    <w:rsid w:val="009A210E"/>
    <w:rsid w:val="009A3B02"/>
    <w:rsid w:val="009A48A5"/>
    <w:rsid w:val="009B35C4"/>
    <w:rsid w:val="009C596F"/>
    <w:rsid w:val="009C630A"/>
    <w:rsid w:val="009E0D98"/>
    <w:rsid w:val="009E369F"/>
    <w:rsid w:val="009E6BA8"/>
    <w:rsid w:val="00A068A1"/>
    <w:rsid w:val="00A1207D"/>
    <w:rsid w:val="00A12FD8"/>
    <w:rsid w:val="00A346FC"/>
    <w:rsid w:val="00A404D6"/>
    <w:rsid w:val="00A46D77"/>
    <w:rsid w:val="00A6376C"/>
    <w:rsid w:val="00A846F2"/>
    <w:rsid w:val="00A84F93"/>
    <w:rsid w:val="00A90165"/>
    <w:rsid w:val="00AB1AC5"/>
    <w:rsid w:val="00AB3BFC"/>
    <w:rsid w:val="00AC446B"/>
    <w:rsid w:val="00AC4F2E"/>
    <w:rsid w:val="00AD0C37"/>
    <w:rsid w:val="00AD385F"/>
    <w:rsid w:val="00AD7D22"/>
    <w:rsid w:val="00AE6E2A"/>
    <w:rsid w:val="00AF2204"/>
    <w:rsid w:val="00B03EAB"/>
    <w:rsid w:val="00B15C08"/>
    <w:rsid w:val="00B31E9C"/>
    <w:rsid w:val="00B32829"/>
    <w:rsid w:val="00B35595"/>
    <w:rsid w:val="00B51C6D"/>
    <w:rsid w:val="00B65A25"/>
    <w:rsid w:val="00B661C1"/>
    <w:rsid w:val="00B83DD2"/>
    <w:rsid w:val="00B86D64"/>
    <w:rsid w:val="00B87E79"/>
    <w:rsid w:val="00B94BD9"/>
    <w:rsid w:val="00BA4AC5"/>
    <w:rsid w:val="00BC1364"/>
    <w:rsid w:val="00BC25D2"/>
    <w:rsid w:val="00BC2667"/>
    <w:rsid w:val="00BC7DE9"/>
    <w:rsid w:val="00BF479B"/>
    <w:rsid w:val="00C02577"/>
    <w:rsid w:val="00C027F3"/>
    <w:rsid w:val="00C06B0B"/>
    <w:rsid w:val="00C204FB"/>
    <w:rsid w:val="00C20BEE"/>
    <w:rsid w:val="00C2158D"/>
    <w:rsid w:val="00C31E54"/>
    <w:rsid w:val="00C3436D"/>
    <w:rsid w:val="00C437A1"/>
    <w:rsid w:val="00C67DD2"/>
    <w:rsid w:val="00C725CB"/>
    <w:rsid w:val="00C76F5C"/>
    <w:rsid w:val="00C951FC"/>
    <w:rsid w:val="00C96BAD"/>
    <w:rsid w:val="00CA2C7C"/>
    <w:rsid w:val="00CA6944"/>
    <w:rsid w:val="00CB0F8E"/>
    <w:rsid w:val="00CB2526"/>
    <w:rsid w:val="00CB7E7D"/>
    <w:rsid w:val="00CC2911"/>
    <w:rsid w:val="00CF0C6D"/>
    <w:rsid w:val="00CF4E81"/>
    <w:rsid w:val="00CF7307"/>
    <w:rsid w:val="00CF7C68"/>
    <w:rsid w:val="00D032B1"/>
    <w:rsid w:val="00D036F8"/>
    <w:rsid w:val="00D06D48"/>
    <w:rsid w:val="00D124FA"/>
    <w:rsid w:val="00D16877"/>
    <w:rsid w:val="00D340DE"/>
    <w:rsid w:val="00D440E1"/>
    <w:rsid w:val="00D55723"/>
    <w:rsid w:val="00D62934"/>
    <w:rsid w:val="00D62FAD"/>
    <w:rsid w:val="00D64355"/>
    <w:rsid w:val="00D70450"/>
    <w:rsid w:val="00D83BFD"/>
    <w:rsid w:val="00D87164"/>
    <w:rsid w:val="00D90A38"/>
    <w:rsid w:val="00D95739"/>
    <w:rsid w:val="00DA0515"/>
    <w:rsid w:val="00DA171E"/>
    <w:rsid w:val="00DA56AA"/>
    <w:rsid w:val="00DB5833"/>
    <w:rsid w:val="00DD2858"/>
    <w:rsid w:val="00DF489D"/>
    <w:rsid w:val="00DF5EB9"/>
    <w:rsid w:val="00DF608B"/>
    <w:rsid w:val="00E03E33"/>
    <w:rsid w:val="00E03F98"/>
    <w:rsid w:val="00E059E0"/>
    <w:rsid w:val="00E23F6D"/>
    <w:rsid w:val="00E3642A"/>
    <w:rsid w:val="00E415C4"/>
    <w:rsid w:val="00E50016"/>
    <w:rsid w:val="00E50EAA"/>
    <w:rsid w:val="00E656D6"/>
    <w:rsid w:val="00E701BF"/>
    <w:rsid w:val="00E70D1B"/>
    <w:rsid w:val="00E977EE"/>
    <w:rsid w:val="00EA2F24"/>
    <w:rsid w:val="00EA486E"/>
    <w:rsid w:val="00EA5C0E"/>
    <w:rsid w:val="00EA67A2"/>
    <w:rsid w:val="00EB630F"/>
    <w:rsid w:val="00EB6B6F"/>
    <w:rsid w:val="00EC16AC"/>
    <w:rsid w:val="00EC3CF2"/>
    <w:rsid w:val="00EC4F98"/>
    <w:rsid w:val="00EF30A8"/>
    <w:rsid w:val="00F0115E"/>
    <w:rsid w:val="00F027B2"/>
    <w:rsid w:val="00F042A8"/>
    <w:rsid w:val="00F05912"/>
    <w:rsid w:val="00F12F02"/>
    <w:rsid w:val="00F32E0D"/>
    <w:rsid w:val="00F35134"/>
    <w:rsid w:val="00F37B9C"/>
    <w:rsid w:val="00F41812"/>
    <w:rsid w:val="00F53620"/>
    <w:rsid w:val="00F56D7F"/>
    <w:rsid w:val="00F715D1"/>
    <w:rsid w:val="00F72715"/>
    <w:rsid w:val="00F73333"/>
    <w:rsid w:val="00F74C2E"/>
    <w:rsid w:val="00F878CB"/>
    <w:rsid w:val="00F95D8F"/>
    <w:rsid w:val="00FB350A"/>
    <w:rsid w:val="00FB4C5D"/>
    <w:rsid w:val="00FD0063"/>
    <w:rsid w:val="00FE1C3F"/>
    <w:rsid w:val="00FE731D"/>
    <w:rsid w:val="00FF6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4C1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BC25D2"/>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BC25D2"/>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724C66"/>
    <w:pPr>
      <w:keepNext/>
      <w:spacing w:before="40" w:after="40"/>
      <w:ind w:left="57"/>
    </w:pPr>
    <w:rPr>
      <w:rFonts w:ascii="Arial Narrow" w:hAnsi="Arial Narrow" w:cs="Tahoma"/>
      <w:b/>
      <w:sz w:val="20"/>
    </w:rPr>
  </w:style>
  <w:style w:type="character" w:customStyle="1" w:styleId="TableHeadingChar">
    <w:name w:val="TableHeading Char"/>
    <w:link w:val="TableHeading"/>
    <w:rsid w:val="00724C66"/>
    <w:rPr>
      <w:rFonts w:ascii="Arial Narrow" w:eastAsia="Times New Roman" w:hAnsi="Arial Narrow" w:cs="Tahoma"/>
      <w:b/>
      <w:sz w:val="20"/>
      <w:szCs w:val="20"/>
    </w:rPr>
  </w:style>
  <w:style w:type="paragraph" w:customStyle="1" w:styleId="TableText">
    <w:name w:val="TableText"/>
    <w:basedOn w:val="Normal"/>
    <w:rsid w:val="00724C66"/>
    <w:pPr>
      <w:keepNext/>
      <w:spacing w:before="60" w:after="60"/>
    </w:pPr>
    <w:rPr>
      <w:color w:val="000000"/>
      <w:sz w:val="21"/>
      <w:szCs w:val="21"/>
    </w:rPr>
  </w:style>
  <w:style w:type="character" w:customStyle="1" w:styleId="ListParagraphChar">
    <w:name w:val="List Paragraph Char"/>
    <w:aliases w:val="Styl moj Char,Akapit z listą1 Char,Akapit z listą11 Char"/>
    <w:link w:val="ListParagraph"/>
    <w:uiPriority w:val="34"/>
    <w:rsid w:val="00724C66"/>
    <w:rPr>
      <w:rFonts w:eastAsia="Times New Roman"/>
      <w:sz w:val="24"/>
      <w:szCs w:val="20"/>
    </w:rPr>
  </w:style>
  <w:style w:type="paragraph" w:styleId="Caption">
    <w:name w:val="caption"/>
    <w:aliases w:val="Table and Figure Name,Table and Figure name,Caption Char2 Char,Caption Char Char Char2,Caption Char1 Char Char Char1,Caption Char2 Char Char Char1 Char1,Caption Char Char1 Char Char Char1 CharUse this1,Caption Char1 Char Char Char Char Char Char"/>
    <w:basedOn w:val="Normal"/>
    <w:next w:val="Normal"/>
    <w:link w:val="CaptionChar"/>
    <w:uiPriority w:val="99"/>
    <w:qFormat/>
    <w:locked/>
    <w:rsid w:val="00724C66"/>
    <w:pPr>
      <w:keepNext/>
      <w:spacing w:after="120"/>
      <w:outlineLvl w:val="4"/>
    </w:pPr>
    <w:rPr>
      <w:rFonts w:ascii="Arial Narrow" w:hAnsi="Arial Narrow" w:cs="Tahoma"/>
      <w:b/>
      <w:bCs/>
      <w:sz w:val="20"/>
      <w:szCs w:val="22"/>
    </w:rPr>
  </w:style>
  <w:style w:type="paragraph" w:customStyle="1" w:styleId="Tabletext0">
    <w:name w:val="Table text"/>
    <w:basedOn w:val="Normal"/>
    <w:link w:val="TabletextChar"/>
    <w:qFormat/>
    <w:rsid w:val="00724C66"/>
    <w:pPr>
      <w:spacing w:before="40" w:after="40"/>
      <w:ind w:left="57"/>
      <w:contextualSpacing/>
    </w:pPr>
    <w:rPr>
      <w:rFonts w:ascii="Arial Narrow" w:hAnsi="Arial Narrow" w:cs="Tahoma"/>
      <w:sz w:val="20"/>
    </w:rPr>
  </w:style>
  <w:style w:type="character" w:customStyle="1" w:styleId="TabletextChar">
    <w:name w:val="Table text Char"/>
    <w:link w:val="Tabletext0"/>
    <w:rsid w:val="00724C66"/>
    <w:rPr>
      <w:rFonts w:ascii="Arial Narrow" w:eastAsia="Times New Roman" w:hAnsi="Arial Narrow" w:cs="Tahoma"/>
      <w:sz w:val="20"/>
      <w:szCs w:val="20"/>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Use this1 Char"/>
    <w:link w:val="Caption"/>
    <w:uiPriority w:val="99"/>
    <w:locked/>
    <w:rsid w:val="00724C66"/>
    <w:rPr>
      <w:rFonts w:ascii="Arial Narrow" w:eastAsia="Times New Roman" w:hAnsi="Arial Narrow" w:cs="Tahoma"/>
      <w:b/>
      <w:bCs/>
      <w:sz w:val="20"/>
    </w:rPr>
  </w:style>
  <w:style w:type="paragraph" w:customStyle="1" w:styleId="Tablenotes">
    <w:name w:val="Tablenotes"/>
    <w:basedOn w:val="Normal"/>
    <w:link w:val="TablenotesChar"/>
    <w:qFormat/>
    <w:rsid w:val="00724C66"/>
    <w:pPr>
      <w:widowControl w:val="0"/>
      <w:spacing w:after="240"/>
      <w:contextualSpacing/>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724C66"/>
    <w:rPr>
      <w:rFonts w:ascii="Arial Narrow" w:eastAsia="Times New Roman" w:hAnsi="Arial Narrow" w:cs="Arial"/>
      <w:snapToGrid w:val="0"/>
      <w:sz w:val="18"/>
      <w:szCs w:val="20"/>
      <w:lang w:eastAsia="en-US"/>
    </w:rPr>
  </w:style>
  <w:style w:type="paragraph" w:customStyle="1" w:styleId="Tablenotes0">
    <w:name w:val="Table notes"/>
    <w:basedOn w:val="Normal"/>
    <w:link w:val="TablenotesChar0"/>
    <w:qFormat/>
    <w:rsid w:val="00C31E54"/>
    <w:pPr>
      <w:spacing w:after="200"/>
      <w:ind w:left="57" w:right="57"/>
      <w:contextualSpacing/>
    </w:pPr>
    <w:rPr>
      <w:rFonts w:ascii="Arial Narrow" w:eastAsia="Calibri" w:hAnsi="Arial Narrow"/>
      <w:sz w:val="18"/>
      <w:szCs w:val="18"/>
      <w:lang w:eastAsia="en-US"/>
    </w:rPr>
  </w:style>
  <w:style w:type="character" w:customStyle="1" w:styleId="TablenotesChar0">
    <w:name w:val="Table notes Char"/>
    <w:link w:val="Tablenotes0"/>
    <w:rsid w:val="00C31E54"/>
    <w:rPr>
      <w:rFonts w:ascii="Arial Narrow" w:hAnsi="Arial Narrow"/>
      <w:sz w:val="18"/>
      <w:szCs w:val="18"/>
      <w:lang w:eastAsia="en-US"/>
    </w:rPr>
  </w:style>
  <w:style w:type="paragraph" w:customStyle="1" w:styleId="Tableheading0">
    <w:name w:val="Table heading"/>
    <w:basedOn w:val="Normal"/>
    <w:link w:val="TableheadingChar0"/>
    <w:qFormat/>
    <w:rsid w:val="00C31E54"/>
    <w:pPr>
      <w:ind w:left="57" w:right="57"/>
    </w:pPr>
    <w:rPr>
      <w:rFonts w:ascii="Arial Narrow" w:eastAsia="Calibri" w:hAnsi="Arial Narrow"/>
      <w:b/>
      <w:sz w:val="20"/>
      <w:lang w:eastAsia="en-US"/>
    </w:rPr>
  </w:style>
  <w:style w:type="character" w:customStyle="1" w:styleId="TableheadingChar0">
    <w:name w:val="Table heading Char"/>
    <w:link w:val="Tableheading0"/>
    <w:rsid w:val="00C31E54"/>
    <w:rPr>
      <w:rFonts w:ascii="Arial Narrow" w:hAnsi="Arial Narrow"/>
      <w:b/>
      <w:sz w:val="20"/>
      <w:szCs w:val="20"/>
      <w:lang w:eastAsia="en-US"/>
    </w:rPr>
  </w:style>
  <w:style w:type="paragraph" w:customStyle="1" w:styleId="BodyTextSTD">
    <w:name w:val="Body Text STD"/>
    <w:basedOn w:val="Normal"/>
    <w:link w:val="BodyTextSTDChar"/>
    <w:qFormat/>
    <w:rsid w:val="00C31E54"/>
    <w:pPr>
      <w:spacing w:after="240" w:line="312" w:lineRule="auto"/>
    </w:pPr>
    <w:rPr>
      <w:rFonts w:ascii="Calibri" w:hAnsi="Calibri" w:cs="Tahoma"/>
      <w:sz w:val="22"/>
      <w:szCs w:val="22"/>
    </w:rPr>
  </w:style>
  <w:style w:type="character" w:customStyle="1" w:styleId="BodyTextSTDChar">
    <w:name w:val="Body Text STD Char"/>
    <w:basedOn w:val="DefaultParagraphFont"/>
    <w:link w:val="BodyTextSTD"/>
    <w:rsid w:val="00C31E54"/>
    <w:rPr>
      <w:rFonts w:ascii="Calibri" w:eastAsia="Times New Roman" w:hAnsi="Calibri" w:cs="Tahoma"/>
    </w:rPr>
  </w:style>
  <w:style w:type="paragraph" w:customStyle="1" w:styleId="NormalBeforeBullet">
    <w:name w:val="NormalBeforeBullet"/>
    <w:basedOn w:val="Normal"/>
    <w:qFormat/>
    <w:rsid w:val="000C4703"/>
    <w:pPr>
      <w:keepNext/>
      <w:spacing w:after="120"/>
    </w:pPr>
    <w:rPr>
      <w:color w:val="000000"/>
    </w:rPr>
  </w:style>
  <w:style w:type="paragraph" w:styleId="NormalWeb">
    <w:name w:val="Normal (Web)"/>
    <w:basedOn w:val="Normal"/>
    <w:uiPriority w:val="99"/>
    <w:semiHidden/>
    <w:unhideWhenUsed/>
    <w:rsid w:val="004C29F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 w:id="20265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sac.gov.au/internet/msac/publishing.nsf/Content/33926FFFFEB77C2FCA25838500181915/$File/1559_RATIFIED_PICO_CONFIRMATION.docx"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msa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8D8DD5BA20AF8C3ACA2580290013AD4D/$File/MBS%20Gastroenterology%20Report%20FINA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https://clinicaltrials.gov/ct2/results?cond=&amp;term=NCT04138030&amp;cntry=&amp;state=&amp;city=&amp;dis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3.jpe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College%20Surgeons\EMR\Report\EMR_Economic_2020010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7990887139107616"/>
          <c:y val="4.7882919131466771E-2"/>
          <c:w val="0.32700577427821526"/>
          <c:h val="0.81442740783753664"/>
        </c:manualLayout>
      </c:layout>
      <c:barChart>
        <c:barDir val="bar"/>
        <c:grouping val="clustered"/>
        <c:varyColors val="0"/>
        <c:ser>
          <c:idx val="0"/>
          <c:order val="0"/>
          <c:spPr>
            <a:solidFill>
              <a:srgbClr val="00B0F0"/>
            </a:solidFill>
            <a:ln>
              <a:noFill/>
            </a:ln>
            <a:effectLst/>
          </c:spPr>
          <c:invertIfNegative val="0"/>
          <c:cat>
            <c:strRef>
              <c:f>Tornado!$B$4:$B$19</c:f>
              <c:strCache>
                <c:ptCount val="16"/>
                <c:pt idx="0">
                  <c:v>Discount rate 5%, 3.5-7%</c:v>
                </c:pt>
                <c:pt idx="1">
                  <c:v>Cost of EMR $3,244, $2,920-3,569</c:v>
                </c:pt>
                <c:pt idx="2">
                  <c:v>Cost of LR $17,464, $15,718-19,211</c:v>
                </c:pt>
                <c:pt idx="3">
                  <c:v>Index EMR success rate (%) 93.5% 92.9-99.4</c:v>
                </c:pt>
                <c:pt idx="4">
                  <c:v>2-stage EMR referral  (%) 34%, +/- 10%</c:v>
                </c:pt>
                <c:pt idx="5">
                  <c:v>EMR AE rate %, 18.6%, +/- 10%</c:v>
                </c:pt>
                <c:pt idx="6">
                  <c:v>EMR AES requiring surgery %, 0.31%, +/- 10%</c:v>
                </c:pt>
                <c:pt idx="7">
                  <c:v>LR AE rate (%) 17%, +/-10%</c:v>
                </c:pt>
                <c:pt idx="8">
                  <c:v>LR adverse events requiring surgery (%) 21%, +/- 10%</c:v>
                </c:pt>
                <c:pt idx="9">
                  <c:v>EMR polyp 4-6 month recurrence 3.5%, +/- 10%</c:v>
                </c:pt>
                <c:pt idx="10">
                  <c:v>EMR polyp 6+ month recurrence 0.4%, +/- 10%</c:v>
                </c:pt>
                <c:pt idx="11">
                  <c:v>Disutility for colonoscopy, 1 day, 1-3</c:v>
                </c:pt>
                <c:pt idx="12">
                  <c:v>Disutility for EMR 1 days, 1-3</c:v>
                </c:pt>
                <c:pt idx="13">
                  <c:v>Disutility for surgical resection 6.5 days, 2-10</c:v>
                </c:pt>
                <c:pt idx="14">
                  <c:v>Disutility inpatient observation 3.5 days, 2-7</c:v>
                </c:pt>
                <c:pt idx="15">
                  <c:v>Disutility for AE surgery 9.9 days, 4-15</c:v>
                </c:pt>
              </c:strCache>
            </c:strRef>
          </c:cat>
          <c:val>
            <c:numRef>
              <c:f>Tornado!$C$4:$C$19</c:f>
              <c:numCache>
                <c:formatCode>_-* #,##0_-;\-* #,##0_-;_-* "-"??_-;_-@_-</c:formatCode>
                <c:ptCount val="16"/>
                <c:pt idx="0">
                  <c:v>-485880.99358479038</c:v>
                </c:pt>
                <c:pt idx="1">
                  <c:v>-515397.14712743822</c:v>
                </c:pt>
                <c:pt idx="2">
                  <c:v>-436457.00567221508</c:v>
                </c:pt>
                <c:pt idx="3">
                  <c:v>-495747.99797567754</c:v>
                </c:pt>
                <c:pt idx="4">
                  <c:v>-498296.4027282953</c:v>
                </c:pt>
                <c:pt idx="5">
                  <c:v>-496379.85165942798</c:v>
                </c:pt>
                <c:pt idx="6">
                  <c:v>-499069.93933227105</c:v>
                </c:pt>
                <c:pt idx="7">
                  <c:v>-540230.68851851905</c:v>
                </c:pt>
                <c:pt idx="8">
                  <c:v>-542009.49277803453</c:v>
                </c:pt>
                <c:pt idx="9">
                  <c:v>-501279.37287674012</c:v>
                </c:pt>
                <c:pt idx="10">
                  <c:v>-499735.80297204771</c:v>
                </c:pt>
                <c:pt idx="11">
                  <c:v>-499037.88223512302</c:v>
                </c:pt>
                <c:pt idx="12">
                  <c:v>-499037.88223512302</c:v>
                </c:pt>
                <c:pt idx="13">
                  <c:v>-596507.98601925734</c:v>
                </c:pt>
                <c:pt idx="14">
                  <c:v>-503331.1067966579</c:v>
                </c:pt>
                <c:pt idx="15">
                  <c:v>-496291.1105696669</c:v>
                </c:pt>
              </c:numCache>
            </c:numRef>
          </c:val>
          <c:extLst>
            <c:ext xmlns:c16="http://schemas.microsoft.com/office/drawing/2014/chart" uri="{C3380CC4-5D6E-409C-BE32-E72D297353CC}">
              <c16:uniqueId val="{00000000-C45D-4423-9C09-3421A80B0944}"/>
            </c:ext>
          </c:extLst>
        </c:ser>
        <c:ser>
          <c:idx val="1"/>
          <c:order val="1"/>
          <c:spPr>
            <a:solidFill>
              <a:srgbClr val="00B0F0"/>
            </a:solidFill>
            <a:ln>
              <a:noFill/>
            </a:ln>
            <a:effectLst/>
          </c:spPr>
          <c:invertIfNegative val="0"/>
          <c:cat>
            <c:strRef>
              <c:f>Tornado!$B$4:$B$19</c:f>
              <c:strCache>
                <c:ptCount val="16"/>
                <c:pt idx="0">
                  <c:v>Discount rate 5%, 3.5-7%</c:v>
                </c:pt>
                <c:pt idx="1">
                  <c:v>Cost of EMR $3,244, $2,920-3,569</c:v>
                </c:pt>
                <c:pt idx="2">
                  <c:v>Cost of LR $17,464, $15,718-19,211</c:v>
                </c:pt>
                <c:pt idx="3">
                  <c:v>Index EMR success rate (%) 93.5% 92.9-99.4</c:v>
                </c:pt>
                <c:pt idx="4">
                  <c:v>2-stage EMR referral  (%) 34%, +/- 10%</c:v>
                </c:pt>
                <c:pt idx="5">
                  <c:v>EMR AE rate %, 18.6%, +/- 10%</c:v>
                </c:pt>
                <c:pt idx="6">
                  <c:v>EMR AES requiring surgery %, 0.31%, +/- 10%</c:v>
                </c:pt>
                <c:pt idx="7">
                  <c:v>LR AE rate (%) 17%, +/-10%</c:v>
                </c:pt>
                <c:pt idx="8">
                  <c:v>LR adverse events requiring surgery (%) 21%, +/- 10%</c:v>
                </c:pt>
                <c:pt idx="9">
                  <c:v>EMR polyp 4-6 month recurrence 3.5%, +/- 10%</c:v>
                </c:pt>
                <c:pt idx="10">
                  <c:v>EMR polyp 6+ month recurrence 0.4%, +/- 10%</c:v>
                </c:pt>
                <c:pt idx="11">
                  <c:v>Disutility for colonoscopy, 1 day, 1-3</c:v>
                </c:pt>
                <c:pt idx="12">
                  <c:v>Disutility for EMR 1 days, 1-3</c:v>
                </c:pt>
                <c:pt idx="13">
                  <c:v>Disutility for surgical resection 6.5 days, 2-10</c:v>
                </c:pt>
                <c:pt idx="14">
                  <c:v>Disutility inpatient observation 3.5 days, 2-7</c:v>
                </c:pt>
                <c:pt idx="15">
                  <c:v>Disutility for AE surgery 9.9 days, 4-15</c:v>
                </c:pt>
              </c:strCache>
            </c:strRef>
          </c:cat>
          <c:val>
            <c:numRef>
              <c:f>Tornado!$D$4:$D$19</c:f>
              <c:numCache>
                <c:formatCode>_-* #,##0_-;\-* #,##0_-;_-* "-"??_-;_-@_-</c:formatCode>
                <c:ptCount val="16"/>
                <c:pt idx="0">
                  <c:v>-512056.39456642669</c:v>
                </c:pt>
                <c:pt idx="1">
                  <c:v>-482678.61734280776</c:v>
                </c:pt>
                <c:pt idx="2">
                  <c:v>-561618.75879803149</c:v>
                </c:pt>
                <c:pt idx="3">
                  <c:v>-531455.12643946358</c:v>
                </c:pt>
                <c:pt idx="4">
                  <c:v>-499779.0924243356</c:v>
                </c:pt>
                <c:pt idx="5">
                  <c:v>-501679.92890019238</c:v>
                </c:pt>
                <c:pt idx="6">
                  <c:v>-499069.93933227105</c:v>
                </c:pt>
                <c:pt idx="7">
                  <c:v>-464247.72612702067</c:v>
                </c:pt>
                <c:pt idx="8">
                  <c:v>-462565.4823149459</c:v>
                </c:pt>
                <c:pt idx="9">
                  <c:v>-496823.75168472953</c:v>
                </c:pt>
                <c:pt idx="10">
                  <c:v>-498341.40412656311</c:v>
                </c:pt>
                <c:pt idx="11">
                  <c:v>-499854.02218250989</c:v>
                </c:pt>
                <c:pt idx="12">
                  <c:v>-553289.49509306415</c:v>
                </c:pt>
                <c:pt idx="13">
                  <c:v>-442766.74509536079</c:v>
                </c:pt>
                <c:pt idx="14">
                  <c:v>-495385.37421167432</c:v>
                </c:pt>
                <c:pt idx="15">
                  <c:v>-505566.80298277264</c:v>
                </c:pt>
              </c:numCache>
            </c:numRef>
          </c:val>
          <c:extLst>
            <c:ext xmlns:c16="http://schemas.microsoft.com/office/drawing/2014/chart" uri="{C3380CC4-5D6E-409C-BE32-E72D297353CC}">
              <c16:uniqueId val="{00000001-C45D-4423-9C09-3421A80B0944}"/>
            </c:ext>
          </c:extLst>
        </c:ser>
        <c:dLbls>
          <c:showLegendKey val="0"/>
          <c:showVal val="0"/>
          <c:showCatName val="0"/>
          <c:showSerName val="0"/>
          <c:showPercent val="0"/>
          <c:showBubbleSize val="0"/>
        </c:dLbls>
        <c:gapWidth val="182"/>
        <c:overlap val="100"/>
        <c:axId val="438159496"/>
        <c:axId val="438153920"/>
      </c:barChart>
      <c:catAx>
        <c:axId val="438159496"/>
        <c:scaling>
          <c:orientation val="minMax"/>
        </c:scaling>
        <c:delete val="0"/>
        <c:axPos val="l"/>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438153920"/>
        <c:crossesAt val="-500000"/>
        <c:auto val="1"/>
        <c:lblAlgn val="ctr"/>
        <c:lblOffset val="100"/>
        <c:noMultiLvlLbl val="0"/>
      </c:catAx>
      <c:valAx>
        <c:axId val="438153920"/>
        <c:scaling>
          <c:orientation val="minMax"/>
          <c:max val="-400000"/>
          <c:min val="-7000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ICER</a:t>
                </a:r>
              </a:p>
            </c:rich>
          </c:tx>
          <c:layout>
            <c:manualLayout>
              <c:xMode val="edge"/>
              <c:yMode val="edge"/>
              <c:x val="0.15456401283172935"/>
              <c:y val="0.905686339046847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438159496"/>
        <c:crosses val="autoZero"/>
        <c:crossBetween val="between"/>
        <c:majorUnit val="100000"/>
        <c:minorUnit val="1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92123-2F54-4923-9A8B-7223B020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7844</Words>
  <Characters>44556</Characters>
  <Application>Microsoft Office Word</Application>
  <DocSecurity>0</DocSecurity>
  <Lines>371</Lines>
  <Paragraphs>104</Paragraphs>
  <ScaleCrop>false</ScaleCrop>
  <Company/>
  <LinksUpToDate>false</LinksUpToDate>
  <CharactersWithSpaces>52296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2021-02-01T05:25:00Z</dcterms:created>
  <dcterms:modified xsi:type="dcterms:W3CDTF">2021-02-01T05:25:00Z</dcterms:modified>
</cp:coreProperties>
</file>