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08131" w14:textId="0C38CEB9"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4003BE81" wp14:editId="6AB0415D">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252925CB" w14:textId="77777777" w:rsidR="00303C94" w:rsidRPr="00FF33F6" w:rsidRDefault="00303C94" w:rsidP="003D6555">
      <w:pPr>
        <w:pStyle w:val="Heading10"/>
        <w:tabs>
          <w:tab w:val="left" w:pos="5613"/>
        </w:tabs>
        <w:jc w:val="center"/>
        <w:rPr>
          <w:sz w:val="48"/>
          <w:szCs w:val="48"/>
        </w:rPr>
      </w:pPr>
    </w:p>
    <w:p w14:paraId="369BB34A" w14:textId="69918818" w:rsidR="0044715D" w:rsidRDefault="005F4D2F" w:rsidP="00A601AC">
      <w:pPr>
        <w:pStyle w:val="Heading10"/>
        <w:jc w:val="center"/>
        <w:rPr>
          <w:sz w:val="48"/>
          <w:szCs w:val="48"/>
        </w:rPr>
      </w:pPr>
      <w:r>
        <w:rPr>
          <w:sz w:val="48"/>
          <w:szCs w:val="48"/>
        </w:rPr>
        <w:t xml:space="preserve">Application </w:t>
      </w:r>
      <w:r w:rsidR="006B77F5">
        <w:rPr>
          <w:sz w:val="48"/>
          <w:szCs w:val="48"/>
        </w:rPr>
        <w:t>1</w:t>
      </w:r>
      <w:r w:rsidR="001E70EC">
        <w:rPr>
          <w:sz w:val="48"/>
          <w:szCs w:val="48"/>
        </w:rPr>
        <w:t>559</w:t>
      </w:r>
      <w:r w:rsidR="00303C94">
        <w:rPr>
          <w:sz w:val="48"/>
          <w:szCs w:val="48"/>
        </w:rPr>
        <w:t>:</w:t>
      </w:r>
    </w:p>
    <w:p w14:paraId="0E39EFDC" w14:textId="45D2159C" w:rsidR="00303C94" w:rsidRPr="00303C94" w:rsidRDefault="001E70EC" w:rsidP="00A601AC">
      <w:pPr>
        <w:pStyle w:val="Heading10"/>
        <w:jc w:val="center"/>
        <w:rPr>
          <w:sz w:val="48"/>
          <w:szCs w:val="48"/>
        </w:rPr>
      </w:pPr>
      <w:r>
        <w:rPr>
          <w:color w:val="548DD4"/>
          <w:sz w:val="48"/>
          <w:szCs w:val="48"/>
        </w:rPr>
        <w:t xml:space="preserve">Endoscopic Mucosal Resection (EMR) </w:t>
      </w:r>
      <w:r w:rsidR="005D2061">
        <w:rPr>
          <w:color w:val="548DD4"/>
          <w:sz w:val="48"/>
          <w:szCs w:val="48"/>
        </w:rPr>
        <w:t>as a therapeutic modality for large sessile colorectal polyps</w:t>
      </w:r>
    </w:p>
    <w:p w14:paraId="5FB37375" w14:textId="77777777" w:rsidR="0044715D" w:rsidRDefault="0044715D" w:rsidP="00F4622B">
      <w:pPr>
        <w:pStyle w:val="Heading10"/>
        <w:tabs>
          <w:tab w:val="left" w:pos="5613"/>
        </w:tabs>
        <w:jc w:val="center"/>
        <w:rPr>
          <w:sz w:val="72"/>
          <w:szCs w:val="72"/>
        </w:rPr>
      </w:pPr>
    </w:p>
    <w:p w14:paraId="0261339D" w14:textId="6C526E2F" w:rsidR="00D46C89" w:rsidRDefault="002F5A4F" w:rsidP="003D699E">
      <w:pPr>
        <w:pStyle w:val="Heading10"/>
        <w:jc w:val="center"/>
        <w:rPr>
          <w:sz w:val="72"/>
          <w:szCs w:val="72"/>
        </w:rPr>
      </w:pPr>
      <w:r>
        <w:rPr>
          <w:sz w:val="72"/>
          <w:szCs w:val="72"/>
        </w:rPr>
        <w:t xml:space="preserve">Ratified </w:t>
      </w:r>
      <w:r w:rsidR="00D46C89">
        <w:rPr>
          <w:sz w:val="72"/>
          <w:szCs w:val="72"/>
        </w:rPr>
        <w:t>PICO Confirmation</w:t>
      </w:r>
    </w:p>
    <w:p w14:paraId="6605B4EC" w14:textId="2D3BCE47"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9616FE">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14:paraId="03FAA5FF" w14:textId="77777777"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14:paraId="41BECD1A" w14:textId="77777777" w:rsidR="00EE7A1F" w:rsidRPr="00606857" w:rsidRDefault="00EE7A1F" w:rsidP="00382875">
      <w:pPr>
        <w:spacing w:before="180"/>
        <w:jc w:val="center"/>
        <w:rPr>
          <w:rFonts w:ascii="Arial" w:hAnsi="Arial" w:cs="Arial"/>
          <w:b/>
          <w:sz w:val="32"/>
          <w:szCs w:val="32"/>
        </w:rPr>
      </w:pPr>
    </w:p>
    <w:p w14:paraId="7AB8CF06" w14:textId="77777777" w:rsidR="00C9630A" w:rsidRPr="0019064C" w:rsidRDefault="0044715D" w:rsidP="0019064C">
      <w:r w:rsidRPr="0019064C">
        <w:br w:type="page"/>
      </w:r>
    </w:p>
    <w:p w14:paraId="1EEB23A6" w14:textId="77777777" w:rsidR="00F12E59" w:rsidRPr="00F12E59" w:rsidRDefault="0044715D" w:rsidP="0044715D">
      <w:pPr>
        <w:pStyle w:val="Heading2"/>
        <w:spacing w:line="240" w:lineRule="auto"/>
        <w:jc w:val="both"/>
        <w:rPr>
          <w:b w:val="0"/>
          <w:i w:val="0"/>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Table"/>
        <w:tblDescription w:val="Table shows Population, Intervention, Comparator and Outcome (PICO) criteria"/>
      </w:tblPr>
      <w:tblGrid>
        <w:gridCol w:w="1811"/>
        <w:gridCol w:w="7200"/>
      </w:tblGrid>
      <w:tr w:rsidR="0044715D" w:rsidRPr="00084393" w14:paraId="0ECDB743"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0BF57FD8"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6436364B" w14:textId="77777777" w:rsidR="0044715D" w:rsidRPr="00084393" w:rsidRDefault="0044715D" w:rsidP="00E7675E">
            <w:pPr>
              <w:spacing w:before="20" w:after="20" w:line="240" w:lineRule="auto"/>
              <w:jc w:val="both"/>
              <w:rPr>
                <w:b/>
              </w:rPr>
            </w:pPr>
            <w:r>
              <w:rPr>
                <w:b/>
              </w:rPr>
              <w:t>Description</w:t>
            </w:r>
          </w:p>
        </w:tc>
      </w:tr>
      <w:tr w:rsidR="0044715D" w:rsidRPr="00084393" w14:paraId="7E720AE8" w14:textId="77777777" w:rsidTr="00A84A56">
        <w:tc>
          <w:tcPr>
            <w:tcW w:w="1005" w:type="pct"/>
            <w:tcBorders>
              <w:top w:val="single" w:sz="8" w:space="0" w:color="auto"/>
              <w:right w:val="single" w:sz="4" w:space="0" w:color="auto"/>
            </w:tcBorders>
          </w:tcPr>
          <w:p w14:paraId="04FC3AEB" w14:textId="77777777" w:rsidR="0044715D" w:rsidRPr="00084393" w:rsidRDefault="0044715D" w:rsidP="00C46107">
            <w:pPr>
              <w:spacing w:after="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5B6CF7FA" w14:textId="7DF3F2D9" w:rsidR="001E41DF" w:rsidRPr="00BA5B36" w:rsidRDefault="00DF33D9" w:rsidP="00C46107">
            <w:pPr>
              <w:spacing w:after="0" w:line="240" w:lineRule="auto"/>
            </w:pPr>
            <w:r>
              <w:t xml:space="preserve">Patients with non-invasive </w:t>
            </w:r>
            <w:r w:rsidR="00DF2773">
              <w:t xml:space="preserve">sessile or flat </w:t>
            </w:r>
            <w:r w:rsidR="00FA6B9D">
              <w:t xml:space="preserve">superficial </w:t>
            </w:r>
            <w:r>
              <w:t>colorectal lesions</w:t>
            </w:r>
            <w:r w:rsidR="00DC1DAF">
              <w:t xml:space="preserve"> which </w:t>
            </w:r>
            <w:r w:rsidR="00F90A24">
              <w:t xml:space="preserve">are </w:t>
            </w:r>
            <w:r w:rsidR="00DC1DAF">
              <w:t xml:space="preserve">at least </w:t>
            </w:r>
            <w:r w:rsidR="006D5AEA">
              <w:t>2</w:t>
            </w:r>
            <w:r w:rsidR="001210F8">
              <w:t>5</w:t>
            </w:r>
            <w:r w:rsidR="006D5AEA">
              <w:t xml:space="preserve"> mm in diameter</w:t>
            </w:r>
            <w:r>
              <w:t>.</w:t>
            </w:r>
          </w:p>
        </w:tc>
      </w:tr>
      <w:tr w:rsidR="00A84A56" w:rsidRPr="00084393" w14:paraId="507DA8AE" w14:textId="77777777" w:rsidTr="00A84A56">
        <w:tc>
          <w:tcPr>
            <w:tcW w:w="1005" w:type="pct"/>
            <w:tcBorders>
              <w:right w:val="single" w:sz="4" w:space="0" w:color="auto"/>
            </w:tcBorders>
          </w:tcPr>
          <w:p w14:paraId="1DA6B4C1" w14:textId="77777777" w:rsidR="00A84A56" w:rsidRPr="00084393" w:rsidRDefault="00A84A56" w:rsidP="00C46107">
            <w:pPr>
              <w:spacing w:after="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05EA18D2" w14:textId="0F4A88BC" w:rsidR="00A84A56" w:rsidRDefault="00334A77" w:rsidP="00C46107">
            <w:pPr>
              <w:spacing w:after="0" w:line="240" w:lineRule="auto"/>
            </w:pPr>
            <w:r w:rsidRPr="00FA6D66">
              <w:t>Endoscopic mucosal resection</w:t>
            </w:r>
            <w:r w:rsidR="009F6A30">
              <w:t xml:space="preserve"> (EMR)</w:t>
            </w:r>
            <w:r w:rsidRPr="00FA6D66">
              <w:t xml:space="preserve"> </w:t>
            </w:r>
            <w:r w:rsidR="00DD5341" w:rsidRPr="00FA6D66">
              <w:t>is a procedure used for removal of colorectal lesions</w:t>
            </w:r>
            <w:r w:rsidR="00F51047" w:rsidRPr="00FA6D66">
              <w:t xml:space="preserve"> unsuitable for resection using standard </w:t>
            </w:r>
            <w:r w:rsidR="00D45317">
              <w:t xml:space="preserve">endoscopic </w:t>
            </w:r>
            <w:r w:rsidR="00F51047" w:rsidRPr="00FA6D66">
              <w:t>polypectomy</w:t>
            </w:r>
            <w:r w:rsidR="00377484" w:rsidRPr="00FA6D66">
              <w:t>.</w:t>
            </w:r>
            <w:r w:rsidR="00A66036">
              <w:t xml:space="preserve"> </w:t>
            </w:r>
            <w:r w:rsidR="00EF1F35" w:rsidRPr="00EF1F35">
              <w:t xml:space="preserve">Lesions may be removed in a single </w:t>
            </w:r>
            <w:r w:rsidR="009F6A30">
              <w:t>piece</w:t>
            </w:r>
            <w:r w:rsidR="009F6A30" w:rsidRPr="00EF1F35">
              <w:t xml:space="preserve"> </w:t>
            </w:r>
            <w:r w:rsidR="00EF1F35" w:rsidRPr="00EF1F35">
              <w:t>(</w:t>
            </w:r>
            <w:r w:rsidR="002F5A4F">
              <w:t>en-</w:t>
            </w:r>
            <w:r w:rsidR="00EF1F35" w:rsidRPr="00EF1F35">
              <w:t>bloc resection) or in several pieces</w:t>
            </w:r>
            <w:r w:rsidR="00EF1F35">
              <w:t xml:space="preserve"> </w:t>
            </w:r>
            <w:r w:rsidR="00524206">
              <w:t>(p</w:t>
            </w:r>
            <w:r w:rsidR="00EF1F35" w:rsidRPr="00EF1F35">
              <w:t>iecemeal resection</w:t>
            </w:r>
            <w:r w:rsidR="003342B7">
              <w:t>)</w:t>
            </w:r>
            <w:r w:rsidR="00EF1F35">
              <w:t>.</w:t>
            </w:r>
            <w:r w:rsidR="002B1041">
              <w:t xml:space="preserve"> </w:t>
            </w:r>
            <w:r w:rsidR="009F6A30">
              <w:t>EMR</w:t>
            </w:r>
            <w:r w:rsidR="002B1041">
              <w:t xml:space="preserve"> </w:t>
            </w:r>
            <w:r w:rsidR="00314D53" w:rsidRPr="00FA6D66">
              <w:t>is performed under an</w:t>
            </w:r>
            <w:r w:rsidR="00FA6D66" w:rsidRPr="00FA6D66">
              <w:t>a</w:t>
            </w:r>
            <w:r w:rsidR="00314D53" w:rsidRPr="00FA6D66">
              <w:t xml:space="preserve">esthesia/sedation, typically as a day procedure in </w:t>
            </w:r>
            <w:r w:rsidR="00F64F59" w:rsidRPr="00FA6D66">
              <w:t>an outpatient clinic.</w:t>
            </w:r>
          </w:p>
          <w:p w14:paraId="548E0437" w14:textId="77777777" w:rsidR="003B7417" w:rsidRDefault="003B7417" w:rsidP="00C46107">
            <w:pPr>
              <w:spacing w:after="0" w:line="240" w:lineRule="auto"/>
            </w:pPr>
          </w:p>
          <w:p w14:paraId="1F7116A0" w14:textId="129743C7" w:rsidR="003B7417" w:rsidRPr="00FA6D66" w:rsidRDefault="007747D1" w:rsidP="00C46107">
            <w:pPr>
              <w:spacing w:after="0" w:line="240" w:lineRule="auto"/>
            </w:pPr>
            <w:r w:rsidRPr="007747D1">
              <w:t>Endoscopic mucosal resection is available in the public health sector and is already offered to patients in the private health s</w:t>
            </w:r>
            <w:bookmarkStart w:id="2" w:name="_GoBack"/>
            <w:bookmarkEnd w:id="2"/>
            <w:r w:rsidRPr="007747D1">
              <w:t>ector (in the absence of specific MBS rebates for larger polyps).</w:t>
            </w:r>
          </w:p>
        </w:tc>
      </w:tr>
      <w:tr w:rsidR="00A84A56" w:rsidRPr="00084393" w14:paraId="3DFFADDA" w14:textId="77777777" w:rsidTr="00A84A56">
        <w:tc>
          <w:tcPr>
            <w:tcW w:w="1005" w:type="pct"/>
            <w:tcBorders>
              <w:right w:val="single" w:sz="4" w:space="0" w:color="auto"/>
            </w:tcBorders>
          </w:tcPr>
          <w:p w14:paraId="7FBCE9A8" w14:textId="77777777" w:rsidR="00A84A56" w:rsidRPr="00084393" w:rsidRDefault="00A84A56" w:rsidP="00C46107">
            <w:pPr>
              <w:spacing w:after="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0D5CD90E" w14:textId="396F4DD9" w:rsidR="00A84A56" w:rsidRPr="008621BD" w:rsidRDefault="00DC0622" w:rsidP="00A24996">
            <w:pPr>
              <w:spacing w:after="0" w:line="240" w:lineRule="auto"/>
            </w:pPr>
            <w:r>
              <w:t>R</w:t>
            </w:r>
            <w:r w:rsidR="002E4753" w:rsidRPr="00A93AA0">
              <w:t xml:space="preserve">emoval of colorectal </w:t>
            </w:r>
            <w:r w:rsidR="004A3843">
              <w:t>lesions</w:t>
            </w:r>
            <w:r w:rsidR="002E4753" w:rsidRPr="00A93AA0">
              <w:t xml:space="preserve"> by sur</w:t>
            </w:r>
            <w:r w:rsidR="007B4A78" w:rsidRPr="00A93AA0">
              <w:t>gical resection</w:t>
            </w:r>
            <w:r w:rsidR="00084FA1" w:rsidRPr="00A93AA0">
              <w:t>.</w:t>
            </w:r>
          </w:p>
        </w:tc>
      </w:tr>
      <w:tr w:rsidR="00A84A56" w:rsidRPr="00084393" w14:paraId="52B416D4" w14:textId="77777777" w:rsidTr="00A84A56">
        <w:tc>
          <w:tcPr>
            <w:tcW w:w="1005" w:type="pct"/>
            <w:tcBorders>
              <w:right w:val="single" w:sz="4" w:space="0" w:color="auto"/>
            </w:tcBorders>
          </w:tcPr>
          <w:p w14:paraId="14BD4DC7" w14:textId="77777777" w:rsidR="00A84A56" w:rsidRPr="00084393" w:rsidRDefault="00A84A56" w:rsidP="00C46107">
            <w:pPr>
              <w:spacing w:after="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54887B8F" w14:textId="77777777" w:rsidR="00A84A56" w:rsidRDefault="00C0219C" w:rsidP="00C46107">
            <w:pPr>
              <w:spacing w:after="0" w:line="240" w:lineRule="auto"/>
            </w:pPr>
            <w:r>
              <w:t xml:space="preserve">Patient relevant </w:t>
            </w:r>
            <w:r w:rsidR="00560217">
              <w:t>efficacy and safety outcomes are summarised below</w:t>
            </w:r>
          </w:p>
          <w:tbl>
            <w:tblPr>
              <w:tblStyle w:val="TableGrid"/>
              <w:tblW w:w="0" w:type="auto"/>
              <w:tblLook w:val="04A0" w:firstRow="1" w:lastRow="0" w:firstColumn="1" w:lastColumn="0" w:noHBand="0" w:noVBand="1"/>
              <w:tblCaption w:val="Sub-table, showing efficacy and safety outcomes"/>
            </w:tblPr>
            <w:tblGrid>
              <w:gridCol w:w="3487"/>
              <w:gridCol w:w="3487"/>
            </w:tblGrid>
            <w:tr w:rsidR="00F0780A" w14:paraId="54AB751D" w14:textId="77777777" w:rsidTr="0069370F">
              <w:trPr>
                <w:tblHeader/>
              </w:trPr>
              <w:tc>
                <w:tcPr>
                  <w:tcW w:w="3487" w:type="dxa"/>
                </w:tcPr>
                <w:p w14:paraId="69A492E3" w14:textId="399C040E" w:rsidR="00F0780A" w:rsidRPr="00CC5005" w:rsidRDefault="00F0780A" w:rsidP="00C46107">
                  <w:pPr>
                    <w:rPr>
                      <w:b/>
                    </w:rPr>
                  </w:pPr>
                  <w:r w:rsidRPr="00CC5005">
                    <w:rPr>
                      <w:b/>
                    </w:rPr>
                    <w:t>Efficacy outcomes</w:t>
                  </w:r>
                </w:p>
              </w:tc>
              <w:tc>
                <w:tcPr>
                  <w:tcW w:w="3487" w:type="dxa"/>
                </w:tcPr>
                <w:p w14:paraId="69A406F3" w14:textId="31544EB9" w:rsidR="00F0780A" w:rsidRPr="00CC5005" w:rsidRDefault="00F0780A" w:rsidP="00C46107">
                  <w:pPr>
                    <w:rPr>
                      <w:b/>
                    </w:rPr>
                  </w:pPr>
                  <w:r w:rsidRPr="00CC5005">
                    <w:rPr>
                      <w:b/>
                    </w:rPr>
                    <w:t>Safety outcomes</w:t>
                  </w:r>
                </w:p>
              </w:tc>
            </w:tr>
            <w:tr w:rsidR="003A2373" w14:paraId="69546E4B" w14:textId="77777777" w:rsidTr="00F80AFF">
              <w:tc>
                <w:tcPr>
                  <w:tcW w:w="3487" w:type="dxa"/>
                </w:tcPr>
                <w:p w14:paraId="50B8B566" w14:textId="1CDCCEE0" w:rsidR="003A2373" w:rsidRPr="00CC5005" w:rsidRDefault="003A2373" w:rsidP="00C46107">
                  <w:r w:rsidRPr="00CC5005">
                    <w:t>Technical success rate</w:t>
                  </w:r>
                  <w:r w:rsidR="00F20EA2">
                    <w:t xml:space="preserve"> (defined as “absence of neoplastic tissue at completion of the procedure</w:t>
                  </w:r>
                  <w:r w:rsidR="00DE269E">
                    <w:t xml:space="preserve"> after careful inspection of the post-EMR mucosal defect and margin.”)</w:t>
                  </w:r>
                </w:p>
              </w:tc>
              <w:tc>
                <w:tcPr>
                  <w:tcW w:w="3487" w:type="dxa"/>
                </w:tcPr>
                <w:p w14:paraId="5913D80E" w14:textId="4ADC2133" w:rsidR="003A2373" w:rsidRPr="00CC5005" w:rsidRDefault="003A2373" w:rsidP="00C46107">
                  <w:r w:rsidRPr="00CC5005">
                    <w:t>Intraprocedural complications</w:t>
                  </w:r>
                </w:p>
              </w:tc>
            </w:tr>
            <w:tr w:rsidR="003A2373" w14:paraId="2A1D935B" w14:textId="77777777" w:rsidTr="00F80AFF">
              <w:tc>
                <w:tcPr>
                  <w:tcW w:w="3487" w:type="dxa"/>
                </w:tcPr>
                <w:p w14:paraId="671831F3" w14:textId="2A11BB46" w:rsidR="003A2373" w:rsidRDefault="003A2373" w:rsidP="00C46107">
                  <w:r w:rsidRPr="00960654">
                    <w:t>Uptake of surgical resection in unsuccessful EMR cases (EMR only)</w:t>
                  </w:r>
                </w:p>
              </w:tc>
              <w:tc>
                <w:tcPr>
                  <w:tcW w:w="3487" w:type="dxa"/>
                </w:tcPr>
                <w:p w14:paraId="2641170A" w14:textId="66C6F311" w:rsidR="003A2373" w:rsidRDefault="003A2373" w:rsidP="00C46107">
                  <w:r w:rsidRPr="00717E4B">
                    <w:t>Postprocedural complications</w:t>
                  </w:r>
                </w:p>
              </w:tc>
            </w:tr>
            <w:tr w:rsidR="003A2373" w14:paraId="17B8D058" w14:textId="77777777" w:rsidTr="00F80AFF">
              <w:tc>
                <w:tcPr>
                  <w:tcW w:w="3487" w:type="dxa"/>
                </w:tcPr>
                <w:p w14:paraId="4BAAD0CA" w14:textId="054A34BD" w:rsidR="003A2373" w:rsidRDefault="003A2373" w:rsidP="00C46107">
                  <w:r w:rsidRPr="00960654">
                    <w:t>Lesion recurrence rate (short-term and long-term recurrence)</w:t>
                  </w:r>
                </w:p>
              </w:tc>
              <w:tc>
                <w:tcPr>
                  <w:tcW w:w="3487" w:type="dxa"/>
                </w:tcPr>
                <w:p w14:paraId="7318C134" w14:textId="49A5114A" w:rsidR="003A2373" w:rsidRDefault="003A2373" w:rsidP="00C46107">
                  <w:r w:rsidRPr="00717E4B">
                    <w:t>Bleeding-related adverse events</w:t>
                  </w:r>
                  <w:r w:rsidR="00FF70F1">
                    <w:t xml:space="preserve"> (including delayed polypectomy bleeding)</w:t>
                  </w:r>
                </w:p>
              </w:tc>
            </w:tr>
            <w:tr w:rsidR="003A2373" w14:paraId="74F20792" w14:textId="77777777" w:rsidTr="00F80AFF">
              <w:tc>
                <w:tcPr>
                  <w:tcW w:w="3487" w:type="dxa"/>
                </w:tcPr>
                <w:p w14:paraId="281D7B8A" w14:textId="591A68AC" w:rsidR="003A2373" w:rsidRDefault="00FB2636" w:rsidP="00C46107">
                  <w:r>
                    <w:t xml:space="preserve">Rate of long-term </w:t>
                  </w:r>
                  <w:r w:rsidR="00A2681C">
                    <w:t xml:space="preserve">colorectal </w:t>
                  </w:r>
                  <w:r>
                    <w:t>cancer d</w:t>
                  </w:r>
                  <w:r w:rsidR="009032F2">
                    <w:t>evelopment</w:t>
                  </w:r>
                </w:p>
              </w:tc>
              <w:tc>
                <w:tcPr>
                  <w:tcW w:w="3487" w:type="dxa"/>
                </w:tcPr>
                <w:p w14:paraId="0E19201F" w14:textId="1E6D0A30" w:rsidR="003A2373" w:rsidRDefault="003A2373" w:rsidP="00C46107">
                  <w:r w:rsidRPr="00717E4B">
                    <w:t>Deep mural injury rate (EMR only)</w:t>
                  </w:r>
                </w:p>
              </w:tc>
            </w:tr>
            <w:tr w:rsidR="009032F2" w14:paraId="1607C771" w14:textId="77777777" w:rsidTr="00F80AFF">
              <w:tc>
                <w:tcPr>
                  <w:tcW w:w="3487" w:type="dxa"/>
                </w:tcPr>
                <w:p w14:paraId="041962BB" w14:textId="691F6028" w:rsidR="009032F2" w:rsidRDefault="009032F2" w:rsidP="009032F2">
                  <w:r w:rsidRPr="00960654">
                    <w:t>Time to perform procedure</w:t>
                  </w:r>
                </w:p>
              </w:tc>
              <w:tc>
                <w:tcPr>
                  <w:tcW w:w="3487" w:type="dxa"/>
                </w:tcPr>
                <w:p w14:paraId="5CED489E" w14:textId="443CD742" w:rsidR="009032F2" w:rsidRDefault="009032F2" w:rsidP="009032F2">
                  <w:r w:rsidRPr="00717E4B">
                    <w:t>Perforation rate (EMR only)</w:t>
                  </w:r>
                </w:p>
              </w:tc>
            </w:tr>
            <w:tr w:rsidR="009032F2" w14:paraId="39CB8149" w14:textId="77777777" w:rsidTr="00F80AFF">
              <w:tc>
                <w:tcPr>
                  <w:tcW w:w="3487" w:type="dxa"/>
                </w:tcPr>
                <w:p w14:paraId="437AFF0F" w14:textId="73B8D4EA" w:rsidR="009032F2" w:rsidRDefault="009032F2" w:rsidP="009032F2">
                  <w:r w:rsidRPr="00960654">
                    <w:t>Length of hospital stay</w:t>
                  </w:r>
                </w:p>
              </w:tc>
              <w:tc>
                <w:tcPr>
                  <w:tcW w:w="3487" w:type="dxa"/>
                </w:tcPr>
                <w:p w14:paraId="6097C773" w14:textId="6D1AE40D" w:rsidR="009032F2" w:rsidRDefault="009032F2" w:rsidP="009032F2">
                  <w:r w:rsidRPr="00717E4B">
                    <w:t>Hospital presentations/admissions reported following procedure</w:t>
                  </w:r>
                </w:p>
              </w:tc>
            </w:tr>
            <w:tr w:rsidR="003A2373" w14:paraId="02D42719" w14:textId="77777777" w:rsidTr="00F80AFF">
              <w:tc>
                <w:tcPr>
                  <w:tcW w:w="3487" w:type="dxa"/>
                </w:tcPr>
                <w:p w14:paraId="4F2BA6AF" w14:textId="64798BA8" w:rsidR="003A2373" w:rsidRDefault="003A2373" w:rsidP="00C46107"/>
              </w:tc>
              <w:tc>
                <w:tcPr>
                  <w:tcW w:w="3487" w:type="dxa"/>
                </w:tcPr>
                <w:p w14:paraId="58A66742" w14:textId="3BABC833" w:rsidR="003A2373" w:rsidRDefault="003A2373" w:rsidP="00C46107">
                  <w:r w:rsidRPr="00717E4B">
                    <w:t>Procedure-related mortality rate</w:t>
                  </w:r>
                </w:p>
              </w:tc>
            </w:tr>
          </w:tbl>
          <w:p w14:paraId="0FB2AFC1" w14:textId="77777777" w:rsidR="00C46107" w:rsidRDefault="00C46107" w:rsidP="00C46107">
            <w:pPr>
              <w:spacing w:after="0" w:line="240" w:lineRule="auto"/>
            </w:pPr>
          </w:p>
          <w:p w14:paraId="40CEA59C" w14:textId="7F9CFA57" w:rsidR="00560217" w:rsidRPr="00C0219C" w:rsidRDefault="00763E32" w:rsidP="00C46107">
            <w:pPr>
              <w:spacing w:after="0" w:line="240" w:lineRule="auto"/>
            </w:pPr>
            <w:r>
              <w:t>Key o</w:t>
            </w:r>
            <w:r w:rsidR="00C82FF9">
              <w:t>utcome</w:t>
            </w:r>
            <w:r>
              <w:t xml:space="preserve">s impacting the broader </w:t>
            </w:r>
            <w:r w:rsidR="00C82FF9">
              <w:t>healthcare system</w:t>
            </w:r>
            <w:r w:rsidR="002D3979">
              <w:t xml:space="preserve"> are: a </w:t>
            </w:r>
            <w:r w:rsidR="006C7831">
              <w:t xml:space="preserve">potential increase in the number of patients undergoing EMR as a result of </w:t>
            </w:r>
            <w:r w:rsidR="009F6A30" w:rsidRPr="009F6A30">
              <w:t xml:space="preserve">Medicare Benefits Schedule </w:t>
            </w:r>
            <w:r w:rsidR="009F6A30">
              <w:t>(</w:t>
            </w:r>
            <w:r w:rsidR="006C7831">
              <w:t>MBS</w:t>
            </w:r>
            <w:r w:rsidR="009F6A30">
              <w:t>)</w:t>
            </w:r>
            <w:r w:rsidR="006C7831">
              <w:t xml:space="preserve"> funding</w:t>
            </w:r>
            <w:r w:rsidR="002D3979">
              <w:t>; the potential</w:t>
            </w:r>
            <w:r w:rsidR="00E23F05">
              <w:t xml:space="preserve"> for a </w:t>
            </w:r>
            <w:r w:rsidR="002D3979">
              <w:t xml:space="preserve">transfer in the source of funding </w:t>
            </w:r>
            <w:r w:rsidR="00DA0CBF">
              <w:t>for</w:t>
            </w:r>
            <w:r w:rsidR="002D3979">
              <w:t xml:space="preserve"> EMR</w:t>
            </w:r>
            <w:r w:rsidR="009C54FD">
              <w:t xml:space="preserve"> </w:t>
            </w:r>
            <w:r w:rsidR="002D3979">
              <w:t>from State/Territory healthcare budgets to the MBS</w:t>
            </w:r>
            <w:r w:rsidR="00CC5005">
              <w:t>; and a potential decrease in the number of surgical resection procedures funded through the MBS as a result of substitution with EMR.</w:t>
            </w:r>
          </w:p>
        </w:tc>
      </w:tr>
    </w:tbl>
    <w:p w14:paraId="7751D167" w14:textId="77777777" w:rsidR="00C46107" w:rsidRPr="00C46107" w:rsidRDefault="00C46107" w:rsidP="00C46107"/>
    <w:p w14:paraId="2862F532" w14:textId="18DB5308" w:rsidR="007F4E20" w:rsidRPr="00E364F7" w:rsidRDefault="00E364F7">
      <w:pPr>
        <w:rPr>
          <w:rFonts w:eastAsia="MS Gothic"/>
          <w:bCs/>
          <w:color w:val="548DD4"/>
          <w:szCs w:val="26"/>
        </w:rPr>
      </w:pPr>
      <w:r w:rsidRPr="00E364F7">
        <w:rPr>
          <w:rFonts w:eastAsia="MS Gothic"/>
          <w:b/>
          <w:bCs/>
          <w:i/>
          <w:color w:val="548DD4"/>
          <w:szCs w:val="26"/>
          <w:u w:val="single"/>
        </w:rPr>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14:paraId="776557CD" w14:textId="77777777" w:rsidR="00896845" w:rsidRPr="00E364F7" w:rsidRDefault="00896845">
      <w:pPr>
        <w:rPr>
          <w:b/>
        </w:rPr>
      </w:pPr>
      <w:r w:rsidRPr="00E364F7">
        <w:rPr>
          <w:b/>
        </w:rPr>
        <w:t>Population</w:t>
      </w:r>
    </w:p>
    <w:p w14:paraId="5FF726BE" w14:textId="5AB2F16E" w:rsidR="002C5C90" w:rsidRDefault="00431CD2" w:rsidP="000747E0">
      <w:r>
        <w:t xml:space="preserve">The population for whom the applicant is requesting MBS funding </w:t>
      </w:r>
      <w:r w:rsidR="001E7C4A">
        <w:t>are</w:t>
      </w:r>
      <w:r w:rsidR="00B3056D">
        <w:t xml:space="preserve"> patients with</w:t>
      </w:r>
      <w:r w:rsidR="00F34E03">
        <w:t xml:space="preserve"> </w:t>
      </w:r>
      <w:r w:rsidR="008E73A7">
        <w:t>non-invasive</w:t>
      </w:r>
      <w:r w:rsidR="001E4319">
        <w:rPr>
          <w:rStyle w:val="FootnoteReference"/>
        </w:rPr>
        <w:footnoteReference w:id="1"/>
      </w:r>
      <w:r w:rsidR="008E73A7">
        <w:t xml:space="preserve"> </w:t>
      </w:r>
      <w:r w:rsidR="00CB35FA" w:rsidRPr="00C968D4">
        <w:t xml:space="preserve">sessile or flat superficial colorectal lesions which </w:t>
      </w:r>
      <w:r w:rsidR="00CB35FA">
        <w:t xml:space="preserve">are </w:t>
      </w:r>
      <w:r w:rsidR="00CB35FA" w:rsidRPr="00C968D4">
        <w:t>at least 2</w:t>
      </w:r>
      <w:r w:rsidR="001278A3">
        <w:t>5</w:t>
      </w:r>
      <w:r w:rsidR="00CB35FA" w:rsidRPr="00C968D4">
        <w:t xml:space="preserve"> mm in diameter</w:t>
      </w:r>
      <w:r w:rsidR="001E7C4A">
        <w:t>.</w:t>
      </w:r>
      <w:r w:rsidR="00737847">
        <w:t xml:space="preserve"> Colorectal </w:t>
      </w:r>
      <w:r w:rsidR="004A3843">
        <w:t>lesions</w:t>
      </w:r>
      <w:r w:rsidR="003467A9">
        <w:t xml:space="preserve"> </w:t>
      </w:r>
      <w:r w:rsidR="003467A9">
        <w:lastRenderedPageBreak/>
        <w:t xml:space="preserve">are growths </w:t>
      </w:r>
      <w:r w:rsidR="006134B6">
        <w:t xml:space="preserve">occurring on the </w:t>
      </w:r>
      <w:r w:rsidR="0088473E">
        <w:t xml:space="preserve">lining of the colon which, if left untreated, may develop into </w:t>
      </w:r>
      <w:r w:rsidR="0062421B">
        <w:t>colorectal cancer.</w:t>
      </w:r>
    </w:p>
    <w:p w14:paraId="0A58CBF4" w14:textId="1DE4FC0E" w:rsidR="00242F30" w:rsidRDefault="007B63E7" w:rsidP="000747E0">
      <w:r>
        <w:t xml:space="preserve">Colorectal cancer </w:t>
      </w:r>
      <w:r w:rsidR="0034140B">
        <w:t xml:space="preserve">(also referred </w:t>
      </w:r>
      <w:r w:rsidR="003B5DAB">
        <w:t xml:space="preserve">to </w:t>
      </w:r>
      <w:r w:rsidR="0034140B">
        <w:t>as bowel cancer)</w:t>
      </w:r>
      <w:r w:rsidR="003B5DAB">
        <w:t xml:space="preserve"> </w:t>
      </w:r>
      <w:r w:rsidR="008B25C9">
        <w:t xml:space="preserve">develops in a multistage </w:t>
      </w:r>
      <w:r w:rsidR="006E4863">
        <w:t xml:space="preserve">process in which a series of cellular </w:t>
      </w:r>
      <w:r w:rsidR="00153DAE">
        <w:t>mutations occur</w:t>
      </w:r>
      <w:r w:rsidR="00582B7C">
        <w:t>s</w:t>
      </w:r>
      <w:r w:rsidR="00153DAE">
        <w:t xml:space="preserve"> over time. </w:t>
      </w:r>
      <w:r w:rsidR="002525CE">
        <w:t>Most co</w:t>
      </w:r>
      <w:r w:rsidR="000C5484">
        <w:t>lorectal cancers start in the epithelial cells forming the</w:t>
      </w:r>
      <w:r w:rsidR="00ED4C01">
        <w:t xml:space="preserve"> inner lining of the large bowel (intestinal mucosa layer)</w:t>
      </w:r>
      <w:r w:rsidR="00670D57">
        <w:t xml:space="preserve">. Early states of </w:t>
      </w:r>
      <w:r w:rsidR="00A06F32">
        <w:t xml:space="preserve">cellular </w:t>
      </w:r>
      <w:r w:rsidR="00BC7D91">
        <w:t>muta</w:t>
      </w:r>
      <w:r w:rsidR="0038427D">
        <w:t xml:space="preserve">tions </w:t>
      </w:r>
      <w:r w:rsidR="00B25497">
        <w:t>are associated with benign polyps</w:t>
      </w:r>
      <w:r w:rsidR="00687825">
        <w:t xml:space="preserve"> </w:t>
      </w:r>
      <w:r w:rsidR="007D42F9">
        <w:t>(adenoma/adenomatous polyp)</w:t>
      </w:r>
      <w:r w:rsidR="00B25497">
        <w:t xml:space="preserve">. These polyps </w:t>
      </w:r>
      <w:r w:rsidR="00BC7D91">
        <w:t xml:space="preserve">may mutate further </w:t>
      </w:r>
      <w:r w:rsidR="003B376A">
        <w:t xml:space="preserve">and </w:t>
      </w:r>
      <w:r w:rsidR="00483937">
        <w:t xml:space="preserve">develop into </w:t>
      </w:r>
      <w:r w:rsidR="003B376A">
        <w:t xml:space="preserve">a malignant </w:t>
      </w:r>
      <w:r w:rsidR="00955DD5">
        <w:t>cancer (</w:t>
      </w:r>
      <w:r w:rsidR="0076667A">
        <w:fldChar w:fldCharType="begin"/>
      </w:r>
      <w:r w:rsidR="0076667A">
        <w:instrText xml:space="preserve"> REF _Ref1983773 \h </w:instrText>
      </w:r>
      <w:r w:rsidR="0076667A">
        <w:fldChar w:fldCharType="separate"/>
      </w:r>
      <w:r w:rsidR="00853DB3">
        <w:t xml:space="preserve">Figure </w:t>
      </w:r>
      <w:r w:rsidR="00853DB3">
        <w:rPr>
          <w:noProof/>
        </w:rPr>
        <w:t>1</w:t>
      </w:r>
      <w:r w:rsidR="0076667A">
        <w:fldChar w:fldCharType="end"/>
      </w:r>
      <w:r w:rsidR="00955DD5">
        <w:t>).</w:t>
      </w:r>
    </w:p>
    <w:p w14:paraId="4B230943" w14:textId="2046D157" w:rsidR="009435B4" w:rsidRDefault="009435B4" w:rsidP="009435B4">
      <w:pPr>
        <w:pStyle w:val="Caption"/>
      </w:pPr>
      <w:bookmarkStart w:id="3" w:name="_Ref1983773"/>
      <w:r>
        <w:t xml:space="preserve">Figure </w:t>
      </w:r>
      <w:r>
        <w:fldChar w:fldCharType="begin"/>
      </w:r>
      <w:r>
        <w:instrText xml:space="preserve"> SEQ Figure \* ARABIC </w:instrText>
      </w:r>
      <w:r>
        <w:fldChar w:fldCharType="separate"/>
      </w:r>
      <w:r w:rsidR="00D660B1">
        <w:rPr>
          <w:noProof/>
        </w:rPr>
        <w:t>1</w:t>
      </w:r>
      <w:r>
        <w:fldChar w:fldCharType="end"/>
      </w:r>
      <w:bookmarkEnd w:id="3"/>
      <w:r>
        <w:t>: Development of colorectal cancer</w:t>
      </w:r>
    </w:p>
    <w:p w14:paraId="38E4B5A0" w14:textId="3BD81DA3" w:rsidR="00206BD5" w:rsidRDefault="009435B4" w:rsidP="000747E0">
      <w:r>
        <w:rPr>
          <w:noProof/>
          <w:lang w:eastAsia="en-AU"/>
        </w:rPr>
        <w:drawing>
          <wp:inline distT="0" distB="0" distL="0" distR="0" wp14:anchorId="3EC1283D" wp14:editId="109A362B">
            <wp:extent cx="4686300" cy="1752600"/>
            <wp:effectExtent l="0" t="0" r="0" b="0"/>
            <wp:docPr id="3" name="Picture 3" descr="Diagrammatic representation of cell developing into colorectal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6300" cy="1752600"/>
                    </a:xfrm>
                    <a:prstGeom prst="rect">
                      <a:avLst/>
                    </a:prstGeom>
                  </pic:spPr>
                </pic:pic>
              </a:graphicData>
            </a:graphic>
          </wp:inline>
        </w:drawing>
      </w:r>
    </w:p>
    <w:p w14:paraId="1EE6C0E1" w14:textId="1A6839D6" w:rsidR="009435B4" w:rsidRPr="00312C68" w:rsidRDefault="00312C68" w:rsidP="00624968">
      <w:pPr>
        <w:rPr>
          <w:sz w:val="18"/>
          <w:szCs w:val="18"/>
        </w:rPr>
      </w:pPr>
      <w:r w:rsidRPr="00312C68">
        <w:rPr>
          <w:sz w:val="18"/>
          <w:szCs w:val="18"/>
        </w:rPr>
        <w:t xml:space="preserve">Source: Figure 1.1 (p. 11) of </w:t>
      </w:r>
      <w:r w:rsidR="0013319F">
        <w:rPr>
          <w:noProof/>
          <w:sz w:val="18"/>
          <w:szCs w:val="18"/>
        </w:rPr>
        <w:t>(AIHW 2018)</w:t>
      </w:r>
    </w:p>
    <w:p w14:paraId="2BB3779F" w14:textId="2D8C79F1" w:rsidR="00283B47" w:rsidRDefault="007E7F56" w:rsidP="000747E0">
      <w:r>
        <w:t>S</w:t>
      </w:r>
      <w:r w:rsidR="00032A52">
        <w:t xml:space="preserve">ymptoms </w:t>
      </w:r>
      <w:r w:rsidR="004E22B7">
        <w:t>associated with c</w:t>
      </w:r>
      <w:r w:rsidR="00C93B56">
        <w:t>olorectal cancers</w:t>
      </w:r>
      <w:r w:rsidR="004E22B7">
        <w:t xml:space="preserve"> </w:t>
      </w:r>
      <w:r w:rsidR="00F566C6">
        <w:t>are</w:t>
      </w:r>
      <w:r w:rsidR="004E22B7">
        <w:t xml:space="preserve"> visible rectal bleeding</w:t>
      </w:r>
      <w:r w:rsidR="00F566C6">
        <w:t>,</w:t>
      </w:r>
      <w:r w:rsidR="004E22B7">
        <w:t xml:space="preserve"> change in bowel habit</w:t>
      </w:r>
      <w:r w:rsidR="00F566C6">
        <w:t>,</w:t>
      </w:r>
      <w:r w:rsidR="004E22B7">
        <w:t xml:space="preserve"> bo</w:t>
      </w:r>
      <w:r>
        <w:t>w</w:t>
      </w:r>
      <w:r w:rsidR="004E22B7">
        <w:t>el obstruction</w:t>
      </w:r>
      <w:r w:rsidR="00F566C6">
        <w:t>,</w:t>
      </w:r>
      <w:r w:rsidR="004E22B7">
        <w:t xml:space="preserve"> </w:t>
      </w:r>
      <w:r w:rsidR="00F566C6">
        <w:t>and</w:t>
      </w:r>
      <w:r w:rsidR="004E22B7">
        <w:t xml:space="preserve"> anaemia</w:t>
      </w:r>
      <w:r w:rsidR="0041211D">
        <w:t xml:space="preserve">. Due to the slowly progressing nature of colorectal cancer these symptoms may not </w:t>
      </w:r>
      <w:r w:rsidR="00882FA5">
        <w:t>be seen until the cancer has reached a relatively advanced stage</w:t>
      </w:r>
      <w:r w:rsidR="00394310">
        <w:t xml:space="preserve">. </w:t>
      </w:r>
      <w:r w:rsidR="00F20BC4">
        <w:t xml:space="preserve">The slowly developing nature of colorectal </w:t>
      </w:r>
      <w:r w:rsidR="003E6F00">
        <w:t xml:space="preserve">means that pre-cancerous and early stage cancers can be screened </w:t>
      </w:r>
      <w:r w:rsidR="00D45A19">
        <w:t>for and treated prior to developing into malignant disease.</w:t>
      </w:r>
    </w:p>
    <w:p w14:paraId="0274D208" w14:textId="4ABBE0D1" w:rsidR="004F2768" w:rsidRDefault="00164097" w:rsidP="000747E0">
      <w:r>
        <w:t>In Australia</w:t>
      </w:r>
      <w:r w:rsidR="00D04328">
        <w:t>,</w:t>
      </w:r>
      <w:r>
        <w:t xml:space="preserve"> </w:t>
      </w:r>
      <w:r w:rsidR="00F06FD1">
        <w:t xml:space="preserve">a government funded population-based screening program </w:t>
      </w:r>
      <w:r w:rsidR="00770B67">
        <w:t xml:space="preserve">is available to eligible Australians through the </w:t>
      </w:r>
      <w:r w:rsidR="001F315C">
        <w:t xml:space="preserve">National Bowel Cancer Screening Program (NBCSP). </w:t>
      </w:r>
      <w:r w:rsidR="003A731A">
        <w:t>From 2019</w:t>
      </w:r>
      <w:r w:rsidR="00D04328">
        <w:t>,</w:t>
      </w:r>
      <w:r w:rsidR="005F1B33">
        <w:t xml:space="preserve"> </w:t>
      </w:r>
      <w:r w:rsidR="00AB18C2">
        <w:t xml:space="preserve">all eligible Australians </w:t>
      </w:r>
      <w:r w:rsidR="004A295D">
        <w:t xml:space="preserve">aged between 50 and 74 years </w:t>
      </w:r>
      <w:r w:rsidR="00AB18C2">
        <w:t>will be invited to</w:t>
      </w:r>
      <w:r w:rsidR="004A295D">
        <w:t xml:space="preserve"> undergo screening </w:t>
      </w:r>
      <w:r w:rsidR="002F4037">
        <w:t>every two years.</w:t>
      </w:r>
      <w:r w:rsidR="00426DE7">
        <w:t xml:space="preserve"> The NBCSP us</w:t>
      </w:r>
      <w:r w:rsidR="00520804">
        <w:t>es an immunohistochemical fa</w:t>
      </w:r>
      <w:r w:rsidR="0065537F">
        <w:t>e</w:t>
      </w:r>
      <w:r w:rsidR="00520804">
        <w:t xml:space="preserve">cal occult blood test (iFOBT) </w:t>
      </w:r>
      <w:r w:rsidR="00BA43F8">
        <w:t>ki</w:t>
      </w:r>
      <w:r w:rsidR="0065537F">
        <w:t xml:space="preserve">t </w:t>
      </w:r>
      <w:r w:rsidR="00481830">
        <w:t xml:space="preserve">to detect </w:t>
      </w:r>
      <w:r w:rsidR="003026C6">
        <w:t>microscopic amounts of blood in a bowel movement</w:t>
      </w:r>
      <w:r w:rsidR="00CA2F7E">
        <w:t>. A posi</w:t>
      </w:r>
      <w:r w:rsidR="00882281">
        <w:t xml:space="preserve">tive </w:t>
      </w:r>
      <w:r w:rsidR="00CA2F7E">
        <w:t>screening result</w:t>
      </w:r>
      <w:r w:rsidR="001D6C7F">
        <w:t xml:space="preserve"> </w:t>
      </w:r>
      <w:r w:rsidR="00212EBD">
        <w:t xml:space="preserve">per </w:t>
      </w:r>
      <w:r w:rsidR="00CA2F7E">
        <w:t xml:space="preserve">the detection of blood in </w:t>
      </w:r>
      <w:r w:rsidR="00882281">
        <w:t>a bowel movement by iFOBT</w:t>
      </w:r>
      <w:r w:rsidR="001D6C7F">
        <w:t xml:space="preserve"> </w:t>
      </w:r>
      <w:r w:rsidR="00E903A1">
        <w:t xml:space="preserve">may </w:t>
      </w:r>
      <w:r w:rsidR="006E768F">
        <w:t xml:space="preserve">indicate the presence of </w:t>
      </w:r>
      <w:r w:rsidR="005E5CC6">
        <w:t>poly</w:t>
      </w:r>
      <w:r w:rsidR="000E2832">
        <w:t>ps</w:t>
      </w:r>
      <w:r w:rsidR="006E768F">
        <w:t xml:space="preserve"> </w:t>
      </w:r>
      <w:r w:rsidR="00122069">
        <w:t>or cancer</w:t>
      </w:r>
      <w:r w:rsidR="000E2832">
        <w:t xml:space="preserve"> (or other non-colorectal cancer condition such as </w:t>
      </w:r>
      <w:r w:rsidR="003A3207">
        <w:t>haemorrhoids or bowel inflammation)</w:t>
      </w:r>
      <w:r w:rsidR="00122069">
        <w:t>.</w:t>
      </w:r>
      <w:r w:rsidR="00A668E5">
        <w:t xml:space="preserve"> </w:t>
      </w:r>
      <w:r w:rsidR="00A61109">
        <w:t xml:space="preserve">A positive </w:t>
      </w:r>
      <w:r w:rsidR="00653A6D">
        <w:t>iFOBT</w:t>
      </w:r>
      <w:r w:rsidR="00D532DC">
        <w:t xml:space="preserve"> test</w:t>
      </w:r>
      <w:r w:rsidR="00A61109">
        <w:t xml:space="preserve"> </w:t>
      </w:r>
      <w:r w:rsidR="00A43D24">
        <w:t xml:space="preserve">result should be discussed </w:t>
      </w:r>
      <w:r w:rsidR="007369C6">
        <w:t xml:space="preserve">with the </w:t>
      </w:r>
      <w:r w:rsidR="00277919">
        <w:t>patient</w:t>
      </w:r>
      <w:r w:rsidR="000C5581">
        <w:t>’</w:t>
      </w:r>
      <w:r w:rsidR="00277919">
        <w:t xml:space="preserve">s </w:t>
      </w:r>
      <w:r w:rsidR="00D532DC">
        <w:t xml:space="preserve">General </w:t>
      </w:r>
      <w:r w:rsidR="007E307F">
        <w:t>Practitioner</w:t>
      </w:r>
      <w:r w:rsidR="007369C6">
        <w:t xml:space="preserve"> in order to determine if further tests </w:t>
      </w:r>
      <w:r w:rsidR="00017210">
        <w:t>are required in order to determine the cause of the bleeding.</w:t>
      </w:r>
      <w:r w:rsidR="007E307F">
        <w:t xml:space="preserve"> </w:t>
      </w:r>
      <w:r w:rsidR="008D0E55">
        <w:t xml:space="preserve">The </w:t>
      </w:r>
      <w:r w:rsidR="005D565A">
        <w:t xml:space="preserve">Australian </w:t>
      </w:r>
      <w:r w:rsidR="004A309C">
        <w:t xml:space="preserve">clinical </w:t>
      </w:r>
      <w:r w:rsidR="005D375C">
        <w:t>practice</w:t>
      </w:r>
      <w:r w:rsidR="004A309C">
        <w:t xml:space="preserve"> guidelines for the </w:t>
      </w:r>
      <w:r w:rsidR="005D565A">
        <w:t>management of colorectal</w:t>
      </w:r>
      <w:r w:rsidR="005D375C">
        <w:t xml:space="preserve"> </w:t>
      </w:r>
      <w:r w:rsidR="008D0E55">
        <w:t xml:space="preserve">cancer outline that </w:t>
      </w:r>
      <w:r w:rsidR="00176BCE">
        <w:t xml:space="preserve">a </w:t>
      </w:r>
      <w:r w:rsidR="007E307F">
        <w:t xml:space="preserve">positive iFOBT test </w:t>
      </w:r>
      <w:r w:rsidR="00176BCE">
        <w:t xml:space="preserve">is associated with a </w:t>
      </w:r>
      <w:r w:rsidR="00D70983">
        <w:t>Category</w:t>
      </w:r>
      <w:r w:rsidR="00176BCE">
        <w:t xml:space="preserve"> 1 </w:t>
      </w:r>
      <w:r w:rsidR="00D70983">
        <w:t xml:space="preserve">colonoscopy </w:t>
      </w:r>
      <w:r w:rsidR="001106B8">
        <w:t xml:space="preserve">triage </w:t>
      </w:r>
      <w:r w:rsidR="00D70983">
        <w:t>category</w:t>
      </w:r>
      <w:r w:rsidR="001106B8">
        <w:t xml:space="preserve"> (recommended in &lt;30 days)</w:t>
      </w:r>
      <w:r w:rsidR="00440049">
        <w:t xml:space="preserve"> and </w:t>
      </w:r>
      <w:r w:rsidR="0090346E">
        <w:t xml:space="preserve">that </w:t>
      </w:r>
      <w:r w:rsidR="00F16373">
        <w:t xml:space="preserve">patients with a positive iFOBT result </w:t>
      </w:r>
      <w:r w:rsidR="00433629">
        <w:t xml:space="preserve">be considered for </w:t>
      </w:r>
      <w:r w:rsidR="00D52A18">
        <w:t>a colonoscopy</w:t>
      </w:r>
      <w:r w:rsidR="00962645">
        <w:t xml:space="preserve"> </w:t>
      </w:r>
      <w:r w:rsidR="0013319F">
        <w:rPr>
          <w:noProof/>
        </w:rPr>
        <w:t>(Cancer Council Australia 2019)</w:t>
      </w:r>
      <w:r w:rsidR="00486BF5">
        <w:t>.</w:t>
      </w:r>
    </w:p>
    <w:p w14:paraId="1569DA23" w14:textId="620FBBCF" w:rsidR="00DC1DB1" w:rsidRDefault="004B6DDE" w:rsidP="000747E0">
      <w:r>
        <w:t>C</w:t>
      </w:r>
      <w:r w:rsidR="00C747BF">
        <w:t>olonoscop</w:t>
      </w:r>
      <w:r>
        <w:t xml:space="preserve">ies are an endoscopic examination of the </w:t>
      </w:r>
      <w:r w:rsidR="00F00319">
        <w:t xml:space="preserve">colon undertaken with </w:t>
      </w:r>
      <w:r w:rsidR="003D2CD8">
        <w:t xml:space="preserve">the aim of visually diagnosing </w:t>
      </w:r>
      <w:r w:rsidR="00A24EB9">
        <w:t>polyps or other colorectal abnorm</w:t>
      </w:r>
      <w:r w:rsidR="00374C51">
        <w:t>alities</w:t>
      </w:r>
      <w:r w:rsidR="00837EE4">
        <w:t xml:space="preserve">. During a routine colonoscopy </w:t>
      </w:r>
      <w:r w:rsidR="0095336F">
        <w:t xml:space="preserve">any polyp </w:t>
      </w:r>
      <w:r w:rsidR="001865E1">
        <w:t xml:space="preserve">&lt;20 mm </w:t>
      </w:r>
      <w:r w:rsidR="00103472">
        <w:t>is</w:t>
      </w:r>
      <w:r w:rsidR="00E10A4D">
        <w:t xml:space="preserve"> recommended to be remov</w:t>
      </w:r>
      <w:r w:rsidR="00CD18C4">
        <w:t xml:space="preserve">ed by </w:t>
      </w:r>
      <w:r w:rsidR="00DC1DB1">
        <w:t xml:space="preserve">the </w:t>
      </w:r>
      <w:r w:rsidR="00257D82">
        <w:t>gastroenterologist</w:t>
      </w:r>
      <w:r w:rsidR="00B37AC6">
        <w:t>/</w:t>
      </w:r>
      <w:r w:rsidR="006128DF">
        <w:t>surgical endoscopist</w:t>
      </w:r>
      <w:r w:rsidR="00887319">
        <w:t>. R</w:t>
      </w:r>
      <w:r w:rsidR="00FA45CD">
        <w:t xml:space="preserve">esected </w:t>
      </w:r>
      <w:r w:rsidR="0082032F">
        <w:t>tissue</w:t>
      </w:r>
      <w:r w:rsidR="00887319">
        <w:t xml:space="preserve"> is</w:t>
      </w:r>
      <w:r w:rsidR="0082032F">
        <w:t xml:space="preserve"> sent for </w:t>
      </w:r>
      <w:r w:rsidR="00AC2B8E">
        <w:t>histopathological</w:t>
      </w:r>
      <w:r w:rsidR="00F96673">
        <w:t xml:space="preserve"> </w:t>
      </w:r>
      <w:r w:rsidR="006A5C93">
        <w:t>examination</w:t>
      </w:r>
      <w:r w:rsidR="00F60C27">
        <w:t xml:space="preserve"> to assess the </w:t>
      </w:r>
      <w:r w:rsidR="00817268">
        <w:t>nature and extent of</w:t>
      </w:r>
      <w:r w:rsidR="0038260F">
        <w:t xml:space="preserve"> </w:t>
      </w:r>
      <w:r w:rsidR="00FA45CD">
        <w:t>abnormal cells</w:t>
      </w:r>
      <w:r w:rsidR="0038260F">
        <w:t>.</w:t>
      </w:r>
    </w:p>
    <w:p w14:paraId="012ED7CA" w14:textId="783AC6FD" w:rsidR="00D45A19" w:rsidRDefault="00BE4009" w:rsidP="000747E0">
      <w:r>
        <w:lastRenderedPageBreak/>
        <w:t xml:space="preserve">Clinical </w:t>
      </w:r>
      <w:r w:rsidR="00243B08">
        <w:t>guidelines published by the European Socie</w:t>
      </w:r>
      <w:r w:rsidR="00987FEF">
        <w:t xml:space="preserve">ty of Gastrointestinal Endoscopy (ESGE) recommend that </w:t>
      </w:r>
      <w:r w:rsidR="00BB72D9">
        <w:t>“</w:t>
      </w:r>
      <w:r w:rsidR="009F41B5">
        <w:t xml:space="preserve">all polyps be resected </w:t>
      </w:r>
      <w:r w:rsidR="00F37780">
        <w:t>except for dim</w:t>
      </w:r>
      <w:r w:rsidR="00BB72D9">
        <w:t>inu</w:t>
      </w:r>
      <w:r w:rsidR="00F37780">
        <w:t>tive (</w:t>
      </w:r>
      <w:r w:rsidR="00F37780">
        <w:rPr>
          <w:rFonts w:cs="Calibri"/>
        </w:rPr>
        <w:t>≤</w:t>
      </w:r>
      <w:r w:rsidR="00F37780">
        <w:t>5 mm) rectal and rectosig</w:t>
      </w:r>
      <w:r w:rsidR="00C6605A">
        <w:t>m</w:t>
      </w:r>
      <w:r w:rsidR="00F37780">
        <w:t xml:space="preserve">oid polyps </w:t>
      </w:r>
      <w:r w:rsidR="00C6605A">
        <w:t xml:space="preserve">that are predicted with high confidence to </w:t>
      </w:r>
      <w:r w:rsidR="00926116">
        <w:t xml:space="preserve">be hyperplastic” </w:t>
      </w:r>
      <w:r w:rsidR="00E8058C">
        <w:rPr>
          <w:noProof/>
        </w:rPr>
        <w:t>(Ferlitsch et al. 2017)</w:t>
      </w:r>
      <w:r w:rsidR="00D66F0D">
        <w:t>.</w:t>
      </w:r>
      <w:r w:rsidR="00B65D89">
        <w:t xml:space="preserve"> The removal of polyps </w:t>
      </w:r>
      <w:r w:rsidR="0029096F">
        <w:t>5-20 mm</w:t>
      </w:r>
      <w:r w:rsidR="000E09CE">
        <w:t xml:space="preserve"> </w:t>
      </w:r>
      <w:r w:rsidR="00ED5612">
        <w:t xml:space="preserve">via </w:t>
      </w:r>
      <w:r w:rsidR="00E44582">
        <w:t>polypectomy</w:t>
      </w:r>
      <w:r w:rsidR="00ED5612">
        <w:t xml:space="preserve"> </w:t>
      </w:r>
      <w:r w:rsidR="0029096F">
        <w:t>is r</w:t>
      </w:r>
      <w:r w:rsidR="00573A2D">
        <w:t xml:space="preserve">outinely </w:t>
      </w:r>
      <w:r w:rsidR="0054267E">
        <w:t xml:space="preserve">managed by </w:t>
      </w:r>
      <w:r w:rsidR="006128DF">
        <w:t>gastroenterologist/surgical endoscopist</w:t>
      </w:r>
      <w:r w:rsidR="004518AA">
        <w:t xml:space="preserve"> as part of the same </w:t>
      </w:r>
      <w:r w:rsidR="00652129">
        <w:t xml:space="preserve">colonoscopy </w:t>
      </w:r>
      <w:r w:rsidR="004518AA">
        <w:t xml:space="preserve">procedure </w:t>
      </w:r>
      <w:r w:rsidR="00652129">
        <w:t xml:space="preserve">where visual inspection </w:t>
      </w:r>
      <w:r w:rsidR="00D24913">
        <w:t xml:space="preserve">of the colon is undertaken </w:t>
      </w:r>
      <w:r w:rsidR="00366C79">
        <w:t xml:space="preserve">as it does not pose considerable technical difficulty </w:t>
      </w:r>
      <w:r w:rsidR="00E8058C">
        <w:rPr>
          <w:noProof/>
        </w:rPr>
        <w:t>(Kandel et al. 2017)</w:t>
      </w:r>
      <w:r w:rsidR="002A611A">
        <w:t>.</w:t>
      </w:r>
    </w:p>
    <w:p w14:paraId="6F40216F" w14:textId="0B20D084" w:rsidR="002A611A" w:rsidRDefault="002A611A" w:rsidP="002A611A">
      <w:r>
        <w:t xml:space="preserve">This application relates to the use of an endoscopic technique to resect </w:t>
      </w:r>
      <w:r w:rsidR="007E604A">
        <w:t>larger</w:t>
      </w:r>
      <w:r w:rsidR="00544D46">
        <w:t xml:space="preserve"> </w:t>
      </w:r>
      <w:r>
        <w:t>flat or laterally spreading colorectal lesions. The technique, endoscopic mucosal resection</w:t>
      </w:r>
      <w:r w:rsidR="00ED5612">
        <w:t xml:space="preserve"> (EMR)</w:t>
      </w:r>
      <w:r>
        <w:t xml:space="preserve">, is suitable for the removal of </w:t>
      </w:r>
      <w:r w:rsidR="004A3843">
        <w:t>lesions</w:t>
      </w:r>
      <w:r>
        <w:t xml:space="preserve"> which are not </w:t>
      </w:r>
      <w:r w:rsidR="002301DF">
        <w:t>amena</w:t>
      </w:r>
      <w:r>
        <w:t xml:space="preserve">ble for resection via </w:t>
      </w:r>
      <w:r w:rsidR="00D95DE2">
        <w:t xml:space="preserve">endoscopic </w:t>
      </w:r>
      <w:r>
        <w:t xml:space="preserve">polypectomy. The primary basis to remove a lesion using EMR instead of </w:t>
      </w:r>
      <w:r w:rsidR="004612AC">
        <w:t xml:space="preserve">endoscopic </w:t>
      </w:r>
      <w:r>
        <w:t xml:space="preserve">polypectomy is the size of the lesion, with EMR recommended in </w:t>
      </w:r>
      <w:r w:rsidR="002D756C">
        <w:t xml:space="preserve">non-invasive </w:t>
      </w:r>
      <w:r>
        <w:t xml:space="preserve">lesions </w:t>
      </w:r>
      <w:r>
        <w:rPr>
          <w:rFonts w:cs="Calibri"/>
        </w:rPr>
        <w:t>≥</w:t>
      </w:r>
      <w:r>
        <w:t>20</w:t>
      </w:r>
      <w:r w:rsidR="00A2781F">
        <w:t xml:space="preserve"> </w:t>
      </w:r>
      <w:r>
        <w:t>mm</w:t>
      </w:r>
      <w:r w:rsidR="000319CE">
        <w:t>-40</w:t>
      </w:r>
      <w:r w:rsidR="00A2781F">
        <w:t xml:space="preserve"> mm</w:t>
      </w:r>
      <w:r>
        <w:t xml:space="preserve"> </w:t>
      </w:r>
      <w:r w:rsidR="00E8058C">
        <w:rPr>
          <w:noProof/>
        </w:rPr>
        <w:t>(Ferlitsch et al. 2017)</w:t>
      </w:r>
      <w:r>
        <w:t xml:space="preserve">. The location of a lesion within haustral folds or regions involving the ileocecal valve (separating the small and large intestine) or close to the dentate line may also be </w:t>
      </w:r>
      <w:r w:rsidR="00A2781F">
        <w:t xml:space="preserve">indicated for </w:t>
      </w:r>
      <w:r>
        <w:t>resect</w:t>
      </w:r>
      <w:r w:rsidR="00A2781F">
        <w:t xml:space="preserve">ion </w:t>
      </w:r>
      <w:r>
        <w:t xml:space="preserve">using the EMR technique </w:t>
      </w:r>
      <w:r w:rsidR="00E8058C">
        <w:rPr>
          <w:noProof/>
        </w:rPr>
        <w:t>(Kandel et al. 2017)</w:t>
      </w:r>
      <w:r>
        <w:t>.</w:t>
      </w:r>
    </w:p>
    <w:p w14:paraId="5967EA02" w14:textId="77055568" w:rsidR="00EC5FF4" w:rsidRDefault="00F02536" w:rsidP="000104A6">
      <w:r>
        <w:t xml:space="preserve">The applicant has </w:t>
      </w:r>
      <w:r w:rsidR="0014067A">
        <w:t>estimated</w:t>
      </w:r>
      <w:r w:rsidR="00416AB9">
        <w:t xml:space="preserve"> that </w:t>
      </w:r>
      <w:r w:rsidR="00310F8B">
        <w:t>5%</w:t>
      </w:r>
      <w:r w:rsidR="00416AB9">
        <w:t xml:space="preserve"> of patients receiving a colonoscopy </w:t>
      </w:r>
      <w:r w:rsidR="00E752E4">
        <w:t xml:space="preserve">would be candidates for EMR </w:t>
      </w:r>
      <w:r w:rsidR="004920E5">
        <w:t xml:space="preserve">as the appropriate technique for the removal of </w:t>
      </w:r>
      <w:r w:rsidR="0014067A">
        <w:t>colorectal lesion</w:t>
      </w:r>
      <w:r w:rsidR="00511625">
        <w:t>s</w:t>
      </w:r>
      <w:r w:rsidR="0014067A">
        <w:t xml:space="preserve">. </w:t>
      </w:r>
      <w:r w:rsidR="00C33FF8">
        <w:t>Case serie</w:t>
      </w:r>
      <w:r w:rsidR="00B03A2A">
        <w:t>s reported in various clinical setting</w:t>
      </w:r>
      <w:r w:rsidR="006876F1">
        <w:t>s</w:t>
      </w:r>
      <w:r w:rsidR="00B03A2A">
        <w:t xml:space="preserve"> report a frequency of colonic polyps </w:t>
      </w:r>
      <w:r w:rsidR="00B405B1">
        <w:rPr>
          <w:rFonts w:cs="Calibri"/>
        </w:rPr>
        <w:t>≥</w:t>
      </w:r>
      <w:r w:rsidR="00B405B1">
        <w:t xml:space="preserve">20 mm </w:t>
      </w:r>
      <w:r w:rsidR="001260E1">
        <w:t xml:space="preserve">of 0.8%-1.4% of patients in a Japanese series </w:t>
      </w:r>
      <w:r w:rsidR="004B6684">
        <w:t>and 5.2% in a Polish series</w:t>
      </w:r>
      <w:r w:rsidR="009F4917">
        <w:t xml:space="preserve"> </w:t>
      </w:r>
      <w:r w:rsidR="00E8058C">
        <w:rPr>
          <w:noProof/>
        </w:rPr>
        <w:t>(Gallegos-Orozco et al. 2010)</w:t>
      </w:r>
      <w:r w:rsidR="004B6684">
        <w:t xml:space="preserve">. Therefore, the estimate </w:t>
      </w:r>
      <w:r w:rsidR="00F27578">
        <w:t xml:space="preserve">of 5% of patient receiving a colonoscopy </w:t>
      </w:r>
      <w:r w:rsidR="00281170">
        <w:t>being candidates for EMR is consistent with the broader literature</w:t>
      </w:r>
      <w:r w:rsidR="00BD48DD">
        <w:t>.</w:t>
      </w:r>
    </w:p>
    <w:p w14:paraId="0588F4E3" w14:textId="70FED712" w:rsidR="0063456E" w:rsidRDefault="00E72A2D" w:rsidP="000104A6">
      <w:r>
        <w:t xml:space="preserve">The applicant has </w:t>
      </w:r>
      <w:r w:rsidR="00727CC6">
        <w:t xml:space="preserve">estimated </w:t>
      </w:r>
      <w:r w:rsidR="00FB2497">
        <w:t>that 900,000 colonoscopies are performed nationally each year</w:t>
      </w:r>
      <w:r w:rsidR="00A93038">
        <w:t xml:space="preserve">, corresponding to </w:t>
      </w:r>
      <w:r w:rsidR="00BB533F">
        <w:t>45,000 (900,000*</w:t>
      </w:r>
      <w:r w:rsidR="0010340A">
        <w:t>0.05</w:t>
      </w:r>
      <w:r w:rsidR="00BB533F">
        <w:t>)</w:t>
      </w:r>
      <w:r w:rsidR="00171CF5">
        <w:t xml:space="preserve"> patients being candidates for EMR each year.</w:t>
      </w:r>
      <w:r w:rsidR="00740E6B">
        <w:t xml:space="preserve"> This estimate is based on a review being undertaken as part of the preparation of the Australian Council of Healthcare Standards (ACHS) Gastrointestinal Endoscopy Clinical Indicators report (Version 3) and includes colonoscopies undertaken in the private and public health sector.</w:t>
      </w:r>
    </w:p>
    <w:p w14:paraId="643400AB" w14:textId="1C41A410" w:rsidR="0078323E" w:rsidRDefault="0078323E" w:rsidP="000104A6">
      <w:r>
        <w:t xml:space="preserve">Based on MBS claims </w:t>
      </w:r>
      <w:r w:rsidR="002904C8">
        <w:t>data</w:t>
      </w:r>
      <w:r w:rsidR="0042291C">
        <w:t>, a total of</w:t>
      </w:r>
      <w:r w:rsidR="002904C8">
        <w:t xml:space="preserve"> </w:t>
      </w:r>
      <w:r w:rsidR="00E345A4">
        <w:t xml:space="preserve">639,935 colonoscopy-related </w:t>
      </w:r>
      <w:r w:rsidR="00FD08AC">
        <w:t>item</w:t>
      </w:r>
      <w:r w:rsidR="002F3B96">
        <w:t>s</w:t>
      </w:r>
      <w:r w:rsidR="0042291C">
        <w:t xml:space="preserve"> (see </w:t>
      </w:r>
      <w:r w:rsidR="0042291C">
        <w:fldChar w:fldCharType="begin"/>
      </w:r>
      <w:r w:rsidR="0042291C">
        <w:instrText xml:space="preserve"> REF _Ref2176414 \h </w:instrText>
      </w:r>
      <w:r w:rsidR="0042291C">
        <w:fldChar w:fldCharType="separate"/>
      </w:r>
      <w:r w:rsidR="00853DB3">
        <w:t xml:space="preserve">Table </w:t>
      </w:r>
      <w:r w:rsidR="00853DB3">
        <w:rPr>
          <w:noProof/>
        </w:rPr>
        <w:t>1</w:t>
      </w:r>
      <w:r w:rsidR="0042291C">
        <w:fldChar w:fldCharType="end"/>
      </w:r>
      <w:r w:rsidR="0042291C">
        <w:t>)</w:t>
      </w:r>
      <w:r w:rsidR="00FD08AC">
        <w:t xml:space="preserve"> </w:t>
      </w:r>
      <w:r w:rsidR="008A59CE">
        <w:t>were</w:t>
      </w:r>
      <w:r w:rsidR="00FD08AC">
        <w:t xml:space="preserve"> processed in 2017 (last full calendar year with data available</w:t>
      </w:r>
      <w:r w:rsidR="002F3B96">
        <w:t>)</w:t>
      </w:r>
      <w:r w:rsidR="00FD08AC">
        <w:t>.</w:t>
      </w:r>
      <w:r w:rsidR="00FA0C0F">
        <w:t xml:space="preserve"> </w:t>
      </w:r>
      <w:r w:rsidR="00F70567">
        <w:t xml:space="preserve">Using </w:t>
      </w:r>
      <w:r w:rsidR="00FA0C0F">
        <w:t>an alternate</w:t>
      </w:r>
      <w:r w:rsidR="00F70567">
        <w:t xml:space="preserve"> estimate of the number of colonoscopies performed each year based on MBS items </w:t>
      </w:r>
      <w:r w:rsidR="00E241E6">
        <w:t>processed</w:t>
      </w:r>
      <w:r w:rsidR="0042291C">
        <w:t>, a total of</w:t>
      </w:r>
      <w:r w:rsidR="00E241E6">
        <w:t xml:space="preserve"> </w:t>
      </w:r>
      <w:r w:rsidR="00F8271A">
        <w:t xml:space="preserve">31,997 (639,935*0.05) patients </w:t>
      </w:r>
      <w:r w:rsidR="0063652F">
        <w:t xml:space="preserve">receiving colonoscopies </w:t>
      </w:r>
      <w:r w:rsidR="006D7023">
        <w:t>funded through the MBS may be candidates for EMR each year</w:t>
      </w:r>
      <w:r w:rsidR="00C15364">
        <w:t>, with the funding through the MBS being most applicable to procedures undertaken in the private health sector.</w:t>
      </w:r>
    </w:p>
    <w:p w14:paraId="79D5BDAD" w14:textId="54CBA457" w:rsidR="003B4016" w:rsidRDefault="00042CC6" w:rsidP="00371BE3">
      <w:pPr>
        <w:pStyle w:val="Caption"/>
        <w:keepLines/>
      </w:pPr>
      <w:bookmarkStart w:id="4" w:name="_Ref2176414"/>
      <w:r>
        <w:lastRenderedPageBreak/>
        <w:t xml:space="preserve">Table </w:t>
      </w:r>
      <w:r>
        <w:fldChar w:fldCharType="begin"/>
      </w:r>
      <w:r>
        <w:instrText xml:space="preserve"> SEQ Table \* ARABIC </w:instrText>
      </w:r>
      <w:r>
        <w:fldChar w:fldCharType="separate"/>
      </w:r>
      <w:r w:rsidR="00853DB3">
        <w:rPr>
          <w:noProof/>
        </w:rPr>
        <w:t>1</w:t>
      </w:r>
      <w:r>
        <w:fldChar w:fldCharType="end"/>
      </w:r>
      <w:bookmarkEnd w:id="4"/>
      <w:r>
        <w:t>: Items processed for MBS items relating to colonoscopy: January 2017-December 2017</w:t>
      </w:r>
    </w:p>
    <w:tbl>
      <w:tblPr>
        <w:tblStyle w:val="TableGrid"/>
        <w:tblW w:w="0" w:type="auto"/>
        <w:tblLook w:val="04A0" w:firstRow="1" w:lastRow="0" w:firstColumn="1" w:lastColumn="0" w:noHBand="0" w:noVBand="1"/>
        <w:tblCaption w:val="Table shows MBS items and descriptors"/>
      </w:tblPr>
      <w:tblGrid>
        <w:gridCol w:w="836"/>
        <w:gridCol w:w="7222"/>
        <w:gridCol w:w="958"/>
      </w:tblGrid>
      <w:tr w:rsidR="00E2355F" w14:paraId="39B317CA" w14:textId="77777777" w:rsidTr="0069370F">
        <w:trPr>
          <w:tblHeader/>
        </w:trPr>
        <w:tc>
          <w:tcPr>
            <w:tcW w:w="0" w:type="auto"/>
          </w:tcPr>
          <w:p w14:paraId="392827EB" w14:textId="5CB688A1" w:rsidR="00E2355F" w:rsidRPr="00371BE3" w:rsidRDefault="00E2355F" w:rsidP="00371BE3">
            <w:pPr>
              <w:keepNext/>
              <w:keepLines/>
              <w:rPr>
                <w:b/>
                <w:lang w:val="en-GB" w:eastAsia="ja-JP"/>
              </w:rPr>
            </w:pPr>
            <w:r w:rsidRPr="00371BE3">
              <w:rPr>
                <w:b/>
                <w:lang w:val="en-GB" w:eastAsia="ja-JP"/>
              </w:rPr>
              <w:t>MBS item</w:t>
            </w:r>
          </w:p>
        </w:tc>
        <w:tc>
          <w:tcPr>
            <w:tcW w:w="0" w:type="auto"/>
          </w:tcPr>
          <w:p w14:paraId="54902A27" w14:textId="03801007" w:rsidR="00E2355F" w:rsidRPr="00371BE3" w:rsidRDefault="00E2355F" w:rsidP="00371BE3">
            <w:pPr>
              <w:keepNext/>
              <w:keepLines/>
              <w:rPr>
                <w:b/>
                <w:lang w:val="en-GB" w:eastAsia="ja-JP"/>
              </w:rPr>
            </w:pPr>
            <w:r w:rsidRPr="00371BE3">
              <w:rPr>
                <w:b/>
                <w:lang w:val="en-GB" w:eastAsia="ja-JP"/>
              </w:rPr>
              <w:t>Item Descriptor</w:t>
            </w:r>
            <w:r w:rsidR="00C072A0">
              <w:rPr>
                <w:b/>
                <w:lang w:val="en-GB" w:eastAsia="ja-JP"/>
              </w:rPr>
              <w:t xml:space="preserve"> at </w:t>
            </w:r>
            <w:r w:rsidR="009C136B">
              <w:rPr>
                <w:b/>
                <w:lang w:val="en-GB" w:eastAsia="ja-JP"/>
              </w:rPr>
              <w:t>Medicare Benefits Schedule Book Operation from 1 March 2019</w:t>
            </w:r>
          </w:p>
        </w:tc>
        <w:tc>
          <w:tcPr>
            <w:tcW w:w="0" w:type="auto"/>
          </w:tcPr>
          <w:p w14:paraId="39ADF475" w14:textId="5264EB15" w:rsidR="00E2355F" w:rsidRPr="00371BE3" w:rsidRDefault="00E2355F" w:rsidP="00371BE3">
            <w:pPr>
              <w:keepNext/>
              <w:keepLines/>
              <w:rPr>
                <w:b/>
                <w:lang w:val="en-GB" w:eastAsia="ja-JP"/>
              </w:rPr>
            </w:pPr>
            <w:r w:rsidRPr="00371BE3">
              <w:rPr>
                <w:b/>
                <w:lang w:val="en-GB" w:eastAsia="ja-JP"/>
              </w:rPr>
              <w:t>Services</w:t>
            </w:r>
          </w:p>
        </w:tc>
      </w:tr>
      <w:tr w:rsidR="00E2355F" w14:paraId="58DFDD1B" w14:textId="77777777" w:rsidTr="00371BE3">
        <w:tc>
          <w:tcPr>
            <w:tcW w:w="0" w:type="auto"/>
          </w:tcPr>
          <w:p w14:paraId="26A470DC" w14:textId="471C21E4" w:rsidR="00E2355F" w:rsidRDefault="00E2355F" w:rsidP="00371BE3">
            <w:pPr>
              <w:keepNext/>
              <w:keepLines/>
              <w:rPr>
                <w:lang w:val="en-GB" w:eastAsia="ja-JP"/>
              </w:rPr>
            </w:pPr>
            <w:r w:rsidRPr="00213852">
              <w:t>32084</w:t>
            </w:r>
          </w:p>
        </w:tc>
        <w:tc>
          <w:tcPr>
            <w:tcW w:w="0" w:type="auto"/>
          </w:tcPr>
          <w:p w14:paraId="034280D6" w14:textId="347C2E0B" w:rsidR="00E20E43" w:rsidRPr="00E20E43" w:rsidRDefault="00E20E43" w:rsidP="00E20E43">
            <w:pPr>
              <w:keepNext/>
              <w:keepLines/>
              <w:rPr>
                <w:lang w:eastAsia="ja-JP"/>
              </w:rPr>
            </w:pPr>
            <w:r w:rsidRPr="00E20E43">
              <w:rPr>
                <w:lang w:eastAsia="ja-JP"/>
              </w:rPr>
              <w:t>Flexible fibreoptic sigmoidoscopy or fibreoptic colonoscopy up to the hepatic flexure, with or without</w:t>
            </w:r>
            <w:r>
              <w:rPr>
                <w:lang w:eastAsia="ja-JP"/>
              </w:rPr>
              <w:t xml:space="preserve"> </w:t>
            </w:r>
            <w:r w:rsidRPr="00E20E43">
              <w:rPr>
                <w:lang w:eastAsia="ja-JP"/>
              </w:rPr>
              <w:t>biopsy, other than a service associated with a service to which item 32090 or 32093 applies.</w:t>
            </w:r>
            <w:r w:rsidR="0062538B">
              <w:rPr>
                <w:lang w:eastAsia="ja-JP"/>
              </w:rPr>
              <w:t xml:space="preserve"> </w:t>
            </w:r>
            <w:r w:rsidRPr="00E20E43">
              <w:rPr>
                <w:lang w:eastAsia="ja-JP"/>
              </w:rPr>
              <w:t>(Anaes.)</w:t>
            </w:r>
          </w:p>
          <w:p w14:paraId="2955431F" w14:textId="77777777" w:rsidR="00E20E43" w:rsidRPr="00E20E43" w:rsidRDefault="00E20E43" w:rsidP="00E20E43">
            <w:pPr>
              <w:keepNext/>
              <w:keepLines/>
              <w:rPr>
                <w:lang w:eastAsia="ja-JP"/>
              </w:rPr>
            </w:pPr>
            <w:r w:rsidRPr="00E20E43">
              <w:rPr>
                <w:lang w:eastAsia="ja-JP"/>
              </w:rPr>
              <w:t xml:space="preserve">(See para TN.8.17, TN.8.134 of explanatory notes to this Category) </w:t>
            </w:r>
          </w:p>
          <w:p w14:paraId="0D8A5E8C" w14:textId="3402B615" w:rsidR="00E20E43" w:rsidRDefault="00E20E43" w:rsidP="00E20E43">
            <w:pPr>
              <w:keepNext/>
              <w:keepLines/>
              <w:rPr>
                <w:lang w:val="en-GB" w:eastAsia="ja-JP"/>
              </w:rPr>
            </w:pPr>
            <w:r w:rsidRPr="00E20E43">
              <w:rPr>
                <w:b/>
                <w:bCs/>
                <w:lang w:eastAsia="ja-JP"/>
              </w:rPr>
              <w:t xml:space="preserve">Fee: </w:t>
            </w:r>
            <w:r w:rsidRPr="00E20E43">
              <w:rPr>
                <w:lang w:eastAsia="ja-JP"/>
              </w:rPr>
              <w:t xml:space="preserve">$111.35 </w:t>
            </w:r>
            <w:r w:rsidRPr="00E20E43">
              <w:rPr>
                <w:b/>
                <w:bCs/>
                <w:lang w:eastAsia="ja-JP"/>
              </w:rPr>
              <w:t xml:space="preserve">Benefit: </w:t>
            </w:r>
            <w:r w:rsidRPr="00E20E43">
              <w:rPr>
                <w:lang w:eastAsia="ja-JP"/>
              </w:rPr>
              <w:t xml:space="preserve">75% = $83.55 </w:t>
            </w:r>
            <w:r w:rsidRPr="0033008C">
              <w:rPr>
                <w:b/>
                <w:lang w:eastAsia="ja-JP"/>
              </w:rPr>
              <w:t>85%</w:t>
            </w:r>
            <w:r w:rsidRPr="00E20E43">
              <w:rPr>
                <w:lang w:eastAsia="ja-JP"/>
              </w:rPr>
              <w:t xml:space="preserve"> = $94.65</w:t>
            </w:r>
          </w:p>
        </w:tc>
        <w:tc>
          <w:tcPr>
            <w:tcW w:w="0" w:type="auto"/>
          </w:tcPr>
          <w:p w14:paraId="1059E44C" w14:textId="12EFC7B8" w:rsidR="00E2355F" w:rsidRDefault="00E2355F" w:rsidP="00371BE3">
            <w:pPr>
              <w:keepNext/>
              <w:keepLines/>
              <w:rPr>
                <w:lang w:val="en-GB" w:eastAsia="ja-JP"/>
              </w:rPr>
            </w:pPr>
            <w:r w:rsidRPr="003C6B0B">
              <w:t>20,025</w:t>
            </w:r>
          </w:p>
        </w:tc>
      </w:tr>
      <w:tr w:rsidR="00E2355F" w14:paraId="4EE00315" w14:textId="77777777" w:rsidTr="00371BE3">
        <w:tc>
          <w:tcPr>
            <w:tcW w:w="0" w:type="auto"/>
          </w:tcPr>
          <w:p w14:paraId="1F324C79" w14:textId="1D4CF6BB" w:rsidR="00E2355F" w:rsidRDefault="00E2355F" w:rsidP="00371BE3">
            <w:pPr>
              <w:keepNext/>
              <w:keepLines/>
              <w:rPr>
                <w:lang w:val="en-GB" w:eastAsia="ja-JP"/>
              </w:rPr>
            </w:pPr>
            <w:r w:rsidRPr="00213852">
              <w:t>32087</w:t>
            </w:r>
          </w:p>
        </w:tc>
        <w:tc>
          <w:tcPr>
            <w:tcW w:w="0" w:type="auto"/>
          </w:tcPr>
          <w:p w14:paraId="52D6A196" w14:textId="79D2836F" w:rsidR="004967B0" w:rsidRPr="004967B0" w:rsidRDefault="004967B0" w:rsidP="004967B0">
            <w:pPr>
              <w:keepNext/>
              <w:keepLines/>
              <w:rPr>
                <w:lang w:eastAsia="ja-JP"/>
              </w:rPr>
            </w:pPr>
            <w:r>
              <w:rPr>
                <w:lang w:eastAsia="ja-JP"/>
              </w:rPr>
              <w:t>En</w:t>
            </w:r>
            <w:r w:rsidR="009A13CF">
              <w:rPr>
                <w:lang w:eastAsia="ja-JP"/>
              </w:rPr>
              <w:t>dos</w:t>
            </w:r>
            <w:r w:rsidRPr="004967B0">
              <w:rPr>
                <w:lang w:eastAsia="ja-JP"/>
              </w:rPr>
              <w:t>copic examination of the colon up to the hepatic flexure by flexible fibreoptic sigmoidoscopy or</w:t>
            </w:r>
            <w:r w:rsidR="009A13CF">
              <w:rPr>
                <w:lang w:eastAsia="ja-JP"/>
              </w:rPr>
              <w:t xml:space="preserve"> </w:t>
            </w:r>
            <w:r w:rsidRPr="004967B0">
              <w:rPr>
                <w:lang w:eastAsia="ja-JP"/>
              </w:rPr>
              <w:t>fibreoptic colonoscopy for the removal of 1 or more polyps or the treatment of radiation proctitis,</w:t>
            </w:r>
            <w:r w:rsidR="0065103A">
              <w:rPr>
                <w:lang w:eastAsia="ja-JP"/>
              </w:rPr>
              <w:t xml:space="preserve"> </w:t>
            </w:r>
            <w:r w:rsidRPr="004967B0">
              <w:rPr>
                <w:lang w:eastAsia="ja-JP"/>
              </w:rPr>
              <w:t>angiodysplasia or post-polypectomy bleeding by argon plasma coagulation, one or more of, other than a service associated with a service to which item 32090 or 32093 applies</w:t>
            </w:r>
            <w:r w:rsidR="0062538B">
              <w:rPr>
                <w:lang w:eastAsia="ja-JP"/>
              </w:rPr>
              <w:t xml:space="preserve"> </w:t>
            </w:r>
            <w:r w:rsidRPr="004967B0">
              <w:rPr>
                <w:lang w:eastAsia="ja-JP"/>
              </w:rPr>
              <w:t>(Anaes.)</w:t>
            </w:r>
          </w:p>
          <w:p w14:paraId="0F01D35C" w14:textId="77777777" w:rsidR="004967B0" w:rsidRPr="004967B0" w:rsidRDefault="004967B0" w:rsidP="004967B0">
            <w:pPr>
              <w:keepNext/>
              <w:keepLines/>
              <w:rPr>
                <w:lang w:eastAsia="ja-JP"/>
              </w:rPr>
            </w:pPr>
            <w:r w:rsidRPr="004967B0">
              <w:rPr>
                <w:lang w:eastAsia="ja-JP"/>
              </w:rPr>
              <w:t xml:space="preserve">(See para TN.8.17, TN.8.134 of explanatory notes to this Category) </w:t>
            </w:r>
          </w:p>
          <w:p w14:paraId="67AC7481" w14:textId="58254EBC" w:rsidR="00E2355F" w:rsidRDefault="004967B0" w:rsidP="004967B0">
            <w:pPr>
              <w:keepNext/>
              <w:keepLines/>
              <w:rPr>
                <w:lang w:val="en-GB" w:eastAsia="ja-JP"/>
              </w:rPr>
            </w:pPr>
            <w:r w:rsidRPr="004967B0">
              <w:rPr>
                <w:b/>
                <w:bCs/>
                <w:lang w:eastAsia="ja-JP"/>
              </w:rPr>
              <w:t xml:space="preserve">Fee: </w:t>
            </w:r>
            <w:r w:rsidRPr="004967B0">
              <w:rPr>
                <w:lang w:eastAsia="ja-JP"/>
              </w:rPr>
              <w:t xml:space="preserve">$204.70 </w:t>
            </w:r>
            <w:r w:rsidRPr="004967B0">
              <w:rPr>
                <w:b/>
                <w:bCs/>
                <w:lang w:eastAsia="ja-JP"/>
              </w:rPr>
              <w:t xml:space="preserve">Benefit: </w:t>
            </w:r>
            <w:r w:rsidRPr="004967B0">
              <w:rPr>
                <w:lang w:eastAsia="ja-JP"/>
              </w:rPr>
              <w:t xml:space="preserve">75% = $153.55 </w:t>
            </w:r>
            <w:r w:rsidRPr="0065103A">
              <w:rPr>
                <w:b/>
                <w:lang w:eastAsia="ja-JP"/>
              </w:rPr>
              <w:t>85%</w:t>
            </w:r>
            <w:r w:rsidRPr="004967B0">
              <w:rPr>
                <w:lang w:eastAsia="ja-JP"/>
              </w:rPr>
              <w:t xml:space="preserve"> = $174.00</w:t>
            </w:r>
          </w:p>
        </w:tc>
        <w:tc>
          <w:tcPr>
            <w:tcW w:w="0" w:type="auto"/>
          </w:tcPr>
          <w:p w14:paraId="5DFE5BB1" w14:textId="13CD91C6" w:rsidR="00E2355F" w:rsidRDefault="00E2355F" w:rsidP="00371BE3">
            <w:pPr>
              <w:keepNext/>
              <w:keepLines/>
              <w:rPr>
                <w:lang w:val="en-GB" w:eastAsia="ja-JP"/>
              </w:rPr>
            </w:pPr>
            <w:r w:rsidRPr="003C6B0B">
              <w:t>3,625</w:t>
            </w:r>
          </w:p>
        </w:tc>
      </w:tr>
      <w:tr w:rsidR="00E2355F" w14:paraId="60A2377D" w14:textId="77777777" w:rsidTr="00371BE3">
        <w:tc>
          <w:tcPr>
            <w:tcW w:w="0" w:type="auto"/>
          </w:tcPr>
          <w:p w14:paraId="02E31174" w14:textId="2CA221AD" w:rsidR="00E2355F" w:rsidRDefault="00E2355F" w:rsidP="00371BE3">
            <w:pPr>
              <w:keepNext/>
              <w:keepLines/>
              <w:rPr>
                <w:lang w:val="en-GB" w:eastAsia="ja-JP"/>
              </w:rPr>
            </w:pPr>
            <w:r w:rsidRPr="00213852">
              <w:t>32088</w:t>
            </w:r>
          </w:p>
        </w:tc>
        <w:tc>
          <w:tcPr>
            <w:tcW w:w="0" w:type="auto"/>
          </w:tcPr>
          <w:p w14:paraId="09BC596D" w14:textId="3A4DC78E" w:rsidR="006E3B92" w:rsidRPr="006E3B92" w:rsidRDefault="006E3B92" w:rsidP="006E3B92">
            <w:pPr>
              <w:keepNext/>
              <w:keepLines/>
              <w:rPr>
                <w:lang w:eastAsia="ja-JP"/>
              </w:rPr>
            </w:pPr>
            <w:r w:rsidRPr="006E3B92">
              <w:rPr>
                <w:lang w:eastAsia="ja-JP"/>
              </w:rPr>
              <w:t>FIBREOPTIC COLONOSCOPY examination of the colon beyond the hepatic flexure WITH or</w:t>
            </w:r>
            <w:r>
              <w:rPr>
                <w:lang w:eastAsia="ja-JP"/>
              </w:rPr>
              <w:t xml:space="preserve"> </w:t>
            </w:r>
            <w:r w:rsidRPr="006E3B92">
              <w:rPr>
                <w:lang w:eastAsia="ja-JP"/>
              </w:rPr>
              <w:t>WITHOUT BIOPSY, following a positive faecal occult blood test for a participant registered on the</w:t>
            </w:r>
            <w:r>
              <w:rPr>
                <w:lang w:eastAsia="ja-JP"/>
              </w:rPr>
              <w:t xml:space="preserve"> </w:t>
            </w:r>
            <w:r w:rsidRPr="006E3B92">
              <w:rPr>
                <w:lang w:eastAsia="ja-JP"/>
              </w:rPr>
              <w:t>National Bowel Cancer Screening Program. (Anaes.)</w:t>
            </w:r>
          </w:p>
          <w:p w14:paraId="19BF6F03" w14:textId="77777777" w:rsidR="006E3B92" w:rsidRPr="006E3B92" w:rsidRDefault="006E3B92" w:rsidP="006E3B92">
            <w:pPr>
              <w:keepNext/>
              <w:keepLines/>
              <w:rPr>
                <w:lang w:eastAsia="ja-JP"/>
              </w:rPr>
            </w:pPr>
            <w:r w:rsidRPr="006E3B92">
              <w:rPr>
                <w:lang w:eastAsia="ja-JP"/>
              </w:rPr>
              <w:t xml:space="preserve">(See para TN.8.17 of explanatory notes to this Category) </w:t>
            </w:r>
          </w:p>
          <w:p w14:paraId="5C214AEF" w14:textId="403BA862" w:rsidR="00E2355F" w:rsidRDefault="006E3B92" w:rsidP="006E3B92">
            <w:pPr>
              <w:keepNext/>
              <w:keepLines/>
              <w:rPr>
                <w:lang w:val="en-GB" w:eastAsia="ja-JP"/>
              </w:rPr>
            </w:pPr>
            <w:r w:rsidRPr="006E3B92">
              <w:rPr>
                <w:b/>
                <w:bCs/>
                <w:lang w:eastAsia="ja-JP"/>
              </w:rPr>
              <w:t xml:space="preserve">Fee: </w:t>
            </w:r>
            <w:r w:rsidRPr="006E3B92">
              <w:rPr>
                <w:lang w:eastAsia="ja-JP"/>
              </w:rPr>
              <w:t xml:space="preserve">$334.35 </w:t>
            </w:r>
            <w:r w:rsidRPr="006E3B92">
              <w:rPr>
                <w:b/>
                <w:bCs/>
                <w:lang w:eastAsia="ja-JP"/>
              </w:rPr>
              <w:t xml:space="preserve">Benefit: </w:t>
            </w:r>
            <w:r w:rsidRPr="006E3B92">
              <w:rPr>
                <w:lang w:eastAsia="ja-JP"/>
              </w:rPr>
              <w:t xml:space="preserve">75% = $250.80 </w:t>
            </w:r>
            <w:r w:rsidRPr="0062538B">
              <w:rPr>
                <w:b/>
                <w:lang w:eastAsia="ja-JP"/>
              </w:rPr>
              <w:t>85%</w:t>
            </w:r>
            <w:r w:rsidRPr="006E3B92">
              <w:rPr>
                <w:lang w:eastAsia="ja-JP"/>
              </w:rPr>
              <w:t xml:space="preserve"> = $284.20</w:t>
            </w:r>
          </w:p>
        </w:tc>
        <w:tc>
          <w:tcPr>
            <w:tcW w:w="0" w:type="auto"/>
          </w:tcPr>
          <w:p w14:paraId="04448AB9" w14:textId="505E07AF" w:rsidR="00E2355F" w:rsidRDefault="00E2355F" w:rsidP="00371BE3">
            <w:pPr>
              <w:keepNext/>
              <w:keepLines/>
              <w:rPr>
                <w:lang w:val="en-GB" w:eastAsia="ja-JP"/>
              </w:rPr>
            </w:pPr>
            <w:r w:rsidRPr="003C6B0B">
              <w:t>4,215</w:t>
            </w:r>
          </w:p>
        </w:tc>
      </w:tr>
      <w:tr w:rsidR="00E2355F" w14:paraId="64430CC4" w14:textId="77777777" w:rsidTr="00371BE3">
        <w:tc>
          <w:tcPr>
            <w:tcW w:w="0" w:type="auto"/>
          </w:tcPr>
          <w:p w14:paraId="4A37A215" w14:textId="62F2B719" w:rsidR="00E2355F" w:rsidRDefault="00E2355F" w:rsidP="00371BE3">
            <w:pPr>
              <w:keepNext/>
              <w:keepLines/>
              <w:rPr>
                <w:lang w:val="en-GB" w:eastAsia="ja-JP"/>
              </w:rPr>
            </w:pPr>
            <w:r w:rsidRPr="00213852">
              <w:t>32089</w:t>
            </w:r>
          </w:p>
        </w:tc>
        <w:tc>
          <w:tcPr>
            <w:tcW w:w="0" w:type="auto"/>
          </w:tcPr>
          <w:p w14:paraId="35A0CA04" w14:textId="3C048EF9" w:rsidR="00B511A3" w:rsidRPr="00B511A3" w:rsidRDefault="00B511A3" w:rsidP="00B511A3">
            <w:pPr>
              <w:keepNext/>
              <w:keepLines/>
              <w:rPr>
                <w:lang w:eastAsia="ja-JP"/>
              </w:rPr>
            </w:pPr>
            <w:r w:rsidRPr="00B511A3">
              <w:rPr>
                <w:lang w:eastAsia="ja-JP"/>
              </w:rPr>
              <w:t>Endoscopic examination of the colon beyond the hepatic flexure by FIBREOPTIC COLONOSCOPY for</w:t>
            </w:r>
            <w:r>
              <w:rPr>
                <w:lang w:eastAsia="ja-JP"/>
              </w:rPr>
              <w:t xml:space="preserve"> </w:t>
            </w:r>
            <w:r w:rsidRPr="00B511A3">
              <w:rPr>
                <w:lang w:eastAsia="ja-JP"/>
              </w:rPr>
              <w:t>the REMOVAL OF 1 OR MORE POLYPS, following a positive faecal occult blood test for a participant</w:t>
            </w:r>
            <w:r>
              <w:rPr>
                <w:lang w:eastAsia="ja-JP"/>
              </w:rPr>
              <w:t xml:space="preserve"> </w:t>
            </w:r>
            <w:r w:rsidRPr="00B511A3">
              <w:rPr>
                <w:lang w:eastAsia="ja-JP"/>
              </w:rPr>
              <w:t>registered on the National Bowel Cancer Screening Program. (Anaes.)</w:t>
            </w:r>
          </w:p>
          <w:p w14:paraId="7472CE3F" w14:textId="77777777" w:rsidR="00B511A3" w:rsidRPr="00B511A3" w:rsidRDefault="00B511A3" w:rsidP="00B511A3">
            <w:pPr>
              <w:keepNext/>
              <w:keepLines/>
              <w:rPr>
                <w:lang w:eastAsia="ja-JP"/>
              </w:rPr>
            </w:pPr>
            <w:r w:rsidRPr="00B511A3">
              <w:rPr>
                <w:lang w:eastAsia="ja-JP"/>
              </w:rPr>
              <w:t xml:space="preserve">(See para TN.8.17 of explanatory notes to this Category) </w:t>
            </w:r>
          </w:p>
          <w:p w14:paraId="5351DA24" w14:textId="4C99B82E" w:rsidR="00E2355F" w:rsidRDefault="00B511A3" w:rsidP="00B511A3">
            <w:pPr>
              <w:keepNext/>
              <w:keepLines/>
              <w:rPr>
                <w:lang w:val="en-GB" w:eastAsia="ja-JP"/>
              </w:rPr>
            </w:pPr>
            <w:r w:rsidRPr="00B511A3">
              <w:rPr>
                <w:b/>
                <w:bCs/>
                <w:lang w:eastAsia="ja-JP"/>
              </w:rPr>
              <w:t xml:space="preserve">Fee: </w:t>
            </w:r>
            <w:r w:rsidRPr="00B511A3">
              <w:rPr>
                <w:lang w:eastAsia="ja-JP"/>
              </w:rPr>
              <w:t xml:space="preserve">$469.20 </w:t>
            </w:r>
            <w:r w:rsidRPr="00B511A3">
              <w:rPr>
                <w:b/>
                <w:bCs/>
                <w:lang w:eastAsia="ja-JP"/>
              </w:rPr>
              <w:t xml:space="preserve">Benefit: </w:t>
            </w:r>
            <w:r w:rsidRPr="00B511A3">
              <w:rPr>
                <w:lang w:eastAsia="ja-JP"/>
              </w:rPr>
              <w:t xml:space="preserve">75% = $351.90 </w:t>
            </w:r>
            <w:r w:rsidRPr="00B511A3">
              <w:rPr>
                <w:b/>
                <w:lang w:eastAsia="ja-JP"/>
              </w:rPr>
              <w:t>85%</w:t>
            </w:r>
            <w:r w:rsidRPr="00B511A3">
              <w:rPr>
                <w:lang w:eastAsia="ja-JP"/>
              </w:rPr>
              <w:t xml:space="preserve"> = $398.85</w:t>
            </w:r>
          </w:p>
        </w:tc>
        <w:tc>
          <w:tcPr>
            <w:tcW w:w="0" w:type="auto"/>
          </w:tcPr>
          <w:p w14:paraId="062A811B" w14:textId="4259AB9A" w:rsidR="00E2355F" w:rsidRDefault="00E2355F" w:rsidP="00371BE3">
            <w:pPr>
              <w:keepNext/>
              <w:keepLines/>
              <w:rPr>
                <w:lang w:val="en-GB" w:eastAsia="ja-JP"/>
              </w:rPr>
            </w:pPr>
            <w:r w:rsidRPr="003C6B0B">
              <w:t>6,169</w:t>
            </w:r>
          </w:p>
        </w:tc>
      </w:tr>
      <w:tr w:rsidR="00E2355F" w14:paraId="504726D6" w14:textId="77777777" w:rsidTr="00371BE3">
        <w:tc>
          <w:tcPr>
            <w:tcW w:w="0" w:type="auto"/>
          </w:tcPr>
          <w:p w14:paraId="7B4DB3FC" w14:textId="14671E57" w:rsidR="00E2355F" w:rsidRDefault="00E2355F" w:rsidP="00371BE3">
            <w:pPr>
              <w:keepNext/>
              <w:keepLines/>
              <w:rPr>
                <w:lang w:val="en-GB" w:eastAsia="ja-JP"/>
              </w:rPr>
            </w:pPr>
            <w:r w:rsidRPr="00213852">
              <w:t>32090</w:t>
            </w:r>
          </w:p>
        </w:tc>
        <w:tc>
          <w:tcPr>
            <w:tcW w:w="0" w:type="auto"/>
          </w:tcPr>
          <w:p w14:paraId="7B540485" w14:textId="7DC3E964" w:rsidR="00DD6879" w:rsidRPr="00DD6879" w:rsidRDefault="00DD6879" w:rsidP="00DD6879">
            <w:pPr>
              <w:keepNext/>
              <w:keepLines/>
              <w:rPr>
                <w:lang w:eastAsia="ja-JP"/>
              </w:rPr>
            </w:pPr>
            <w:r w:rsidRPr="00DD6879">
              <w:rPr>
                <w:lang w:eastAsia="ja-JP"/>
              </w:rPr>
              <w:t>FIBREOPTIC COLONOSCOPY examination of colon beyond the hepatic flexure WITH or</w:t>
            </w:r>
            <w:r>
              <w:rPr>
                <w:lang w:eastAsia="ja-JP"/>
              </w:rPr>
              <w:t xml:space="preserve"> </w:t>
            </w:r>
            <w:r w:rsidRPr="00DD6879">
              <w:rPr>
                <w:lang w:eastAsia="ja-JP"/>
              </w:rPr>
              <w:t>WITHOUT BIOPSY (Anaes.)</w:t>
            </w:r>
          </w:p>
          <w:p w14:paraId="613E5A20" w14:textId="77777777" w:rsidR="00DD6879" w:rsidRPr="00DD6879" w:rsidRDefault="00DD6879" w:rsidP="00DD6879">
            <w:pPr>
              <w:keepNext/>
              <w:keepLines/>
              <w:rPr>
                <w:lang w:eastAsia="ja-JP"/>
              </w:rPr>
            </w:pPr>
            <w:r w:rsidRPr="00DD6879">
              <w:rPr>
                <w:lang w:eastAsia="ja-JP"/>
              </w:rPr>
              <w:t xml:space="preserve">(See para TN.8.17, TN.8.134 of explanatory notes to this Category) </w:t>
            </w:r>
          </w:p>
          <w:p w14:paraId="6EFEC341" w14:textId="51127830" w:rsidR="00E2355F" w:rsidRDefault="00DD6879" w:rsidP="00DD6879">
            <w:pPr>
              <w:keepNext/>
              <w:keepLines/>
              <w:rPr>
                <w:lang w:val="en-GB" w:eastAsia="ja-JP"/>
              </w:rPr>
            </w:pPr>
            <w:r w:rsidRPr="00DD6879">
              <w:rPr>
                <w:b/>
                <w:bCs/>
                <w:lang w:eastAsia="ja-JP"/>
              </w:rPr>
              <w:t xml:space="preserve">Fee: </w:t>
            </w:r>
            <w:r w:rsidRPr="00DD6879">
              <w:rPr>
                <w:lang w:eastAsia="ja-JP"/>
              </w:rPr>
              <w:t xml:space="preserve">$334.35 </w:t>
            </w:r>
            <w:r w:rsidRPr="00DD6879">
              <w:rPr>
                <w:b/>
                <w:bCs/>
                <w:lang w:eastAsia="ja-JP"/>
              </w:rPr>
              <w:t xml:space="preserve">Benefit: </w:t>
            </w:r>
            <w:r w:rsidRPr="00DD6879">
              <w:rPr>
                <w:lang w:eastAsia="ja-JP"/>
              </w:rPr>
              <w:t xml:space="preserve">75% = $250.80 </w:t>
            </w:r>
            <w:r w:rsidRPr="00DD6879">
              <w:rPr>
                <w:b/>
                <w:lang w:eastAsia="ja-JP"/>
              </w:rPr>
              <w:t>85%</w:t>
            </w:r>
            <w:r w:rsidRPr="00DD6879">
              <w:rPr>
                <w:lang w:eastAsia="ja-JP"/>
              </w:rPr>
              <w:t xml:space="preserve"> = $284.20</w:t>
            </w:r>
          </w:p>
        </w:tc>
        <w:tc>
          <w:tcPr>
            <w:tcW w:w="0" w:type="auto"/>
          </w:tcPr>
          <w:p w14:paraId="3E95866E" w14:textId="0519036C" w:rsidR="00E2355F" w:rsidRDefault="00E2355F" w:rsidP="00371BE3">
            <w:pPr>
              <w:keepNext/>
              <w:keepLines/>
              <w:rPr>
                <w:lang w:val="en-GB" w:eastAsia="ja-JP"/>
              </w:rPr>
            </w:pPr>
            <w:r w:rsidRPr="003C6B0B">
              <w:t>321,377</w:t>
            </w:r>
          </w:p>
        </w:tc>
      </w:tr>
      <w:tr w:rsidR="00E2355F" w14:paraId="35F4F078" w14:textId="77777777" w:rsidTr="00371BE3">
        <w:tc>
          <w:tcPr>
            <w:tcW w:w="0" w:type="auto"/>
          </w:tcPr>
          <w:p w14:paraId="54A9AEA4" w14:textId="5303A46E" w:rsidR="00E2355F" w:rsidRDefault="00E2355F" w:rsidP="00371BE3">
            <w:pPr>
              <w:keepNext/>
              <w:keepLines/>
              <w:rPr>
                <w:lang w:val="en-GB" w:eastAsia="ja-JP"/>
              </w:rPr>
            </w:pPr>
            <w:r w:rsidRPr="00213852">
              <w:t>32093</w:t>
            </w:r>
          </w:p>
        </w:tc>
        <w:tc>
          <w:tcPr>
            <w:tcW w:w="0" w:type="auto"/>
          </w:tcPr>
          <w:p w14:paraId="5AA5E3C5" w14:textId="3E4FE2CE" w:rsidR="00607D2E" w:rsidRPr="00607D2E" w:rsidRDefault="00607D2E" w:rsidP="00607D2E">
            <w:pPr>
              <w:keepNext/>
              <w:keepLines/>
              <w:rPr>
                <w:lang w:eastAsia="ja-JP"/>
              </w:rPr>
            </w:pPr>
            <w:r w:rsidRPr="00607D2E">
              <w:rPr>
                <w:lang w:eastAsia="ja-JP"/>
              </w:rPr>
              <w:t>Endoscopic examination of the colon beyond the hepatic flexure by FIBREOPTIC COLONOSCOPY for</w:t>
            </w:r>
            <w:r>
              <w:rPr>
                <w:lang w:eastAsia="ja-JP"/>
              </w:rPr>
              <w:t xml:space="preserve"> </w:t>
            </w:r>
            <w:r w:rsidRPr="00607D2E">
              <w:rPr>
                <w:lang w:eastAsia="ja-JP"/>
              </w:rPr>
              <w:t>the REMOVAL OF 1 OR MORE POLYPS, or the treatment of radiation proctitis, angiodysplasia or</w:t>
            </w:r>
            <w:r>
              <w:rPr>
                <w:lang w:eastAsia="ja-JP"/>
              </w:rPr>
              <w:t xml:space="preserve"> </w:t>
            </w:r>
            <w:r w:rsidRPr="00607D2E">
              <w:rPr>
                <w:lang w:eastAsia="ja-JP"/>
              </w:rPr>
              <w:t>post-polypectomy bleeding by ARGON PLASMA COAGULATION, 1 or more of (Anaes.)</w:t>
            </w:r>
          </w:p>
          <w:p w14:paraId="291FD98E" w14:textId="77777777" w:rsidR="00607D2E" w:rsidRPr="00607D2E" w:rsidRDefault="00607D2E" w:rsidP="00607D2E">
            <w:pPr>
              <w:keepNext/>
              <w:keepLines/>
              <w:rPr>
                <w:lang w:eastAsia="ja-JP"/>
              </w:rPr>
            </w:pPr>
            <w:r w:rsidRPr="00607D2E">
              <w:rPr>
                <w:lang w:eastAsia="ja-JP"/>
              </w:rPr>
              <w:t xml:space="preserve">(See para TN.8.17, TN.8.134 of explanatory notes to this Category) </w:t>
            </w:r>
          </w:p>
          <w:p w14:paraId="0C9DADB0" w14:textId="19BCD11B" w:rsidR="00E2355F" w:rsidRDefault="00607D2E" w:rsidP="00607D2E">
            <w:pPr>
              <w:keepNext/>
              <w:keepLines/>
              <w:rPr>
                <w:lang w:val="en-GB" w:eastAsia="ja-JP"/>
              </w:rPr>
            </w:pPr>
            <w:r w:rsidRPr="00607D2E">
              <w:rPr>
                <w:b/>
                <w:bCs/>
                <w:lang w:eastAsia="ja-JP"/>
              </w:rPr>
              <w:t xml:space="preserve">Fee: </w:t>
            </w:r>
            <w:r w:rsidRPr="00607D2E">
              <w:rPr>
                <w:lang w:eastAsia="ja-JP"/>
              </w:rPr>
              <w:t xml:space="preserve">$469.20 </w:t>
            </w:r>
            <w:r w:rsidRPr="00607D2E">
              <w:rPr>
                <w:b/>
                <w:bCs/>
                <w:lang w:eastAsia="ja-JP"/>
              </w:rPr>
              <w:t xml:space="preserve">Benefit: </w:t>
            </w:r>
            <w:r w:rsidRPr="00607D2E">
              <w:rPr>
                <w:lang w:eastAsia="ja-JP"/>
              </w:rPr>
              <w:t xml:space="preserve">75% = $351.90 </w:t>
            </w:r>
            <w:r w:rsidRPr="00C072A0">
              <w:rPr>
                <w:b/>
                <w:lang w:eastAsia="ja-JP"/>
              </w:rPr>
              <w:t>85%</w:t>
            </w:r>
            <w:r w:rsidRPr="00607D2E">
              <w:rPr>
                <w:lang w:eastAsia="ja-JP"/>
              </w:rPr>
              <w:t xml:space="preserve"> = $398.85</w:t>
            </w:r>
          </w:p>
        </w:tc>
        <w:tc>
          <w:tcPr>
            <w:tcW w:w="0" w:type="auto"/>
          </w:tcPr>
          <w:p w14:paraId="181CDFD4" w14:textId="2BA4FCDC" w:rsidR="00E2355F" w:rsidRDefault="00E2355F" w:rsidP="00371BE3">
            <w:pPr>
              <w:keepNext/>
              <w:keepLines/>
              <w:rPr>
                <w:lang w:val="en-GB" w:eastAsia="ja-JP"/>
              </w:rPr>
            </w:pPr>
            <w:r w:rsidRPr="003C6B0B">
              <w:t>284,524</w:t>
            </w:r>
          </w:p>
        </w:tc>
      </w:tr>
      <w:tr w:rsidR="00E2355F" w14:paraId="2DFACD05" w14:textId="77777777" w:rsidTr="00371BE3">
        <w:tc>
          <w:tcPr>
            <w:tcW w:w="0" w:type="auto"/>
          </w:tcPr>
          <w:p w14:paraId="10BA079C" w14:textId="4DC7EBF9" w:rsidR="00E2355F" w:rsidRPr="00371BE3" w:rsidRDefault="00E2355F" w:rsidP="00371BE3">
            <w:pPr>
              <w:keepNext/>
              <w:keepLines/>
              <w:rPr>
                <w:b/>
                <w:lang w:val="en-GB" w:eastAsia="ja-JP"/>
              </w:rPr>
            </w:pPr>
            <w:r w:rsidRPr="00371BE3">
              <w:rPr>
                <w:b/>
              </w:rPr>
              <w:t>Total</w:t>
            </w:r>
          </w:p>
        </w:tc>
        <w:tc>
          <w:tcPr>
            <w:tcW w:w="0" w:type="auto"/>
          </w:tcPr>
          <w:p w14:paraId="4BC2A13F" w14:textId="77777777" w:rsidR="00E2355F" w:rsidRPr="00371BE3" w:rsidRDefault="00E2355F" w:rsidP="00371BE3">
            <w:pPr>
              <w:keepNext/>
              <w:keepLines/>
              <w:rPr>
                <w:b/>
                <w:lang w:val="en-GB" w:eastAsia="ja-JP"/>
              </w:rPr>
            </w:pPr>
          </w:p>
        </w:tc>
        <w:tc>
          <w:tcPr>
            <w:tcW w:w="0" w:type="auto"/>
          </w:tcPr>
          <w:p w14:paraId="04B0C2DC" w14:textId="7385475B" w:rsidR="00E2355F" w:rsidRPr="00371BE3" w:rsidRDefault="00E2355F" w:rsidP="00371BE3">
            <w:pPr>
              <w:keepNext/>
              <w:keepLines/>
              <w:rPr>
                <w:b/>
                <w:lang w:val="en-GB" w:eastAsia="ja-JP"/>
              </w:rPr>
            </w:pPr>
            <w:r w:rsidRPr="00371BE3">
              <w:rPr>
                <w:b/>
              </w:rPr>
              <w:t>639,935</w:t>
            </w:r>
          </w:p>
        </w:tc>
      </w:tr>
    </w:tbl>
    <w:p w14:paraId="6627C87C" w14:textId="50EB17F4" w:rsidR="00AD03B0" w:rsidRDefault="00310767" w:rsidP="00AD03B0">
      <w:pPr>
        <w:rPr>
          <w:rStyle w:val="Hyperlink"/>
          <w:sz w:val="18"/>
          <w:szCs w:val="18"/>
          <w:lang w:val="en-GB" w:eastAsia="ja-JP"/>
        </w:rPr>
      </w:pPr>
      <w:r w:rsidRPr="00A33F42">
        <w:rPr>
          <w:sz w:val="18"/>
          <w:szCs w:val="18"/>
          <w:lang w:val="en-GB" w:eastAsia="ja-JP"/>
        </w:rPr>
        <w:t xml:space="preserve">Source: </w:t>
      </w:r>
      <w:r w:rsidR="00C91AAC" w:rsidRPr="00A33F42">
        <w:rPr>
          <w:sz w:val="18"/>
          <w:szCs w:val="18"/>
          <w:lang w:val="en-GB" w:eastAsia="ja-JP"/>
        </w:rPr>
        <w:t>Medicare items processed data</w:t>
      </w:r>
      <w:r w:rsidR="00A33F42" w:rsidRPr="00A33F42">
        <w:rPr>
          <w:sz w:val="18"/>
          <w:szCs w:val="18"/>
          <w:lang w:val="en-GB" w:eastAsia="ja-JP"/>
        </w:rPr>
        <w:t xml:space="preserve">: </w:t>
      </w:r>
      <w:hyperlink r:id="rId10" w:tooltip="Link to webpage" w:history="1">
        <w:r w:rsidR="00A33F42" w:rsidRPr="00231CA1">
          <w:rPr>
            <w:rStyle w:val="Hyperlink"/>
            <w:sz w:val="18"/>
            <w:szCs w:val="18"/>
            <w:lang w:val="en-GB" w:eastAsia="ja-JP"/>
          </w:rPr>
          <w:t>http://medicarestatistics.humanservices.gov.au/statistics/mbs_item.jsp</w:t>
        </w:r>
      </w:hyperlink>
    </w:p>
    <w:p w14:paraId="57334BB5" w14:textId="65EC3106" w:rsidR="00312C68" w:rsidRPr="00C46107" w:rsidRDefault="00312C68" w:rsidP="00C46107">
      <w:r w:rsidRPr="00C46107">
        <w:br w:type="page"/>
      </w:r>
    </w:p>
    <w:p w14:paraId="0BC47D1F" w14:textId="3F93A601" w:rsidR="00E364F7" w:rsidRDefault="002B3338" w:rsidP="002B3338">
      <w:pPr>
        <w:rPr>
          <w:i/>
          <w:u w:val="single"/>
        </w:rPr>
      </w:pPr>
      <w:r>
        <w:rPr>
          <w:i/>
          <w:u w:val="single"/>
        </w:rPr>
        <w:lastRenderedPageBreak/>
        <w:t>Rationale</w:t>
      </w:r>
    </w:p>
    <w:p w14:paraId="3EE9AD45" w14:textId="17E61BC3" w:rsidR="002147E1" w:rsidRDefault="00C93D67" w:rsidP="002147E1">
      <w:r>
        <w:t xml:space="preserve">The applicant has proposed that the use of EMR funded through the MBS </w:t>
      </w:r>
      <w:r w:rsidR="004D16AA">
        <w:t xml:space="preserve">would be </w:t>
      </w:r>
      <w:r>
        <w:t xml:space="preserve">limited to patients with </w:t>
      </w:r>
      <w:r w:rsidR="004D16AA">
        <w:t>large (</w:t>
      </w:r>
      <w:r w:rsidR="004D16AA">
        <w:rPr>
          <w:rFonts w:cs="Calibri"/>
        </w:rPr>
        <w:t>&gt;</w:t>
      </w:r>
      <w:r w:rsidR="004D16AA">
        <w:t xml:space="preserve">25 mm) colorectal </w:t>
      </w:r>
      <w:r w:rsidR="004A3843">
        <w:t>lesions</w:t>
      </w:r>
      <w:r w:rsidR="004D16AA">
        <w:t>.</w:t>
      </w:r>
      <w:r w:rsidR="008F6151">
        <w:t xml:space="preserve"> </w:t>
      </w:r>
      <w:r w:rsidR="00A936D0">
        <w:t xml:space="preserve">A </w:t>
      </w:r>
      <w:r w:rsidR="005477D3">
        <w:t xml:space="preserve">notable </w:t>
      </w:r>
      <w:r w:rsidR="00A936D0">
        <w:t>difference in th</w:t>
      </w:r>
      <w:r w:rsidR="005477D3">
        <w:t>e</w:t>
      </w:r>
      <w:r w:rsidR="00A936D0">
        <w:t xml:space="preserve"> patient population proposed as being eligible to access </w:t>
      </w:r>
      <w:r w:rsidR="0003799F">
        <w:t xml:space="preserve">EMR funded through the MBS and the </w:t>
      </w:r>
      <w:r w:rsidR="005477D3">
        <w:t xml:space="preserve">use of EMR </w:t>
      </w:r>
      <w:r w:rsidR="007553AE">
        <w:t xml:space="preserve">outlined in clinical management guidelines </w:t>
      </w:r>
      <w:r w:rsidR="00F84316">
        <w:t xml:space="preserve">is the size of the </w:t>
      </w:r>
      <w:r w:rsidR="008750E7">
        <w:t xml:space="preserve">lesion </w:t>
      </w:r>
      <w:r w:rsidR="00F84316">
        <w:t xml:space="preserve">considered suitable for EMR. Specifically, the applicant has proposed that EMR funded through the MBS be restricted to patients with </w:t>
      </w:r>
      <w:r w:rsidR="004A3843">
        <w:t>lesions</w:t>
      </w:r>
      <w:r w:rsidR="00F84316">
        <w:t xml:space="preserve"> &gt;25 mm </w:t>
      </w:r>
      <w:r w:rsidR="00D61707">
        <w:t xml:space="preserve">whereas clinical management guidelines recommend that EMR considered in patients with </w:t>
      </w:r>
      <w:r w:rsidR="004A3843">
        <w:t>lesions</w:t>
      </w:r>
      <w:r w:rsidR="00D61707">
        <w:t xml:space="preserve"> </w:t>
      </w:r>
      <w:r w:rsidR="00260964">
        <w:rPr>
          <w:rFonts w:cs="Calibri"/>
        </w:rPr>
        <w:t>≥</w:t>
      </w:r>
      <w:r w:rsidR="006F5479">
        <w:t xml:space="preserve">20 mm </w:t>
      </w:r>
      <w:r w:rsidR="00E8058C">
        <w:rPr>
          <w:noProof/>
        </w:rPr>
        <w:t>(Ferlitsch et al. 2017)</w:t>
      </w:r>
      <w:r w:rsidR="006F5479">
        <w:t>.</w:t>
      </w:r>
    </w:p>
    <w:p w14:paraId="239E3C60" w14:textId="514E0792" w:rsidR="008321E6" w:rsidRDefault="00B1383A" w:rsidP="002147E1">
      <w:r>
        <w:t>A rapid review of the literature undertaken during the preparation of th</w:t>
      </w:r>
      <w:r w:rsidR="00E02963">
        <w:t xml:space="preserve">e </w:t>
      </w:r>
      <w:r>
        <w:t xml:space="preserve">PICO Confirmation identified </w:t>
      </w:r>
      <w:r w:rsidR="00183F16">
        <w:t xml:space="preserve">a </w:t>
      </w:r>
      <w:r w:rsidR="00E77A48">
        <w:t xml:space="preserve">study </w:t>
      </w:r>
      <w:r w:rsidR="007D0E70">
        <w:t>assessing the use of EMR for the removal of colorectal lesions undertaken in Australia</w:t>
      </w:r>
      <w:r w:rsidR="00D17066">
        <w:t xml:space="preserve">, the Australian Multicentre Colonic </w:t>
      </w:r>
      <w:r w:rsidR="00A61DF0">
        <w:t>en</w:t>
      </w:r>
      <w:r w:rsidR="00D17066">
        <w:t>doscopic Mucosal Resection (ACE/EMR)</w:t>
      </w:r>
      <w:r w:rsidR="00103DB9">
        <w:rPr>
          <w:rStyle w:val="FootnoteReference"/>
        </w:rPr>
        <w:footnoteReference w:id="2"/>
      </w:r>
      <w:r w:rsidR="00D17066">
        <w:t xml:space="preserve"> Study</w:t>
      </w:r>
      <w:r w:rsidR="001945F9">
        <w:t>.</w:t>
      </w:r>
      <w:r w:rsidR="002E46D2">
        <w:t xml:space="preserve"> </w:t>
      </w:r>
      <w:r w:rsidR="00213E8B">
        <w:t xml:space="preserve">This study </w:t>
      </w:r>
      <w:r w:rsidR="000641F0">
        <w:t xml:space="preserve">enrolled </w:t>
      </w:r>
      <w:r w:rsidR="00CC0834">
        <w:t xml:space="preserve">consecutive patients referred to eight </w:t>
      </w:r>
      <w:r w:rsidR="00B007DE">
        <w:t xml:space="preserve">Australian academic hospitals for the management of large sessile and </w:t>
      </w:r>
      <w:r w:rsidR="00934E18">
        <w:t xml:space="preserve">flat colorectal polyps </w:t>
      </w:r>
      <w:r w:rsidR="00934E18">
        <w:rPr>
          <w:rFonts w:cs="Calibri"/>
        </w:rPr>
        <w:t>≥</w:t>
      </w:r>
      <w:r w:rsidR="00934E18">
        <w:t>20 mm</w:t>
      </w:r>
      <w:r w:rsidR="00BE6DC1">
        <w:t>.</w:t>
      </w:r>
      <w:r w:rsidR="00F3569D" w:rsidRPr="00F3569D">
        <w:t xml:space="preserve"> </w:t>
      </w:r>
      <w:r w:rsidR="00F3569D">
        <w:t xml:space="preserve">A summary of key clinical characteristics reported as part of the ACE/EMR study is provided in </w:t>
      </w:r>
      <w:r w:rsidR="00F3569D">
        <w:fldChar w:fldCharType="begin"/>
      </w:r>
      <w:r w:rsidR="00F3569D">
        <w:instrText xml:space="preserve"> REF _Ref3886173 \h </w:instrText>
      </w:r>
      <w:r w:rsidR="00F3569D">
        <w:fldChar w:fldCharType="separate"/>
      </w:r>
      <w:r w:rsidR="00853DB3">
        <w:t xml:space="preserve">Table </w:t>
      </w:r>
      <w:r w:rsidR="00853DB3">
        <w:rPr>
          <w:noProof/>
        </w:rPr>
        <w:t>2</w:t>
      </w:r>
      <w:r w:rsidR="00F3569D">
        <w:fldChar w:fldCharType="end"/>
      </w:r>
      <w:r w:rsidR="004F2F23">
        <w:t>.</w:t>
      </w:r>
      <w:r w:rsidR="00D974EB">
        <w:t xml:space="preserve"> </w:t>
      </w:r>
      <w:r w:rsidR="00404F20">
        <w:t xml:space="preserve">A further Australian </w:t>
      </w:r>
      <w:r w:rsidR="00F96461">
        <w:t xml:space="preserve">study </w:t>
      </w:r>
      <w:r w:rsidR="00404F20">
        <w:t xml:space="preserve">reporting the outcome of EMR undertaken </w:t>
      </w:r>
      <w:r w:rsidR="006F6039">
        <w:t xml:space="preserve">in </w:t>
      </w:r>
      <w:r w:rsidR="00D37817">
        <w:t xml:space="preserve">174 </w:t>
      </w:r>
      <w:r w:rsidR="00F96461">
        <w:t xml:space="preserve">patients with </w:t>
      </w:r>
      <w:r w:rsidR="002B20EC">
        <w:t xml:space="preserve">difficult to treat polyps </w:t>
      </w:r>
      <w:r w:rsidR="004E50AA">
        <w:t>was identified</w:t>
      </w:r>
      <w:r w:rsidR="00D37817">
        <w:t xml:space="preserve"> </w:t>
      </w:r>
      <w:r w:rsidR="00E8058C">
        <w:rPr>
          <w:noProof/>
        </w:rPr>
        <w:t>(Swan et al. 2009)</w:t>
      </w:r>
      <w:r w:rsidR="004A0B71">
        <w:t>. This study reports a</w:t>
      </w:r>
      <w:r w:rsidR="00D5441D">
        <w:t xml:space="preserve"> mean lesion diameter of 30mm </w:t>
      </w:r>
      <w:r w:rsidR="000872AA">
        <w:t>(range 10-80 mm)</w:t>
      </w:r>
      <w:r w:rsidR="004A0B71">
        <w:t xml:space="preserve"> range of polyp size of </w:t>
      </w:r>
      <w:r w:rsidR="00916DAF">
        <w:t>1</w:t>
      </w:r>
      <w:r w:rsidR="0077641A">
        <w:t>0</w:t>
      </w:r>
      <w:r w:rsidR="00916DAF">
        <w:t>-80</w:t>
      </w:r>
      <w:r w:rsidR="001E12FC">
        <w:t xml:space="preserve"> </w:t>
      </w:r>
      <w:r w:rsidR="00916DAF">
        <w:t>mm</w:t>
      </w:r>
      <w:r w:rsidR="005874D8">
        <w:t>.</w:t>
      </w:r>
      <w:r w:rsidR="00423CA4">
        <w:t xml:space="preserve"> </w:t>
      </w:r>
    </w:p>
    <w:p w14:paraId="7BE6CF62" w14:textId="2DF82751" w:rsidR="00A74065" w:rsidRDefault="00A74065" w:rsidP="00A74065">
      <w:pPr>
        <w:pStyle w:val="Caption"/>
      </w:pPr>
      <w:bookmarkStart w:id="5" w:name="_Ref3886173"/>
      <w:r>
        <w:t xml:space="preserve">Table </w:t>
      </w:r>
      <w:r>
        <w:fldChar w:fldCharType="begin"/>
      </w:r>
      <w:r>
        <w:instrText xml:space="preserve"> SEQ Table \* ARABIC </w:instrText>
      </w:r>
      <w:r>
        <w:fldChar w:fldCharType="separate"/>
      </w:r>
      <w:r w:rsidR="00853DB3">
        <w:rPr>
          <w:noProof/>
        </w:rPr>
        <w:t>2</w:t>
      </w:r>
      <w:r>
        <w:fldChar w:fldCharType="end"/>
      </w:r>
      <w:bookmarkEnd w:id="5"/>
      <w:r>
        <w:t>: Baseline clinical characteristics of 1,748 lesions from the ACE/EMR study</w:t>
      </w:r>
    </w:p>
    <w:tbl>
      <w:tblPr>
        <w:tblStyle w:val="TableGrid"/>
        <w:tblW w:w="5000" w:type="pct"/>
        <w:tblLook w:val="04A0" w:firstRow="1" w:lastRow="0" w:firstColumn="1" w:lastColumn="0" w:noHBand="0" w:noVBand="1"/>
        <w:tblCaption w:val="Table showing characteristics as defined"/>
      </w:tblPr>
      <w:tblGrid>
        <w:gridCol w:w="4376"/>
        <w:gridCol w:w="2550"/>
        <w:gridCol w:w="2090"/>
      </w:tblGrid>
      <w:tr w:rsidR="00A74065" w14:paraId="131D2721" w14:textId="77777777" w:rsidTr="0069370F">
        <w:trPr>
          <w:tblHeader/>
        </w:trPr>
        <w:tc>
          <w:tcPr>
            <w:tcW w:w="2427" w:type="pct"/>
          </w:tcPr>
          <w:p w14:paraId="60AED850" w14:textId="77777777" w:rsidR="00A74065" w:rsidRPr="00A41B6B" w:rsidRDefault="00A74065" w:rsidP="004644E6">
            <w:pPr>
              <w:rPr>
                <w:b/>
                <w:lang w:val="en-GB" w:eastAsia="ja-JP"/>
              </w:rPr>
            </w:pPr>
            <w:r w:rsidRPr="00A41B6B">
              <w:rPr>
                <w:b/>
                <w:lang w:val="en-GB" w:eastAsia="ja-JP"/>
              </w:rPr>
              <w:t>Variable</w:t>
            </w:r>
          </w:p>
        </w:tc>
        <w:tc>
          <w:tcPr>
            <w:tcW w:w="1414" w:type="pct"/>
          </w:tcPr>
          <w:p w14:paraId="6742FB77" w14:textId="77777777" w:rsidR="00A74065" w:rsidRPr="00A41B6B" w:rsidRDefault="00A74065" w:rsidP="004644E6">
            <w:pPr>
              <w:rPr>
                <w:b/>
                <w:lang w:val="en-GB" w:eastAsia="ja-JP"/>
              </w:rPr>
            </w:pPr>
            <w:r w:rsidRPr="00A41B6B">
              <w:rPr>
                <w:b/>
                <w:lang w:val="en-GB" w:eastAsia="ja-JP"/>
              </w:rPr>
              <w:t xml:space="preserve">Adenoma </w:t>
            </w:r>
            <w:r w:rsidRPr="00A41B6B">
              <w:rPr>
                <w:rFonts w:cs="Calibri"/>
                <w:b/>
                <w:lang w:val="en-GB" w:eastAsia="ja-JP"/>
              </w:rPr>
              <w:t>≥</w:t>
            </w:r>
            <w:r w:rsidRPr="00A41B6B">
              <w:rPr>
                <w:b/>
                <w:lang w:val="en-GB" w:eastAsia="ja-JP"/>
              </w:rPr>
              <w:t>20 mm</w:t>
            </w:r>
          </w:p>
          <w:p w14:paraId="2EAD5CB1" w14:textId="6A4383D1" w:rsidR="007E36EB" w:rsidRPr="00A41B6B" w:rsidRDefault="007E36EB" w:rsidP="004644E6">
            <w:pPr>
              <w:rPr>
                <w:b/>
                <w:lang w:val="en-GB" w:eastAsia="ja-JP"/>
              </w:rPr>
            </w:pPr>
            <w:r w:rsidRPr="00A41B6B">
              <w:rPr>
                <w:b/>
                <w:lang w:val="en-GB" w:eastAsia="ja-JP"/>
              </w:rPr>
              <w:t>Patients: 1,425</w:t>
            </w:r>
          </w:p>
        </w:tc>
        <w:tc>
          <w:tcPr>
            <w:tcW w:w="1159" w:type="pct"/>
          </w:tcPr>
          <w:p w14:paraId="1266A4C9" w14:textId="77777777" w:rsidR="00A74065" w:rsidRPr="00A41B6B" w:rsidRDefault="00A74065" w:rsidP="004644E6">
            <w:pPr>
              <w:rPr>
                <w:b/>
                <w:lang w:val="en-GB" w:eastAsia="ja-JP"/>
              </w:rPr>
            </w:pPr>
            <w:r w:rsidRPr="00A41B6B">
              <w:rPr>
                <w:b/>
                <w:lang w:val="en-GB" w:eastAsia="ja-JP"/>
              </w:rPr>
              <w:t xml:space="preserve">SSA/P </w:t>
            </w:r>
            <w:r w:rsidRPr="00A41B6B">
              <w:rPr>
                <w:rFonts w:cs="Calibri"/>
                <w:b/>
                <w:lang w:val="en-GB" w:eastAsia="ja-JP"/>
              </w:rPr>
              <w:t>≥</w:t>
            </w:r>
            <w:r w:rsidRPr="00A41B6B">
              <w:rPr>
                <w:b/>
                <w:lang w:val="en-GB" w:eastAsia="ja-JP"/>
              </w:rPr>
              <w:t>20 mm</w:t>
            </w:r>
          </w:p>
          <w:p w14:paraId="4BC9ADCB" w14:textId="5990E5C7" w:rsidR="007E36EB" w:rsidRPr="00A41B6B" w:rsidRDefault="007E36EB" w:rsidP="004644E6">
            <w:pPr>
              <w:rPr>
                <w:b/>
                <w:lang w:val="en-GB" w:eastAsia="ja-JP"/>
              </w:rPr>
            </w:pPr>
            <w:r w:rsidRPr="00A41B6B">
              <w:rPr>
                <w:b/>
                <w:lang w:val="en-GB" w:eastAsia="ja-JP"/>
              </w:rPr>
              <w:t>Patients: 246</w:t>
            </w:r>
          </w:p>
        </w:tc>
      </w:tr>
      <w:tr w:rsidR="00A74065" w14:paraId="13C8893A" w14:textId="77777777" w:rsidTr="004644E6">
        <w:tc>
          <w:tcPr>
            <w:tcW w:w="2427" w:type="pct"/>
          </w:tcPr>
          <w:p w14:paraId="6072E36B" w14:textId="77777777" w:rsidR="00A74065" w:rsidRDefault="00A74065" w:rsidP="004644E6">
            <w:pPr>
              <w:rPr>
                <w:lang w:val="en-GB" w:eastAsia="ja-JP"/>
              </w:rPr>
            </w:pPr>
            <w:r>
              <w:rPr>
                <w:lang w:val="en-GB" w:eastAsia="ja-JP"/>
              </w:rPr>
              <w:t xml:space="preserve">Age (years), Mean </w:t>
            </w:r>
            <w:r>
              <w:rPr>
                <w:rFonts w:cs="Calibri"/>
                <w:lang w:val="en-GB" w:eastAsia="ja-JP"/>
              </w:rPr>
              <w:t>±</w:t>
            </w:r>
            <w:r>
              <w:rPr>
                <w:lang w:val="en-GB" w:eastAsia="ja-JP"/>
              </w:rPr>
              <w:t>SD</w:t>
            </w:r>
          </w:p>
        </w:tc>
        <w:tc>
          <w:tcPr>
            <w:tcW w:w="1414" w:type="pct"/>
          </w:tcPr>
          <w:p w14:paraId="328B762F" w14:textId="77777777" w:rsidR="00A74065" w:rsidRDefault="00A74065" w:rsidP="004644E6">
            <w:pPr>
              <w:rPr>
                <w:lang w:val="en-GB" w:eastAsia="ja-JP"/>
              </w:rPr>
            </w:pPr>
            <w:r>
              <w:rPr>
                <w:lang w:val="en-GB" w:eastAsia="ja-JP"/>
              </w:rPr>
              <w:t>68.2</w:t>
            </w:r>
            <w:r>
              <w:rPr>
                <w:rFonts w:cs="Calibri"/>
                <w:lang w:val="en-GB" w:eastAsia="ja-JP"/>
              </w:rPr>
              <w:t>±</w:t>
            </w:r>
            <w:r>
              <w:rPr>
                <w:lang w:val="en-GB" w:eastAsia="ja-JP"/>
              </w:rPr>
              <w:t>10.6</w:t>
            </w:r>
          </w:p>
        </w:tc>
        <w:tc>
          <w:tcPr>
            <w:tcW w:w="1159" w:type="pct"/>
          </w:tcPr>
          <w:p w14:paraId="2B41BBA6" w14:textId="564B20C7" w:rsidR="00A74065" w:rsidRDefault="00A74065" w:rsidP="004644E6">
            <w:pPr>
              <w:rPr>
                <w:lang w:val="en-GB" w:eastAsia="ja-JP"/>
              </w:rPr>
            </w:pPr>
            <w:r>
              <w:rPr>
                <w:lang w:val="en-GB" w:eastAsia="ja-JP"/>
              </w:rPr>
              <w:t>65.6</w:t>
            </w:r>
            <w:r>
              <w:rPr>
                <w:rFonts w:cs="Calibri"/>
                <w:lang w:val="en-GB" w:eastAsia="ja-JP"/>
              </w:rPr>
              <w:t>±</w:t>
            </w:r>
            <w:r>
              <w:rPr>
                <w:lang w:val="en-GB" w:eastAsia="ja-JP"/>
              </w:rPr>
              <w:t>12</w:t>
            </w:r>
            <w:r w:rsidR="00293942">
              <w:rPr>
                <w:lang w:val="en-GB" w:eastAsia="ja-JP"/>
              </w:rPr>
              <w:t>.</w:t>
            </w:r>
            <w:r>
              <w:rPr>
                <w:lang w:val="en-GB" w:eastAsia="ja-JP"/>
              </w:rPr>
              <w:t>7</w:t>
            </w:r>
          </w:p>
        </w:tc>
      </w:tr>
      <w:tr w:rsidR="00A74065" w14:paraId="2AADE5DD" w14:textId="77777777" w:rsidTr="004644E6">
        <w:tc>
          <w:tcPr>
            <w:tcW w:w="2427" w:type="pct"/>
          </w:tcPr>
          <w:p w14:paraId="0F453936" w14:textId="77777777" w:rsidR="00A74065" w:rsidRDefault="00A74065" w:rsidP="004644E6">
            <w:pPr>
              <w:rPr>
                <w:lang w:val="en-GB" w:eastAsia="ja-JP"/>
              </w:rPr>
            </w:pPr>
            <w:r>
              <w:rPr>
                <w:lang w:val="en-GB" w:eastAsia="ja-JP"/>
              </w:rPr>
              <w:t xml:space="preserve">Size (largest lesion), Mean </w:t>
            </w:r>
            <w:r>
              <w:rPr>
                <w:rFonts w:cs="Calibri"/>
                <w:lang w:val="en-GB" w:eastAsia="ja-JP"/>
              </w:rPr>
              <w:t>±</w:t>
            </w:r>
            <w:r>
              <w:rPr>
                <w:lang w:val="en-GB" w:eastAsia="ja-JP"/>
              </w:rPr>
              <w:t>SD</w:t>
            </w:r>
          </w:p>
        </w:tc>
        <w:tc>
          <w:tcPr>
            <w:tcW w:w="1414" w:type="pct"/>
          </w:tcPr>
          <w:p w14:paraId="6DB07680" w14:textId="77777777" w:rsidR="00A74065" w:rsidRDefault="00A74065" w:rsidP="004644E6">
            <w:pPr>
              <w:rPr>
                <w:lang w:val="en-GB" w:eastAsia="ja-JP"/>
              </w:rPr>
            </w:pPr>
            <w:r>
              <w:rPr>
                <w:lang w:val="en-GB" w:eastAsia="ja-JP"/>
              </w:rPr>
              <w:t>38.0</w:t>
            </w:r>
            <w:r>
              <w:rPr>
                <w:rFonts w:cs="Calibri"/>
                <w:lang w:val="en-GB" w:eastAsia="ja-JP"/>
              </w:rPr>
              <w:t>±</w:t>
            </w:r>
            <w:r>
              <w:rPr>
                <w:lang w:val="en-GB" w:eastAsia="ja-JP"/>
              </w:rPr>
              <w:t>16.4</w:t>
            </w:r>
          </w:p>
        </w:tc>
        <w:tc>
          <w:tcPr>
            <w:tcW w:w="1159" w:type="pct"/>
          </w:tcPr>
          <w:p w14:paraId="25BEFAF2" w14:textId="77777777" w:rsidR="00A74065" w:rsidRDefault="00A74065" w:rsidP="004644E6">
            <w:pPr>
              <w:rPr>
                <w:lang w:val="en-GB" w:eastAsia="ja-JP"/>
              </w:rPr>
            </w:pPr>
            <w:r>
              <w:rPr>
                <w:lang w:val="en-GB" w:eastAsia="ja-JP"/>
              </w:rPr>
              <w:t>29.6</w:t>
            </w:r>
            <w:r>
              <w:rPr>
                <w:rFonts w:cs="Calibri"/>
                <w:lang w:val="en-GB" w:eastAsia="ja-JP"/>
              </w:rPr>
              <w:t>±</w:t>
            </w:r>
            <w:r>
              <w:rPr>
                <w:lang w:val="en-GB" w:eastAsia="ja-JP"/>
              </w:rPr>
              <w:t>10.0</w:t>
            </w:r>
          </w:p>
        </w:tc>
      </w:tr>
      <w:tr w:rsidR="00A74065" w14:paraId="797F856D" w14:textId="77777777" w:rsidTr="004644E6">
        <w:tc>
          <w:tcPr>
            <w:tcW w:w="2427" w:type="pct"/>
          </w:tcPr>
          <w:p w14:paraId="6C5821DB" w14:textId="77777777" w:rsidR="00A74065" w:rsidRDefault="00A74065" w:rsidP="004644E6">
            <w:pPr>
              <w:rPr>
                <w:lang w:val="en-GB" w:eastAsia="ja-JP"/>
              </w:rPr>
            </w:pPr>
            <w:r>
              <w:rPr>
                <w:lang w:val="en-GB" w:eastAsia="ja-JP"/>
              </w:rPr>
              <w:t>Size group</w:t>
            </w:r>
          </w:p>
        </w:tc>
        <w:tc>
          <w:tcPr>
            <w:tcW w:w="1414" w:type="pct"/>
          </w:tcPr>
          <w:p w14:paraId="0C17AED8" w14:textId="77777777" w:rsidR="00A74065" w:rsidRDefault="00A74065" w:rsidP="004644E6">
            <w:pPr>
              <w:rPr>
                <w:lang w:val="en-GB" w:eastAsia="ja-JP"/>
              </w:rPr>
            </w:pPr>
          </w:p>
        </w:tc>
        <w:tc>
          <w:tcPr>
            <w:tcW w:w="1159" w:type="pct"/>
          </w:tcPr>
          <w:p w14:paraId="039B57AF" w14:textId="77777777" w:rsidR="00A74065" w:rsidRDefault="00A74065" w:rsidP="004644E6">
            <w:pPr>
              <w:rPr>
                <w:lang w:val="en-GB" w:eastAsia="ja-JP"/>
              </w:rPr>
            </w:pPr>
          </w:p>
        </w:tc>
      </w:tr>
      <w:tr w:rsidR="00A74065" w14:paraId="67989449" w14:textId="77777777" w:rsidTr="004644E6">
        <w:tc>
          <w:tcPr>
            <w:tcW w:w="2427" w:type="pct"/>
          </w:tcPr>
          <w:p w14:paraId="2C2E90EC" w14:textId="77777777" w:rsidR="00A74065" w:rsidRDefault="00A74065" w:rsidP="004644E6">
            <w:pPr>
              <w:ind w:left="310"/>
              <w:rPr>
                <w:lang w:val="en-GB" w:eastAsia="ja-JP"/>
              </w:rPr>
            </w:pPr>
            <w:r>
              <w:rPr>
                <w:rFonts w:cs="Calibri"/>
                <w:lang w:val="en-GB" w:eastAsia="ja-JP"/>
              </w:rPr>
              <w:t>≤</w:t>
            </w:r>
            <w:r>
              <w:rPr>
                <w:lang w:val="en-GB" w:eastAsia="ja-JP"/>
              </w:rPr>
              <w:t>25 mm</w:t>
            </w:r>
          </w:p>
        </w:tc>
        <w:tc>
          <w:tcPr>
            <w:tcW w:w="1414" w:type="pct"/>
          </w:tcPr>
          <w:p w14:paraId="117A7DFC" w14:textId="77777777" w:rsidR="00A74065" w:rsidRDefault="00A74065" w:rsidP="004644E6">
            <w:pPr>
              <w:ind w:left="310"/>
              <w:rPr>
                <w:lang w:val="en-GB" w:eastAsia="ja-JP"/>
              </w:rPr>
            </w:pPr>
            <w:r>
              <w:rPr>
                <w:lang w:val="en-GB" w:eastAsia="ja-JP"/>
              </w:rPr>
              <w:t>28.7%</w:t>
            </w:r>
          </w:p>
        </w:tc>
        <w:tc>
          <w:tcPr>
            <w:tcW w:w="1159" w:type="pct"/>
          </w:tcPr>
          <w:p w14:paraId="233FF4A1" w14:textId="77777777" w:rsidR="00A74065" w:rsidRDefault="00A74065" w:rsidP="004644E6">
            <w:pPr>
              <w:ind w:left="310"/>
              <w:rPr>
                <w:lang w:val="en-GB" w:eastAsia="ja-JP"/>
              </w:rPr>
            </w:pPr>
            <w:r>
              <w:rPr>
                <w:lang w:val="en-GB" w:eastAsia="ja-JP"/>
              </w:rPr>
              <w:t>49.5%</w:t>
            </w:r>
          </w:p>
        </w:tc>
      </w:tr>
      <w:tr w:rsidR="00A74065" w14:paraId="77F0A1D4" w14:textId="77777777" w:rsidTr="004644E6">
        <w:tc>
          <w:tcPr>
            <w:tcW w:w="2427" w:type="pct"/>
          </w:tcPr>
          <w:p w14:paraId="637D9F84" w14:textId="77777777" w:rsidR="00A74065" w:rsidRDefault="00A74065" w:rsidP="004644E6">
            <w:pPr>
              <w:ind w:left="310"/>
              <w:rPr>
                <w:lang w:val="en-GB" w:eastAsia="ja-JP"/>
              </w:rPr>
            </w:pPr>
            <w:r>
              <w:rPr>
                <w:lang w:val="en-GB" w:eastAsia="ja-JP"/>
              </w:rPr>
              <w:t>26-35 mm</w:t>
            </w:r>
          </w:p>
        </w:tc>
        <w:tc>
          <w:tcPr>
            <w:tcW w:w="1414" w:type="pct"/>
          </w:tcPr>
          <w:p w14:paraId="655D737A" w14:textId="77777777" w:rsidR="00A74065" w:rsidRDefault="00A74065" w:rsidP="004644E6">
            <w:pPr>
              <w:ind w:left="310"/>
              <w:rPr>
                <w:lang w:val="en-GB" w:eastAsia="ja-JP"/>
              </w:rPr>
            </w:pPr>
            <w:r>
              <w:rPr>
                <w:lang w:val="en-GB" w:eastAsia="ja-JP"/>
              </w:rPr>
              <w:t>27.1%</w:t>
            </w:r>
          </w:p>
        </w:tc>
        <w:tc>
          <w:tcPr>
            <w:tcW w:w="1159" w:type="pct"/>
          </w:tcPr>
          <w:p w14:paraId="4D23F812" w14:textId="77777777" w:rsidR="00A74065" w:rsidRDefault="00A74065" w:rsidP="004644E6">
            <w:pPr>
              <w:ind w:left="310"/>
              <w:rPr>
                <w:lang w:val="en-GB" w:eastAsia="ja-JP"/>
              </w:rPr>
            </w:pPr>
            <w:r>
              <w:rPr>
                <w:lang w:val="en-GB" w:eastAsia="ja-JP"/>
              </w:rPr>
              <w:t>30.0%</w:t>
            </w:r>
          </w:p>
        </w:tc>
      </w:tr>
      <w:tr w:rsidR="00A74065" w14:paraId="5130EE58" w14:textId="77777777" w:rsidTr="004644E6">
        <w:tc>
          <w:tcPr>
            <w:tcW w:w="2427" w:type="pct"/>
          </w:tcPr>
          <w:p w14:paraId="657D334E" w14:textId="77777777" w:rsidR="00A74065" w:rsidRDefault="00A74065" w:rsidP="004644E6">
            <w:pPr>
              <w:ind w:left="310"/>
              <w:rPr>
                <w:lang w:val="en-GB" w:eastAsia="ja-JP"/>
              </w:rPr>
            </w:pPr>
            <w:r>
              <w:rPr>
                <w:lang w:val="en-GB" w:eastAsia="ja-JP"/>
              </w:rPr>
              <w:t>&gt;35 mm</w:t>
            </w:r>
          </w:p>
        </w:tc>
        <w:tc>
          <w:tcPr>
            <w:tcW w:w="1414" w:type="pct"/>
          </w:tcPr>
          <w:p w14:paraId="0F2629C1" w14:textId="77777777" w:rsidR="00A74065" w:rsidRDefault="00A74065" w:rsidP="004644E6">
            <w:pPr>
              <w:ind w:left="310"/>
              <w:rPr>
                <w:lang w:val="en-GB" w:eastAsia="ja-JP"/>
              </w:rPr>
            </w:pPr>
            <w:r>
              <w:rPr>
                <w:lang w:val="en-GB" w:eastAsia="ja-JP"/>
              </w:rPr>
              <w:t>44.2%</w:t>
            </w:r>
          </w:p>
        </w:tc>
        <w:tc>
          <w:tcPr>
            <w:tcW w:w="1159" w:type="pct"/>
          </w:tcPr>
          <w:p w14:paraId="461C929A" w14:textId="77777777" w:rsidR="00A74065" w:rsidRDefault="00A74065" w:rsidP="004644E6">
            <w:pPr>
              <w:ind w:left="310"/>
              <w:rPr>
                <w:lang w:val="en-GB" w:eastAsia="ja-JP"/>
              </w:rPr>
            </w:pPr>
            <w:r>
              <w:rPr>
                <w:lang w:val="en-GB" w:eastAsia="ja-JP"/>
              </w:rPr>
              <w:t>20.5%</w:t>
            </w:r>
          </w:p>
        </w:tc>
      </w:tr>
      <w:tr w:rsidR="00A74065" w14:paraId="0F76784E" w14:textId="77777777" w:rsidTr="004644E6">
        <w:tc>
          <w:tcPr>
            <w:tcW w:w="2427" w:type="pct"/>
          </w:tcPr>
          <w:p w14:paraId="5D347BFC" w14:textId="6E47D1B8" w:rsidR="00A74065" w:rsidRDefault="00A74065" w:rsidP="004644E6">
            <w:pPr>
              <w:rPr>
                <w:lang w:val="en-GB" w:eastAsia="ja-JP"/>
              </w:rPr>
            </w:pPr>
            <w:r>
              <w:rPr>
                <w:lang w:val="en-GB" w:eastAsia="ja-JP"/>
              </w:rPr>
              <w:t xml:space="preserve">Piecemeal resection (not </w:t>
            </w:r>
            <w:r w:rsidR="00A61DF0">
              <w:rPr>
                <w:lang w:val="en-GB" w:eastAsia="ja-JP"/>
              </w:rPr>
              <w:t>en</w:t>
            </w:r>
            <w:r w:rsidR="002F5A4F">
              <w:rPr>
                <w:lang w:val="en-GB" w:eastAsia="ja-JP"/>
              </w:rPr>
              <w:t>-</w:t>
            </w:r>
            <w:r>
              <w:rPr>
                <w:lang w:val="en-GB" w:eastAsia="ja-JP"/>
              </w:rPr>
              <w:t>bloc)</w:t>
            </w:r>
          </w:p>
        </w:tc>
        <w:tc>
          <w:tcPr>
            <w:tcW w:w="1414" w:type="pct"/>
          </w:tcPr>
          <w:p w14:paraId="41856078" w14:textId="77777777" w:rsidR="00A74065" w:rsidRDefault="00A74065" w:rsidP="004644E6">
            <w:pPr>
              <w:rPr>
                <w:lang w:val="en-GB" w:eastAsia="ja-JP"/>
              </w:rPr>
            </w:pPr>
            <w:r>
              <w:rPr>
                <w:lang w:val="en-GB" w:eastAsia="ja-JP"/>
              </w:rPr>
              <w:t>85.5%</w:t>
            </w:r>
          </w:p>
        </w:tc>
        <w:tc>
          <w:tcPr>
            <w:tcW w:w="1159" w:type="pct"/>
          </w:tcPr>
          <w:p w14:paraId="34D2A0FA" w14:textId="77777777" w:rsidR="00A74065" w:rsidRDefault="00A74065" w:rsidP="004644E6">
            <w:pPr>
              <w:rPr>
                <w:lang w:val="en-GB" w:eastAsia="ja-JP"/>
              </w:rPr>
            </w:pPr>
            <w:r>
              <w:rPr>
                <w:lang w:val="en-GB" w:eastAsia="ja-JP"/>
              </w:rPr>
              <w:t>76.7%</w:t>
            </w:r>
          </w:p>
        </w:tc>
      </w:tr>
    </w:tbl>
    <w:p w14:paraId="28AE26A2" w14:textId="632B4A8F" w:rsidR="00F86012" w:rsidRDefault="00F86012" w:rsidP="000800D1">
      <w:pPr>
        <w:spacing w:after="120"/>
        <w:rPr>
          <w:sz w:val="18"/>
          <w:szCs w:val="18"/>
          <w:lang w:val="en-GB" w:eastAsia="ja-JP"/>
        </w:rPr>
      </w:pPr>
      <w:r>
        <w:rPr>
          <w:sz w:val="18"/>
          <w:szCs w:val="18"/>
          <w:lang w:val="en-GB" w:eastAsia="ja-JP"/>
        </w:rPr>
        <w:t xml:space="preserve">Abbreviation: sessile </w:t>
      </w:r>
      <w:r w:rsidR="001833A0">
        <w:rPr>
          <w:sz w:val="18"/>
          <w:szCs w:val="18"/>
          <w:lang w:val="en-GB" w:eastAsia="ja-JP"/>
        </w:rPr>
        <w:t>serrated adenoma/polyp</w:t>
      </w:r>
    </w:p>
    <w:p w14:paraId="4EF207E0" w14:textId="6A6D8965" w:rsidR="00A74065" w:rsidRDefault="00A74065" w:rsidP="000800D1">
      <w:pPr>
        <w:spacing w:after="120"/>
        <w:rPr>
          <w:sz w:val="18"/>
          <w:szCs w:val="18"/>
          <w:lang w:val="en-GB" w:eastAsia="ja-JP"/>
        </w:rPr>
      </w:pPr>
      <w:r w:rsidRPr="00A74065">
        <w:rPr>
          <w:sz w:val="18"/>
          <w:szCs w:val="18"/>
          <w:lang w:val="en-GB" w:eastAsia="ja-JP"/>
        </w:rPr>
        <w:t>Source: Adapted from Table 1 (p. 649) of (Pellise et al 2017)</w:t>
      </w:r>
    </w:p>
    <w:p w14:paraId="073CDD55" w14:textId="5D744A91" w:rsidR="00273386" w:rsidRPr="005A73FF" w:rsidRDefault="008B2CA7" w:rsidP="005A73FF">
      <w:r w:rsidRPr="005A73FF">
        <w:t>PASC agreed that a minimum</w:t>
      </w:r>
      <w:r w:rsidR="003B1386" w:rsidRPr="005A73FF">
        <w:t xml:space="preserve"> </w:t>
      </w:r>
      <w:r w:rsidR="003B1386" w:rsidRPr="00E41E23">
        <w:rPr>
          <w:i/>
        </w:rPr>
        <w:t>in situ</w:t>
      </w:r>
      <w:r w:rsidR="003B1386" w:rsidRPr="005A73FF">
        <w:t xml:space="preserve"> </w:t>
      </w:r>
      <w:r w:rsidR="00E90C40" w:rsidRPr="005A73FF">
        <w:t xml:space="preserve">lesion </w:t>
      </w:r>
      <w:r w:rsidR="00BD4646" w:rsidRPr="005A73FF">
        <w:t xml:space="preserve">size of </w:t>
      </w:r>
      <w:r w:rsidR="00660D19" w:rsidRPr="005A73FF">
        <w:t>&gt;</w:t>
      </w:r>
      <w:r w:rsidR="00BD4646" w:rsidRPr="005A73FF">
        <w:t>25 mm is reasonable</w:t>
      </w:r>
      <w:r w:rsidR="00EB3C8E" w:rsidRPr="005A73FF">
        <w:t xml:space="preserve"> as it addresses the issue of potential leakage of EMR </w:t>
      </w:r>
      <w:r w:rsidR="003B4875" w:rsidRPr="005A73FF">
        <w:t>use in smaller lesions. PASC outlined</w:t>
      </w:r>
      <w:r w:rsidR="00BD4646" w:rsidRPr="005A73FF">
        <w:t xml:space="preserve"> that data from studies of EMR enrolling patients with </w:t>
      </w:r>
      <w:r w:rsidR="002D0A89" w:rsidRPr="005A73FF">
        <w:t>lesions</w:t>
      </w:r>
      <w:r w:rsidR="00E90C40" w:rsidRPr="005A73FF">
        <w:t xml:space="preserve"> </w:t>
      </w:r>
      <w:r w:rsidR="00291849" w:rsidRPr="005A73FF">
        <w:t>&lt;25 mm</w:t>
      </w:r>
      <w:r w:rsidR="003B4875" w:rsidRPr="005A73FF">
        <w:t xml:space="preserve"> </w:t>
      </w:r>
      <w:r w:rsidR="00291849" w:rsidRPr="005A73FF">
        <w:t>would be</w:t>
      </w:r>
      <w:r w:rsidR="003B4875" w:rsidRPr="005A73FF">
        <w:t xml:space="preserve"> </w:t>
      </w:r>
      <w:r w:rsidR="00A4204C" w:rsidRPr="005A73FF">
        <w:t xml:space="preserve">applicable to </w:t>
      </w:r>
      <w:r w:rsidR="00F1048E">
        <w:t xml:space="preserve">an assessment of EMR in </w:t>
      </w:r>
      <w:r w:rsidR="00A4204C" w:rsidRPr="005A73FF">
        <w:t>patients with lesion</w:t>
      </w:r>
      <w:r w:rsidR="00660D19" w:rsidRPr="005A73FF">
        <w:t>s &gt;25 mm.</w:t>
      </w:r>
    </w:p>
    <w:p w14:paraId="6F110964" w14:textId="77777777" w:rsidR="00953ED7" w:rsidRPr="00E364F7" w:rsidRDefault="00953ED7" w:rsidP="00953ED7">
      <w:pPr>
        <w:rPr>
          <w:b/>
        </w:rPr>
      </w:pPr>
      <w:r>
        <w:rPr>
          <w:b/>
        </w:rPr>
        <w:t>Prior test (investigative services only - if prior tests are to be included)</w:t>
      </w:r>
    </w:p>
    <w:p w14:paraId="5BDFCE01" w14:textId="6022A0D1" w:rsidR="00FF09FB" w:rsidRDefault="008322B0" w:rsidP="008322B0">
      <w:r>
        <w:t xml:space="preserve">Endoscopic mucosal resection </w:t>
      </w:r>
      <w:r w:rsidR="005456CD">
        <w:t xml:space="preserve">is a therapeutic service. However, prior </w:t>
      </w:r>
      <w:r w:rsidR="00D83DC3">
        <w:t xml:space="preserve">investigative services </w:t>
      </w:r>
      <w:r w:rsidR="00EA6479">
        <w:t xml:space="preserve">undertaken as part of </w:t>
      </w:r>
      <w:r w:rsidR="00D83DC3">
        <w:t>identify</w:t>
      </w:r>
      <w:r w:rsidR="00EA6479">
        <w:t>ing</w:t>
      </w:r>
      <w:r w:rsidR="00D83DC3">
        <w:t xml:space="preserve"> patients </w:t>
      </w:r>
      <w:r w:rsidR="008D3917">
        <w:t>suitable for having colorectal lesions removed using EMR</w:t>
      </w:r>
      <w:r w:rsidR="00634515">
        <w:t xml:space="preserve"> may </w:t>
      </w:r>
      <w:r w:rsidR="007949D3">
        <w:t>includ</w:t>
      </w:r>
      <w:r w:rsidR="00634515">
        <w:t>e</w:t>
      </w:r>
      <w:r w:rsidR="007949D3">
        <w:t>:</w:t>
      </w:r>
    </w:p>
    <w:p w14:paraId="1B690F64" w14:textId="2B80519C" w:rsidR="007949D3" w:rsidRDefault="007949D3" w:rsidP="007949D3">
      <w:pPr>
        <w:pStyle w:val="ListParagraph"/>
        <w:numPr>
          <w:ilvl w:val="0"/>
          <w:numId w:val="10"/>
        </w:numPr>
      </w:pPr>
      <w:r>
        <w:t xml:space="preserve">iFOBT </w:t>
      </w:r>
      <w:r w:rsidR="004F3FD5">
        <w:t xml:space="preserve">to detect blood in a bowel movement. </w:t>
      </w:r>
      <w:r w:rsidR="00B64F10">
        <w:t>T</w:t>
      </w:r>
      <w:r w:rsidR="004F3FD5">
        <w:t xml:space="preserve">he detection of blood in a bowel movement may indicate the presence of polyps or </w:t>
      </w:r>
      <w:r w:rsidR="00473A45">
        <w:t xml:space="preserve">colorectal </w:t>
      </w:r>
      <w:r w:rsidR="004F3FD5">
        <w:t>cancer</w:t>
      </w:r>
      <w:r w:rsidR="00473A45">
        <w:t>.</w:t>
      </w:r>
    </w:p>
    <w:p w14:paraId="5B16B6DE" w14:textId="3D80D43A" w:rsidR="00473A45" w:rsidRDefault="00473A45" w:rsidP="00473A45">
      <w:pPr>
        <w:pStyle w:val="ListParagraph"/>
        <w:numPr>
          <w:ilvl w:val="1"/>
          <w:numId w:val="10"/>
        </w:numPr>
      </w:pPr>
      <w:r>
        <w:lastRenderedPageBreak/>
        <w:t xml:space="preserve">iFOBT </w:t>
      </w:r>
      <w:r w:rsidR="00446FBC">
        <w:t xml:space="preserve">is supported by MBS items </w:t>
      </w:r>
      <w:r w:rsidR="00AC021B">
        <w:t>66764, 66767, and 66770.</w:t>
      </w:r>
    </w:p>
    <w:p w14:paraId="605CAA04" w14:textId="1490FE4C" w:rsidR="00B57BAF" w:rsidRDefault="00AC021B" w:rsidP="00AC021B">
      <w:pPr>
        <w:pStyle w:val="ListParagraph"/>
        <w:numPr>
          <w:ilvl w:val="0"/>
          <w:numId w:val="10"/>
        </w:numPr>
      </w:pPr>
      <w:r>
        <w:t xml:space="preserve">A colonoscopy </w:t>
      </w:r>
      <w:r w:rsidR="009F1ABC">
        <w:t xml:space="preserve">to visually diagnose </w:t>
      </w:r>
      <w:r w:rsidR="00563472">
        <w:t>the presence of lesions</w:t>
      </w:r>
      <w:r w:rsidR="00E767EA">
        <w:t xml:space="preserve"> which are not amenable for removal </w:t>
      </w:r>
      <w:r w:rsidR="00B57BAF">
        <w:t>via polypectomy during a routine colonoscopy procedure.</w:t>
      </w:r>
    </w:p>
    <w:p w14:paraId="3EF44FF8" w14:textId="0D021534" w:rsidR="00B57BAF" w:rsidRDefault="00B57BAF" w:rsidP="00B57BAF">
      <w:pPr>
        <w:pStyle w:val="ListParagraph"/>
        <w:numPr>
          <w:ilvl w:val="1"/>
          <w:numId w:val="10"/>
        </w:numPr>
      </w:pPr>
      <w:r>
        <w:t>Colonoscopies not including the removal of polyps a</w:t>
      </w:r>
      <w:r w:rsidR="0079614F">
        <w:t>re suppo</w:t>
      </w:r>
      <w:r w:rsidR="00571A28">
        <w:t xml:space="preserve">rted </w:t>
      </w:r>
      <w:r w:rsidR="0079614F">
        <w:t xml:space="preserve">by MBS items </w:t>
      </w:r>
      <w:r w:rsidR="00315BC9">
        <w:t xml:space="preserve">32084, 32088, and </w:t>
      </w:r>
      <w:r w:rsidR="00DB7C8D">
        <w:t>32090.</w:t>
      </w:r>
    </w:p>
    <w:p w14:paraId="2E92D9D3" w14:textId="739576B7" w:rsidR="00EA6479" w:rsidRDefault="00EA6479" w:rsidP="00B57BAF">
      <w:pPr>
        <w:pStyle w:val="ListParagraph"/>
        <w:numPr>
          <w:ilvl w:val="1"/>
          <w:numId w:val="10"/>
        </w:numPr>
      </w:pPr>
      <w:r>
        <w:t>Note</w:t>
      </w:r>
      <w:r w:rsidR="00907D5C">
        <w:t xml:space="preserve"> that if the clinician </w:t>
      </w:r>
      <w:r w:rsidR="005254B5">
        <w:t xml:space="preserve">performing </w:t>
      </w:r>
      <w:r w:rsidR="00907D5C">
        <w:t xml:space="preserve">the colonoscopy was experienced </w:t>
      </w:r>
      <w:r w:rsidR="003E62F6">
        <w:t xml:space="preserve">in the conduct of EMR then the removal of lesions </w:t>
      </w:r>
      <w:r w:rsidR="005254B5">
        <w:t xml:space="preserve">using EMR </w:t>
      </w:r>
      <w:r w:rsidR="003E62F6">
        <w:t>may take</w:t>
      </w:r>
      <w:r w:rsidR="005254B5">
        <w:t xml:space="preserve"> as part of the initial </w:t>
      </w:r>
      <w:r w:rsidR="00EF6427">
        <w:t xml:space="preserve">colonoscopy following a positive iFOBT test and not require referral to a specialty centre </w:t>
      </w:r>
      <w:r w:rsidR="00BC0051">
        <w:t>specifically for the conduct of EMR.</w:t>
      </w:r>
    </w:p>
    <w:p w14:paraId="4EA49F18" w14:textId="3755BB73" w:rsidR="00634515" w:rsidRDefault="002E471A" w:rsidP="00B57BAF">
      <w:pPr>
        <w:pStyle w:val="ListParagraph"/>
        <w:numPr>
          <w:ilvl w:val="1"/>
          <w:numId w:val="10"/>
        </w:numPr>
      </w:pPr>
      <w:r>
        <w:t>Patients who have had previous polypectomy</w:t>
      </w:r>
      <w:r w:rsidR="00C21AC4">
        <w:t>/EMR</w:t>
      </w:r>
      <w:r>
        <w:t xml:space="preserve"> </w:t>
      </w:r>
      <w:r w:rsidR="00B75D9E">
        <w:t xml:space="preserve">are likely to </w:t>
      </w:r>
      <w:r>
        <w:t xml:space="preserve">receive follow-up </w:t>
      </w:r>
      <w:r w:rsidR="00571A28">
        <w:t>colonoscopies</w:t>
      </w:r>
      <w:r w:rsidR="00C7296C">
        <w:t xml:space="preserve"> </w:t>
      </w:r>
      <w:r w:rsidR="00367266">
        <w:t>without prior iFOBT testing</w:t>
      </w:r>
      <w:r>
        <w:t xml:space="preserve"> </w:t>
      </w:r>
      <w:r w:rsidR="00A667B7">
        <w:t xml:space="preserve">in order to </w:t>
      </w:r>
      <w:r w:rsidR="001A414F">
        <w:t>assess for recurrence.</w:t>
      </w:r>
    </w:p>
    <w:p w14:paraId="15D66856" w14:textId="77777777" w:rsidR="00896845" w:rsidRPr="00E364F7" w:rsidRDefault="00896845">
      <w:pPr>
        <w:rPr>
          <w:b/>
        </w:rPr>
      </w:pPr>
      <w:r w:rsidRPr="00E364F7">
        <w:rPr>
          <w:b/>
        </w:rPr>
        <w:t>Intervention</w:t>
      </w:r>
    </w:p>
    <w:p w14:paraId="4FA3015E" w14:textId="56725A93" w:rsidR="00095927" w:rsidRDefault="00E71CBA" w:rsidP="00D403C5">
      <w:r>
        <w:t xml:space="preserve">An overview of </w:t>
      </w:r>
      <w:r w:rsidR="0047206C">
        <w:t xml:space="preserve">the key steps involved in the removal of colorectal lesions using </w:t>
      </w:r>
      <w:r w:rsidR="00AF22FC">
        <w:t>EMR</w:t>
      </w:r>
      <w:r w:rsidR="0047206C">
        <w:t xml:space="preserve"> follows:</w:t>
      </w:r>
    </w:p>
    <w:p w14:paraId="51412510" w14:textId="30AA66CA" w:rsidR="0047206C" w:rsidRPr="00EE5B58" w:rsidRDefault="00AB759D" w:rsidP="00D403C5">
      <w:pPr>
        <w:rPr>
          <w:i/>
        </w:rPr>
      </w:pPr>
      <w:r w:rsidRPr="00EE5B58">
        <w:rPr>
          <w:i/>
        </w:rPr>
        <w:t>Pre-procedure stage:</w:t>
      </w:r>
    </w:p>
    <w:p w14:paraId="14361F37" w14:textId="51335BB5" w:rsidR="00AB759D" w:rsidRDefault="00644F53" w:rsidP="00D403C5">
      <w:r>
        <w:t>The patient</w:t>
      </w:r>
      <w:r w:rsidR="009B5397">
        <w:t xml:space="preserve"> follows </w:t>
      </w:r>
      <w:r w:rsidR="00275C53">
        <w:t xml:space="preserve">the </w:t>
      </w:r>
      <w:r w:rsidR="009B5397">
        <w:t>bowel preparation pro</w:t>
      </w:r>
      <w:r w:rsidR="00275C53">
        <w:t xml:space="preserve">tocol </w:t>
      </w:r>
      <w:r w:rsidR="00802DE4">
        <w:t>recommended by the treating clinic</w:t>
      </w:r>
      <w:r w:rsidR="00275C53">
        <w:t xml:space="preserve">ian in order to </w:t>
      </w:r>
      <w:r w:rsidR="009462B4">
        <w:t xml:space="preserve">clear the </w:t>
      </w:r>
      <w:r w:rsidR="002249BB">
        <w:t xml:space="preserve">digestive tract prior to the procedure. This is </w:t>
      </w:r>
      <w:r w:rsidR="00CF25F4">
        <w:t xml:space="preserve">done at the </w:t>
      </w:r>
      <w:r w:rsidR="00103472">
        <w:t>patient’s</w:t>
      </w:r>
      <w:r w:rsidR="00CF25F4">
        <w:t xml:space="preserve"> home, usually commencing the evening prior to the procedure.</w:t>
      </w:r>
    </w:p>
    <w:p w14:paraId="425FD29B" w14:textId="45E5E0D9" w:rsidR="00275C53" w:rsidRDefault="00557F2F" w:rsidP="00D403C5">
      <w:r>
        <w:t>On the day of the proc</w:t>
      </w:r>
      <w:r w:rsidR="008A3B69">
        <w:t xml:space="preserve">edure patients are given intravenous </w:t>
      </w:r>
      <w:r w:rsidR="00BC6C60">
        <w:t>anaesthesia</w:t>
      </w:r>
      <w:r w:rsidR="004E4A98">
        <w:t>/sedation</w:t>
      </w:r>
      <w:r w:rsidR="00BC6C60">
        <w:t xml:space="preserve"> </w:t>
      </w:r>
      <w:r w:rsidR="00694DB8">
        <w:t>prior to the commencement of the EMR</w:t>
      </w:r>
      <w:r w:rsidR="00FB108E">
        <w:t xml:space="preserve">. Endoscopic mucosal resection is typically performed </w:t>
      </w:r>
      <w:r w:rsidR="00E875AF">
        <w:t>under conscious sedation</w:t>
      </w:r>
      <w:r w:rsidR="00BA3023">
        <w:t>.</w:t>
      </w:r>
    </w:p>
    <w:p w14:paraId="3590AF3C" w14:textId="70F330EA" w:rsidR="00BA3023" w:rsidRDefault="00BA3023" w:rsidP="00D403C5">
      <w:r>
        <w:t xml:space="preserve">Colonic </w:t>
      </w:r>
      <w:r w:rsidR="0091210A">
        <w:t>insufflation with CO</w:t>
      </w:r>
      <w:r w:rsidR="0091210A">
        <w:rPr>
          <w:vertAlign w:val="subscript"/>
        </w:rPr>
        <w:t>2</w:t>
      </w:r>
      <w:r w:rsidR="0091210A">
        <w:t xml:space="preserve"> </w:t>
      </w:r>
      <w:r w:rsidR="007F28E9">
        <w:t>(preferred) or air is undertaken prior to the procedure.</w:t>
      </w:r>
    </w:p>
    <w:p w14:paraId="3CA86BC8" w14:textId="05E9D25D" w:rsidR="007F28E9" w:rsidRPr="00EE5B58" w:rsidRDefault="004F7409" w:rsidP="00D403C5">
      <w:pPr>
        <w:rPr>
          <w:i/>
        </w:rPr>
      </w:pPr>
      <w:r w:rsidRPr="00EE5B58">
        <w:rPr>
          <w:i/>
        </w:rPr>
        <w:t>Procedural stage:</w:t>
      </w:r>
    </w:p>
    <w:p w14:paraId="23385142" w14:textId="0857D5DE" w:rsidR="006A4AC2" w:rsidRDefault="00F34872" w:rsidP="00D403C5">
      <w:r>
        <w:t xml:space="preserve">A colonoscope </w:t>
      </w:r>
      <w:r w:rsidR="00EF7583">
        <w:t xml:space="preserve">is inserted </w:t>
      </w:r>
      <w:r w:rsidR="001675B7">
        <w:t xml:space="preserve">into the </w:t>
      </w:r>
      <w:r w:rsidR="00103472">
        <w:t>patient’s</w:t>
      </w:r>
      <w:r w:rsidR="001675B7">
        <w:t xml:space="preserve"> anus </w:t>
      </w:r>
      <w:r w:rsidR="005B3FA0">
        <w:t xml:space="preserve">and the </w:t>
      </w:r>
      <w:r w:rsidR="00B07A26">
        <w:t>lesion to be removed is located</w:t>
      </w:r>
      <w:r w:rsidR="00045747">
        <w:t xml:space="preserve">. </w:t>
      </w:r>
      <w:r w:rsidR="004E4A98">
        <w:t>Following the</w:t>
      </w:r>
      <w:r w:rsidR="00045747">
        <w:t xml:space="preserve"> location and assessment of the lesion</w:t>
      </w:r>
      <w:r w:rsidR="003E57F4">
        <w:t xml:space="preserve"> </w:t>
      </w:r>
      <w:r w:rsidR="004D4BF4">
        <w:t xml:space="preserve">a solution is injected in the submucosal space to separate the mucosal lesion from the underlying </w:t>
      </w:r>
      <w:r w:rsidR="00296041">
        <w:t xml:space="preserve">muscularis propria. </w:t>
      </w:r>
      <w:r w:rsidR="00F87E90">
        <w:t>The submucosal injection flui</w:t>
      </w:r>
      <w:r w:rsidR="00312C83">
        <w:t xml:space="preserve">d </w:t>
      </w:r>
      <w:r w:rsidR="00A929A8">
        <w:t xml:space="preserve">is typically </w:t>
      </w:r>
      <w:r w:rsidR="00BD1F11">
        <w:t xml:space="preserve">comprised of 3 elements: saline </w:t>
      </w:r>
      <w:r w:rsidR="00EF370D">
        <w:t>or a viscous solution</w:t>
      </w:r>
      <w:r w:rsidR="00320458">
        <w:t xml:space="preserve"> providing </w:t>
      </w:r>
      <w:r w:rsidR="00963936">
        <w:t>a cushion to reduce the risk of thermal or mechanical injury to the underlying musc</w:t>
      </w:r>
      <w:r w:rsidR="00A61DF0">
        <w:t>u</w:t>
      </w:r>
      <w:r w:rsidR="00963936">
        <w:t>laris propria</w:t>
      </w:r>
      <w:r w:rsidR="00A870FB">
        <w:t xml:space="preserve"> during the procedure; </w:t>
      </w:r>
      <w:r w:rsidR="00A929A8">
        <w:t xml:space="preserve">diluted </w:t>
      </w:r>
      <w:r w:rsidR="00F06C1B">
        <w:t>adrenaline</w:t>
      </w:r>
      <w:r w:rsidR="00A929A8">
        <w:t xml:space="preserve"> to reduce intra-pr</w:t>
      </w:r>
      <w:r w:rsidR="005965E7">
        <w:t>ocedural bleeding; and a dye</w:t>
      </w:r>
      <w:r w:rsidR="00782875">
        <w:t xml:space="preserve"> (indigo carmine or methylene blue)</w:t>
      </w:r>
      <w:r w:rsidR="005965E7">
        <w:t xml:space="preserve"> to </w:t>
      </w:r>
      <w:r w:rsidR="00782875">
        <w:t>aid in the delineation of lesion margins.</w:t>
      </w:r>
    </w:p>
    <w:p w14:paraId="345CA10B" w14:textId="684646CC" w:rsidR="00F130FE" w:rsidRDefault="003765CF" w:rsidP="00D403C5">
      <w:r>
        <w:t xml:space="preserve">Upon successful </w:t>
      </w:r>
      <w:r w:rsidR="00821EDC">
        <w:t>separation</w:t>
      </w:r>
      <w:r>
        <w:t xml:space="preserve"> from the</w:t>
      </w:r>
      <w:r w:rsidR="005A6B32">
        <w:t xml:space="preserve"> underlying muscularis propria</w:t>
      </w:r>
      <w:r w:rsidR="00821EDC">
        <w:t xml:space="preserve"> the lesion is re</w:t>
      </w:r>
      <w:r w:rsidR="00BB0BC5">
        <w:t xml:space="preserve">sected </w:t>
      </w:r>
      <w:r w:rsidR="00821EDC">
        <w:t>by</w:t>
      </w:r>
      <w:r w:rsidR="00BB0BC5">
        <w:t xml:space="preserve"> snare electrosurgery</w:t>
      </w:r>
      <w:r w:rsidR="004D31F5">
        <w:t xml:space="preserve">. </w:t>
      </w:r>
      <w:r w:rsidR="00BB64B4">
        <w:t xml:space="preserve">Where possible resection of the entire lesion </w:t>
      </w:r>
      <w:r w:rsidR="00065645">
        <w:t>including a normal mucosa</w:t>
      </w:r>
      <w:r w:rsidR="00746F69">
        <w:t>l</w:t>
      </w:r>
      <w:r w:rsidR="00065645">
        <w:t xml:space="preserve"> margin of 2-3 mm </w:t>
      </w:r>
      <w:r w:rsidR="003D34F8">
        <w:t xml:space="preserve">should be removed </w:t>
      </w:r>
      <w:r w:rsidR="003340B0">
        <w:t>in a single pi</w:t>
      </w:r>
      <w:r w:rsidR="00B26CBC">
        <w:t>e</w:t>
      </w:r>
      <w:r w:rsidR="003340B0">
        <w:t>ce (</w:t>
      </w:r>
      <w:r w:rsidR="00A61DF0">
        <w:t>en</w:t>
      </w:r>
      <w:r w:rsidR="002F5A4F">
        <w:t>-</w:t>
      </w:r>
      <w:r w:rsidR="003340B0">
        <w:t xml:space="preserve">bloc resection). Where </w:t>
      </w:r>
      <w:r w:rsidR="00A61DF0">
        <w:t>en</w:t>
      </w:r>
      <w:r w:rsidR="002F5A4F">
        <w:t>-</w:t>
      </w:r>
      <w:r w:rsidR="003340B0">
        <w:t xml:space="preserve">bloc resection is not </w:t>
      </w:r>
      <w:r w:rsidR="00157BC9">
        <w:t>feasible or safe</w:t>
      </w:r>
      <w:r w:rsidR="003340B0">
        <w:t>, resection of the lesion</w:t>
      </w:r>
      <w:r w:rsidR="00821EDC">
        <w:t xml:space="preserve"> </w:t>
      </w:r>
      <w:r w:rsidR="00157BC9">
        <w:t xml:space="preserve">in </w:t>
      </w:r>
      <w:r w:rsidR="00F92F18">
        <w:t xml:space="preserve">several pieces </w:t>
      </w:r>
      <w:r w:rsidR="00887247">
        <w:t xml:space="preserve">can be pursued (Piecemeal resection). </w:t>
      </w:r>
      <w:r w:rsidR="00B71623">
        <w:t xml:space="preserve">Tissue collected via </w:t>
      </w:r>
      <w:r w:rsidR="00A61DF0">
        <w:t>en</w:t>
      </w:r>
      <w:r w:rsidR="002F5A4F">
        <w:t>-bloc or p</w:t>
      </w:r>
      <w:r w:rsidR="00B71623">
        <w:t xml:space="preserve">iecemeal resection should be </w:t>
      </w:r>
      <w:r w:rsidR="00F130FE">
        <w:t>retrieved for histological assessment.</w:t>
      </w:r>
    </w:p>
    <w:p w14:paraId="03C2ABAE" w14:textId="03D87260" w:rsidR="00F6334B" w:rsidRPr="00EE5B58" w:rsidRDefault="00F6334B" w:rsidP="00F6334B">
      <w:pPr>
        <w:rPr>
          <w:i/>
        </w:rPr>
      </w:pPr>
      <w:r w:rsidRPr="00EE5B58">
        <w:rPr>
          <w:i/>
        </w:rPr>
        <w:t>Post-procedure stage:</w:t>
      </w:r>
    </w:p>
    <w:p w14:paraId="01989AAC" w14:textId="77777777" w:rsidR="003931AA" w:rsidRDefault="00F6334B" w:rsidP="00D403C5">
      <w:r>
        <w:t xml:space="preserve">Patients should be observed </w:t>
      </w:r>
      <w:r w:rsidR="00130EAB">
        <w:t xml:space="preserve">in clinic </w:t>
      </w:r>
      <w:r w:rsidR="005B602E">
        <w:t xml:space="preserve">for a period of </w:t>
      </w:r>
      <w:r w:rsidR="0084680A">
        <w:t>approximately 4 hours after undergoing EMR.</w:t>
      </w:r>
      <w:r w:rsidR="002847A0">
        <w:t xml:space="preserve"> If no immediate complications </w:t>
      </w:r>
      <w:r w:rsidR="00E65A73">
        <w:t xml:space="preserve">develop during the observation period the patient may be discharged </w:t>
      </w:r>
      <w:r w:rsidR="00E65A73">
        <w:lastRenderedPageBreak/>
        <w:t>and return home.</w:t>
      </w:r>
      <w:r w:rsidR="00DD512C">
        <w:t xml:space="preserve"> </w:t>
      </w:r>
      <w:r w:rsidR="00E65A73">
        <w:t xml:space="preserve">Patients should </w:t>
      </w:r>
      <w:r w:rsidR="0081655E">
        <w:t>follow a clear fluid diet overnight</w:t>
      </w:r>
      <w:r w:rsidR="00DD512C">
        <w:t xml:space="preserve"> and follow the post-procedural instructions from their clinician.</w:t>
      </w:r>
    </w:p>
    <w:p w14:paraId="40C28A6B" w14:textId="1A8D5B77" w:rsidR="00CF25F4" w:rsidRDefault="00EE5B58" w:rsidP="00D403C5">
      <w:pPr>
        <w:rPr>
          <w:b/>
        </w:rPr>
      </w:pPr>
      <w:r w:rsidRPr="00EE5B58">
        <w:rPr>
          <w:b/>
        </w:rPr>
        <w:t>How the proposed medical service is expected to be used</w:t>
      </w:r>
    </w:p>
    <w:p w14:paraId="4A33468E" w14:textId="0D66FE32" w:rsidR="000D2481" w:rsidRDefault="00C8701B" w:rsidP="00C8701B">
      <w:r>
        <w:t xml:space="preserve">Endoscopic mucosal resection is </w:t>
      </w:r>
      <w:r w:rsidR="006568D1">
        <w:t xml:space="preserve">currently </w:t>
      </w:r>
      <w:r w:rsidR="007575B3">
        <w:t>available</w:t>
      </w:r>
      <w:r w:rsidR="006568D1">
        <w:t xml:space="preserve"> to patients being treated </w:t>
      </w:r>
      <w:r w:rsidR="000772B5">
        <w:t xml:space="preserve">in the public health sector funded by State/Territory health budgets. </w:t>
      </w:r>
      <w:r w:rsidR="00F25144">
        <w:t xml:space="preserve">As an outpatient procedure without an MBS item number this limits </w:t>
      </w:r>
      <w:r w:rsidR="002A22E4">
        <w:t xml:space="preserve">the </w:t>
      </w:r>
      <w:r w:rsidR="002F1391">
        <w:t xml:space="preserve">ability for </w:t>
      </w:r>
      <w:r w:rsidR="002A22E4">
        <w:t xml:space="preserve">patients </w:t>
      </w:r>
      <w:r w:rsidR="003F674D">
        <w:t>electing to be treated</w:t>
      </w:r>
      <w:r w:rsidR="002F1391">
        <w:t xml:space="preserve"> in the private health sector </w:t>
      </w:r>
      <w:r w:rsidR="000D2481">
        <w:t>in being able to access EMR.</w:t>
      </w:r>
    </w:p>
    <w:p w14:paraId="38CD604E" w14:textId="380F5019" w:rsidR="009B5472" w:rsidRDefault="000D2481" w:rsidP="00C8701B">
      <w:r>
        <w:t>With the MBS listing of EMR as requested</w:t>
      </w:r>
      <w:r w:rsidR="00B731F2">
        <w:t xml:space="preserve"> there would be </w:t>
      </w:r>
      <w:r w:rsidR="005E653D">
        <w:t xml:space="preserve">expanded access to EMR </w:t>
      </w:r>
      <w:r w:rsidR="00825ACB">
        <w:t xml:space="preserve">as a </w:t>
      </w:r>
      <w:r w:rsidR="005E653D">
        <w:t>result</w:t>
      </w:r>
      <w:r w:rsidR="00825ACB">
        <w:t xml:space="preserve"> of </w:t>
      </w:r>
      <w:r w:rsidR="00C65738">
        <w:t xml:space="preserve">patients </w:t>
      </w:r>
      <w:r w:rsidR="00825ACB">
        <w:t xml:space="preserve">being </w:t>
      </w:r>
      <w:r w:rsidR="00AD25FB">
        <w:t xml:space="preserve">able </w:t>
      </w:r>
      <w:r w:rsidR="00C65738">
        <w:t>to access subsidised treatment</w:t>
      </w:r>
      <w:r w:rsidR="00A0495C">
        <w:t xml:space="preserve"> outside of the public health </w:t>
      </w:r>
      <w:r w:rsidR="00825ACB">
        <w:t>sector</w:t>
      </w:r>
      <w:r w:rsidR="00AD25FB">
        <w:t>. It may also be expected that some patients who would have otherwise received EMR as a public patient would receive treatment as a private patient</w:t>
      </w:r>
      <w:r w:rsidR="00461165">
        <w:t>,</w:t>
      </w:r>
      <w:r w:rsidR="00AD25FB">
        <w:t xml:space="preserve"> thus</w:t>
      </w:r>
      <w:r w:rsidR="00461165">
        <w:t xml:space="preserve"> </w:t>
      </w:r>
      <w:r w:rsidR="00AD25FB">
        <w:t>hav</w:t>
      </w:r>
      <w:r w:rsidR="00461165">
        <w:t xml:space="preserve">ing </w:t>
      </w:r>
      <w:r w:rsidR="00AD25FB">
        <w:t xml:space="preserve">EMR funded through the MBS </w:t>
      </w:r>
      <w:r w:rsidR="009B5472">
        <w:t>instead of State/Territory health budgets.</w:t>
      </w:r>
    </w:p>
    <w:p w14:paraId="1FD8EC98" w14:textId="7A9BBEEB" w:rsidR="009B370C" w:rsidRDefault="009B370C" w:rsidP="00C8701B">
      <w:r>
        <w:t xml:space="preserve">The applicant outlines that </w:t>
      </w:r>
      <w:r w:rsidR="008803EA">
        <w:t xml:space="preserve">the providers of EMR funded through the MBS would be gastroenterologists or endoscopic surgeons. This is consistent with the </w:t>
      </w:r>
      <w:r w:rsidR="00FB59AD">
        <w:t>providers undertaking EMR in the public health sector.</w:t>
      </w:r>
    </w:p>
    <w:p w14:paraId="6E815235" w14:textId="1EFA91AC" w:rsidR="00626196" w:rsidRDefault="006E494D" w:rsidP="00C8701B">
      <w:r>
        <w:t xml:space="preserve">As outlined in the </w:t>
      </w:r>
      <w:r w:rsidR="0086455F">
        <w:t>Final report from the Gastroenterology Clinical Committee of the Medicare Benefits Schedule Review Taskforce</w:t>
      </w:r>
      <w:r w:rsidR="00662CCC">
        <w:t xml:space="preserve"> it is outlined that</w:t>
      </w:r>
      <w:r w:rsidR="009D12D2">
        <w:t>:</w:t>
      </w:r>
    </w:p>
    <w:p w14:paraId="064A3DD8" w14:textId="0B4CEE4B" w:rsidR="009D12D2" w:rsidRPr="00312C68" w:rsidRDefault="007B3C86" w:rsidP="00312C68">
      <w:r w:rsidRPr="00312C68">
        <w:t>“The Committee noted the range of EMR complexity, time and expertise require</w:t>
      </w:r>
      <w:r w:rsidR="00894E84">
        <w:t xml:space="preserve">d to perform the procedure and </w:t>
      </w:r>
      <w:r w:rsidRPr="00312C68">
        <w:t>considered if the service should be restricted to specialist to specialist referrals and or if specifying the size of the resected specimen is required.</w:t>
      </w:r>
      <w:r w:rsidR="009D12D2" w:rsidRPr="00312C68">
        <w:t xml:space="preserve"> The Committee agreed that it should not be restricted to tertiary referral as this would prevent experienced specialists from completing the procedure if found during a normal colonoscopy.” (p. 58)</w:t>
      </w:r>
    </w:p>
    <w:p w14:paraId="43F84777" w14:textId="75B648BA" w:rsidR="00780496" w:rsidRPr="001A6303" w:rsidRDefault="00BD667F" w:rsidP="001A6303">
      <w:r w:rsidRPr="001A6303">
        <w:t>Based on the recommendation of the Gastroenterology Clinical Committee of the Medicare Benefits Schedule Review Taskforce, the applicant has not requested that EMR funded through the MBS be restricte</w:t>
      </w:r>
      <w:r w:rsidR="00195EE2" w:rsidRPr="001A6303">
        <w:t xml:space="preserve">d a </w:t>
      </w:r>
      <w:r w:rsidR="00DB79FC" w:rsidRPr="001A6303">
        <w:t>tertiary</w:t>
      </w:r>
      <w:r w:rsidR="00195EE2" w:rsidRPr="001A6303">
        <w:t xml:space="preserve"> referral centre, meaning that any suitably qualified and experienced </w:t>
      </w:r>
      <w:r w:rsidR="00A86F15" w:rsidRPr="001A6303">
        <w:t xml:space="preserve">proceduralist would be eligible to claim for the </w:t>
      </w:r>
      <w:r w:rsidR="00DB79FC" w:rsidRPr="001A6303">
        <w:t>conduct of EMR.</w:t>
      </w:r>
    </w:p>
    <w:p w14:paraId="41B1A543" w14:textId="72562136" w:rsidR="00DB79FC" w:rsidRPr="001A6303" w:rsidRDefault="00FD5303" w:rsidP="001A6303">
      <w:r w:rsidRPr="001A6303">
        <w:t>The a</w:t>
      </w:r>
      <w:r w:rsidR="001A6303">
        <w:t xml:space="preserve">pplicant has </w:t>
      </w:r>
      <w:r w:rsidR="008B7289">
        <w:t>outlined</w:t>
      </w:r>
      <w:r w:rsidR="001A6303">
        <w:t xml:space="preserve"> that a maximum of </w:t>
      </w:r>
      <w:r w:rsidR="00D442CC">
        <w:t xml:space="preserve">one </w:t>
      </w:r>
      <w:r w:rsidR="001A6303">
        <w:t xml:space="preserve">EMR procedure would be </w:t>
      </w:r>
      <w:r w:rsidR="00DA6BD6">
        <w:t xml:space="preserve">required for a </w:t>
      </w:r>
      <w:r w:rsidR="001A6303">
        <w:t xml:space="preserve">patient </w:t>
      </w:r>
      <w:r w:rsidR="00DA6BD6">
        <w:t xml:space="preserve">in a given year. Due to the potential for </w:t>
      </w:r>
      <w:r w:rsidR="00E92503">
        <w:t>recurrent lesions to develop over</w:t>
      </w:r>
      <w:r w:rsidR="0092568D">
        <w:t xml:space="preserve"> </w:t>
      </w:r>
      <w:r w:rsidR="00E92503">
        <w:t>time</w:t>
      </w:r>
      <w:r w:rsidR="00293C7B">
        <w:t xml:space="preserve"> patients may require additional polypectomy/EMR procedures to remove </w:t>
      </w:r>
      <w:r w:rsidR="00CE632B">
        <w:t>further lesions</w:t>
      </w:r>
      <w:r w:rsidR="008B7289">
        <w:t xml:space="preserve"> on an ‘as needed’ basis</w:t>
      </w:r>
      <w:r w:rsidR="00CE632B">
        <w:t>.</w:t>
      </w:r>
      <w:r w:rsidR="008B7289">
        <w:t xml:space="preserve"> </w:t>
      </w:r>
    </w:p>
    <w:p w14:paraId="7EAC4E33" w14:textId="77777777" w:rsidR="00896845" w:rsidRPr="00E364F7" w:rsidRDefault="00896845">
      <w:pPr>
        <w:rPr>
          <w:b/>
        </w:rPr>
      </w:pPr>
      <w:r w:rsidRPr="00E364F7">
        <w:rPr>
          <w:b/>
        </w:rPr>
        <w:t>Comparator</w:t>
      </w:r>
    </w:p>
    <w:p w14:paraId="3267CCE1" w14:textId="17AF9AFE" w:rsidR="00215467" w:rsidRDefault="00172B4E" w:rsidP="002B3338">
      <w:r>
        <w:t xml:space="preserve">The applicant has nominated </w:t>
      </w:r>
      <w:r w:rsidR="00690A4C">
        <w:t xml:space="preserve">surgery as the </w:t>
      </w:r>
      <w:r w:rsidR="00D21C2B">
        <w:t xml:space="preserve">comparator for the </w:t>
      </w:r>
      <w:r w:rsidR="00DE373F">
        <w:t xml:space="preserve">removal of colorectal lesions </w:t>
      </w:r>
      <w:r w:rsidR="00B6764C">
        <w:t>which may otherwise be removed using EMR</w:t>
      </w:r>
      <w:r w:rsidR="0059378A">
        <w:t>.</w:t>
      </w:r>
      <w:r w:rsidR="00BC5FB5">
        <w:t xml:space="preserve"> It is proposed that </w:t>
      </w:r>
      <w:r w:rsidR="000834C5">
        <w:t xml:space="preserve">for the majority of patients </w:t>
      </w:r>
      <w:r w:rsidR="00ED6DC3">
        <w:t xml:space="preserve">with a colorectal lesion suitable for removal using </w:t>
      </w:r>
      <w:r w:rsidR="00BC5FB5">
        <w:t xml:space="preserve">EMR </w:t>
      </w:r>
      <w:r w:rsidR="005F72D0">
        <w:t>that</w:t>
      </w:r>
      <w:r w:rsidR="00FD34AA">
        <w:t xml:space="preserve"> the use of</w:t>
      </w:r>
      <w:r w:rsidR="005F72D0">
        <w:t xml:space="preserve"> EMR </w:t>
      </w:r>
      <w:r w:rsidR="00BC5FB5">
        <w:t>would be as an alternative to surgical resection</w:t>
      </w:r>
      <w:r w:rsidR="005F72D0">
        <w:t xml:space="preserve">, noting that a small number of patients may have </w:t>
      </w:r>
      <w:r w:rsidR="009F6A30">
        <w:t>an</w:t>
      </w:r>
      <w:r w:rsidR="005F72D0">
        <w:t xml:space="preserve"> un</w:t>
      </w:r>
      <w:r w:rsidR="00187073">
        <w:t>succe</w:t>
      </w:r>
      <w:r w:rsidR="004F3641">
        <w:t>ss</w:t>
      </w:r>
      <w:r w:rsidR="00187073">
        <w:t xml:space="preserve">ful </w:t>
      </w:r>
      <w:r w:rsidR="005F72D0">
        <w:t>EMR</w:t>
      </w:r>
      <w:r w:rsidR="00187073">
        <w:t xml:space="preserve"> and subsequently require removal of the lesion </w:t>
      </w:r>
      <w:r w:rsidR="004F3641">
        <w:t xml:space="preserve">with </w:t>
      </w:r>
      <w:r w:rsidR="00187073">
        <w:t xml:space="preserve">surgical </w:t>
      </w:r>
      <w:r w:rsidR="004F3641">
        <w:t>resection.</w:t>
      </w:r>
      <w:r w:rsidR="00BD291D">
        <w:t xml:space="preserve"> The </w:t>
      </w:r>
      <w:r w:rsidR="009A28C7">
        <w:t xml:space="preserve">use of surgery for the removal of </w:t>
      </w:r>
      <w:r w:rsidR="00742D0F">
        <w:t xml:space="preserve">colorectal lesions which may otherwise be removed using EMR may be considered a historical comparator as </w:t>
      </w:r>
      <w:r w:rsidR="00822591">
        <w:t xml:space="preserve">EMR is considered the standard of care for the </w:t>
      </w:r>
      <w:r w:rsidR="00095C77">
        <w:t xml:space="preserve">endoscopic </w:t>
      </w:r>
      <w:r w:rsidR="00822591">
        <w:t xml:space="preserve">removal of </w:t>
      </w:r>
      <w:r w:rsidR="00830E14">
        <w:t xml:space="preserve">non-invasive </w:t>
      </w:r>
      <w:r w:rsidR="00822591">
        <w:t xml:space="preserve">colorectal lesions </w:t>
      </w:r>
      <w:r w:rsidR="00830E14">
        <w:rPr>
          <w:rFonts w:cs="Calibri"/>
        </w:rPr>
        <w:t>≥</w:t>
      </w:r>
      <w:r w:rsidR="00830E14">
        <w:t>20 mm.</w:t>
      </w:r>
    </w:p>
    <w:p w14:paraId="7D8E4C12" w14:textId="250C395A" w:rsidR="00D176CB" w:rsidRDefault="00D176CB" w:rsidP="002B3338">
      <w:r>
        <w:lastRenderedPageBreak/>
        <w:t>PASC confirmed that surgical resection is the appropriate comparator.</w:t>
      </w:r>
    </w:p>
    <w:p w14:paraId="47D3B41A" w14:textId="6D450801" w:rsidR="0041036C" w:rsidRDefault="00842627" w:rsidP="002B3338">
      <w:r>
        <w:t xml:space="preserve">The removal of </w:t>
      </w:r>
      <w:r w:rsidR="00F54E39">
        <w:t xml:space="preserve">colorectal </w:t>
      </w:r>
      <w:r w:rsidR="004A3843">
        <w:t>lesions</w:t>
      </w:r>
      <w:r w:rsidR="00F30259">
        <w:t xml:space="preserve"> </w:t>
      </w:r>
      <w:r w:rsidR="003A6564">
        <w:t>through surgical resection</w:t>
      </w:r>
      <w:r w:rsidR="001464B6">
        <w:t xml:space="preserve"> may be performed </w:t>
      </w:r>
      <w:r w:rsidR="00684F26">
        <w:t xml:space="preserve">using a </w:t>
      </w:r>
      <w:r w:rsidR="00695854">
        <w:t>laparoscopic</w:t>
      </w:r>
      <w:r w:rsidR="00DA68D3">
        <w:t xml:space="preserve"> </w:t>
      </w:r>
      <w:r w:rsidR="007D1B3C">
        <w:t>or op</w:t>
      </w:r>
      <w:r w:rsidR="00C3098E">
        <w:t>en</w:t>
      </w:r>
      <w:r w:rsidR="00363B13">
        <w:t xml:space="preserve"> approach, although</w:t>
      </w:r>
      <w:r w:rsidR="00684F26">
        <w:t xml:space="preserve"> the </w:t>
      </w:r>
      <w:r w:rsidR="00695854">
        <w:t>laparoscopic</w:t>
      </w:r>
      <w:r w:rsidR="00684F26">
        <w:t xml:space="preserve"> approach is recommended </w:t>
      </w:r>
      <w:r w:rsidR="0023606E">
        <w:t xml:space="preserve">as it is associated with an overall reduction in </w:t>
      </w:r>
      <w:r w:rsidR="009E373F">
        <w:t xml:space="preserve">post-operative pain, a shortened time to </w:t>
      </w:r>
      <w:r w:rsidR="00B61FE0">
        <w:t xml:space="preserve">return of normal bowel function and a shorter hospital stay </w:t>
      </w:r>
      <w:r w:rsidR="0013319F">
        <w:rPr>
          <w:noProof/>
        </w:rPr>
        <w:t>(Cancer Council Australia 2019)</w:t>
      </w:r>
      <w:r w:rsidR="0041036C">
        <w:t>.</w:t>
      </w:r>
    </w:p>
    <w:p w14:paraId="49FA431D" w14:textId="48FB685E" w:rsidR="00215467" w:rsidRDefault="00695854" w:rsidP="002B3338">
      <w:r>
        <w:t>Laparoscopic</w:t>
      </w:r>
      <w:r w:rsidR="00616D65">
        <w:t xml:space="preserve"> </w:t>
      </w:r>
      <w:r w:rsidR="003E1ED4">
        <w:t xml:space="preserve">resection of colorectal tumours </w:t>
      </w:r>
      <w:r w:rsidR="008C7BA5">
        <w:t>is performed as part of an inpatient episode of hospital care</w:t>
      </w:r>
      <w:r w:rsidR="00D64AE1">
        <w:t>. Results of a randomised controlled trial comparing lap</w:t>
      </w:r>
      <w:r>
        <w:t>aroscopic</w:t>
      </w:r>
      <w:r w:rsidR="00481505">
        <w:t xml:space="preserve"> (n=29</w:t>
      </w:r>
      <w:r w:rsidR="0057006C">
        <w:t>4 analysed</w:t>
      </w:r>
      <w:r w:rsidR="00481505">
        <w:t>)</w:t>
      </w:r>
      <w:r>
        <w:t xml:space="preserve"> and open surgeries</w:t>
      </w:r>
      <w:r w:rsidR="00F051CE">
        <w:t xml:space="preserve"> (n</w:t>
      </w:r>
      <w:r w:rsidR="0057006C">
        <w:t>=</w:t>
      </w:r>
      <w:r w:rsidR="0040725C">
        <w:t xml:space="preserve">298 analysed) </w:t>
      </w:r>
      <w:r w:rsidR="008A018D">
        <w:t>in patients with colorectal cancer</w:t>
      </w:r>
      <w:r w:rsidR="00B13C23">
        <w:t xml:space="preserve"> </w:t>
      </w:r>
      <w:r w:rsidR="008A018D">
        <w:t xml:space="preserve">reported a mean </w:t>
      </w:r>
      <w:r w:rsidR="002541A5">
        <w:t xml:space="preserve">post-operative length of stay of 9.5 days </w:t>
      </w:r>
      <w:r w:rsidR="00DD48D0">
        <w:t xml:space="preserve">(SD </w:t>
      </w:r>
      <w:r w:rsidR="00DD48D0">
        <w:rPr>
          <w:rFonts w:cs="Calibri"/>
        </w:rPr>
        <w:t>±</w:t>
      </w:r>
      <w:r w:rsidR="00DD48D0">
        <w:t xml:space="preserve">7.4) for patients undergoing laparoscopic surgery </w:t>
      </w:r>
      <w:r w:rsidR="00E8058C">
        <w:rPr>
          <w:noProof/>
        </w:rPr>
        <w:t>(Hewett et al. 2008)</w:t>
      </w:r>
      <w:r w:rsidR="00541AB7">
        <w:t>.</w:t>
      </w:r>
    </w:p>
    <w:p w14:paraId="7390FD91" w14:textId="49328EDC" w:rsidR="009D47FF" w:rsidRDefault="00B27449" w:rsidP="002B3338">
      <w:r>
        <w:t>Surgical resection of col</w:t>
      </w:r>
      <w:r w:rsidR="0035449E">
        <w:t>o</w:t>
      </w:r>
      <w:r w:rsidR="004350D8">
        <w:t xml:space="preserve">rectal tumours is facilitated by MBS items </w:t>
      </w:r>
      <w:r w:rsidR="002E25C4">
        <w:t>32000 through 32006 depending on the location of lesion</w:t>
      </w:r>
      <w:r w:rsidR="009D47FF">
        <w:t>s and nature of the procedure undertaken</w:t>
      </w:r>
      <w:r w:rsidR="00717A32">
        <w:t xml:space="preserve"> (see MBS item descriptors below)</w:t>
      </w:r>
      <w:r w:rsidR="00DF0D94">
        <w:t>.</w:t>
      </w:r>
      <w:r w:rsidR="006E60DB">
        <w:t xml:space="preserve"> Additional MBS items associated with anaesthesia, surgical assistant</w:t>
      </w:r>
      <w:r w:rsidR="00716038">
        <w:t>s</w:t>
      </w:r>
      <w:r w:rsidR="006E60DB">
        <w:t xml:space="preserve"> and </w:t>
      </w:r>
      <w:r w:rsidR="00716038">
        <w:t xml:space="preserve">diagnostic </w:t>
      </w:r>
      <w:r w:rsidR="00B238C1">
        <w:t xml:space="preserve">imaging </w:t>
      </w:r>
      <w:r w:rsidR="00716038">
        <w:t xml:space="preserve">performed as part of the surgical resection may be claimed at the same item as the MBS items for </w:t>
      </w:r>
      <w:r w:rsidR="00B238C1">
        <w:t>surgical resection</w:t>
      </w:r>
      <w:r w:rsidR="007548DA">
        <w:t>.</w:t>
      </w:r>
    </w:p>
    <w:p w14:paraId="5823D3C8" w14:textId="193387F6" w:rsidR="00717A32" w:rsidRDefault="00717A32" w:rsidP="00717A32">
      <w:pPr>
        <w:pStyle w:val="Caption"/>
      </w:pPr>
      <w:r>
        <w:t xml:space="preserve">Table </w:t>
      </w:r>
      <w:r>
        <w:fldChar w:fldCharType="begin"/>
      </w:r>
      <w:r>
        <w:instrText xml:space="preserve"> SEQ Table \* ARABIC </w:instrText>
      </w:r>
      <w:r>
        <w:fldChar w:fldCharType="separate"/>
      </w:r>
      <w:r w:rsidR="00853DB3">
        <w:rPr>
          <w:noProof/>
        </w:rPr>
        <w:t>3</w:t>
      </w:r>
      <w:r>
        <w:fldChar w:fldCharType="end"/>
      </w:r>
      <w:r>
        <w:t>: MBS item</w:t>
      </w:r>
      <w:r w:rsidR="0035449E">
        <w:t>s associated with surgical resection of colorectal lesions</w:t>
      </w:r>
    </w:p>
    <w:tbl>
      <w:tblPr>
        <w:tblStyle w:val="TableGrid"/>
        <w:tblW w:w="0" w:type="auto"/>
        <w:tblLook w:val="04A0" w:firstRow="1" w:lastRow="0" w:firstColumn="1" w:lastColumn="0" w:noHBand="0" w:noVBand="1"/>
        <w:tblCaption w:val="Table showing MBS items and descriptors"/>
      </w:tblPr>
      <w:tblGrid>
        <w:gridCol w:w="881"/>
        <w:gridCol w:w="8135"/>
      </w:tblGrid>
      <w:tr w:rsidR="00E53764" w14:paraId="172D9F85" w14:textId="77777777" w:rsidTr="0069370F">
        <w:trPr>
          <w:tblHeader/>
        </w:trPr>
        <w:tc>
          <w:tcPr>
            <w:tcW w:w="0" w:type="auto"/>
          </w:tcPr>
          <w:p w14:paraId="519A8F54" w14:textId="0E413C86" w:rsidR="00E53764" w:rsidRPr="00B86E3A" w:rsidRDefault="00E53764" w:rsidP="00E62B70">
            <w:pPr>
              <w:keepNext/>
              <w:keepLines/>
              <w:rPr>
                <w:b/>
              </w:rPr>
            </w:pPr>
            <w:r w:rsidRPr="00B86E3A">
              <w:rPr>
                <w:b/>
              </w:rPr>
              <w:t>MBS item</w:t>
            </w:r>
          </w:p>
        </w:tc>
        <w:tc>
          <w:tcPr>
            <w:tcW w:w="0" w:type="auto"/>
          </w:tcPr>
          <w:p w14:paraId="317957E4" w14:textId="1CCC88D3" w:rsidR="00E53764" w:rsidRPr="00B86E3A" w:rsidRDefault="00E53764" w:rsidP="00E62B70">
            <w:pPr>
              <w:keepNext/>
              <w:keepLines/>
              <w:rPr>
                <w:b/>
              </w:rPr>
            </w:pPr>
            <w:r w:rsidRPr="00B86E3A">
              <w:rPr>
                <w:b/>
              </w:rPr>
              <w:t xml:space="preserve">MBS Item </w:t>
            </w:r>
            <w:r w:rsidR="00717A32" w:rsidRPr="00B86E3A">
              <w:rPr>
                <w:b/>
              </w:rPr>
              <w:t>Descriptor</w:t>
            </w:r>
          </w:p>
        </w:tc>
      </w:tr>
      <w:tr w:rsidR="00E53764" w14:paraId="0627518A" w14:textId="77777777" w:rsidTr="00717A32">
        <w:tc>
          <w:tcPr>
            <w:tcW w:w="0" w:type="auto"/>
          </w:tcPr>
          <w:p w14:paraId="4C4D750D" w14:textId="50450D2E" w:rsidR="00E53764" w:rsidRDefault="00E53764" w:rsidP="00E62B70">
            <w:pPr>
              <w:keepNext/>
              <w:keepLines/>
            </w:pPr>
            <w:r w:rsidRPr="00E53764">
              <w:t>32000</w:t>
            </w:r>
          </w:p>
        </w:tc>
        <w:tc>
          <w:tcPr>
            <w:tcW w:w="0" w:type="auto"/>
          </w:tcPr>
          <w:p w14:paraId="7C76A853" w14:textId="3F89646D" w:rsidR="00E53764" w:rsidRPr="00E53764" w:rsidRDefault="00E53764" w:rsidP="00E62B70">
            <w:pPr>
              <w:keepNext/>
              <w:keepLines/>
            </w:pPr>
            <w:r w:rsidRPr="00E53764">
              <w:t>LARGE INTESTINE, resection of, without anastomosis, including right hemicolectomy (including</w:t>
            </w:r>
            <w:r>
              <w:t xml:space="preserve"> </w:t>
            </w:r>
            <w:r w:rsidRPr="00E53764">
              <w:t>formation of stoma) (Anaes.) (Assist.)</w:t>
            </w:r>
          </w:p>
          <w:p w14:paraId="5290555A" w14:textId="6D3CB1B4" w:rsidR="00E53764" w:rsidRDefault="00E53764" w:rsidP="00E62B70">
            <w:pPr>
              <w:keepNext/>
              <w:keepLines/>
            </w:pPr>
            <w:r w:rsidRPr="00E53764">
              <w:rPr>
                <w:b/>
                <w:bCs/>
              </w:rPr>
              <w:t xml:space="preserve">Fee: </w:t>
            </w:r>
            <w:r w:rsidRPr="00E53764">
              <w:t xml:space="preserve">$1,031.35 </w:t>
            </w:r>
            <w:r w:rsidR="00B07C98">
              <w:t xml:space="preserve">  </w:t>
            </w:r>
            <w:r w:rsidRPr="00E53764">
              <w:rPr>
                <w:b/>
                <w:bCs/>
              </w:rPr>
              <w:t xml:space="preserve">Benefit: </w:t>
            </w:r>
            <w:r w:rsidRPr="00E53764">
              <w:t>75% = $773.55</w:t>
            </w:r>
          </w:p>
        </w:tc>
      </w:tr>
      <w:tr w:rsidR="00E53764" w14:paraId="42B00FA3" w14:textId="77777777" w:rsidTr="00717A32">
        <w:tc>
          <w:tcPr>
            <w:tcW w:w="0" w:type="auto"/>
          </w:tcPr>
          <w:p w14:paraId="2D6FC791" w14:textId="631DEDA7" w:rsidR="00E53764" w:rsidRDefault="0007191E" w:rsidP="00E62B70">
            <w:pPr>
              <w:keepNext/>
              <w:keepLines/>
            </w:pPr>
            <w:r w:rsidRPr="00E53764">
              <w:t>32003</w:t>
            </w:r>
          </w:p>
        </w:tc>
        <w:tc>
          <w:tcPr>
            <w:tcW w:w="0" w:type="auto"/>
          </w:tcPr>
          <w:p w14:paraId="43D4DF62" w14:textId="70D7D5EE" w:rsidR="0007191E" w:rsidRPr="00E53764" w:rsidRDefault="0007191E" w:rsidP="00E62B70">
            <w:pPr>
              <w:keepNext/>
              <w:keepLines/>
            </w:pPr>
            <w:r w:rsidRPr="00E53764">
              <w:t>LARGE INTESTINE, resection of, with anastomosis, including right hemicolectomy (Anaes.) (Assist.)</w:t>
            </w:r>
          </w:p>
          <w:p w14:paraId="3447D480" w14:textId="17CAF1A7" w:rsidR="00E53764" w:rsidRDefault="0007191E" w:rsidP="00E62B70">
            <w:pPr>
              <w:keepNext/>
              <w:keepLines/>
            </w:pPr>
            <w:r w:rsidRPr="00E53764">
              <w:rPr>
                <w:b/>
                <w:bCs/>
              </w:rPr>
              <w:t xml:space="preserve">Fee: </w:t>
            </w:r>
            <w:r w:rsidRPr="00E53764">
              <w:t xml:space="preserve">$1,078.80 </w:t>
            </w:r>
            <w:r w:rsidR="00B07C98">
              <w:t xml:space="preserve">  </w:t>
            </w:r>
            <w:r w:rsidRPr="00E53764">
              <w:rPr>
                <w:b/>
                <w:bCs/>
              </w:rPr>
              <w:t xml:space="preserve">Benefit: </w:t>
            </w:r>
            <w:r w:rsidRPr="00E53764">
              <w:t>75% = $809.10</w:t>
            </w:r>
          </w:p>
        </w:tc>
      </w:tr>
      <w:tr w:rsidR="00E53764" w14:paraId="7E143A4B" w14:textId="77777777" w:rsidTr="00717A32">
        <w:tc>
          <w:tcPr>
            <w:tcW w:w="0" w:type="auto"/>
          </w:tcPr>
          <w:p w14:paraId="7754B195" w14:textId="3FE9D6D0" w:rsidR="00E53764" w:rsidRDefault="0007191E" w:rsidP="00E62B70">
            <w:pPr>
              <w:keepNext/>
              <w:keepLines/>
            </w:pPr>
            <w:r w:rsidRPr="00E53764">
              <w:t>32004</w:t>
            </w:r>
          </w:p>
        </w:tc>
        <w:tc>
          <w:tcPr>
            <w:tcW w:w="0" w:type="auto"/>
          </w:tcPr>
          <w:p w14:paraId="79DBD9FB" w14:textId="48D1EF63" w:rsidR="0007191E" w:rsidRPr="00E53764" w:rsidRDefault="0007191E" w:rsidP="00E62B70">
            <w:pPr>
              <w:keepNext/>
              <w:keepLines/>
            </w:pPr>
            <w:r w:rsidRPr="00E53764">
              <w:t>LARGE INTESTINE, subtotal colectomy (resection of right colon, transverse colon and splenic flexure)without anastomosis, not being a service associated with a service to which item 32000, 32003, 32005 or32006 applies (Anaes.) (Assist.)</w:t>
            </w:r>
          </w:p>
          <w:p w14:paraId="072DAB60" w14:textId="65033ED9" w:rsidR="00E53764" w:rsidRDefault="0007191E" w:rsidP="00E62B70">
            <w:pPr>
              <w:keepNext/>
              <w:keepLines/>
            </w:pPr>
            <w:r w:rsidRPr="00E53764">
              <w:rPr>
                <w:b/>
                <w:bCs/>
              </w:rPr>
              <w:t xml:space="preserve">Fee: </w:t>
            </w:r>
            <w:r w:rsidRPr="00E53764">
              <w:t xml:space="preserve">$1,150.35 </w:t>
            </w:r>
            <w:r w:rsidR="00B07C98">
              <w:t xml:space="preserve">  </w:t>
            </w:r>
            <w:r w:rsidRPr="00E53764">
              <w:rPr>
                <w:b/>
                <w:bCs/>
              </w:rPr>
              <w:t xml:space="preserve">Benefit: </w:t>
            </w:r>
            <w:r w:rsidRPr="00E53764">
              <w:t>75% = $862.80</w:t>
            </w:r>
          </w:p>
        </w:tc>
      </w:tr>
      <w:tr w:rsidR="00E53764" w14:paraId="211B43BE" w14:textId="77777777" w:rsidTr="00717A32">
        <w:tc>
          <w:tcPr>
            <w:tcW w:w="0" w:type="auto"/>
          </w:tcPr>
          <w:p w14:paraId="690D46D4" w14:textId="3338A283" w:rsidR="00E53764" w:rsidRDefault="00F84308" w:rsidP="00421692">
            <w:pPr>
              <w:keepNext/>
              <w:keepLines/>
            </w:pPr>
            <w:r w:rsidRPr="00E53764">
              <w:t>32005</w:t>
            </w:r>
          </w:p>
        </w:tc>
        <w:tc>
          <w:tcPr>
            <w:tcW w:w="0" w:type="auto"/>
          </w:tcPr>
          <w:p w14:paraId="79EA2A78" w14:textId="77777777" w:rsidR="00F84308" w:rsidRPr="00E53764" w:rsidRDefault="00F84308" w:rsidP="00E62B70">
            <w:pPr>
              <w:keepNext/>
              <w:keepLines/>
            </w:pPr>
            <w:r w:rsidRPr="00E53764">
              <w:t>LARGE INTESTINE, subtotal colectomy (resection of right colon, transverse colon and splenic flexure)with anastomosis, not being a service associated with a service to which item 32000, 32003, 32004 or</w:t>
            </w:r>
            <w:r>
              <w:t xml:space="preserve"> </w:t>
            </w:r>
            <w:r w:rsidRPr="00E53764">
              <w:t>32006 applies (Anaes.) (Assist.)</w:t>
            </w:r>
          </w:p>
          <w:p w14:paraId="3D632F52" w14:textId="181AD61E" w:rsidR="00E53764" w:rsidRDefault="00F84308" w:rsidP="00E62B70">
            <w:pPr>
              <w:keepNext/>
              <w:keepLines/>
            </w:pPr>
            <w:r w:rsidRPr="00E53764">
              <w:rPr>
                <w:b/>
                <w:bCs/>
              </w:rPr>
              <w:t xml:space="preserve">Fee: </w:t>
            </w:r>
            <w:r w:rsidRPr="00E53764">
              <w:t xml:space="preserve">$1,299.55 </w:t>
            </w:r>
            <w:r w:rsidR="00B07C98">
              <w:t xml:space="preserve">  </w:t>
            </w:r>
            <w:r w:rsidRPr="00E53764">
              <w:rPr>
                <w:b/>
                <w:bCs/>
              </w:rPr>
              <w:t xml:space="preserve">Benefit: </w:t>
            </w:r>
            <w:r w:rsidRPr="00E53764">
              <w:t>75% = $974.70</w:t>
            </w:r>
          </w:p>
        </w:tc>
      </w:tr>
      <w:tr w:rsidR="00E53764" w14:paraId="1240E83B" w14:textId="77777777" w:rsidTr="00717A32">
        <w:tc>
          <w:tcPr>
            <w:tcW w:w="0" w:type="auto"/>
          </w:tcPr>
          <w:p w14:paraId="2E029988" w14:textId="38DE8C74" w:rsidR="00E53764" w:rsidRDefault="00F84308" w:rsidP="00E62B70">
            <w:pPr>
              <w:keepNext/>
              <w:keepLines/>
            </w:pPr>
            <w:r w:rsidRPr="00E53764">
              <w:t>32006</w:t>
            </w:r>
          </w:p>
        </w:tc>
        <w:tc>
          <w:tcPr>
            <w:tcW w:w="0" w:type="auto"/>
          </w:tcPr>
          <w:p w14:paraId="3375B404" w14:textId="77777777" w:rsidR="0054171E" w:rsidRPr="00E53764" w:rsidRDefault="00F84308" w:rsidP="00E62B70">
            <w:pPr>
              <w:keepNext/>
              <w:keepLines/>
            </w:pPr>
            <w:r w:rsidRPr="00E53764">
              <w:t>LEFT HEMICOLECTOMY, including the descending and sigmoid colon (including formation of</w:t>
            </w:r>
            <w:r w:rsidR="0054171E">
              <w:t xml:space="preserve"> stoma) </w:t>
            </w:r>
            <w:r w:rsidR="0054171E" w:rsidRPr="00E53764">
              <w:t>(Anaes.) (Assist.)</w:t>
            </w:r>
          </w:p>
          <w:p w14:paraId="34C8B127" w14:textId="1828B179" w:rsidR="00E53764" w:rsidRDefault="0054171E" w:rsidP="00E62B70">
            <w:pPr>
              <w:keepNext/>
              <w:keepLines/>
            </w:pPr>
            <w:r w:rsidRPr="00E53764">
              <w:rPr>
                <w:b/>
                <w:bCs/>
              </w:rPr>
              <w:t xml:space="preserve">Fee: </w:t>
            </w:r>
            <w:r w:rsidRPr="00E53764">
              <w:t>$1,</w:t>
            </w:r>
            <w:r>
              <w:t>150.35</w:t>
            </w:r>
            <w:r w:rsidRPr="00E53764">
              <w:t xml:space="preserve"> </w:t>
            </w:r>
            <w:r w:rsidR="00B07C98">
              <w:t xml:space="preserve">  </w:t>
            </w:r>
            <w:r w:rsidRPr="00E53764">
              <w:rPr>
                <w:b/>
                <w:bCs/>
              </w:rPr>
              <w:t xml:space="preserve">Benefit: </w:t>
            </w:r>
            <w:r w:rsidRPr="00E53764">
              <w:t>75% = $</w:t>
            </w:r>
            <w:r>
              <w:t>862</w:t>
            </w:r>
            <w:r w:rsidRPr="00E53764">
              <w:t>.</w:t>
            </w:r>
            <w:r>
              <w:t>8</w:t>
            </w:r>
            <w:r w:rsidRPr="00E53764">
              <w:t>0</w:t>
            </w:r>
          </w:p>
        </w:tc>
      </w:tr>
    </w:tbl>
    <w:p w14:paraId="7CFBE89E" w14:textId="77777777" w:rsidR="00E53764" w:rsidRDefault="00E53764" w:rsidP="00B07C98">
      <w:pPr>
        <w:spacing w:after="0"/>
      </w:pPr>
    </w:p>
    <w:p w14:paraId="611CFA97" w14:textId="77E1DEFD" w:rsidR="00896845" w:rsidRDefault="002B3338" w:rsidP="002B3338">
      <w:pPr>
        <w:rPr>
          <w:i/>
        </w:rPr>
      </w:pPr>
      <w:r>
        <w:rPr>
          <w:i/>
          <w:u w:val="single"/>
        </w:rPr>
        <w:t>Rationale</w:t>
      </w:r>
    </w:p>
    <w:p w14:paraId="1B05C899" w14:textId="63DDD8EF" w:rsidR="008D4A65" w:rsidRPr="008D4A65" w:rsidRDefault="008D4A65" w:rsidP="008D4A65">
      <w:r>
        <w:t xml:space="preserve">The use of EMR is considered </w:t>
      </w:r>
      <w:r w:rsidR="00C10298">
        <w:t xml:space="preserve">as standard of care for the removal of non-invasive colorectal lesions </w:t>
      </w:r>
      <w:r w:rsidR="0054595A">
        <w:rPr>
          <w:rFonts w:cs="Calibri"/>
        </w:rPr>
        <w:t>≥</w:t>
      </w:r>
      <w:r w:rsidR="0054595A">
        <w:t xml:space="preserve">20 mm </w:t>
      </w:r>
      <w:r w:rsidR="00E8058C">
        <w:rPr>
          <w:noProof/>
        </w:rPr>
        <w:t>(Lee et al. 2016, Ferlitsch et al. 2017)</w:t>
      </w:r>
      <w:r w:rsidR="00136CB4">
        <w:t xml:space="preserve"> and is available to patients treated in the public health sector. </w:t>
      </w:r>
      <w:r w:rsidR="003B34CD">
        <w:t xml:space="preserve">Based on a </w:t>
      </w:r>
      <w:r w:rsidR="00A52B56">
        <w:t xml:space="preserve">Non-admitted price weight </w:t>
      </w:r>
      <w:r w:rsidR="00AF406A">
        <w:t>code of 10.06</w:t>
      </w:r>
      <w:r w:rsidR="006C07D2">
        <w:t xml:space="preserve"> (Endoscopy – </w:t>
      </w:r>
      <w:r w:rsidR="0031649D">
        <w:t>gastrointestinal</w:t>
      </w:r>
      <w:r w:rsidR="006C07D2">
        <w:t xml:space="preserve">) </w:t>
      </w:r>
      <w:r w:rsidR="007A58BA">
        <w:t xml:space="preserve">and the </w:t>
      </w:r>
      <w:r w:rsidR="00060A54">
        <w:lastRenderedPageBreak/>
        <w:t xml:space="preserve">pricing inputs established in the Nation Efficient Price Determination 2018-19 </w:t>
      </w:r>
      <w:r w:rsidR="0013319F">
        <w:rPr>
          <w:noProof/>
        </w:rPr>
        <w:t>(IHPA 2018)</w:t>
      </w:r>
      <w:r w:rsidR="00692422">
        <w:t xml:space="preserve"> </w:t>
      </w:r>
      <w:r w:rsidR="00F552F4">
        <w:t xml:space="preserve">the pricing for </w:t>
      </w:r>
      <w:r w:rsidR="0030354C">
        <w:t xml:space="preserve">gastrointestinal </w:t>
      </w:r>
      <w:r w:rsidR="0031649D">
        <w:t xml:space="preserve">endoscopic procedures </w:t>
      </w:r>
      <w:r w:rsidR="0030354C">
        <w:t>in the public secto</w:t>
      </w:r>
      <w:r w:rsidR="00E80096">
        <w:t>r</w:t>
      </w:r>
      <w:r w:rsidR="0030354C">
        <w:t xml:space="preserve"> is $1,919</w:t>
      </w:r>
      <w:r w:rsidR="009A0A38">
        <w:rPr>
          <w:rStyle w:val="FootnoteReference"/>
        </w:rPr>
        <w:footnoteReference w:id="3"/>
      </w:r>
      <w:r w:rsidR="009A0A38">
        <w:t>.</w:t>
      </w:r>
    </w:p>
    <w:p w14:paraId="0C795D7C" w14:textId="77777777" w:rsidR="00C248E3" w:rsidRDefault="008605CD">
      <w:r>
        <w:t>Searches undertaken during the preparation of th</w:t>
      </w:r>
      <w:r w:rsidR="009471C7">
        <w:t xml:space="preserve">e </w:t>
      </w:r>
      <w:r>
        <w:t>PICO Confirmation revealed that many pra</w:t>
      </w:r>
      <w:r w:rsidR="00C17E02">
        <w:t xml:space="preserve">ctitioners are offering EMR to patients electing to be treated in the private health </w:t>
      </w:r>
      <w:r w:rsidR="005E4F74">
        <w:t xml:space="preserve">sector. </w:t>
      </w:r>
      <w:r w:rsidR="003657C0">
        <w:t>The applicant has advised that the existing MBS items for colonoscopy with polypectomy may be used to fund EMR in some patients treated in the private health sector. The applicant further advised that the existing MBS items for colonoscopy with polypectomy do not adequately reflect the additional time, complexity and training required to perform EMR compared with colonoscopy with polypectomy.</w:t>
      </w:r>
    </w:p>
    <w:p w14:paraId="641AFC97" w14:textId="56CA09B2" w:rsidR="00C248E3" w:rsidRDefault="00FA105C">
      <w:r>
        <w:t>PASC noted that EMR requires significant training, and the procedure should only be performed by clinicians experienced in the technique. PASC confirmed that, if possible, some reference to skill or training could be included in the item descriptor (or explanatory notes if skill or training verification cannot be inserted into the item descriptor, because it could not be enforced by the Department of Human Services). Criteria detailed in item descriptor wording must be able to be verified and legally enforced by the Department of Human Services.</w:t>
      </w:r>
    </w:p>
    <w:p w14:paraId="603A9885" w14:textId="77777777" w:rsidR="00896845" w:rsidRPr="00E364F7" w:rsidRDefault="00896845">
      <w:pPr>
        <w:rPr>
          <w:b/>
        </w:rPr>
      </w:pPr>
      <w:r w:rsidRPr="00E364F7">
        <w:rPr>
          <w:b/>
        </w:rPr>
        <w:t>Outcomes</w:t>
      </w:r>
    </w:p>
    <w:p w14:paraId="42FA1B48" w14:textId="24C2E3EF" w:rsidR="002A66BD" w:rsidRPr="002A66BD" w:rsidRDefault="00B07C98">
      <w:pPr>
        <w:rPr>
          <w:i/>
          <w:u w:val="single"/>
        </w:rPr>
      </w:pPr>
      <w:r>
        <w:rPr>
          <w:i/>
          <w:u w:val="single"/>
        </w:rPr>
        <w:t>Patient-</w:t>
      </w:r>
      <w:r w:rsidR="002A66BD" w:rsidRPr="002A66BD">
        <w:rPr>
          <w:i/>
          <w:u w:val="single"/>
        </w:rPr>
        <w:t>relevant</w:t>
      </w:r>
      <w:r>
        <w:rPr>
          <w:i/>
          <w:u w:val="single"/>
        </w:rPr>
        <w:t xml:space="preserve"> outcomes</w:t>
      </w:r>
    </w:p>
    <w:p w14:paraId="5C8487F8" w14:textId="11D7766D" w:rsidR="00BB6151" w:rsidRDefault="007000A1" w:rsidP="008C7FC1">
      <w:r w:rsidRPr="008C7FC1">
        <w:t xml:space="preserve">Patient relevant </w:t>
      </w:r>
      <w:r w:rsidR="00603E09">
        <w:t xml:space="preserve">efficacy and safety </w:t>
      </w:r>
      <w:r w:rsidRPr="008C7FC1">
        <w:t xml:space="preserve">outcomes applicable to the assessment of EMR </w:t>
      </w:r>
      <w:r w:rsidR="007A7270" w:rsidRPr="00A74065">
        <w:rPr>
          <w:i/>
        </w:rPr>
        <w:t>vs.</w:t>
      </w:r>
      <w:r w:rsidR="007A7270">
        <w:t xml:space="preserve"> surgical resection </w:t>
      </w:r>
      <w:r w:rsidR="00603E09">
        <w:t xml:space="preserve">are outlined in </w:t>
      </w:r>
      <w:r w:rsidR="0072377F">
        <w:fldChar w:fldCharType="begin"/>
      </w:r>
      <w:r w:rsidR="0072377F">
        <w:instrText xml:space="preserve"> REF _Ref2855565 \h </w:instrText>
      </w:r>
      <w:r w:rsidR="0072377F">
        <w:fldChar w:fldCharType="separate"/>
      </w:r>
      <w:r w:rsidR="00853DB3">
        <w:t xml:space="preserve">Table </w:t>
      </w:r>
      <w:r w:rsidR="00853DB3">
        <w:rPr>
          <w:noProof/>
        </w:rPr>
        <w:t>4</w:t>
      </w:r>
      <w:r w:rsidR="0072377F">
        <w:fldChar w:fldCharType="end"/>
      </w:r>
      <w:r w:rsidR="00603E09">
        <w:t>.</w:t>
      </w:r>
    </w:p>
    <w:p w14:paraId="2922D246" w14:textId="3C676DBB" w:rsidR="00242F38" w:rsidRDefault="00782C3A" w:rsidP="00782C3A">
      <w:pPr>
        <w:pStyle w:val="Caption"/>
      </w:pPr>
      <w:bookmarkStart w:id="6" w:name="_Ref2855565"/>
      <w:r>
        <w:t xml:space="preserve">Table </w:t>
      </w:r>
      <w:r>
        <w:fldChar w:fldCharType="begin"/>
      </w:r>
      <w:r>
        <w:instrText xml:space="preserve"> SEQ Table \* ARABIC </w:instrText>
      </w:r>
      <w:r>
        <w:fldChar w:fldCharType="separate"/>
      </w:r>
      <w:r w:rsidR="00853DB3">
        <w:rPr>
          <w:noProof/>
        </w:rPr>
        <w:t>4</w:t>
      </w:r>
      <w:r>
        <w:fldChar w:fldCharType="end"/>
      </w:r>
      <w:bookmarkEnd w:id="6"/>
      <w:r w:rsidR="004459B5">
        <w:t>: Patient relevant outcomes applicable to the assessment of EMR</w:t>
      </w:r>
      <w:r w:rsidR="00BC0A20">
        <w:t xml:space="preserve"> </w:t>
      </w:r>
      <w:r w:rsidR="00BC0A20" w:rsidRPr="00A74065">
        <w:rPr>
          <w:i/>
        </w:rPr>
        <w:t>vs.</w:t>
      </w:r>
      <w:r w:rsidR="00BC0A20">
        <w:t xml:space="preserve"> surgical resection</w:t>
      </w:r>
    </w:p>
    <w:tbl>
      <w:tblPr>
        <w:tblStyle w:val="TableGrid"/>
        <w:tblW w:w="5000" w:type="pct"/>
        <w:tblLook w:val="04A0" w:firstRow="1" w:lastRow="0" w:firstColumn="1" w:lastColumn="0" w:noHBand="0" w:noVBand="1"/>
        <w:tblCaption w:val="Table showing efficacy and safety outcomes"/>
      </w:tblPr>
      <w:tblGrid>
        <w:gridCol w:w="4508"/>
        <w:gridCol w:w="4508"/>
      </w:tblGrid>
      <w:tr w:rsidR="00242F38" w14:paraId="1860C255" w14:textId="77777777" w:rsidTr="0069370F">
        <w:trPr>
          <w:tblHeader/>
        </w:trPr>
        <w:tc>
          <w:tcPr>
            <w:tcW w:w="2500" w:type="pct"/>
          </w:tcPr>
          <w:p w14:paraId="18FEAC50" w14:textId="64721111" w:rsidR="00242F38" w:rsidRPr="00B86E3A" w:rsidRDefault="00242F38" w:rsidP="008C7FC1">
            <w:pPr>
              <w:rPr>
                <w:b/>
              </w:rPr>
            </w:pPr>
            <w:r w:rsidRPr="00B86E3A">
              <w:rPr>
                <w:b/>
              </w:rPr>
              <w:t>Efficacy outcomes</w:t>
            </w:r>
          </w:p>
        </w:tc>
        <w:tc>
          <w:tcPr>
            <w:tcW w:w="2500" w:type="pct"/>
          </w:tcPr>
          <w:p w14:paraId="7D253B4C" w14:textId="67D0C5B4" w:rsidR="00242F38" w:rsidRPr="00B86E3A" w:rsidRDefault="00242F38" w:rsidP="008C7FC1">
            <w:pPr>
              <w:rPr>
                <w:b/>
              </w:rPr>
            </w:pPr>
            <w:r w:rsidRPr="00B86E3A">
              <w:rPr>
                <w:b/>
              </w:rPr>
              <w:t>Safety outcomes</w:t>
            </w:r>
          </w:p>
        </w:tc>
      </w:tr>
      <w:tr w:rsidR="00242F38" w14:paraId="0F45558A" w14:textId="77777777" w:rsidTr="00242F38">
        <w:tc>
          <w:tcPr>
            <w:tcW w:w="2500" w:type="pct"/>
          </w:tcPr>
          <w:p w14:paraId="02E40FE7" w14:textId="026BB839" w:rsidR="00242F38" w:rsidRDefault="00242F38" w:rsidP="00242F38">
            <w:pPr>
              <w:spacing w:before="120" w:after="120"/>
            </w:pPr>
            <w:r>
              <w:t>Technical success rate</w:t>
            </w:r>
            <w:r w:rsidR="00E2325B">
              <w:t xml:space="preserve"> (defined as “absence of neoplastic tissue at completion of the procedure after careful inspection of the post-EMR mucosal defect and margin.”)</w:t>
            </w:r>
          </w:p>
          <w:p w14:paraId="3481EDC6" w14:textId="6972EB5A" w:rsidR="00242F38" w:rsidRDefault="00242F38" w:rsidP="00242F38">
            <w:pPr>
              <w:spacing w:before="120" w:after="120"/>
            </w:pPr>
            <w:r>
              <w:t>Uptake of surgical resection in unsuccessful EMR cases</w:t>
            </w:r>
            <w:r w:rsidR="007A7270">
              <w:t xml:space="preserve"> (EMR </w:t>
            </w:r>
            <w:r w:rsidR="00085334">
              <w:t>only)</w:t>
            </w:r>
          </w:p>
          <w:p w14:paraId="5ED71CCE" w14:textId="0ED6ACAE" w:rsidR="00242F38" w:rsidRDefault="00242F38" w:rsidP="00242F38">
            <w:pPr>
              <w:spacing w:before="120" w:after="120"/>
            </w:pPr>
            <w:r>
              <w:t>Lesion recurrence rate (short-term and long-term recurrence)</w:t>
            </w:r>
          </w:p>
          <w:p w14:paraId="5CAB4622" w14:textId="7AF58887" w:rsidR="00FB2636" w:rsidRDefault="00FB2636" w:rsidP="00242F38">
            <w:pPr>
              <w:spacing w:before="120" w:after="120"/>
            </w:pPr>
            <w:r>
              <w:t xml:space="preserve">Rate of long-term </w:t>
            </w:r>
            <w:r w:rsidR="00A2681C">
              <w:t xml:space="preserve">colorectal </w:t>
            </w:r>
            <w:r>
              <w:t>cancer development</w:t>
            </w:r>
          </w:p>
          <w:p w14:paraId="585B8FC1" w14:textId="5390C145" w:rsidR="00F4707B" w:rsidRDefault="004B2A1A" w:rsidP="00242F38">
            <w:pPr>
              <w:spacing w:before="120" w:after="120"/>
            </w:pPr>
            <w:r>
              <w:t xml:space="preserve">Time to perform </w:t>
            </w:r>
            <w:r w:rsidR="00BF0DC9">
              <w:t>procedure</w:t>
            </w:r>
          </w:p>
          <w:p w14:paraId="0A2D821D" w14:textId="0B662C76" w:rsidR="00242F38" w:rsidRDefault="00BF0DC9" w:rsidP="00A63BC2">
            <w:pPr>
              <w:spacing w:before="120" w:after="120"/>
            </w:pPr>
            <w:r>
              <w:t>Length of hospital stay</w:t>
            </w:r>
          </w:p>
        </w:tc>
        <w:tc>
          <w:tcPr>
            <w:tcW w:w="2500" w:type="pct"/>
          </w:tcPr>
          <w:p w14:paraId="3CCDA974" w14:textId="0C2DF396" w:rsidR="00242F38" w:rsidRDefault="00242F38" w:rsidP="00242F38">
            <w:pPr>
              <w:spacing w:before="120" w:after="120"/>
            </w:pPr>
            <w:r>
              <w:t xml:space="preserve">Intraprocedural </w:t>
            </w:r>
            <w:r w:rsidR="003E06BF">
              <w:t>complications</w:t>
            </w:r>
          </w:p>
          <w:p w14:paraId="4309DDF1" w14:textId="170EED3B" w:rsidR="00242F38" w:rsidRDefault="00242F38" w:rsidP="00242F38">
            <w:pPr>
              <w:spacing w:before="120" w:after="120"/>
            </w:pPr>
            <w:r>
              <w:t xml:space="preserve">Postprocedural </w:t>
            </w:r>
            <w:r w:rsidR="00461260">
              <w:t>complications</w:t>
            </w:r>
          </w:p>
          <w:p w14:paraId="6F506E64" w14:textId="45B4E30A" w:rsidR="00F2644B" w:rsidRDefault="00F2644B" w:rsidP="00242F38">
            <w:pPr>
              <w:spacing w:before="120" w:after="120"/>
            </w:pPr>
            <w:r>
              <w:t>Bleeding-related adverse events</w:t>
            </w:r>
            <w:r w:rsidR="005574DB">
              <w:t xml:space="preserve"> (including </w:t>
            </w:r>
            <w:r w:rsidR="00FF70F1">
              <w:t>delayed polypectomy bleeding)</w:t>
            </w:r>
          </w:p>
          <w:p w14:paraId="1A4CA3FC" w14:textId="50949622" w:rsidR="00242F38" w:rsidRDefault="00242F38" w:rsidP="00242F38">
            <w:pPr>
              <w:spacing w:before="120" w:after="120"/>
            </w:pPr>
            <w:r>
              <w:t>Deep mural injury rate</w:t>
            </w:r>
            <w:r w:rsidR="008047C2">
              <w:t xml:space="preserve"> (EMR only)</w:t>
            </w:r>
          </w:p>
          <w:p w14:paraId="4900EF04" w14:textId="04579D7D" w:rsidR="00242F38" w:rsidRDefault="00242F38" w:rsidP="00242F38">
            <w:pPr>
              <w:spacing w:before="120" w:after="120"/>
            </w:pPr>
            <w:r>
              <w:t>Perforation rate</w:t>
            </w:r>
            <w:r w:rsidR="00FB4791">
              <w:t xml:space="preserve"> (EMR only)</w:t>
            </w:r>
          </w:p>
          <w:p w14:paraId="4ECE2F6D" w14:textId="7DC5A02E" w:rsidR="006B4C27" w:rsidRDefault="00784493" w:rsidP="00242F38">
            <w:pPr>
              <w:spacing w:before="120" w:after="120"/>
            </w:pPr>
            <w:r>
              <w:t xml:space="preserve">Hospital presentations/admissions </w:t>
            </w:r>
            <w:r w:rsidR="00FB4791">
              <w:t xml:space="preserve">reported following </w:t>
            </w:r>
            <w:r w:rsidR="00CC5EF6">
              <w:t>procedure</w:t>
            </w:r>
          </w:p>
          <w:p w14:paraId="0EE556F3" w14:textId="60A7243A" w:rsidR="00242F38" w:rsidRDefault="00242F38" w:rsidP="00242F38">
            <w:pPr>
              <w:spacing w:before="120" w:after="120"/>
            </w:pPr>
            <w:r>
              <w:t>Procedure-related mortality rate</w:t>
            </w:r>
          </w:p>
        </w:tc>
      </w:tr>
    </w:tbl>
    <w:p w14:paraId="51BF552D" w14:textId="40F520A9" w:rsidR="00603E09" w:rsidRPr="00CD281F" w:rsidRDefault="00B07C98" w:rsidP="00CD281F">
      <w:r>
        <w:br/>
      </w:r>
    </w:p>
    <w:p w14:paraId="200FE5C9" w14:textId="3CA17F29" w:rsidR="003E0382" w:rsidRPr="002A66BD" w:rsidRDefault="002A66BD" w:rsidP="00440228">
      <w:pPr>
        <w:rPr>
          <w:i/>
          <w:u w:val="single"/>
        </w:rPr>
      </w:pPr>
      <w:r w:rsidRPr="002A66BD">
        <w:rPr>
          <w:i/>
          <w:u w:val="single"/>
        </w:rPr>
        <w:lastRenderedPageBreak/>
        <w:t>Health</w:t>
      </w:r>
      <w:r w:rsidR="00752491">
        <w:rPr>
          <w:i/>
          <w:u w:val="single"/>
        </w:rPr>
        <w:t>care</w:t>
      </w:r>
      <w:r w:rsidRPr="002A66BD">
        <w:rPr>
          <w:i/>
          <w:u w:val="single"/>
        </w:rPr>
        <w:t xml:space="preserve"> system</w:t>
      </w:r>
    </w:p>
    <w:p w14:paraId="42C0BEF7" w14:textId="54DCAA83" w:rsidR="00D04B5E" w:rsidRDefault="003A7218" w:rsidP="00C349D2">
      <w:r>
        <w:t xml:space="preserve">With the potential </w:t>
      </w:r>
      <w:r w:rsidR="00217C58">
        <w:t>availability</w:t>
      </w:r>
      <w:r>
        <w:t xml:space="preserve"> of EMR funded through the MBS </w:t>
      </w:r>
      <w:r w:rsidR="001F4BC9">
        <w:t xml:space="preserve">the </w:t>
      </w:r>
      <w:r w:rsidR="00C349D2">
        <w:t>following changes in patterns of healthcare resource use may be foreseen:</w:t>
      </w:r>
    </w:p>
    <w:p w14:paraId="0BE290DF" w14:textId="3467F3E5" w:rsidR="0091470A" w:rsidRDefault="00D11764" w:rsidP="00A211B9">
      <w:pPr>
        <w:pStyle w:val="ListParagraph"/>
        <w:numPr>
          <w:ilvl w:val="0"/>
          <w:numId w:val="11"/>
        </w:numPr>
      </w:pPr>
      <w:r>
        <w:t>An</w:t>
      </w:r>
      <w:r w:rsidR="00204D88">
        <w:t xml:space="preserve"> overall increase in the number of patients </w:t>
      </w:r>
      <w:r w:rsidR="00925DA0">
        <w:t xml:space="preserve">undergoing EMR </w:t>
      </w:r>
      <w:r w:rsidR="0091470A">
        <w:t>as a result of</w:t>
      </w:r>
      <w:r w:rsidR="00231BD6">
        <w:t xml:space="preserve"> e</w:t>
      </w:r>
      <w:r w:rsidR="0091470A">
        <w:t xml:space="preserve">xpanded </w:t>
      </w:r>
      <w:r w:rsidR="00231BD6">
        <w:t xml:space="preserve">access to EMR in the private healthcare </w:t>
      </w:r>
      <w:r w:rsidR="00A211B9">
        <w:t>sector.</w:t>
      </w:r>
    </w:p>
    <w:p w14:paraId="145A50AD" w14:textId="43944548" w:rsidR="00137F15" w:rsidRDefault="00137F15" w:rsidP="00D11764">
      <w:pPr>
        <w:pStyle w:val="ListParagraph"/>
        <w:numPr>
          <w:ilvl w:val="0"/>
          <w:numId w:val="11"/>
        </w:numPr>
      </w:pPr>
      <w:r>
        <w:t xml:space="preserve">A potential transfer </w:t>
      </w:r>
      <w:r w:rsidR="002A23C8">
        <w:t xml:space="preserve">in the source </w:t>
      </w:r>
      <w:r>
        <w:t xml:space="preserve">of </w:t>
      </w:r>
      <w:r w:rsidR="002A23C8">
        <w:t>funding of EMR procedures from State/Territory healthcare budgets to the MBS</w:t>
      </w:r>
      <w:r w:rsidR="00D316C4">
        <w:t xml:space="preserve"> for patients electing to be treated in the private healthcare sector</w:t>
      </w:r>
      <w:r w:rsidR="0047482B">
        <w:t xml:space="preserve"> which may otherwise have been treated in the public healthcare sector</w:t>
      </w:r>
      <w:r w:rsidR="007A125B">
        <w:t>.</w:t>
      </w:r>
    </w:p>
    <w:p w14:paraId="1E6AD68C" w14:textId="2A32B5C9" w:rsidR="00397940" w:rsidRPr="00C349D2" w:rsidRDefault="00397940" w:rsidP="00D11764">
      <w:pPr>
        <w:pStyle w:val="ListParagraph"/>
        <w:numPr>
          <w:ilvl w:val="0"/>
          <w:numId w:val="11"/>
        </w:numPr>
      </w:pPr>
      <w:r>
        <w:t>A potential decrease in the number of</w:t>
      </w:r>
      <w:r w:rsidR="00204D88">
        <w:t xml:space="preserve"> </w:t>
      </w:r>
      <w:r>
        <w:t>surgical resection</w:t>
      </w:r>
      <w:r w:rsidR="00204D88">
        <w:t xml:space="preserve"> procedures </w:t>
      </w:r>
      <w:r w:rsidR="007A125B">
        <w:t xml:space="preserve">funded through the MBS as a result of substitution with </w:t>
      </w:r>
      <w:r w:rsidR="00D44EDC">
        <w:t>EMR.</w:t>
      </w:r>
    </w:p>
    <w:p w14:paraId="1EA90EDA" w14:textId="77777777" w:rsidR="00896845" w:rsidRDefault="00896845" w:rsidP="00896845">
      <w:pPr>
        <w:pStyle w:val="Heading2"/>
        <w:spacing w:line="240" w:lineRule="auto"/>
        <w:jc w:val="both"/>
        <w:rPr>
          <w:color w:val="548DD4"/>
        </w:rPr>
      </w:pPr>
      <w:r w:rsidRPr="00896845">
        <w:rPr>
          <w:color w:val="548DD4"/>
        </w:rPr>
        <w:t>Current</w:t>
      </w:r>
      <w:r>
        <w:rPr>
          <w:color w:val="548DD4"/>
        </w:rPr>
        <w:t xml:space="preserve"> clinical</w:t>
      </w:r>
      <w:r w:rsidRPr="00896845">
        <w:rPr>
          <w:color w:val="548DD4"/>
        </w:rPr>
        <w:t xml:space="preserve"> management</w:t>
      </w:r>
      <w:r>
        <w:rPr>
          <w:color w:val="548DD4"/>
        </w:rPr>
        <w:t xml:space="preserve"> algorithm</w:t>
      </w:r>
      <w:r w:rsidR="002B3338">
        <w:rPr>
          <w:color w:val="548DD4"/>
        </w:rPr>
        <w:t xml:space="preserve"> for identified population</w:t>
      </w:r>
    </w:p>
    <w:p w14:paraId="09FDDFDA" w14:textId="1A03F439" w:rsidR="008276B0" w:rsidRDefault="008276B0" w:rsidP="008276B0">
      <w:r>
        <w:t xml:space="preserve">The applicant </w:t>
      </w:r>
      <w:r w:rsidR="008B22ED">
        <w:t xml:space="preserve">provided </w:t>
      </w:r>
      <w:r w:rsidR="009A2508">
        <w:t>an</w:t>
      </w:r>
      <w:r w:rsidR="00771871">
        <w:t xml:space="preserve"> </w:t>
      </w:r>
      <w:r w:rsidR="0090349D">
        <w:t xml:space="preserve">overview of </w:t>
      </w:r>
      <w:r w:rsidR="00D45BBD">
        <w:t xml:space="preserve">the place of EMR in the management of patients with </w:t>
      </w:r>
      <w:r w:rsidR="004C476D">
        <w:t xml:space="preserve">colorectal </w:t>
      </w:r>
      <w:r w:rsidR="004A3843">
        <w:t>lesions</w:t>
      </w:r>
      <w:r w:rsidR="004C476D">
        <w:t xml:space="preserve"> </w:t>
      </w:r>
      <w:r w:rsidR="00DE29AD">
        <w:t>as established in clinical management guidelines (</w:t>
      </w:r>
      <w:r w:rsidR="00722098">
        <w:fldChar w:fldCharType="begin"/>
      </w:r>
      <w:r w:rsidR="00722098">
        <w:instrText xml:space="preserve"> REF _Ref2861126 \h </w:instrText>
      </w:r>
      <w:r w:rsidR="00722098">
        <w:fldChar w:fldCharType="separate"/>
      </w:r>
      <w:r w:rsidR="00853DB3">
        <w:t xml:space="preserve">Figure </w:t>
      </w:r>
      <w:r w:rsidR="00853DB3">
        <w:rPr>
          <w:noProof/>
        </w:rPr>
        <w:t>2</w:t>
      </w:r>
      <w:r w:rsidR="00722098">
        <w:fldChar w:fldCharType="end"/>
      </w:r>
      <w:r w:rsidR="00DE29AD">
        <w:t>).</w:t>
      </w:r>
      <w:r w:rsidR="003F39A4">
        <w:t xml:space="preserve"> The place of EMR was highlighted in the red boxes during the prep</w:t>
      </w:r>
      <w:r w:rsidR="001C22A0">
        <w:t>aration of th</w:t>
      </w:r>
      <w:r w:rsidR="00FC7EA7">
        <w:t xml:space="preserve">e </w:t>
      </w:r>
      <w:r w:rsidR="001C22A0">
        <w:t>PICO Confirmation</w:t>
      </w:r>
      <w:r w:rsidR="00FC7EA7">
        <w:t xml:space="preserve"> for ease of identification</w:t>
      </w:r>
      <w:r w:rsidR="001C22A0">
        <w:t>.</w:t>
      </w:r>
    </w:p>
    <w:p w14:paraId="73FA5A8D" w14:textId="26F77AF4" w:rsidR="00DE29AD" w:rsidRDefault="001C22A0" w:rsidP="001C22A0">
      <w:pPr>
        <w:pStyle w:val="Caption"/>
      </w:pPr>
      <w:bookmarkStart w:id="7" w:name="_Ref2861126"/>
      <w:r>
        <w:lastRenderedPageBreak/>
        <w:t xml:space="preserve">Figure </w:t>
      </w:r>
      <w:r>
        <w:fldChar w:fldCharType="begin"/>
      </w:r>
      <w:r>
        <w:instrText xml:space="preserve"> SEQ Figure \* ARABIC </w:instrText>
      </w:r>
      <w:r>
        <w:fldChar w:fldCharType="separate"/>
      </w:r>
      <w:r w:rsidR="00D660B1">
        <w:rPr>
          <w:noProof/>
        </w:rPr>
        <w:t>2</w:t>
      </w:r>
      <w:r>
        <w:fldChar w:fldCharType="end"/>
      </w:r>
      <w:bookmarkEnd w:id="7"/>
      <w:r>
        <w:t xml:space="preserve">: </w:t>
      </w:r>
      <w:r w:rsidR="004E2C75">
        <w:t xml:space="preserve">Algorithm </w:t>
      </w:r>
      <w:r w:rsidR="00722098">
        <w:t xml:space="preserve">for selection of suitable resection technique for colorectal </w:t>
      </w:r>
      <w:r w:rsidR="004A3843">
        <w:t>lesions</w:t>
      </w:r>
      <w:r w:rsidR="00722098">
        <w:t xml:space="preserve"> </w:t>
      </w:r>
    </w:p>
    <w:p w14:paraId="0F6665A0" w14:textId="5AE6925E" w:rsidR="00DE29AD" w:rsidRDefault="00E30348" w:rsidP="008276B0">
      <w:r>
        <w:rPr>
          <w:noProof/>
          <w:lang w:eastAsia="en-AU"/>
        </w:rPr>
        <w:drawing>
          <wp:inline distT="0" distB="0" distL="0" distR="0" wp14:anchorId="50BF3B64" wp14:editId="64BC4491">
            <wp:extent cx="5731510" cy="5131435"/>
            <wp:effectExtent l="0" t="0" r="2540" b="0"/>
            <wp:docPr id="4" name="Picture 4" descr="Flowchart representing the selection of a suitable technique to remove colorectal le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131435"/>
                    </a:xfrm>
                    <a:prstGeom prst="rect">
                      <a:avLst/>
                    </a:prstGeom>
                    <a:noFill/>
                    <a:ln>
                      <a:noFill/>
                    </a:ln>
                  </pic:spPr>
                </pic:pic>
              </a:graphicData>
            </a:graphic>
          </wp:inline>
        </w:drawing>
      </w:r>
    </w:p>
    <w:p w14:paraId="5A8A085F" w14:textId="350361DA" w:rsidR="00722098" w:rsidRPr="00312C68" w:rsidRDefault="00722098" w:rsidP="008276B0">
      <w:pPr>
        <w:rPr>
          <w:sz w:val="18"/>
          <w:szCs w:val="18"/>
        </w:rPr>
      </w:pPr>
      <w:r w:rsidRPr="00312C68">
        <w:rPr>
          <w:sz w:val="18"/>
          <w:szCs w:val="18"/>
        </w:rPr>
        <w:t xml:space="preserve">Source: Figure 1 (p. 272) of </w:t>
      </w:r>
      <w:r w:rsidR="00E8058C">
        <w:rPr>
          <w:noProof/>
          <w:sz w:val="18"/>
          <w:szCs w:val="18"/>
        </w:rPr>
        <w:t>(Ferlitsch et al. 2017)</w:t>
      </w:r>
    </w:p>
    <w:p w14:paraId="0ECF4C4F" w14:textId="77777777" w:rsidR="00896845" w:rsidRDefault="00896845" w:rsidP="00896845">
      <w:pPr>
        <w:pStyle w:val="Heading2"/>
        <w:spacing w:line="240" w:lineRule="auto"/>
        <w:jc w:val="both"/>
        <w:rPr>
          <w:color w:val="548DD4"/>
        </w:rPr>
      </w:pPr>
      <w:r w:rsidRPr="00896845">
        <w:rPr>
          <w:color w:val="548DD4"/>
        </w:rPr>
        <w:t xml:space="preserve">Proposed </w:t>
      </w:r>
      <w:r>
        <w:rPr>
          <w:color w:val="548DD4"/>
        </w:rPr>
        <w:t>clinical</w:t>
      </w:r>
      <w:r w:rsidRPr="00896845">
        <w:rPr>
          <w:color w:val="548DD4"/>
        </w:rPr>
        <w:t xml:space="preserve"> management</w:t>
      </w:r>
      <w:r>
        <w:rPr>
          <w:color w:val="548DD4"/>
        </w:rPr>
        <w:t xml:space="preserve"> algorithm</w:t>
      </w:r>
      <w:r w:rsidR="002B3338">
        <w:rPr>
          <w:color w:val="548DD4"/>
        </w:rPr>
        <w:t xml:space="preserve"> for identified population</w:t>
      </w:r>
    </w:p>
    <w:p w14:paraId="460CEDBE" w14:textId="0291D2AB" w:rsidR="00D04F36" w:rsidRDefault="00D04F36" w:rsidP="00D04F36">
      <w:r>
        <w:t xml:space="preserve">The </w:t>
      </w:r>
      <w:r w:rsidR="00DE6898">
        <w:t xml:space="preserve">key difference between the </w:t>
      </w:r>
      <w:r w:rsidR="00F15EA1">
        <w:t xml:space="preserve">current and proposed algorithm applied for the selection of </w:t>
      </w:r>
      <w:r w:rsidR="00754699">
        <w:t xml:space="preserve">the suitable resection technique for colorectal </w:t>
      </w:r>
      <w:r w:rsidR="004A3843">
        <w:t>lesions</w:t>
      </w:r>
      <w:r w:rsidR="00754699">
        <w:t xml:space="preserve"> </w:t>
      </w:r>
      <w:r w:rsidR="000240D8">
        <w:t xml:space="preserve">with EMR funded through the MBS is the restriction of </w:t>
      </w:r>
      <w:r w:rsidR="001E5942">
        <w:t xml:space="preserve">the use </w:t>
      </w:r>
      <w:r w:rsidR="001242CC">
        <w:t>of</w:t>
      </w:r>
      <w:r w:rsidR="000240D8">
        <w:t xml:space="preserve"> EMR </w:t>
      </w:r>
      <w:r w:rsidR="00645D5B">
        <w:t>to patients with lesion</w:t>
      </w:r>
      <w:r w:rsidR="0019493F">
        <w:t>s</w:t>
      </w:r>
      <w:r w:rsidR="00645D5B">
        <w:t xml:space="preserve"> &gt;25 mm (EMR funded through the MBS) compared with </w:t>
      </w:r>
      <w:r w:rsidR="0019493F">
        <w:t xml:space="preserve">lesions </w:t>
      </w:r>
      <w:r w:rsidR="0019493F">
        <w:rPr>
          <w:rFonts w:cs="Calibri"/>
        </w:rPr>
        <w:t>≥</w:t>
      </w:r>
      <w:r w:rsidR="0019493F">
        <w:t>20 mm (</w:t>
      </w:r>
      <w:r w:rsidR="00F36B77">
        <w:t xml:space="preserve">current recommended use). No other differences </w:t>
      </w:r>
      <w:r w:rsidR="00E87926">
        <w:t>in the management of patients</w:t>
      </w:r>
      <w:r w:rsidR="0015187A">
        <w:t xml:space="preserve"> are proposed</w:t>
      </w:r>
      <w:r w:rsidR="00E87926">
        <w:t xml:space="preserve">, including the </w:t>
      </w:r>
      <w:r w:rsidR="00E018F5">
        <w:t xml:space="preserve">type and frequency of use of upstream services to identify patients </w:t>
      </w:r>
      <w:r w:rsidR="004C52A7">
        <w:t xml:space="preserve">with </w:t>
      </w:r>
      <w:r w:rsidR="00214AEF">
        <w:t>suspected</w:t>
      </w:r>
      <w:r w:rsidR="004C52A7">
        <w:t xml:space="preserve"> colorectal </w:t>
      </w:r>
      <w:r w:rsidR="004A3843">
        <w:t>lesions</w:t>
      </w:r>
      <w:r w:rsidR="004C52A7">
        <w:t xml:space="preserve"> or the </w:t>
      </w:r>
      <w:r w:rsidR="00E87926">
        <w:t>downstream services required for post-resection surveillance</w:t>
      </w:r>
      <w:r w:rsidR="00E018F5">
        <w:t>.</w:t>
      </w:r>
    </w:p>
    <w:p w14:paraId="0AE6E2E6" w14:textId="7987156E" w:rsidR="00E73B95" w:rsidRDefault="00E73B95" w:rsidP="00D04F36">
      <w:r>
        <w:t>A</w:t>
      </w:r>
      <w:r w:rsidR="007753CC">
        <w:t>n</w:t>
      </w:r>
      <w:r w:rsidR="00EB1F7C">
        <w:t xml:space="preserve"> algorithm representing</w:t>
      </w:r>
      <w:r w:rsidR="00D660B1">
        <w:t xml:space="preserve"> patient management pathways with the availability of EMR on the MBS as requested is presented in </w:t>
      </w:r>
      <w:r w:rsidR="00DB3A6E">
        <w:fldChar w:fldCharType="begin"/>
      </w:r>
      <w:r w:rsidR="00DB3A6E">
        <w:instrText xml:space="preserve"> REF _Ref9771162 \h </w:instrText>
      </w:r>
      <w:r w:rsidR="00DB3A6E">
        <w:fldChar w:fldCharType="separate"/>
      </w:r>
      <w:r w:rsidR="00DB3A6E">
        <w:t xml:space="preserve">Figure </w:t>
      </w:r>
      <w:r w:rsidR="00DB3A6E">
        <w:rPr>
          <w:noProof/>
        </w:rPr>
        <w:t>3</w:t>
      </w:r>
      <w:r w:rsidR="00DB3A6E">
        <w:fldChar w:fldCharType="end"/>
      </w:r>
      <w:r w:rsidR="00D660B1">
        <w:t>.</w:t>
      </w:r>
    </w:p>
    <w:p w14:paraId="46A5A61B" w14:textId="490BE064" w:rsidR="00D660B1" w:rsidRDefault="00D660B1" w:rsidP="000900A2">
      <w:pPr>
        <w:pStyle w:val="Caption"/>
      </w:pPr>
      <w:bookmarkStart w:id="8" w:name="_Ref9771162"/>
      <w:r>
        <w:lastRenderedPageBreak/>
        <w:t xml:space="preserve">Figure </w:t>
      </w:r>
      <w:r>
        <w:fldChar w:fldCharType="begin"/>
      </w:r>
      <w:r>
        <w:instrText xml:space="preserve"> SEQ Figure \* ARABIC </w:instrText>
      </w:r>
      <w:r>
        <w:fldChar w:fldCharType="separate"/>
      </w:r>
      <w:r>
        <w:rPr>
          <w:noProof/>
        </w:rPr>
        <w:t>3</w:t>
      </w:r>
      <w:r>
        <w:fldChar w:fldCharType="end"/>
      </w:r>
      <w:bookmarkEnd w:id="8"/>
      <w:r>
        <w:t xml:space="preserve">: Proposed clinical management algorithm for </w:t>
      </w:r>
      <w:r w:rsidR="008103DF">
        <w:t>patients using EMR</w:t>
      </w:r>
    </w:p>
    <w:p w14:paraId="12B5B885" w14:textId="754A37E5" w:rsidR="00D660B1" w:rsidRDefault="0034113E" w:rsidP="00D04F36">
      <w:r>
        <w:rPr>
          <w:noProof/>
          <w:lang w:eastAsia="en-AU"/>
        </w:rPr>
        <w:drawing>
          <wp:inline distT="0" distB="0" distL="0" distR="0" wp14:anchorId="0468DCEB" wp14:editId="4D97127C">
            <wp:extent cx="5731510" cy="5030470"/>
            <wp:effectExtent l="0" t="0" r="2540" b="0"/>
            <wp:docPr id="5" name="Picture 5" descr="Shows proposed clinical management algorithm for patients using EMR"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030470"/>
                    </a:xfrm>
                    <a:prstGeom prst="rect">
                      <a:avLst/>
                    </a:prstGeom>
                    <a:noFill/>
                    <a:ln>
                      <a:noFill/>
                    </a:ln>
                  </pic:spPr>
                </pic:pic>
              </a:graphicData>
            </a:graphic>
          </wp:inline>
        </w:drawing>
      </w:r>
    </w:p>
    <w:p w14:paraId="78BCCDFB" w14:textId="77777777" w:rsidR="00E968F6" w:rsidRDefault="003E0382" w:rsidP="00E968F6">
      <w:pPr>
        <w:pStyle w:val="Heading2"/>
        <w:spacing w:line="240" w:lineRule="auto"/>
        <w:jc w:val="both"/>
        <w:rPr>
          <w:color w:val="548DD4"/>
        </w:rPr>
      </w:pPr>
      <w:r>
        <w:rPr>
          <w:color w:val="548DD4"/>
        </w:rPr>
        <w:t xml:space="preserve">Proposed </w:t>
      </w:r>
      <w:r w:rsidR="002B226C">
        <w:rPr>
          <w:color w:val="548DD4"/>
        </w:rPr>
        <w:t xml:space="preserve">economic </w:t>
      </w:r>
      <w:r w:rsidR="009E5295">
        <w:rPr>
          <w:color w:val="548DD4"/>
        </w:rPr>
        <w:t>evaluation</w:t>
      </w:r>
    </w:p>
    <w:p w14:paraId="0C6B805A" w14:textId="4C63747B" w:rsidR="0002423C" w:rsidRDefault="0002423C" w:rsidP="0002423C">
      <w:r>
        <w:t xml:space="preserve">The evidence reporting efficacy and safety outcomes of EMR and surgical resection is largely </w:t>
      </w:r>
      <w:r w:rsidR="003E2204">
        <w:t>represented by</w:t>
      </w:r>
      <w:r>
        <w:t xml:space="preserve"> prospective single</w:t>
      </w:r>
      <w:r w:rsidR="008C2E7E">
        <w:t>-</w:t>
      </w:r>
      <w:r>
        <w:t>arm studies or retrospective cohort studies</w:t>
      </w:r>
      <w:r w:rsidR="00D3672A">
        <w:t>. Thus</w:t>
      </w:r>
      <w:r>
        <w:t xml:space="preserve">, an assessment of the comparative efficacy and safety of EMR </w:t>
      </w:r>
      <w:r w:rsidRPr="00A74065">
        <w:rPr>
          <w:i/>
        </w:rPr>
        <w:t>vs.</w:t>
      </w:r>
      <w:r>
        <w:t xml:space="preserve"> surgical resection is likely to be based on an indirect comparison of outcomes.</w:t>
      </w:r>
    </w:p>
    <w:p w14:paraId="534AF7AA" w14:textId="2F479F58" w:rsidR="002D7CCE" w:rsidRDefault="0030421A" w:rsidP="002D7CCE">
      <w:r w:rsidRPr="0030421A">
        <w:t>The</w:t>
      </w:r>
      <w:r>
        <w:t xml:space="preserve"> applicant has outlined </w:t>
      </w:r>
      <w:r w:rsidR="002458BA">
        <w:t>that EMR is superior</w:t>
      </w:r>
      <w:r w:rsidR="00D9582F">
        <w:t xml:space="preserve"> to surgical resection </w:t>
      </w:r>
      <w:r w:rsidR="002337F6">
        <w:t xml:space="preserve">in terms of clinical safety and efficacy. </w:t>
      </w:r>
      <w:r w:rsidR="00C5529B">
        <w:t>T</w:t>
      </w:r>
      <w:r w:rsidR="005032D5">
        <w:t>h</w:t>
      </w:r>
      <w:r w:rsidR="00ED5014">
        <w:t xml:space="preserve">is </w:t>
      </w:r>
      <w:r w:rsidR="005032D5">
        <w:t xml:space="preserve">clinical claim </w:t>
      </w:r>
      <w:r w:rsidR="0007662D">
        <w:t xml:space="preserve">may be </w:t>
      </w:r>
      <w:r w:rsidR="00ED5014">
        <w:t>reasonable b</w:t>
      </w:r>
      <w:r w:rsidR="00576527">
        <w:t>ased on a prelim</w:t>
      </w:r>
      <w:r w:rsidR="00906C53">
        <w:t xml:space="preserve">inary assessment of the supporting evidence </w:t>
      </w:r>
      <w:r w:rsidR="00C5529B">
        <w:t>provided</w:t>
      </w:r>
      <w:r w:rsidR="009B6EED">
        <w:t xml:space="preserve"> </w:t>
      </w:r>
      <w:r w:rsidR="00423767">
        <w:t xml:space="preserve">within the Application Form </w:t>
      </w:r>
      <w:r w:rsidR="00DB324B">
        <w:t xml:space="preserve">or </w:t>
      </w:r>
      <w:r w:rsidR="00921B08">
        <w:t xml:space="preserve">identified </w:t>
      </w:r>
      <w:r w:rsidR="00DB324B">
        <w:t xml:space="preserve">during </w:t>
      </w:r>
      <w:r w:rsidR="00423767">
        <w:t xml:space="preserve">a </w:t>
      </w:r>
      <w:r w:rsidR="007E77A4">
        <w:t xml:space="preserve">rapid review of the literature undertaken </w:t>
      </w:r>
      <w:r w:rsidR="00921B08">
        <w:t xml:space="preserve">during the </w:t>
      </w:r>
      <w:r w:rsidR="007E77A4">
        <w:t>develop</w:t>
      </w:r>
      <w:r w:rsidR="00921B08">
        <w:t xml:space="preserve">ment of </w:t>
      </w:r>
      <w:r w:rsidR="007E77A4">
        <w:t>th</w:t>
      </w:r>
      <w:r w:rsidR="00DB324B">
        <w:t xml:space="preserve">e </w:t>
      </w:r>
      <w:r w:rsidR="007E77A4">
        <w:t>PICO Confirmation</w:t>
      </w:r>
      <w:r w:rsidR="00921B08">
        <w:t>.</w:t>
      </w:r>
      <w:r w:rsidR="002D7CCE">
        <w:t xml:space="preserve"> A summary of key outcomes relevant to an assessment of the clinical efficacy of EMR as well as the cost of EMR vs. surgical resection based on the results of Australian studies are provided in </w:t>
      </w:r>
      <w:r w:rsidR="002D7CCE">
        <w:fldChar w:fldCharType="begin"/>
      </w:r>
      <w:r w:rsidR="002D7CCE">
        <w:instrText xml:space="preserve"> REF _Ref3906799 \h </w:instrText>
      </w:r>
      <w:r w:rsidR="002D7CCE">
        <w:fldChar w:fldCharType="separate"/>
      </w:r>
      <w:r w:rsidR="00853DB3">
        <w:t xml:space="preserve">Table </w:t>
      </w:r>
      <w:r w:rsidR="00853DB3">
        <w:rPr>
          <w:noProof/>
        </w:rPr>
        <w:t>5</w:t>
      </w:r>
      <w:r w:rsidR="002D7CCE">
        <w:fldChar w:fldCharType="end"/>
      </w:r>
      <w:r w:rsidR="002D7CCE">
        <w:t xml:space="preserve"> and </w:t>
      </w:r>
      <w:r w:rsidR="002D7CCE">
        <w:fldChar w:fldCharType="begin"/>
      </w:r>
      <w:r w:rsidR="002D7CCE">
        <w:instrText xml:space="preserve"> REF _Ref3906813 \h </w:instrText>
      </w:r>
      <w:r w:rsidR="002D7CCE">
        <w:fldChar w:fldCharType="separate"/>
      </w:r>
      <w:r w:rsidR="00853DB3">
        <w:t xml:space="preserve">Table </w:t>
      </w:r>
      <w:r w:rsidR="00853DB3">
        <w:rPr>
          <w:noProof/>
        </w:rPr>
        <w:t>6</w:t>
      </w:r>
      <w:r w:rsidR="002D7CCE">
        <w:fldChar w:fldCharType="end"/>
      </w:r>
      <w:r w:rsidR="002D7CCE">
        <w:t xml:space="preserve">. It should be noted that these results are not intended to be representative of the totality of the evidence for EMR </w:t>
      </w:r>
      <w:r w:rsidR="009179D6">
        <w:t xml:space="preserve">presented in </w:t>
      </w:r>
      <w:r w:rsidR="002D7CCE">
        <w:t>the final MSAC Assessment Report.</w:t>
      </w:r>
    </w:p>
    <w:p w14:paraId="7E0C04DA" w14:textId="01D31B48" w:rsidR="002D7CCE" w:rsidRDefault="002D7CCE" w:rsidP="009179D6">
      <w:pPr>
        <w:pStyle w:val="Caption"/>
        <w:keepLines/>
      </w:pPr>
      <w:bookmarkStart w:id="9" w:name="_Ref3906799"/>
      <w:r>
        <w:lastRenderedPageBreak/>
        <w:t xml:space="preserve">Table </w:t>
      </w:r>
      <w:r>
        <w:fldChar w:fldCharType="begin"/>
      </w:r>
      <w:r>
        <w:instrText xml:space="preserve"> SEQ Table \* ARABIC </w:instrText>
      </w:r>
      <w:r>
        <w:fldChar w:fldCharType="separate"/>
      </w:r>
      <w:r w:rsidR="00853DB3">
        <w:rPr>
          <w:noProof/>
        </w:rPr>
        <w:t>5</w:t>
      </w:r>
      <w:r>
        <w:fldChar w:fldCharType="end"/>
      </w:r>
      <w:bookmarkEnd w:id="9"/>
      <w:r>
        <w:t>: Summary of EMR efficacy</w:t>
      </w:r>
    </w:p>
    <w:tbl>
      <w:tblPr>
        <w:tblStyle w:val="TableGrid"/>
        <w:tblW w:w="5000" w:type="pct"/>
        <w:tblLook w:val="04A0" w:firstRow="1" w:lastRow="0" w:firstColumn="1" w:lastColumn="0" w:noHBand="0" w:noVBand="1"/>
        <w:tblCaption w:val="Table summarising EMR efficacy"/>
      </w:tblPr>
      <w:tblGrid>
        <w:gridCol w:w="4508"/>
        <w:gridCol w:w="4508"/>
      </w:tblGrid>
      <w:tr w:rsidR="002D7CCE" w14:paraId="7BFE6AA3" w14:textId="77777777" w:rsidTr="0069370F">
        <w:trPr>
          <w:tblHeader/>
        </w:trPr>
        <w:tc>
          <w:tcPr>
            <w:tcW w:w="2500" w:type="pct"/>
          </w:tcPr>
          <w:p w14:paraId="2E232611" w14:textId="77777777" w:rsidR="002D7CCE" w:rsidRPr="00A36248" w:rsidRDefault="002D7CCE" w:rsidP="009179D6">
            <w:pPr>
              <w:keepNext/>
              <w:keepLines/>
              <w:rPr>
                <w:b/>
                <w:lang w:val="en-GB" w:eastAsia="ja-JP"/>
              </w:rPr>
            </w:pPr>
            <w:r w:rsidRPr="00A36248">
              <w:rPr>
                <w:b/>
                <w:lang w:val="en-GB" w:eastAsia="ja-JP"/>
              </w:rPr>
              <w:t>Variable</w:t>
            </w:r>
          </w:p>
        </w:tc>
        <w:tc>
          <w:tcPr>
            <w:tcW w:w="2500" w:type="pct"/>
          </w:tcPr>
          <w:p w14:paraId="3F2B523B" w14:textId="77777777" w:rsidR="002D7CCE" w:rsidRPr="00A36248" w:rsidRDefault="002D7CCE" w:rsidP="009179D6">
            <w:pPr>
              <w:keepNext/>
              <w:keepLines/>
              <w:rPr>
                <w:b/>
                <w:lang w:val="en-GB" w:eastAsia="ja-JP"/>
              </w:rPr>
            </w:pPr>
            <w:r w:rsidRPr="00A36248">
              <w:rPr>
                <w:b/>
                <w:lang w:val="en-GB" w:eastAsia="ja-JP"/>
              </w:rPr>
              <w:t>Patients: 1134</w:t>
            </w:r>
          </w:p>
        </w:tc>
      </w:tr>
      <w:tr w:rsidR="002D7CCE" w14:paraId="18F8C6F5" w14:textId="77777777" w:rsidTr="004644E6">
        <w:tc>
          <w:tcPr>
            <w:tcW w:w="2500" w:type="pct"/>
          </w:tcPr>
          <w:p w14:paraId="6A4DDACF" w14:textId="77777777" w:rsidR="002D7CCE" w:rsidRDefault="002D7CCE" w:rsidP="009179D6">
            <w:pPr>
              <w:keepNext/>
              <w:keepLines/>
              <w:rPr>
                <w:lang w:val="en-GB" w:eastAsia="ja-JP"/>
              </w:rPr>
            </w:pPr>
            <w:r>
              <w:rPr>
                <w:lang w:val="en-GB" w:eastAsia="ja-JP"/>
              </w:rPr>
              <w:t>Age (years), Mean</w:t>
            </w:r>
          </w:p>
        </w:tc>
        <w:tc>
          <w:tcPr>
            <w:tcW w:w="2500" w:type="pct"/>
          </w:tcPr>
          <w:p w14:paraId="47D0311B" w14:textId="77777777" w:rsidR="002D7CCE" w:rsidRDefault="002D7CCE" w:rsidP="009179D6">
            <w:pPr>
              <w:keepNext/>
              <w:keepLines/>
              <w:rPr>
                <w:lang w:val="en-GB" w:eastAsia="ja-JP"/>
              </w:rPr>
            </w:pPr>
            <w:r>
              <w:rPr>
                <w:lang w:val="en-GB" w:eastAsia="ja-JP"/>
              </w:rPr>
              <w:t>67</w:t>
            </w:r>
          </w:p>
        </w:tc>
      </w:tr>
      <w:tr w:rsidR="002D7CCE" w14:paraId="23354FCB" w14:textId="77777777" w:rsidTr="004644E6">
        <w:tc>
          <w:tcPr>
            <w:tcW w:w="2500" w:type="pct"/>
          </w:tcPr>
          <w:p w14:paraId="1AF558EF" w14:textId="77777777" w:rsidR="002D7CCE" w:rsidRDefault="002D7CCE" w:rsidP="009179D6">
            <w:pPr>
              <w:keepNext/>
              <w:keepLines/>
              <w:rPr>
                <w:lang w:val="en-GB" w:eastAsia="ja-JP"/>
              </w:rPr>
            </w:pPr>
            <w:r>
              <w:rPr>
                <w:lang w:val="en-GB" w:eastAsia="ja-JP"/>
              </w:rPr>
              <w:t xml:space="preserve">Lesion size, Mean </w:t>
            </w:r>
            <w:r>
              <w:rPr>
                <w:rFonts w:cs="Calibri"/>
                <w:lang w:val="en-GB" w:eastAsia="ja-JP"/>
              </w:rPr>
              <w:t>±</w:t>
            </w:r>
            <w:r>
              <w:rPr>
                <w:lang w:val="en-GB" w:eastAsia="ja-JP"/>
              </w:rPr>
              <w:t>SD</w:t>
            </w:r>
          </w:p>
        </w:tc>
        <w:tc>
          <w:tcPr>
            <w:tcW w:w="2500" w:type="pct"/>
          </w:tcPr>
          <w:p w14:paraId="51617794" w14:textId="77777777" w:rsidR="002D7CCE" w:rsidRDefault="002D7CCE" w:rsidP="009179D6">
            <w:pPr>
              <w:keepNext/>
              <w:keepLines/>
              <w:rPr>
                <w:lang w:val="en-GB" w:eastAsia="ja-JP"/>
              </w:rPr>
            </w:pPr>
            <w:r>
              <w:rPr>
                <w:lang w:val="en-GB" w:eastAsia="ja-JP"/>
              </w:rPr>
              <w:t xml:space="preserve">36.4 mm </w:t>
            </w:r>
            <w:r>
              <w:rPr>
                <w:rFonts w:cs="Calibri"/>
                <w:lang w:val="en-GB" w:eastAsia="ja-JP"/>
              </w:rPr>
              <w:t>±</w:t>
            </w:r>
            <w:r>
              <w:rPr>
                <w:lang w:val="en-GB" w:eastAsia="ja-JP"/>
              </w:rPr>
              <w:t>17 mm</w:t>
            </w:r>
          </w:p>
        </w:tc>
      </w:tr>
      <w:tr w:rsidR="002D7CCE" w14:paraId="1078C451" w14:textId="77777777" w:rsidTr="004644E6">
        <w:tc>
          <w:tcPr>
            <w:tcW w:w="2500" w:type="pct"/>
          </w:tcPr>
          <w:p w14:paraId="4F42EF38" w14:textId="01C93D5D" w:rsidR="002D7CCE" w:rsidRDefault="002D7CCE" w:rsidP="009179D6">
            <w:pPr>
              <w:keepNext/>
              <w:keepLines/>
              <w:rPr>
                <w:lang w:val="en-GB" w:eastAsia="ja-JP"/>
              </w:rPr>
            </w:pPr>
            <w:r>
              <w:rPr>
                <w:lang w:val="en-GB" w:eastAsia="ja-JP"/>
              </w:rPr>
              <w:t>EMR attempted</w:t>
            </w:r>
            <w:r w:rsidR="009B5794">
              <w:rPr>
                <w:lang w:val="en-GB" w:eastAsia="ja-JP"/>
              </w:rPr>
              <w:t>, N</w:t>
            </w:r>
          </w:p>
        </w:tc>
        <w:tc>
          <w:tcPr>
            <w:tcW w:w="2500" w:type="pct"/>
          </w:tcPr>
          <w:p w14:paraId="55E01454" w14:textId="022AD2E8" w:rsidR="002D7CCE" w:rsidRDefault="0096324C" w:rsidP="009179D6">
            <w:pPr>
              <w:keepNext/>
              <w:keepLines/>
              <w:rPr>
                <w:lang w:val="en-GB" w:eastAsia="ja-JP"/>
              </w:rPr>
            </w:pPr>
            <w:r>
              <w:rPr>
                <w:lang w:val="en-GB" w:eastAsia="ja-JP"/>
              </w:rPr>
              <w:t>96.6</w:t>
            </w:r>
            <w:r w:rsidR="004A6E1B">
              <w:rPr>
                <w:lang w:val="en-GB" w:eastAsia="ja-JP"/>
              </w:rPr>
              <w:t>% (</w:t>
            </w:r>
            <w:r w:rsidR="002D7CCE">
              <w:rPr>
                <w:lang w:val="en-GB" w:eastAsia="ja-JP"/>
              </w:rPr>
              <w:t>1095</w:t>
            </w:r>
            <w:r w:rsidR="004A6E1B">
              <w:rPr>
                <w:lang w:val="en-GB" w:eastAsia="ja-JP"/>
              </w:rPr>
              <w:t>/1134 patients enrolled)</w:t>
            </w:r>
          </w:p>
        </w:tc>
      </w:tr>
      <w:tr w:rsidR="002D7CCE" w14:paraId="1EEF9492" w14:textId="77777777" w:rsidTr="004644E6">
        <w:tc>
          <w:tcPr>
            <w:tcW w:w="2500" w:type="pct"/>
          </w:tcPr>
          <w:p w14:paraId="04101D30" w14:textId="77777777" w:rsidR="002D7CCE" w:rsidRDefault="002D7CCE" w:rsidP="009179D6">
            <w:pPr>
              <w:keepNext/>
              <w:keepLines/>
              <w:rPr>
                <w:lang w:val="en-GB" w:eastAsia="ja-JP"/>
              </w:rPr>
            </w:pPr>
            <w:r>
              <w:rPr>
                <w:lang w:val="en-GB" w:eastAsia="ja-JP"/>
              </w:rPr>
              <w:t>Technical success rate</w:t>
            </w:r>
          </w:p>
        </w:tc>
        <w:tc>
          <w:tcPr>
            <w:tcW w:w="2500" w:type="pct"/>
          </w:tcPr>
          <w:p w14:paraId="793C7208" w14:textId="77777777" w:rsidR="002D7CCE" w:rsidRDefault="002D7CCE" w:rsidP="009179D6">
            <w:pPr>
              <w:keepNext/>
              <w:keepLines/>
              <w:rPr>
                <w:lang w:val="en-GB" w:eastAsia="ja-JP"/>
              </w:rPr>
            </w:pPr>
            <w:r>
              <w:rPr>
                <w:lang w:val="en-GB" w:eastAsia="ja-JP"/>
              </w:rPr>
              <w:t>91.3% (1000/1095 patients with EMR attempted)</w:t>
            </w:r>
          </w:p>
        </w:tc>
      </w:tr>
      <w:tr w:rsidR="002D7CCE" w14:paraId="67F7DFEC" w14:textId="77777777" w:rsidTr="004644E6">
        <w:tc>
          <w:tcPr>
            <w:tcW w:w="2500" w:type="pct"/>
          </w:tcPr>
          <w:p w14:paraId="68235BA9" w14:textId="77777777" w:rsidR="002D7CCE" w:rsidRDefault="002D7CCE" w:rsidP="009179D6">
            <w:pPr>
              <w:keepNext/>
              <w:keepLines/>
              <w:rPr>
                <w:rFonts w:cs="Calibri"/>
                <w:lang w:val="en-GB" w:eastAsia="ja-JP"/>
              </w:rPr>
            </w:pPr>
            <w:r>
              <w:rPr>
                <w:lang w:val="en-GB" w:eastAsia="ja-JP"/>
              </w:rPr>
              <w:t>Patients with outcome data from surveillance colonoscopy at 4-6 months (SC1)</w:t>
            </w:r>
          </w:p>
        </w:tc>
        <w:tc>
          <w:tcPr>
            <w:tcW w:w="2500" w:type="pct"/>
          </w:tcPr>
          <w:p w14:paraId="2F804C32" w14:textId="77777777" w:rsidR="002D7CCE" w:rsidRDefault="002D7CCE" w:rsidP="009179D6">
            <w:pPr>
              <w:keepNext/>
              <w:keepLines/>
              <w:rPr>
                <w:lang w:val="en-GB" w:eastAsia="ja-JP"/>
              </w:rPr>
            </w:pPr>
            <w:r>
              <w:rPr>
                <w:lang w:val="en-GB" w:eastAsia="ja-JP"/>
              </w:rPr>
              <w:t>79.9% (799/1000 patients with successful EMR)</w:t>
            </w:r>
          </w:p>
        </w:tc>
      </w:tr>
      <w:tr w:rsidR="002D7CCE" w14:paraId="4994D147" w14:textId="77777777" w:rsidTr="004644E6">
        <w:tc>
          <w:tcPr>
            <w:tcW w:w="2500" w:type="pct"/>
          </w:tcPr>
          <w:p w14:paraId="2B563EB2" w14:textId="77777777" w:rsidR="002D7CCE" w:rsidRDefault="002D7CCE" w:rsidP="009179D6">
            <w:pPr>
              <w:keepNext/>
              <w:keepLines/>
              <w:rPr>
                <w:lang w:val="en-GB" w:eastAsia="ja-JP"/>
              </w:rPr>
            </w:pPr>
            <w:r>
              <w:rPr>
                <w:lang w:val="en-GB" w:eastAsia="ja-JP"/>
              </w:rPr>
              <w:t>Patients with no residual/recurrent adenoma present at SC1</w:t>
            </w:r>
          </w:p>
        </w:tc>
        <w:tc>
          <w:tcPr>
            <w:tcW w:w="2500" w:type="pct"/>
          </w:tcPr>
          <w:p w14:paraId="26B003F7" w14:textId="77777777" w:rsidR="002D7CCE" w:rsidRDefault="002D7CCE" w:rsidP="009179D6">
            <w:pPr>
              <w:keepNext/>
              <w:keepLines/>
              <w:rPr>
                <w:lang w:val="en-GB" w:eastAsia="ja-JP"/>
              </w:rPr>
            </w:pPr>
            <w:r>
              <w:rPr>
                <w:lang w:val="en-GB" w:eastAsia="ja-JP"/>
              </w:rPr>
              <w:t>83.9% (670/799 patients with SC1 outcome data)</w:t>
            </w:r>
          </w:p>
        </w:tc>
      </w:tr>
      <w:tr w:rsidR="002D7CCE" w14:paraId="0016831A" w14:textId="77777777" w:rsidTr="004644E6">
        <w:tc>
          <w:tcPr>
            <w:tcW w:w="2500" w:type="pct"/>
          </w:tcPr>
          <w:p w14:paraId="6D2D739F" w14:textId="77777777" w:rsidR="002D7CCE" w:rsidRDefault="002D7CCE" w:rsidP="009179D6">
            <w:pPr>
              <w:keepNext/>
              <w:keepLines/>
              <w:rPr>
                <w:lang w:val="en-GB" w:eastAsia="ja-JP"/>
              </w:rPr>
            </w:pPr>
            <w:r>
              <w:rPr>
                <w:lang w:val="en-GB" w:eastAsia="ja-JP"/>
              </w:rPr>
              <w:t>Patients with outcome data from surveillance colonoscopy at 16 months (SC2)</w:t>
            </w:r>
          </w:p>
        </w:tc>
        <w:tc>
          <w:tcPr>
            <w:tcW w:w="2500" w:type="pct"/>
          </w:tcPr>
          <w:p w14:paraId="03B98B02" w14:textId="77777777" w:rsidR="002D7CCE" w:rsidRDefault="002D7CCE" w:rsidP="009179D6">
            <w:pPr>
              <w:keepNext/>
              <w:keepLines/>
              <w:rPr>
                <w:lang w:val="en-GB" w:eastAsia="ja-JP"/>
              </w:rPr>
            </w:pPr>
            <w:r>
              <w:rPr>
                <w:lang w:val="en-GB" w:eastAsia="ja-JP"/>
              </w:rPr>
              <w:t>69.5% (510/799 patients with outcome data from SC1)</w:t>
            </w:r>
          </w:p>
        </w:tc>
      </w:tr>
      <w:tr w:rsidR="002D7CCE" w14:paraId="5D5AAFDF" w14:textId="77777777" w:rsidTr="004644E6">
        <w:tc>
          <w:tcPr>
            <w:tcW w:w="2500" w:type="pct"/>
          </w:tcPr>
          <w:p w14:paraId="7AB038D6" w14:textId="77777777" w:rsidR="002D7CCE" w:rsidRDefault="002D7CCE" w:rsidP="009179D6">
            <w:pPr>
              <w:keepNext/>
              <w:keepLines/>
              <w:rPr>
                <w:lang w:val="en-GB" w:eastAsia="ja-JP"/>
              </w:rPr>
            </w:pPr>
            <w:r>
              <w:rPr>
                <w:lang w:val="en-GB" w:eastAsia="ja-JP"/>
              </w:rPr>
              <w:t>Patients with no residual/recurrent adenoma present at SC2</w:t>
            </w:r>
          </w:p>
        </w:tc>
        <w:tc>
          <w:tcPr>
            <w:tcW w:w="2500" w:type="pct"/>
          </w:tcPr>
          <w:p w14:paraId="55815304" w14:textId="77777777" w:rsidR="002D7CCE" w:rsidRDefault="002D7CCE" w:rsidP="009179D6">
            <w:pPr>
              <w:keepNext/>
              <w:keepLines/>
              <w:rPr>
                <w:lang w:val="en-GB" w:eastAsia="ja-JP"/>
              </w:rPr>
            </w:pPr>
            <w:r>
              <w:rPr>
                <w:lang w:val="en-GB" w:eastAsia="ja-JP"/>
              </w:rPr>
              <w:t>93.3% (476/510 patients with SC1 and SC2 outcome data)</w:t>
            </w:r>
          </w:p>
        </w:tc>
      </w:tr>
    </w:tbl>
    <w:p w14:paraId="7B19DBAB" w14:textId="6CDEAEFF" w:rsidR="002D7CCE" w:rsidRPr="00344ED4" w:rsidRDefault="000042B0" w:rsidP="002D7CCE">
      <w:pPr>
        <w:rPr>
          <w:sz w:val="18"/>
          <w:szCs w:val="18"/>
          <w:lang w:val="en-GB" w:eastAsia="ja-JP"/>
        </w:rPr>
      </w:pPr>
      <w:r w:rsidRPr="00344ED4">
        <w:rPr>
          <w:sz w:val="18"/>
          <w:szCs w:val="18"/>
          <w:lang w:val="en-GB" w:eastAsia="ja-JP"/>
        </w:rPr>
        <w:t>Source: Moss et al 2015</w:t>
      </w:r>
    </w:p>
    <w:p w14:paraId="2A0D3146" w14:textId="1AD570A4" w:rsidR="002D7CCE" w:rsidRDefault="002D7CCE" w:rsidP="002D7CCE">
      <w:pPr>
        <w:pStyle w:val="Caption"/>
      </w:pPr>
      <w:bookmarkStart w:id="10" w:name="_Ref3906813"/>
      <w:r>
        <w:t xml:space="preserve">Table </w:t>
      </w:r>
      <w:r>
        <w:fldChar w:fldCharType="begin"/>
      </w:r>
      <w:r>
        <w:instrText xml:space="preserve"> SEQ Table \* ARABIC </w:instrText>
      </w:r>
      <w:r>
        <w:fldChar w:fldCharType="separate"/>
      </w:r>
      <w:r w:rsidR="00853DB3">
        <w:rPr>
          <w:noProof/>
        </w:rPr>
        <w:t>6</w:t>
      </w:r>
      <w:r>
        <w:fldChar w:fldCharType="end"/>
      </w:r>
      <w:bookmarkEnd w:id="10"/>
      <w:r>
        <w:t>: Summary of costs of EMR vs. surgical resection</w:t>
      </w:r>
    </w:p>
    <w:tbl>
      <w:tblPr>
        <w:tblStyle w:val="TableGrid"/>
        <w:tblW w:w="5000" w:type="pct"/>
        <w:tblLook w:val="04A0" w:firstRow="1" w:lastRow="0" w:firstColumn="1" w:lastColumn="0" w:noHBand="0" w:noVBand="1"/>
        <w:tblCaption w:val="Table summarising costs of EMR vs. surgical resection"/>
      </w:tblPr>
      <w:tblGrid>
        <w:gridCol w:w="2252"/>
        <w:gridCol w:w="2256"/>
        <w:gridCol w:w="2254"/>
        <w:gridCol w:w="2254"/>
      </w:tblGrid>
      <w:tr w:rsidR="002D7CCE" w14:paraId="18BF5BC9" w14:textId="77777777" w:rsidTr="0069370F">
        <w:trPr>
          <w:tblHeader/>
        </w:trPr>
        <w:tc>
          <w:tcPr>
            <w:tcW w:w="1249" w:type="pct"/>
          </w:tcPr>
          <w:p w14:paraId="57281189" w14:textId="77777777" w:rsidR="002D7CCE" w:rsidRPr="00A36248" w:rsidRDefault="002D7CCE" w:rsidP="004644E6">
            <w:pPr>
              <w:keepNext/>
              <w:keepLines/>
              <w:rPr>
                <w:b/>
                <w:lang w:val="en-GB" w:eastAsia="ja-JP"/>
              </w:rPr>
            </w:pPr>
            <w:r w:rsidRPr="00A36248">
              <w:rPr>
                <w:b/>
                <w:lang w:val="en-GB" w:eastAsia="ja-JP"/>
              </w:rPr>
              <w:t>Variable</w:t>
            </w:r>
          </w:p>
        </w:tc>
        <w:tc>
          <w:tcPr>
            <w:tcW w:w="1251" w:type="pct"/>
          </w:tcPr>
          <w:p w14:paraId="37359D12" w14:textId="77777777" w:rsidR="002D7CCE" w:rsidRPr="00A36248" w:rsidRDefault="002D7CCE" w:rsidP="004644E6">
            <w:pPr>
              <w:keepNext/>
              <w:keepLines/>
              <w:rPr>
                <w:b/>
                <w:lang w:val="en-GB" w:eastAsia="ja-JP"/>
              </w:rPr>
            </w:pPr>
            <w:r w:rsidRPr="00A36248">
              <w:rPr>
                <w:b/>
                <w:lang w:val="en-GB" w:eastAsia="ja-JP"/>
              </w:rPr>
              <w:t>EMR</w:t>
            </w:r>
          </w:p>
        </w:tc>
        <w:tc>
          <w:tcPr>
            <w:tcW w:w="1250" w:type="pct"/>
          </w:tcPr>
          <w:p w14:paraId="1ED78F63" w14:textId="77777777" w:rsidR="002D7CCE" w:rsidRPr="00A36248" w:rsidRDefault="002D7CCE" w:rsidP="004644E6">
            <w:pPr>
              <w:keepNext/>
              <w:keepLines/>
              <w:rPr>
                <w:b/>
                <w:lang w:val="en-GB" w:eastAsia="ja-JP"/>
              </w:rPr>
            </w:pPr>
            <w:r w:rsidRPr="00A36248">
              <w:rPr>
                <w:b/>
                <w:lang w:val="en-GB" w:eastAsia="ja-JP"/>
              </w:rPr>
              <w:t>Surgical Resection</w:t>
            </w:r>
          </w:p>
        </w:tc>
        <w:tc>
          <w:tcPr>
            <w:tcW w:w="1250" w:type="pct"/>
          </w:tcPr>
          <w:p w14:paraId="4EA48641" w14:textId="77777777" w:rsidR="002D7CCE" w:rsidRPr="00A36248" w:rsidRDefault="002D7CCE" w:rsidP="004644E6">
            <w:pPr>
              <w:keepNext/>
              <w:keepLines/>
              <w:rPr>
                <w:b/>
                <w:lang w:val="en-GB" w:eastAsia="ja-JP"/>
              </w:rPr>
            </w:pPr>
            <w:r w:rsidRPr="00A36248">
              <w:rPr>
                <w:b/>
                <w:lang w:val="en-GB" w:eastAsia="ja-JP"/>
              </w:rPr>
              <w:t>Increment (EMR-Surgical Resection)</w:t>
            </w:r>
          </w:p>
        </w:tc>
      </w:tr>
      <w:tr w:rsidR="002D7CCE" w14:paraId="2F7A3AAF" w14:textId="77777777" w:rsidTr="004644E6">
        <w:tc>
          <w:tcPr>
            <w:tcW w:w="1249" w:type="pct"/>
          </w:tcPr>
          <w:p w14:paraId="0030DE47" w14:textId="77777777" w:rsidR="002D7CCE" w:rsidRPr="001138CC" w:rsidRDefault="002D7CCE" w:rsidP="004644E6">
            <w:pPr>
              <w:keepNext/>
              <w:keepLines/>
              <w:rPr>
                <w:lang w:val="en-GB" w:eastAsia="ja-JP"/>
              </w:rPr>
            </w:pPr>
            <w:r w:rsidRPr="001138CC">
              <w:rPr>
                <w:lang w:val="en-GB" w:eastAsia="ja-JP"/>
              </w:rPr>
              <w:t>Total cost per patient, Mean</w:t>
            </w:r>
          </w:p>
        </w:tc>
        <w:tc>
          <w:tcPr>
            <w:tcW w:w="1251" w:type="pct"/>
          </w:tcPr>
          <w:p w14:paraId="6DCBFC5E" w14:textId="77777777" w:rsidR="002D7CCE" w:rsidRPr="001138CC" w:rsidRDefault="002D7CCE" w:rsidP="004644E6">
            <w:pPr>
              <w:keepNext/>
              <w:keepLines/>
              <w:rPr>
                <w:lang w:val="en-GB" w:eastAsia="ja-JP"/>
              </w:rPr>
            </w:pPr>
            <w:r w:rsidRPr="001138CC">
              <w:rPr>
                <w:lang w:val="en-GB" w:eastAsia="ja-JP"/>
              </w:rPr>
              <w:t>$5428</w:t>
            </w:r>
          </w:p>
        </w:tc>
        <w:tc>
          <w:tcPr>
            <w:tcW w:w="1250" w:type="pct"/>
          </w:tcPr>
          <w:p w14:paraId="459D934B" w14:textId="77777777" w:rsidR="002D7CCE" w:rsidRPr="001138CC" w:rsidRDefault="002D7CCE" w:rsidP="004644E6">
            <w:pPr>
              <w:keepNext/>
              <w:keepLines/>
              <w:rPr>
                <w:lang w:val="en-GB" w:eastAsia="ja-JP"/>
              </w:rPr>
            </w:pPr>
            <w:r w:rsidRPr="001138CC">
              <w:rPr>
                <w:lang w:val="en-GB" w:eastAsia="ja-JP"/>
              </w:rPr>
              <w:t>$14268</w:t>
            </w:r>
          </w:p>
        </w:tc>
        <w:tc>
          <w:tcPr>
            <w:tcW w:w="1250" w:type="pct"/>
          </w:tcPr>
          <w:p w14:paraId="492870BF" w14:textId="77777777" w:rsidR="002D7CCE" w:rsidRPr="001138CC" w:rsidRDefault="002D7CCE" w:rsidP="004644E6">
            <w:pPr>
              <w:keepNext/>
              <w:keepLines/>
              <w:rPr>
                <w:lang w:val="en-GB" w:eastAsia="ja-JP"/>
              </w:rPr>
            </w:pPr>
            <w:r w:rsidRPr="001138CC">
              <w:rPr>
                <w:lang w:val="en-GB" w:eastAsia="ja-JP"/>
              </w:rPr>
              <w:t>-$8840</w:t>
            </w:r>
          </w:p>
        </w:tc>
      </w:tr>
      <w:tr w:rsidR="002D7CCE" w14:paraId="08C670B0" w14:textId="77777777" w:rsidTr="004644E6">
        <w:tc>
          <w:tcPr>
            <w:tcW w:w="1249" w:type="pct"/>
          </w:tcPr>
          <w:p w14:paraId="7F2A299B" w14:textId="14DB56DF" w:rsidR="002D7CCE" w:rsidRPr="001138CC" w:rsidRDefault="002D7CCE" w:rsidP="004644E6">
            <w:pPr>
              <w:keepNext/>
              <w:keepLines/>
              <w:rPr>
                <w:lang w:val="en-GB" w:eastAsia="ja-JP"/>
              </w:rPr>
            </w:pPr>
            <w:r w:rsidRPr="001138CC">
              <w:rPr>
                <w:lang w:val="en-GB" w:eastAsia="ja-JP"/>
              </w:rPr>
              <w:t xml:space="preserve">Inpatient length of stay (days), </w:t>
            </w:r>
            <w:r w:rsidR="00A61DF0">
              <w:rPr>
                <w:lang w:val="en-GB" w:eastAsia="ja-JP"/>
              </w:rPr>
              <w:t>m</w:t>
            </w:r>
            <w:r w:rsidRPr="001138CC">
              <w:rPr>
                <w:lang w:val="en-GB" w:eastAsia="ja-JP"/>
              </w:rPr>
              <w:t>ean±SD</w:t>
            </w:r>
          </w:p>
        </w:tc>
        <w:tc>
          <w:tcPr>
            <w:tcW w:w="1251" w:type="pct"/>
          </w:tcPr>
          <w:p w14:paraId="0F8B1DF1" w14:textId="77777777" w:rsidR="002D7CCE" w:rsidRPr="001138CC" w:rsidRDefault="002D7CCE" w:rsidP="004644E6">
            <w:pPr>
              <w:keepNext/>
              <w:keepLines/>
              <w:rPr>
                <w:lang w:val="en-GB" w:eastAsia="ja-JP"/>
              </w:rPr>
            </w:pPr>
            <w:r w:rsidRPr="001138CC">
              <w:rPr>
                <w:lang w:val="en-GB" w:eastAsia="ja-JP"/>
              </w:rPr>
              <w:t>0.87±2.02</w:t>
            </w:r>
          </w:p>
        </w:tc>
        <w:tc>
          <w:tcPr>
            <w:tcW w:w="1250" w:type="pct"/>
          </w:tcPr>
          <w:p w14:paraId="67085920" w14:textId="77777777" w:rsidR="002D7CCE" w:rsidRPr="001138CC" w:rsidRDefault="002D7CCE" w:rsidP="004644E6">
            <w:pPr>
              <w:keepNext/>
              <w:keepLines/>
              <w:rPr>
                <w:lang w:val="en-GB" w:eastAsia="ja-JP"/>
              </w:rPr>
            </w:pPr>
            <w:r w:rsidRPr="001138CC">
              <w:rPr>
                <w:lang w:val="en-GB" w:eastAsia="ja-JP"/>
              </w:rPr>
              <w:t>3.69±1.21</w:t>
            </w:r>
          </w:p>
        </w:tc>
        <w:tc>
          <w:tcPr>
            <w:tcW w:w="1250" w:type="pct"/>
          </w:tcPr>
          <w:p w14:paraId="465011C4" w14:textId="77777777" w:rsidR="002D7CCE" w:rsidRPr="001138CC" w:rsidRDefault="002D7CCE" w:rsidP="004644E6">
            <w:pPr>
              <w:keepNext/>
              <w:keepLines/>
              <w:rPr>
                <w:lang w:val="en-GB" w:eastAsia="ja-JP"/>
              </w:rPr>
            </w:pPr>
            <w:r w:rsidRPr="001138CC">
              <w:rPr>
                <w:lang w:val="en-GB" w:eastAsia="ja-JP"/>
              </w:rPr>
              <w:t>-2.82</w:t>
            </w:r>
          </w:p>
        </w:tc>
      </w:tr>
    </w:tbl>
    <w:p w14:paraId="3FDDB34E" w14:textId="77777777" w:rsidR="002D7CCE" w:rsidRDefault="002D7CCE" w:rsidP="002D7CCE">
      <w:pPr>
        <w:pStyle w:val="Caption"/>
      </w:pPr>
      <w:r w:rsidRPr="00A75B63">
        <w:rPr>
          <w:rFonts w:ascii="Calibri" w:eastAsia="Calibri" w:hAnsi="Calibri" w:cs="Times New Roman"/>
          <w:b w:val="0"/>
          <w:sz w:val="18"/>
          <w:szCs w:val="18"/>
          <w:lang w:val="en-AU" w:eastAsia="en-US"/>
        </w:rPr>
        <w:t>S</w:t>
      </w:r>
      <w:r w:rsidRPr="001138CC">
        <w:rPr>
          <w:rFonts w:ascii="Calibri" w:eastAsia="Calibri" w:hAnsi="Calibri" w:cs="Times New Roman"/>
          <w:b w:val="0"/>
          <w:sz w:val="18"/>
          <w:szCs w:val="18"/>
          <w:lang w:val="en-AU" w:eastAsia="en-US"/>
        </w:rPr>
        <w:t>ource: p. 274 of Jayanna et al (2016)</w:t>
      </w:r>
    </w:p>
    <w:p w14:paraId="243B48F8" w14:textId="3033EE55" w:rsidR="007864A4" w:rsidRDefault="007864A4" w:rsidP="00B07C98">
      <w:pPr>
        <w:spacing w:after="0"/>
      </w:pPr>
    </w:p>
    <w:p w14:paraId="1E032BE7" w14:textId="474439AE" w:rsidR="0002423C" w:rsidRDefault="00D2258A" w:rsidP="0030421A">
      <w:r>
        <w:t>A</w:t>
      </w:r>
      <w:r w:rsidR="00513F79">
        <w:t>ny</w:t>
      </w:r>
      <w:r>
        <w:t xml:space="preserve"> claim of </w:t>
      </w:r>
      <w:r w:rsidR="00CE530C">
        <w:t xml:space="preserve">superiority of EMR </w:t>
      </w:r>
      <w:r w:rsidR="00CE530C" w:rsidRPr="00A74065">
        <w:rPr>
          <w:i/>
        </w:rPr>
        <w:t>vs.</w:t>
      </w:r>
      <w:r w:rsidR="00CE530C">
        <w:t xml:space="preserve"> surgical resection</w:t>
      </w:r>
      <w:r>
        <w:t xml:space="preserve"> </w:t>
      </w:r>
      <w:r w:rsidR="00513F79">
        <w:t xml:space="preserve">is </w:t>
      </w:r>
      <w:r w:rsidR="006F606E">
        <w:t xml:space="preserve">likely to be </w:t>
      </w:r>
      <w:r w:rsidR="00A85A77">
        <w:t xml:space="preserve">more robustly </w:t>
      </w:r>
      <w:r w:rsidR="006F606E">
        <w:t>supported by shorter-term</w:t>
      </w:r>
      <w:r w:rsidR="00105589">
        <w:t xml:space="preserve"> </w:t>
      </w:r>
      <w:r w:rsidR="006C73B9">
        <w:t>outcomes such as length of hospital stay</w:t>
      </w:r>
      <w:r w:rsidR="001C2FCD">
        <w:t xml:space="preserve"> </w:t>
      </w:r>
      <w:r w:rsidR="00A85A77">
        <w:t>rather than longer-term outcomes such as recurrence rate</w:t>
      </w:r>
      <w:r w:rsidR="0025141C">
        <w:t>,</w:t>
      </w:r>
      <w:r w:rsidR="00A85A77">
        <w:t xml:space="preserve"> </w:t>
      </w:r>
      <w:r w:rsidR="0025141C">
        <w:t>lifetime cases of colorectal cancer avoided, or reduction in colorectal cancer</w:t>
      </w:r>
      <w:r w:rsidR="00C1024C">
        <w:t xml:space="preserve"> </w:t>
      </w:r>
      <w:r w:rsidR="00D55F2C">
        <w:t>mortality</w:t>
      </w:r>
      <w:r w:rsidR="00C1024C">
        <w:t>.</w:t>
      </w:r>
    </w:p>
    <w:p w14:paraId="65FECD39" w14:textId="1E7882EE" w:rsidR="00BF2DC1" w:rsidRDefault="00263E34" w:rsidP="0030421A">
      <w:r>
        <w:t>In consideration</w:t>
      </w:r>
      <w:r w:rsidR="00283F41">
        <w:t xml:space="preserve"> that the </w:t>
      </w:r>
      <w:r w:rsidR="001508F1">
        <w:t xml:space="preserve">assessment of </w:t>
      </w:r>
      <w:r w:rsidR="00D55F2C">
        <w:t>long</w:t>
      </w:r>
      <w:r w:rsidR="00105589">
        <w:t>er-</w:t>
      </w:r>
      <w:r w:rsidR="00D55F2C">
        <w:t xml:space="preserve">term </w:t>
      </w:r>
      <w:r w:rsidR="00E313E8">
        <w:t xml:space="preserve">outcomes </w:t>
      </w:r>
      <w:r w:rsidR="00283F41">
        <w:t>for</w:t>
      </w:r>
      <w:r w:rsidR="005A2E28">
        <w:t xml:space="preserve"> EMR </w:t>
      </w:r>
      <w:r w:rsidR="005A2E28" w:rsidRPr="00A74065">
        <w:rPr>
          <w:i/>
        </w:rPr>
        <w:t xml:space="preserve">vs. </w:t>
      </w:r>
      <w:r w:rsidR="005A2E28">
        <w:t xml:space="preserve">surgical resection </w:t>
      </w:r>
      <w:r w:rsidR="003E3A64">
        <w:t xml:space="preserve">would be based on </w:t>
      </w:r>
      <w:r w:rsidR="005A2E28">
        <w:t xml:space="preserve">an indirect comparison of </w:t>
      </w:r>
      <w:r w:rsidR="007376D3">
        <w:t>evidence from single</w:t>
      </w:r>
      <w:r w:rsidR="008C2E7E">
        <w:t>-</w:t>
      </w:r>
      <w:r w:rsidR="007376D3">
        <w:t xml:space="preserve">arm </w:t>
      </w:r>
      <w:r w:rsidR="00D64CBF">
        <w:t>studies or retrospective cohort studies</w:t>
      </w:r>
      <w:r w:rsidR="00902945">
        <w:t xml:space="preserve"> which </w:t>
      </w:r>
      <w:r w:rsidR="003E3A64">
        <w:t>were</w:t>
      </w:r>
      <w:r w:rsidR="00BF2DC1">
        <w:t xml:space="preserve"> not designed to </w:t>
      </w:r>
      <w:r w:rsidR="00902945">
        <w:t xml:space="preserve">capture </w:t>
      </w:r>
      <w:r w:rsidR="00AB08F5">
        <w:t xml:space="preserve">long-term </w:t>
      </w:r>
      <w:r w:rsidR="00BF2DC1">
        <w:t>recurrence rate</w:t>
      </w:r>
      <w:r w:rsidR="00AB08F5">
        <w:t>s</w:t>
      </w:r>
      <w:r w:rsidR="00BF2DC1">
        <w:t xml:space="preserve">, </w:t>
      </w:r>
      <w:r w:rsidR="003E6E9D">
        <w:t xml:space="preserve">the number of </w:t>
      </w:r>
      <w:r w:rsidR="00BF2DC1">
        <w:t xml:space="preserve">cases of colorectal cancer avoided, or </w:t>
      </w:r>
      <w:r w:rsidR="003E6E9D">
        <w:t xml:space="preserve">a </w:t>
      </w:r>
      <w:r w:rsidR="00BF2DC1">
        <w:t>reduction in colorectal cancer mortality</w:t>
      </w:r>
      <w:r w:rsidR="00FC4319">
        <w:t xml:space="preserve"> it may be reasonable to </w:t>
      </w:r>
      <w:r w:rsidR="00087B29">
        <w:t>claim that EMR is at least non-inferior to surgical resection with regards to longer-term clinical outcomes.</w:t>
      </w:r>
    </w:p>
    <w:p w14:paraId="216AFFB5" w14:textId="77777777" w:rsidR="009179D6" w:rsidRDefault="002E7060" w:rsidP="00B175B3">
      <w:r>
        <w:t xml:space="preserve">Based on </w:t>
      </w:r>
      <w:r w:rsidR="00BE6447">
        <w:t xml:space="preserve">the </w:t>
      </w:r>
      <w:r>
        <w:t xml:space="preserve">potential </w:t>
      </w:r>
      <w:r w:rsidR="00BE6447">
        <w:t xml:space="preserve">clinical </w:t>
      </w:r>
      <w:r>
        <w:t>claim</w:t>
      </w:r>
      <w:r w:rsidR="00BE6447">
        <w:t>s</w:t>
      </w:r>
      <w:r>
        <w:t xml:space="preserve"> of EMR being superior </w:t>
      </w:r>
      <w:r w:rsidR="00BE6447">
        <w:t>(sho</w:t>
      </w:r>
      <w:r w:rsidR="005345AE">
        <w:t>rter-term outcomes) and at least non-</w:t>
      </w:r>
      <w:r w:rsidR="00C80CF0">
        <w:t>in</w:t>
      </w:r>
      <w:r w:rsidR="005345AE">
        <w:t>ferio</w:t>
      </w:r>
      <w:r w:rsidR="00C80CF0">
        <w:t xml:space="preserve">r (longer-term outcomes) </w:t>
      </w:r>
      <w:r w:rsidR="00DA0CEA">
        <w:t>compared with surgical resection</w:t>
      </w:r>
      <w:r>
        <w:t xml:space="preserve">, </w:t>
      </w:r>
      <w:r w:rsidR="00E857B1" w:rsidRPr="00204437">
        <w:t>a</w:t>
      </w:r>
      <w:r w:rsidR="00E857B1">
        <w:t xml:space="preserve"> </w:t>
      </w:r>
      <w:r w:rsidR="00EA1A04">
        <w:t xml:space="preserve">cost-minimisation (CMA), </w:t>
      </w:r>
      <w:r w:rsidR="00B175B3">
        <w:t xml:space="preserve">cost-effectiveness analysis (CEA) or </w:t>
      </w:r>
      <w:r w:rsidR="00E857B1">
        <w:t>cost-utility analysis (CUA) would be an appropriate form of economic evaluation</w:t>
      </w:r>
      <w:r w:rsidR="00C10BCE">
        <w:t xml:space="preserve"> (</w:t>
      </w:r>
      <w:r w:rsidR="00EE2B33">
        <w:fldChar w:fldCharType="begin"/>
      </w:r>
      <w:r w:rsidR="00EE2B33">
        <w:instrText xml:space="preserve"> REF _Ref3193752 \h </w:instrText>
      </w:r>
      <w:r w:rsidR="00EE2B33">
        <w:fldChar w:fldCharType="separate"/>
      </w:r>
      <w:r w:rsidR="00853DB3">
        <w:t xml:space="preserve">Table </w:t>
      </w:r>
      <w:r w:rsidR="00853DB3">
        <w:rPr>
          <w:noProof/>
        </w:rPr>
        <w:t>7</w:t>
      </w:r>
      <w:r w:rsidR="00EE2B33">
        <w:fldChar w:fldCharType="end"/>
      </w:r>
      <w:r w:rsidR="00C10BCE">
        <w:t>)</w:t>
      </w:r>
      <w:r w:rsidR="00E857B1">
        <w:t>.</w:t>
      </w:r>
    </w:p>
    <w:p w14:paraId="20736173" w14:textId="3EA6D5F5" w:rsidR="00B175B3" w:rsidRDefault="00562005" w:rsidP="00B175B3">
      <w:r>
        <w:t>PASC confirmed that a cost-utility analysis would be the appropriate form of economic evaluation.</w:t>
      </w:r>
    </w:p>
    <w:p w14:paraId="6DC67753" w14:textId="4DD02479" w:rsidR="00E857B1" w:rsidRDefault="00E857B1" w:rsidP="00E37847">
      <w:pPr>
        <w:pStyle w:val="Caption"/>
        <w:keepLines/>
      </w:pPr>
      <w:bookmarkStart w:id="11" w:name="_Ref3193752"/>
      <w:r>
        <w:lastRenderedPageBreak/>
        <w:t xml:space="preserve">Table </w:t>
      </w:r>
      <w:r>
        <w:fldChar w:fldCharType="begin"/>
      </w:r>
      <w:r>
        <w:instrText xml:space="preserve"> SEQ Table \* ARABIC </w:instrText>
      </w:r>
      <w:r>
        <w:fldChar w:fldCharType="separate"/>
      </w:r>
      <w:r w:rsidR="00853DB3">
        <w:rPr>
          <w:noProof/>
        </w:rPr>
        <w:t>7</w:t>
      </w:r>
      <w:r>
        <w:fldChar w:fldCharType="end"/>
      </w:r>
      <w:bookmarkEnd w:id="11"/>
      <w:r>
        <w:t>: Classification of the clinical claims and guide to the suitable type of economic evaluation for MSAC assessment reports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780"/>
        <w:gridCol w:w="1780"/>
        <w:gridCol w:w="1780"/>
        <w:gridCol w:w="1778"/>
      </w:tblGrid>
      <w:tr w:rsidR="00E857B1" w:rsidRPr="001F40A0" w14:paraId="68C81D10" w14:textId="77777777" w:rsidTr="001F40A0">
        <w:tc>
          <w:tcPr>
            <w:tcW w:w="1053" w:type="pct"/>
            <w:vMerge w:val="restart"/>
            <w:shd w:val="clear" w:color="auto" w:fill="auto"/>
          </w:tcPr>
          <w:p w14:paraId="71DC8B48" w14:textId="77777777" w:rsidR="00E857B1" w:rsidRPr="001F40A0" w:rsidRDefault="00E857B1" w:rsidP="00E37847">
            <w:pPr>
              <w:keepNext/>
              <w:keepLines/>
              <w:spacing w:after="0" w:line="240" w:lineRule="auto"/>
              <w:rPr>
                <w:b/>
              </w:rPr>
            </w:pPr>
            <w:r w:rsidRPr="001F40A0">
              <w:rPr>
                <w:b/>
              </w:rPr>
              <w:t>Comparative safety</w:t>
            </w:r>
          </w:p>
        </w:tc>
        <w:tc>
          <w:tcPr>
            <w:tcW w:w="3947" w:type="pct"/>
            <w:gridSpan w:val="4"/>
            <w:shd w:val="clear" w:color="auto" w:fill="auto"/>
          </w:tcPr>
          <w:p w14:paraId="34D84B28" w14:textId="77777777" w:rsidR="00E857B1" w:rsidRPr="001F40A0" w:rsidRDefault="00E857B1" w:rsidP="00E37847">
            <w:pPr>
              <w:keepNext/>
              <w:keepLines/>
              <w:spacing w:after="0" w:line="240" w:lineRule="auto"/>
              <w:jc w:val="center"/>
              <w:rPr>
                <w:b/>
              </w:rPr>
            </w:pPr>
            <w:r w:rsidRPr="001F40A0">
              <w:rPr>
                <w:b/>
              </w:rPr>
              <w:t>Comparative effectiveness</w:t>
            </w:r>
          </w:p>
        </w:tc>
      </w:tr>
      <w:tr w:rsidR="00E857B1" w:rsidRPr="001F40A0" w14:paraId="5CDE8C43" w14:textId="77777777" w:rsidTr="00E7675E">
        <w:tc>
          <w:tcPr>
            <w:tcW w:w="1053" w:type="pct"/>
            <w:vMerge/>
            <w:shd w:val="clear" w:color="auto" w:fill="auto"/>
          </w:tcPr>
          <w:p w14:paraId="600FDF5A" w14:textId="77777777" w:rsidR="00E857B1" w:rsidRPr="001F40A0" w:rsidRDefault="00E857B1" w:rsidP="00E37847">
            <w:pPr>
              <w:keepNext/>
              <w:keepLines/>
              <w:spacing w:after="0" w:line="240" w:lineRule="auto"/>
              <w:rPr>
                <w:b/>
              </w:rPr>
            </w:pPr>
          </w:p>
        </w:tc>
        <w:tc>
          <w:tcPr>
            <w:tcW w:w="987" w:type="pct"/>
            <w:shd w:val="clear" w:color="auto" w:fill="auto"/>
          </w:tcPr>
          <w:p w14:paraId="5BF87927" w14:textId="77777777" w:rsidR="00E857B1" w:rsidRPr="001F40A0" w:rsidRDefault="00E857B1" w:rsidP="00E37847">
            <w:pPr>
              <w:keepNext/>
              <w:keepLines/>
              <w:spacing w:after="0" w:line="240" w:lineRule="auto"/>
              <w:rPr>
                <w:b/>
              </w:rPr>
            </w:pPr>
            <w:r w:rsidRPr="001F40A0">
              <w:rPr>
                <w:b/>
              </w:rPr>
              <w:t>Inferior</w:t>
            </w:r>
          </w:p>
        </w:tc>
        <w:tc>
          <w:tcPr>
            <w:tcW w:w="987" w:type="pct"/>
            <w:shd w:val="clear" w:color="auto" w:fill="auto"/>
          </w:tcPr>
          <w:p w14:paraId="664CB7DD" w14:textId="35674D27" w:rsidR="00E857B1" w:rsidRPr="001F40A0" w:rsidRDefault="00E857B1" w:rsidP="00E37847">
            <w:pPr>
              <w:keepNext/>
              <w:keepLines/>
              <w:spacing w:after="0" w:line="240" w:lineRule="auto"/>
              <w:rPr>
                <w:b/>
              </w:rPr>
            </w:pPr>
            <w:r w:rsidRPr="001F40A0">
              <w:rPr>
                <w:b/>
              </w:rPr>
              <w:t>Uncertain</w:t>
            </w:r>
            <w:r w:rsidRPr="001F40A0">
              <w:rPr>
                <w:b/>
                <w:vertAlign w:val="superscript"/>
              </w:rPr>
              <w:t>a</w:t>
            </w:r>
          </w:p>
        </w:tc>
        <w:tc>
          <w:tcPr>
            <w:tcW w:w="987" w:type="pct"/>
            <w:shd w:val="clear" w:color="auto" w:fill="auto"/>
          </w:tcPr>
          <w:p w14:paraId="28368C4D" w14:textId="1B1461A5" w:rsidR="00E857B1" w:rsidRPr="001F40A0" w:rsidRDefault="00E857B1" w:rsidP="00E37847">
            <w:pPr>
              <w:keepNext/>
              <w:keepLines/>
              <w:spacing w:after="0" w:line="240" w:lineRule="auto"/>
              <w:rPr>
                <w:b/>
              </w:rPr>
            </w:pPr>
            <w:r w:rsidRPr="001F40A0">
              <w:rPr>
                <w:b/>
              </w:rPr>
              <w:t>Non-</w:t>
            </w:r>
            <w:r w:rsidR="004E5496">
              <w:rPr>
                <w:b/>
              </w:rPr>
              <w:t>i</w:t>
            </w:r>
            <w:r w:rsidR="00E322B5" w:rsidRPr="001F40A0">
              <w:rPr>
                <w:b/>
              </w:rPr>
              <w:t>nferior</w:t>
            </w:r>
            <w:r w:rsidR="00E322B5" w:rsidRPr="001F40A0">
              <w:rPr>
                <w:b/>
                <w:vertAlign w:val="superscript"/>
              </w:rPr>
              <w:t>b</w:t>
            </w:r>
          </w:p>
        </w:tc>
        <w:tc>
          <w:tcPr>
            <w:tcW w:w="986" w:type="pct"/>
            <w:shd w:val="clear" w:color="auto" w:fill="auto"/>
          </w:tcPr>
          <w:p w14:paraId="4FB138D8" w14:textId="77777777" w:rsidR="00E857B1" w:rsidRPr="001F40A0" w:rsidRDefault="00E857B1" w:rsidP="00E37847">
            <w:pPr>
              <w:keepNext/>
              <w:keepLines/>
              <w:spacing w:after="0" w:line="240" w:lineRule="auto"/>
              <w:rPr>
                <w:b/>
              </w:rPr>
            </w:pPr>
            <w:r w:rsidRPr="001F40A0">
              <w:rPr>
                <w:b/>
              </w:rPr>
              <w:t>Superior</w:t>
            </w:r>
          </w:p>
        </w:tc>
      </w:tr>
      <w:tr w:rsidR="00E857B1" w:rsidRPr="001F40A0" w14:paraId="097CA77E" w14:textId="77777777" w:rsidTr="001F40A0">
        <w:tc>
          <w:tcPr>
            <w:tcW w:w="1053" w:type="pct"/>
            <w:shd w:val="clear" w:color="auto" w:fill="auto"/>
          </w:tcPr>
          <w:p w14:paraId="60B7BF5A" w14:textId="77777777" w:rsidR="00E857B1" w:rsidRPr="001F40A0" w:rsidRDefault="00E857B1" w:rsidP="00E37847">
            <w:pPr>
              <w:keepNext/>
              <w:keepLines/>
              <w:spacing w:after="0" w:line="240" w:lineRule="auto"/>
              <w:rPr>
                <w:b/>
              </w:rPr>
            </w:pPr>
            <w:r w:rsidRPr="001F40A0">
              <w:rPr>
                <w:b/>
              </w:rPr>
              <w:t>Inferior</w:t>
            </w:r>
          </w:p>
        </w:tc>
        <w:tc>
          <w:tcPr>
            <w:tcW w:w="987" w:type="pct"/>
            <w:shd w:val="clear" w:color="auto" w:fill="auto"/>
          </w:tcPr>
          <w:p w14:paraId="0434D7CF" w14:textId="77777777" w:rsidR="00E857B1" w:rsidRPr="001F40A0" w:rsidRDefault="00E857B1" w:rsidP="00E37847">
            <w:pPr>
              <w:keepNext/>
              <w:keepLines/>
              <w:spacing w:after="0" w:line="240" w:lineRule="auto"/>
              <w:jc w:val="center"/>
            </w:pPr>
            <w:r w:rsidRPr="001F40A0">
              <w:t>Health forgone: need other supportive factors</w:t>
            </w:r>
          </w:p>
        </w:tc>
        <w:tc>
          <w:tcPr>
            <w:tcW w:w="987" w:type="pct"/>
            <w:shd w:val="clear" w:color="auto" w:fill="auto"/>
          </w:tcPr>
          <w:p w14:paraId="7A47DA31" w14:textId="77777777" w:rsidR="00E857B1" w:rsidRPr="001F40A0" w:rsidRDefault="00E857B1" w:rsidP="00E37847">
            <w:pPr>
              <w:keepNext/>
              <w:keepLines/>
              <w:spacing w:after="0" w:line="240" w:lineRule="auto"/>
              <w:jc w:val="center"/>
            </w:pPr>
            <w:r w:rsidRPr="001F40A0">
              <w:t>Health foregone possible: need other supportive factors</w:t>
            </w:r>
          </w:p>
        </w:tc>
        <w:tc>
          <w:tcPr>
            <w:tcW w:w="987" w:type="pct"/>
            <w:shd w:val="clear" w:color="auto" w:fill="auto"/>
          </w:tcPr>
          <w:p w14:paraId="318A7A45" w14:textId="77777777" w:rsidR="00E857B1" w:rsidRPr="001F40A0" w:rsidRDefault="00E857B1" w:rsidP="00E37847">
            <w:pPr>
              <w:keepNext/>
              <w:keepLines/>
              <w:spacing w:after="0" w:line="240" w:lineRule="auto"/>
              <w:jc w:val="center"/>
            </w:pPr>
            <w:r w:rsidRPr="001F40A0">
              <w:t>Health foregone: need other supportive factors</w:t>
            </w:r>
          </w:p>
        </w:tc>
        <w:tc>
          <w:tcPr>
            <w:tcW w:w="986" w:type="pct"/>
            <w:shd w:val="clear" w:color="auto" w:fill="auto"/>
          </w:tcPr>
          <w:p w14:paraId="28817545" w14:textId="77777777" w:rsidR="00E857B1" w:rsidRPr="001F40A0" w:rsidRDefault="00E857B1" w:rsidP="00E37847">
            <w:pPr>
              <w:keepNext/>
              <w:keepLines/>
              <w:spacing w:after="0" w:line="240" w:lineRule="auto"/>
              <w:jc w:val="center"/>
            </w:pPr>
            <w:r w:rsidRPr="001F40A0">
              <w:t>? Likely CUA</w:t>
            </w:r>
          </w:p>
        </w:tc>
      </w:tr>
      <w:tr w:rsidR="00E857B1" w:rsidRPr="001F40A0" w14:paraId="62D0926E" w14:textId="77777777" w:rsidTr="001F40A0">
        <w:tc>
          <w:tcPr>
            <w:tcW w:w="1053" w:type="pct"/>
            <w:shd w:val="clear" w:color="auto" w:fill="auto"/>
          </w:tcPr>
          <w:p w14:paraId="0E3254EF" w14:textId="6CB22C54" w:rsidR="00E857B1" w:rsidRPr="001F40A0" w:rsidRDefault="00E857B1" w:rsidP="00E37847">
            <w:pPr>
              <w:keepNext/>
              <w:keepLines/>
              <w:spacing w:after="0" w:line="240" w:lineRule="auto"/>
              <w:rPr>
                <w:b/>
              </w:rPr>
            </w:pPr>
            <w:r w:rsidRPr="001F40A0">
              <w:rPr>
                <w:b/>
              </w:rPr>
              <w:t>Uncertain</w:t>
            </w:r>
            <w:r w:rsidRPr="002445B2">
              <w:rPr>
                <w:b/>
                <w:sz w:val="24"/>
                <w:szCs w:val="24"/>
                <w:vertAlign w:val="superscript"/>
              </w:rPr>
              <w:t>a</w:t>
            </w:r>
          </w:p>
        </w:tc>
        <w:tc>
          <w:tcPr>
            <w:tcW w:w="987" w:type="pct"/>
            <w:shd w:val="clear" w:color="auto" w:fill="auto"/>
          </w:tcPr>
          <w:p w14:paraId="3BF1053A" w14:textId="77777777" w:rsidR="00E857B1" w:rsidRPr="001F40A0" w:rsidRDefault="00E857B1" w:rsidP="00E37847">
            <w:pPr>
              <w:keepNext/>
              <w:keepLines/>
              <w:spacing w:after="0" w:line="240" w:lineRule="auto"/>
              <w:jc w:val="center"/>
            </w:pPr>
            <w:r w:rsidRPr="001F40A0">
              <w:t>Health foregone possible: need other supportive factors</w:t>
            </w:r>
          </w:p>
        </w:tc>
        <w:tc>
          <w:tcPr>
            <w:tcW w:w="987" w:type="pct"/>
            <w:shd w:val="clear" w:color="auto" w:fill="auto"/>
          </w:tcPr>
          <w:p w14:paraId="286268F3" w14:textId="77777777" w:rsidR="00E857B1" w:rsidRPr="001F40A0" w:rsidRDefault="00E857B1" w:rsidP="00E37847">
            <w:pPr>
              <w:keepNext/>
              <w:keepLines/>
              <w:spacing w:after="0" w:line="240" w:lineRule="auto"/>
              <w:jc w:val="center"/>
            </w:pPr>
            <w:r w:rsidRPr="001F40A0">
              <w:t>?</w:t>
            </w:r>
          </w:p>
        </w:tc>
        <w:tc>
          <w:tcPr>
            <w:tcW w:w="987" w:type="pct"/>
            <w:shd w:val="clear" w:color="auto" w:fill="auto"/>
          </w:tcPr>
          <w:p w14:paraId="6260F4D0" w14:textId="77777777" w:rsidR="00E857B1" w:rsidRPr="002445B2" w:rsidRDefault="00E857B1" w:rsidP="00E37847">
            <w:pPr>
              <w:keepNext/>
              <w:keepLines/>
              <w:spacing w:after="0" w:line="240" w:lineRule="auto"/>
              <w:jc w:val="center"/>
            </w:pPr>
            <w:r w:rsidRPr="002445B2">
              <w:t>?</w:t>
            </w:r>
          </w:p>
        </w:tc>
        <w:tc>
          <w:tcPr>
            <w:tcW w:w="986" w:type="pct"/>
            <w:shd w:val="clear" w:color="auto" w:fill="auto"/>
          </w:tcPr>
          <w:p w14:paraId="3C9CB4CB" w14:textId="77777777" w:rsidR="00E857B1" w:rsidRPr="002445B2" w:rsidRDefault="00E857B1" w:rsidP="00E37847">
            <w:pPr>
              <w:keepNext/>
              <w:keepLines/>
              <w:spacing w:after="0" w:line="240" w:lineRule="auto"/>
              <w:jc w:val="center"/>
            </w:pPr>
            <w:r w:rsidRPr="002445B2">
              <w:t>? Likely CEA/CUA</w:t>
            </w:r>
          </w:p>
        </w:tc>
      </w:tr>
      <w:tr w:rsidR="00E857B1" w:rsidRPr="001F40A0" w14:paraId="6EDF882A" w14:textId="77777777" w:rsidTr="001F40A0">
        <w:tc>
          <w:tcPr>
            <w:tcW w:w="1053" w:type="pct"/>
            <w:shd w:val="clear" w:color="auto" w:fill="auto"/>
          </w:tcPr>
          <w:p w14:paraId="768E791F" w14:textId="1CA4A621" w:rsidR="00E857B1" w:rsidRPr="001F40A0" w:rsidRDefault="00E857B1" w:rsidP="00E37847">
            <w:pPr>
              <w:keepNext/>
              <w:keepLines/>
              <w:spacing w:after="0" w:line="240" w:lineRule="auto"/>
              <w:rPr>
                <w:b/>
              </w:rPr>
            </w:pPr>
            <w:r w:rsidRPr="001F40A0">
              <w:rPr>
                <w:b/>
              </w:rPr>
              <w:t>Non-</w:t>
            </w:r>
            <w:r w:rsidR="00E322B5" w:rsidRPr="001F40A0">
              <w:rPr>
                <w:b/>
              </w:rPr>
              <w:t>inferior</w:t>
            </w:r>
            <w:r w:rsidR="00E322B5" w:rsidRPr="001F40A0">
              <w:rPr>
                <w:b/>
                <w:vertAlign w:val="superscript"/>
              </w:rPr>
              <w:t>b</w:t>
            </w:r>
          </w:p>
        </w:tc>
        <w:tc>
          <w:tcPr>
            <w:tcW w:w="987" w:type="pct"/>
            <w:shd w:val="clear" w:color="auto" w:fill="auto"/>
          </w:tcPr>
          <w:p w14:paraId="52C9A16E" w14:textId="77777777" w:rsidR="00E857B1" w:rsidRPr="001F40A0" w:rsidRDefault="00E857B1" w:rsidP="00E37847">
            <w:pPr>
              <w:keepNext/>
              <w:keepLines/>
              <w:spacing w:after="0" w:line="240" w:lineRule="auto"/>
              <w:jc w:val="center"/>
            </w:pPr>
            <w:r w:rsidRPr="001F40A0">
              <w:t>Health forgone: need other supportive factors</w:t>
            </w:r>
          </w:p>
        </w:tc>
        <w:tc>
          <w:tcPr>
            <w:tcW w:w="987" w:type="pct"/>
            <w:shd w:val="clear" w:color="auto" w:fill="auto"/>
          </w:tcPr>
          <w:p w14:paraId="1C42ECE1" w14:textId="77777777" w:rsidR="00E857B1" w:rsidRPr="001F40A0" w:rsidRDefault="00E857B1" w:rsidP="00E37847">
            <w:pPr>
              <w:keepNext/>
              <w:keepLines/>
              <w:spacing w:after="0" w:line="240" w:lineRule="auto"/>
              <w:jc w:val="center"/>
            </w:pPr>
            <w:r w:rsidRPr="001F40A0">
              <w:t>?</w:t>
            </w:r>
          </w:p>
        </w:tc>
        <w:tc>
          <w:tcPr>
            <w:tcW w:w="987" w:type="pct"/>
            <w:shd w:val="clear" w:color="auto" w:fill="auto"/>
          </w:tcPr>
          <w:p w14:paraId="4E862723" w14:textId="77777777" w:rsidR="00E857B1" w:rsidRPr="002445B2" w:rsidRDefault="00E857B1" w:rsidP="00E37847">
            <w:pPr>
              <w:keepNext/>
              <w:keepLines/>
              <w:spacing w:after="0" w:line="240" w:lineRule="auto"/>
              <w:jc w:val="center"/>
            </w:pPr>
            <w:r w:rsidRPr="002445B2">
              <w:t>CMA</w:t>
            </w:r>
          </w:p>
        </w:tc>
        <w:tc>
          <w:tcPr>
            <w:tcW w:w="986" w:type="pct"/>
            <w:shd w:val="clear" w:color="auto" w:fill="auto"/>
          </w:tcPr>
          <w:p w14:paraId="0B985AC9" w14:textId="77777777" w:rsidR="00E857B1" w:rsidRPr="002445B2" w:rsidRDefault="00E857B1" w:rsidP="00E37847">
            <w:pPr>
              <w:keepNext/>
              <w:keepLines/>
              <w:spacing w:after="0" w:line="240" w:lineRule="auto"/>
              <w:jc w:val="center"/>
            </w:pPr>
            <w:r w:rsidRPr="002445B2">
              <w:t>CEA/CUA</w:t>
            </w:r>
          </w:p>
        </w:tc>
      </w:tr>
      <w:tr w:rsidR="00E857B1" w:rsidRPr="001F40A0" w14:paraId="3AE2C796" w14:textId="77777777" w:rsidTr="001F40A0">
        <w:tc>
          <w:tcPr>
            <w:tcW w:w="1053" w:type="pct"/>
            <w:shd w:val="clear" w:color="auto" w:fill="auto"/>
          </w:tcPr>
          <w:p w14:paraId="1077A77A" w14:textId="77777777" w:rsidR="00E857B1" w:rsidRPr="001F40A0" w:rsidRDefault="00E857B1" w:rsidP="00E37847">
            <w:pPr>
              <w:keepNext/>
              <w:keepLines/>
              <w:spacing w:after="0" w:line="240" w:lineRule="auto"/>
              <w:rPr>
                <w:b/>
              </w:rPr>
            </w:pPr>
            <w:r w:rsidRPr="001F40A0">
              <w:rPr>
                <w:b/>
              </w:rPr>
              <w:t>Superior</w:t>
            </w:r>
          </w:p>
        </w:tc>
        <w:tc>
          <w:tcPr>
            <w:tcW w:w="987" w:type="pct"/>
            <w:shd w:val="clear" w:color="auto" w:fill="auto"/>
          </w:tcPr>
          <w:p w14:paraId="59609C4E" w14:textId="77777777" w:rsidR="00E857B1" w:rsidRPr="001F40A0" w:rsidRDefault="00E857B1" w:rsidP="00E37847">
            <w:pPr>
              <w:keepNext/>
              <w:keepLines/>
              <w:spacing w:after="0" w:line="240" w:lineRule="auto"/>
              <w:jc w:val="center"/>
            </w:pPr>
            <w:r w:rsidRPr="001F40A0">
              <w:t>? Likely CUA</w:t>
            </w:r>
          </w:p>
        </w:tc>
        <w:tc>
          <w:tcPr>
            <w:tcW w:w="987" w:type="pct"/>
            <w:shd w:val="clear" w:color="auto" w:fill="auto"/>
          </w:tcPr>
          <w:p w14:paraId="6A5943E2" w14:textId="77777777" w:rsidR="00E857B1" w:rsidRPr="001F40A0" w:rsidRDefault="00E857B1" w:rsidP="00E37847">
            <w:pPr>
              <w:keepNext/>
              <w:keepLines/>
              <w:spacing w:after="0" w:line="240" w:lineRule="auto"/>
              <w:jc w:val="center"/>
            </w:pPr>
            <w:r w:rsidRPr="001F40A0">
              <w:t>? Likely CUA</w:t>
            </w:r>
          </w:p>
        </w:tc>
        <w:tc>
          <w:tcPr>
            <w:tcW w:w="987" w:type="pct"/>
            <w:shd w:val="clear" w:color="auto" w:fill="auto"/>
          </w:tcPr>
          <w:p w14:paraId="7D8E3659" w14:textId="77777777" w:rsidR="00E857B1" w:rsidRPr="002445B2" w:rsidRDefault="00E857B1" w:rsidP="00E37847">
            <w:pPr>
              <w:keepNext/>
              <w:keepLines/>
              <w:spacing w:after="0" w:line="240" w:lineRule="auto"/>
              <w:jc w:val="center"/>
            </w:pPr>
            <w:r w:rsidRPr="002445B2">
              <w:t>? Likely CEA/CUA</w:t>
            </w:r>
          </w:p>
        </w:tc>
        <w:tc>
          <w:tcPr>
            <w:tcW w:w="986" w:type="pct"/>
            <w:shd w:val="clear" w:color="auto" w:fill="auto"/>
          </w:tcPr>
          <w:p w14:paraId="53C80132" w14:textId="77777777" w:rsidR="00E857B1" w:rsidRPr="002445B2" w:rsidRDefault="00E857B1" w:rsidP="00E37847">
            <w:pPr>
              <w:keepNext/>
              <w:keepLines/>
              <w:spacing w:after="0" w:line="240" w:lineRule="auto"/>
              <w:jc w:val="center"/>
            </w:pPr>
            <w:r w:rsidRPr="002445B2">
              <w:t>CEA/CUA</w:t>
            </w:r>
          </w:p>
        </w:tc>
      </w:tr>
    </w:tbl>
    <w:p w14:paraId="290F98F7" w14:textId="77777777" w:rsidR="00E857B1" w:rsidRDefault="00E857B1" w:rsidP="00E37847">
      <w:pPr>
        <w:keepNext/>
        <w:keepLines/>
        <w:spacing w:after="0" w:line="240" w:lineRule="auto"/>
        <w:rPr>
          <w:sz w:val="18"/>
          <w:szCs w:val="18"/>
        </w:rPr>
      </w:pPr>
      <w:r w:rsidRPr="00B67FC1">
        <w:rPr>
          <w:sz w:val="18"/>
          <w:szCs w:val="18"/>
        </w:rPr>
        <w:t>CEA = cost-effectiveness analysis; CMA = cost-minimisation analysis; CUA = cost-utility analysis</w:t>
      </w:r>
    </w:p>
    <w:p w14:paraId="566BFC8B" w14:textId="0F563421" w:rsidR="00E857B1" w:rsidRDefault="00E857B1" w:rsidP="00E37847">
      <w:pPr>
        <w:keepNext/>
        <w:keepLines/>
        <w:spacing w:after="0" w:line="240" w:lineRule="auto"/>
        <w:rPr>
          <w:sz w:val="18"/>
          <w:szCs w:val="18"/>
        </w:rPr>
      </w:pPr>
      <w:r w:rsidRPr="00B67FC1">
        <w:rPr>
          <w:sz w:val="18"/>
          <w:szCs w:val="18"/>
        </w:rPr>
        <w:t>?</w:t>
      </w:r>
      <w:r>
        <w:rPr>
          <w:sz w:val="18"/>
          <w:szCs w:val="18"/>
        </w:rPr>
        <w:t xml:space="preserve"> </w:t>
      </w:r>
      <w:r w:rsidRPr="00B67FC1">
        <w:rPr>
          <w:sz w:val="18"/>
          <w:szCs w:val="18"/>
        </w:rPr>
        <w:t>=</w:t>
      </w:r>
      <w:r>
        <w:rPr>
          <w:sz w:val="18"/>
          <w:szCs w:val="18"/>
        </w:rPr>
        <w:t xml:space="preserve"> </w:t>
      </w:r>
      <w:r w:rsidRPr="00B67FC1">
        <w:rPr>
          <w:sz w:val="18"/>
          <w:szCs w:val="18"/>
        </w:rPr>
        <w:t>reflects uncertainties and any identified health trade-offs in the economic evaluation, as a minimum in a cost-consequences analysis</w:t>
      </w:r>
    </w:p>
    <w:p w14:paraId="5031A2AA" w14:textId="7D34D414" w:rsidR="0041485E" w:rsidRPr="006956D7" w:rsidRDefault="006956D7" w:rsidP="00E37847">
      <w:pPr>
        <w:keepNext/>
        <w:keepLines/>
        <w:spacing w:after="0" w:line="240" w:lineRule="auto"/>
        <w:rPr>
          <w:sz w:val="18"/>
          <w:szCs w:val="18"/>
        </w:rPr>
      </w:pPr>
      <w:r>
        <w:rPr>
          <w:sz w:val="18"/>
          <w:szCs w:val="18"/>
        </w:rPr>
        <w:t>a</w:t>
      </w:r>
      <w:r w:rsidR="0041485E" w:rsidRPr="006956D7">
        <w:rPr>
          <w:sz w:val="18"/>
          <w:szCs w:val="18"/>
        </w:rPr>
        <w:t xml:space="preserve">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 (e.g. where the safety profiles of the compared medical services differ, with some aspects worse for the proposed medical service and some aspects better for the proposed medical service).</w:t>
      </w:r>
    </w:p>
    <w:p w14:paraId="1B3A3DA2" w14:textId="5C9A34B6" w:rsidR="0041485E" w:rsidRDefault="006956D7" w:rsidP="00E37847">
      <w:pPr>
        <w:keepNext/>
        <w:keepLines/>
        <w:spacing w:after="0" w:line="240" w:lineRule="auto"/>
        <w:rPr>
          <w:sz w:val="18"/>
          <w:szCs w:val="18"/>
        </w:rPr>
      </w:pPr>
      <w:r>
        <w:rPr>
          <w:sz w:val="18"/>
          <w:szCs w:val="18"/>
        </w:rPr>
        <w:t>b</w:t>
      </w:r>
      <w:r w:rsidR="0041485E" w:rsidRPr="006956D7">
        <w:rPr>
          <w:sz w:val="18"/>
          <w:szCs w:val="18"/>
        </w:rPr>
        <w:t xml:space="preserve"> An adequate assessment on ‘non-inferiority’ is the preferred basis for demonstrating equivalence.</w:t>
      </w:r>
    </w:p>
    <w:p w14:paraId="22E51484" w14:textId="77777777" w:rsidR="001A4A52" w:rsidRPr="001A4A52" w:rsidRDefault="001A4A52" w:rsidP="00B07C98">
      <w:pPr>
        <w:spacing w:after="0"/>
      </w:pPr>
    </w:p>
    <w:p w14:paraId="02B9C624" w14:textId="5535F1FD" w:rsidR="00752491" w:rsidRDefault="00752491" w:rsidP="00B07C98">
      <w:pPr>
        <w:pStyle w:val="Heading2"/>
        <w:spacing w:before="0" w:line="240" w:lineRule="auto"/>
        <w:jc w:val="both"/>
        <w:rPr>
          <w:color w:val="548DD4"/>
        </w:rPr>
      </w:pPr>
      <w:r>
        <w:rPr>
          <w:color w:val="548DD4"/>
        </w:rPr>
        <w:t>Proposed item descriptor</w:t>
      </w:r>
      <w:r w:rsidR="00B07C98">
        <w:rPr>
          <w:color w:val="548DD4"/>
        </w:rPr>
        <w:t xml:space="preserve"> and MBS fee</w:t>
      </w:r>
    </w:p>
    <w:p w14:paraId="21C5FE0E" w14:textId="77777777" w:rsidR="00046B9B" w:rsidRDefault="00046B9B" w:rsidP="00046B9B">
      <w:r>
        <w:t>The MBS item descriptor proposed to apply to EMR is outlined below.</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046B9B" w:rsidRPr="00046B9B" w14:paraId="7B1B3322" w14:textId="77777777" w:rsidTr="00046B9B">
        <w:trPr>
          <w:cantSplit/>
          <w:tblHeader/>
        </w:trPr>
        <w:tc>
          <w:tcPr>
            <w:tcW w:w="9016" w:type="dxa"/>
          </w:tcPr>
          <w:p w14:paraId="25F31FE4" w14:textId="6187971F" w:rsidR="008C3E5E" w:rsidRPr="00046B9B" w:rsidRDefault="008C3E5E" w:rsidP="008C3E5E">
            <w:pPr>
              <w:jc w:val="right"/>
            </w:pPr>
            <w:r w:rsidRPr="00046B9B">
              <w:t xml:space="preserve">Category </w:t>
            </w:r>
            <w:r w:rsidR="00986473" w:rsidRPr="00046B9B">
              <w:t>3</w:t>
            </w:r>
            <w:r w:rsidR="00986473" w:rsidRPr="00046B9B">
              <w:rPr>
                <w:u w:val="dotted"/>
              </w:rPr>
              <w:t xml:space="preserve"> – Therapeutic procedure</w:t>
            </w:r>
          </w:p>
        </w:tc>
      </w:tr>
      <w:tr w:rsidR="00046B9B" w:rsidRPr="00046B9B" w14:paraId="56291B33" w14:textId="77777777" w:rsidTr="00046B9B">
        <w:trPr>
          <w:cantSplit/>
          <w:tblHeader/>
        </w:trPr>
        <w:tc>
          <w:tcPr>
            <w:tcW w:w="9016" w:type="dxa"/>
          </w:tcPr>
          <w:p w14:paraId="6A60BB17" w14:textId="58EC59D9" w:rsidR="008C3E5E" w:rsidRPr="00046B9B" w:rsidRDefault="00046B9B" w:rsidP="00E364F7">
            <w:r w:rsidRPr="00046B9B">
              <w:t>Endoscopic mucosal resection of a non-invasive sessile or flat superficial colorectal neoplasm which is at least 2</w:t>
            </w:r>
            <w:r w:rsidR="0060379D">
              <w:t>5</w:t>
            </w:r>
            <w:r w:rsidRPr="00046B9B">
              <w:t>mm in diameter by a specialist gastroenterologist or surgical endoscopist</w:t>
            </w:r>
            <w:r w:rsidR="004B0EA9">
              <w:t xml:space="preserve">, supported by photographic evidence to confirm the size of the polyp </w:t>
            </w:r>
            <w:r w:rsidR="004B0EA9">
              <w:rPr>
                <w:i/>
              </w:rPr>
              <w:t>in situ</w:t>
            </w:r>
            <w:r w:rsidRPr="00046B9B">
              <w:t>. (Anaes)</w:t>
            </w:r>
          </w:p>
          <w:p w14:paraId="4EA26D50" w14:textId="77777777" w:rsidR="00046B9B" w:rsidRPr="00046B9B" w:rsidRDefault="00046B9B" w:rsidP="00E364F7">
            <w:pPr>
              <w:rPr>
                <w:u w:val="dotted" w:color="FF0000"/>
              </w:rPr>
            </w:pPr>
          </w:p>
          <w:p w14:paraId="1BF66262" w14:textId="4DC02294" w:rsidR="008C3E5E" w:rsidRPr="00046B9B" w:rsidRDefault="00854F31" w:rsidP="00E364F7">
            <w:pPr>
              <w:rPr>
                <w:u w:val="dotted" w:color="FF0000"/>
              </w:rPr>
            </w:pPr>
            <w:r>
              <w:rPr>
                <w:u w:val="dotted" w:color="FF0000"/>
              </w:rPr>
              <w:t xml:space="preserve">MBS </w:t>
            </w:r>
            <w:r w:rsidR="008C3E5E" w:rsidRPr="00046B9B">
              <w:rPr>
                <w:u w:val="dotted" w:color="FF0000"/>
              </w:rPr>
              <w:t>Fee: $</w:t>
            </w:r>
            <w:r w:rsidR="003652E6" w:rsidRPr="00046B9B">
              <w:rPr>
                <w:u w:val="dotted" w:color="FF0000"/>
              </w:rPr>
              <w:t>1,750</w:t>
            </w:r>
          </w:p>
        </w:tc>
      </w:tr>
    </w:tbl>
    <w:p w14:paraId="2107BB28" w14:textId="77777777" w:rsidR="00FF657D" w:rsidRDefault="00FF657D" w:rsidP="00B07C98">
      <w:pPr>
        <w:spacing w:after="0"/>
      </w:pPr>
    </w:p>
    <w:p w14:paraId="2B58F099" w14:textId="40A3A13B" w:rsidR="000E6A47" w:rsidRDefault="001353AF">
      <w:r>
        <w:t xml:space="preserve">PASC noted that the </w:t>
      </w:r>
      <w:r w:rsidRPr="00065918">
        <w:t>applicant has proposed a fee of $1</w:t>
      </w:r>
      <w:r>
        <w:t>,</w:t>
      </w:r>
      <w:r w:rsidRPr="00065918">
        <w:t>750</w:t>
      </w:r>
      <w:r>
        <w:t xml:space="preserve"> for EMR;</w:t>
      </w:r>
      <w:r w:rsidRPr="00065918">
        <w:t xml:space="preserve"> </w:t>
      </w:r>
      <w:r>
        <w:t xml:space="preserve">however, it was not clear how that figure was derived. </w:t>
      </w:r>
      <w:r w:rsidRPr="00503BBC">
        <w:t xml:space="preserve">PASC </w:t>
      </w:r>
      <w:r>
        <w:t xml:space="preserve">confirmed </w:t>
      </w:r>
      <w:r w:rsidRPr="00503BBC">
        <w:t xml:space="preserve">that the fee </w:t>
      </w:r>
      <w:r>
        <w:t xml:space="preserve">must </w:t>
      </w:r>
      <w:r w:rsidRPr="00503BBC">
        <w:t>be justified</w:t>
      </w:r>
      <w:r>
        <w:t>, and</w:t>
      </w:r>
      <w:r w:rsidRPr="00503BBC">
        <w:t xml:space="preserve"> a detailed costing pr</w:t>
      </w:r>
      <w:r>
        <w:t>epared by the applicant (and provided to the assessment group) during the assessment phase, with</w:t>
      </w:r>
      <w:r w:rsidRPr="00503BBC">
        <w:t xml:space="preserve"> guidance </w:t>
      </w:r>
      <w:r>
        <w:t>from the Department.</w:t>
      </w:r>
    </w:p>
    <w:p w14:paraId="20D51571" w14:textId="33081771" w:rsidR="00FF657D" w:rsidRDefault="00FF657D" w:rsidP="00FF657D">
      <w:pPr>
        <w:pStyle w:val="Heading2"/>
        <w:spacing w:line="240" w:lineRule="auto"/>
        <w:jc w:val="both"/>
        <w:rPr>
          <w:color w:val="548DD4"/>
        </w:rPr>
      </w:pPr>
      <w:r>
        <w:rPr>
          <w:color w:val="548DD4"/>
        </w:rPr>
        <w:t>Other issues</w:t>
      </w:r>
    </w:p>
    <w:p w14:paraId="61ADBFAD" w14:textId="1C915D65" w:rsidR="00791C6B" w:rsidRDefault="00791C6B" w:rsidP="00791C6B">
      <w:r w:rsidRPr="008D7C07">
        <w:t xml:space="preserve">PASC noted that most colonoscopies are billed to the MBS, </w:t>
      </w:r>
      <w:r>
        <w:t>and t</w:t>
      </w:r>
      <w:r w:rsidRPr="008D7C07">
        <w:t>he procedure</w:t>
      </w:r>
      <w:r>
        <w:t xml:space="preserve"> can be done as an inpatient (admitted patient) or outpatient (non-admitted patient) service, depending on the patient’s insurance status. If patients who choose to be treated in a private hospital/clinic do not have private health insurance, they would be more likely to be treated as outpatients in that hospital/clinic (i.e. not admitted). This may have Extended Medicare Safety Net consequences for this more complex procedure. However, non-insured patients may be more likely to choose public hospital treatment. If the public hospital treats the patient as a private patient, the hospital would </w:t>
      </w:r>
      <w:r>
        <w:lastRenderedPageBreak/>
        <w:t xml:space="preserve">bulk-bill the service to the MBS. </w:t>
      </w:r>
      <w:r w:rsidR="008C0BBC">
        <w:t>PASC requested that Extended Medicare Safety Net risk should be examined (associated with out-of-pocket costs of non-admitted, uninsured patients)</w:t>
      </w:r>
      <w:r w:rsidR="00D12278">
        <w:t>.</w:t>
      </w:r>
    </w:p>
    <w:p w14:paraId="68588475" w14:textId="2268D8FC" w:rsidR="00AE7063" w:rsidRDefault="00AE7063">
      <w:r>
        <w:br w:type="page"/>
      </w:r>
    </w:p>
    <w:p w14:paraId="67538C5A" w14:textId="1D7543C1" w:rsidR="00BD104B" w:rsidRPr="00DE3D6C" w:rsidRDefault="00043A96" w:rsidP="00522740">
      <w:pPr>
        <w:pStyle w:val="Heading1"/>
      </w:pPr>
      <w:r>
        <w:lastRenderedPageBreak/>
        <w:t>References</w:t>
      </w:r>
    </w:p>
    <w:p w14:paraId="46E2169E" w14:textId="7350EE5C" w:rsidR="00643997" w:rsidRPr="00643997" w:rsidRDefault="00643997" w:rsidP="00643997">
      <w:pPr>
        <w:pStyle w:val="EndNoteBibliography"/>
      </w:pPr>
      <w:r w:rsidRPr="00643997">
        <w:t xml:space="preserve">AIHW (2018). National Bowel Cancer Screening Program: monitoring report 2018 </w:t>
      </w:r>
      <w:r w:rsidR="00886E4D" w:rsidRPr="00C36D53">
        <w:t>Australian Institute of Health and Welfare</w:t>
      </w:r>
      <w:r w:rsidRPr="00643997">
        <w:t>. Canberra.</w:t>
      </w:r>
    </w:p>
    <w:p w14:paraId="6B192A98" w14:textId="7ABDACF6" w:rsidR="00643997" w:rsidRPr="00643997" w:rsidRDefault="00643997" w:rsidP="00643997">
      <w:pPr>
        <w:pStyle w:val="EndNoteBibliography"/>
      </w:pPr>
      <w:r w:rsidRPr="00643997">
        <w:t xml:space="preserve">Cancer Council Australia. (2019). "Clinical practice guidelines for the prevention, early detection and management of colorectal cancer."  Retrieved 25/02/2019, from </w:t>
      </w:r>
      <w:r w:rsidRPr="006C0E90">
        <w:t>https://wiki.cancer.org.au/australia/Guidelines:Colorectal_cancer</w:t>
      </w:r>
      <w:r w:rsidRPr="00643997">
        <w:t>.</w:t>
      </w:r>
    </w:p>
    <w:p w14:paraId="5B877ECD" w14:textId="1A5CC53D" w:rsidR="00643997" w:rsidRPr="00643997" w:rsidRDefault="00643997" w:rsidP="00643997">
      <w:pPr>
        <w:pStyle w:val="EndNoteBibliography"/>
      </w:pPr>
      <w:r w:rsidRPr="00643997">
        <w:rPr>
          <w:sz w:val="20"/>
        </w:rPr>
        <w:t>DoH</w:t>
      </w:r>
      <w:r w:rsidRPr="00643997">
        <w:t xml:space="preserve"> (2016). Medicare Benefits Schedule Review Taskforce: Final report from the Gastroenterology Clinical Committee. D</w:t>
      </w:r>
      <w:r w:rsidR="00C36D53">
        <w:t xml:space="preserve">epartment of </w:t>
      </w:r>
      <w:r w:rsidRPr="00643997">
        <w:t>Health.</w:t>
      </w:r>
      <w:r w:rsidR="00C36D53">
        <w:t xml:space="preserve"> Canberra</w:t>
      </w:r>
    </w:p>
    <w:p w14:paraId="405CCE89" w14:textId="77777777" w:rsidR="00643997" w:rsidRPr="00643997" w:rsidRDefault="00643997" w:rsidP="00643997">
      <w:pPr>
        <w:pStyle w:val="EndNoteBibliography"/>
      </w:pPr>
      <w:r w:rsidRPr="00643997">
        <w:t xml:space="preserve">Ferlitsch, M, Moss, A, et al. (2017). "Colorectal polypectomy and endoscopic mucosal resection (EMR): European Society of Gastrointestinal Endoscopy (ESGE) clinical guideline." </w:t>
      </w:r>
      <w:r w:rsidRPr="00643997">
        <w:rPr>
          <w:u w:val="single"/>
        </w:rPr>
        <w:t>Endoscopy</w:t>
      </w:r>
      <w:r w:rsidRPr="00643997">
        <w:t xml:space="preserve"> </w:t>
      </w:r>
      <w:r w:rsidRPr="00643997">
        <w:rPr>
          <w:b/>
        </w:rPr>
        <w:t>49</w:t>
      </w:r>
      <w:r w:rsidRPr="00643997">
        <w:t>(03): 270-297.</w:t>
      </w:r>
    </w:p>
    <w:p w14:paraId="28318DFE" w14:textId="77777777" w:rsidR="00643997" w:rsidRPr="00643997" w:rsidRDefault="00643997" w:rsidP="00643997">
      <w:pPr>
        <w:pStyle w:val="EndNoteBibliography"/>
      </w:pPr>
      <w:r w:rsidRPr="00643997">
        <w:t xml:space="preserve">Gallegos-Orozco, JF and Gurudu, SR (2010). "Complex colon polypectomy." </w:t>
      </w:r>
      <w:r w:rsidRPr="00643997">
        <w:rPr>
          <w:u w:val="single"/>
        </w:rPr>
        <w:t>Gastroenterology &amp; hepatology</w:t>
      </w:r>
      <w:r w:rsidRPr="00643997">
        <w:t xml:space="preserve"> </w:t>
      </w:r>
      <w:r w:rsidRPr="00643997">
        <w:rPr>
          <w:b/>
        </w:rPr>
        <w:t>6</w:t>
      </w:r>
      <w:r w:rsidRPr="00643997">
        <w:t>(6): 375.</w:t>
      </w:r>
    </w:p>
    <w:p w14:paraId="2D7A827D" w14:textId="77777777" w:rsidR="00643997" w:rsidRPr="00643997" w:rsidRDefault="00643997" w:rsidP="00643997">
      <w:pPr>
        <w:pStyle w:val="EndNoteBibliography"/>
      </w:pPr>
      <w:r w:rsidRPr="00643997">
        <w:t xml:space="preserve">Hewett, PJ, Allardyce, RA, et al. (2008). "Short-term outcomes of the Australasian randomized clinical study comparing laparoscopic and conventional open surgical treatments for colon cancer: the ALCCaS trial." </w:t>
      </w:r>
      <w:r w:rsidRPr="00643997">
        <w:rPr>
          <w:u w:val="single"/>
        </w:rPr>
        <w:t>Annals of surgery</w:t>
      </w:r>
      <w:r w:rsidRPr="00643997">
        <w:t xml:space="preserve"> </w:t>
      </w:r>
      <w:r w:rsidRPr="00643997">
        <w:rPr>
          <w:b/>
        </w:rPr>
        <w:t>248</w:t>
      </w:r>
      <w:r w:rsidRPr="00643997">
        <w:t>(5): 728-738.</w:t>
      </w:r>
    </w:p>
    <w:p w14:paraId="40DB58D4" w14:textId="574A3590" w:rsidR="00643997" w:rsidRDefault="00643997" w:rsidP="00643997">
      <w:pPr>
        <w:pStyle w:val="EndNoteBibliography"/>
      </w:pPr>
      <w:r w:rsidRPr="00643997">
        <w:t>IHPA (2018). National Efficient Price Determination 2018-19, Independent Hospital Pricing Authority.</w:t>
      </w:r>
    </w:p>
    <w:p w14:paraId="54F5C69A" w14:textId="1E502535" w:rsidR="00FD2EA3" w:rsidRPr="00643997" w:rsidRDefault="00FD2EA3" w:rsidP="00643997">
      <w:pPr>
        <w:pStyle w:val="EndNoteBibliography"/>
      </w:pPr>
      <w:r>
        <w:t>Jayanna, M., Burgess, N.G., Singh, R. et al</w:t>
      </w:r>
      <w:r w:rsidR="00252639">
        <w:t xml:space="preserve"> </w:t>
      </w:r>
      <w:r>
        <w:t xml:space="preserve">2016. Cost analysis of endoscopic mucosal resection vs surgery for large laterally spreading colorectal lesions. </w:t>
      </w:r>
      <w:r w:rsidRPr="00252639">
        <w:rPr>
          <w:iCs/>
          <w:u w:val="single"/>
        </w:rPr>
        <w:t>Clinical Gastroenterology and Hepatology</w:t>
      </w:r>
      <w:r>
        <w:t xml:space="preserve">, </w:t>
      </w:r>
      <w:r w:rsidRPr="00252639">
        <w:rPr>
          <w:b/>
          <w:iCs/>
        </w:rPr>
        <w:t>14</w:t>
      </w:r>
      <w:r>
        <w:t>(2), pp.271-278</w:t>
      </w:r>
    </w:p>
    <w:p w14:paraId="3E91C4AF" w14:textId="77777777" w:rsidR="00643997" w:rsidRPr="00643997" w:rsidRDefault="00643997" w:rsidP="00643997">
      <w:pPr>
        <w:pStyle w:val="EndNoteBibliography"/>
      </w:pPr>
      <w:r w:rsidRPr="00643997">
        <w:t xml:space="preserve">Kandel, P and Wallace, MB (2017). "Colorectal endoscopic mucosal resection (EMR)." </w:t>
      </w:r>
      <w:r w:rsidRPr="00643997">
        <w:rPr>
          <w:u w:val="single"/>
        </w:rPr>
        <w:t>Best Practice &amp; Research Clinical Gastroenterology</w:t>
      </w:r>
      <w:r w:rsidRPr="00643997">
        <w:t xml:space="preserve"> </w:t>
      </w:r>
      <w:r w:rsidRPr="00643997">
        <w:rPr>
          <w:b/>
        </w:rPr>
        <w:t>31</w:t>
      </w:r>
      <w:r w:rsidRPr="00643997">
        <w:t>(4): 455-471.</w:t>
      </w:r>
    </w:p>
    <w:p w14:paraId="6FB336D3" w14:textId="0848A090" w:rsidR="00643997" w:rsidRDefault="00643997" w:rsidP="00643997">
      <w:pPr>
        <w:pStyle w:val="EndNoteBibliography"/>
      </w:pPr>
      <w:r w:rsidRPr="00643997">
        <w:t xml:space="preserve">Lee, EY and Bourke, MJ (2016). "EMR should be the first-line treatment for large laterally spreading colorectal lesions." </w:t>
      </w:r>
      <w:r w:rsidRPr="00643997">
        <w:rPr>
          <w:u w:val="single"/>
        </w:rPr>
        <w:t>Gastrointestinal endoscopy</w:t>
      </w:r>
      <w:r w:rsidRPr="00643997">
        <w:t xml:space="preserve"> </w:t>
      </w:r>
      <w:r w:rsidRPr="00643997">
        <w:rPr>
          <w:b/>
        </w:rPr>
        <w:t>84</w:t>
      </w:r>
      <w:r w:rsidRPr="00643997">
        <w:t>(2): 326-328.</w:t>
      </w:r>
    </w:p>
    <w:p w14:paraId="65446876" w14:textId="685DACBB" w:rsidR="008F29CE" w:rsidRPr="00643997" w:rsidRDefault="008F29CE" w:rsidP="00643997">
      <w:pPr>
        <w:pStyle w:val="EndNoteBibliography"/>
      </w:pPr>
      <w:r>
        <w:t>Moss, A., Williams, S.J., Hourigan, L.F</w:t>
      </w:r>
      <w:r w:rsidR="00256E7A">
        <w:t xml:space="preserve"> et al</w:t>
      </w:r>
      <w:r>
        <w:t xml:space="preserve">, 2015. Long-term adenoma recurrence following wide-field endoscopic mucosal resection (WF-EMR) for advanced colonic mucosal neoplasia is infrequent: results and risk factors in 1000 cases from the Australian Colonic EMR (ACE) study. </w:t>
      </w:r>
      <w:r w:rsidRPr="00064EFB">
        <w:rPr>
          <w:iCs/>
          <w:u w:val="single"/>
        </w:rPr>
        <w:t>Gut</w:t>
      </w:r>
      <w:r>
        <w:t xml:space="preserve">, </w:t>
      </w:r>
      <w:r w:rsidRPr="00064EFB">
        <w:rPr>
          <w:b/>
          <w:iCs/>
        </w:rPr>
        <w:t>64</w:t>
      </w:r>
      <w:r w:rsidRPr="00064EFB">
        <w:t>(</w:t>
      </w:r>
      <w:r>
        <w:t>1), pp.57-65.</w:t>
      </w:r>
    </w:p>
    <w:p w14:paraId="07CD0005" w14:textId="77777777" w:rsidR="00643997" w:rsidRPr="00643997" w:rsidRDefault="00643997" w:rsidP="00643997">
      <w:pPr>
        <w:pStyle w:val="EndNoteBibliography"/>
      </w:pPr>
      <w:r w:rsidRPr="00643997">
        <w:t xml:space="preserve">Swan, MP, Bourke, MJ, et al. (2009). "Large refractory colonic polyps: is it time to change our practice? A prospective study of the clinical and economic impact of a tertiary referral colonic mucosal resection and polypectomy service (with videos)." </w:t>
      </w:r>
      <w:r w:rsidRPr="00643997">
        <w:rPr>
          <w:u w:val="single"/>
        </w:rPr>
        <w:t>Gastrointestinal endoscopy</w:t>
      </w:r>
      <w:r w:rsidRPr="00643997">
        <w:t xml:space="preserve"> </w:t>
      </w:r>
      <w:r w:rsidRPr="00643997">
        <w:rPr>
          <w:b/>
        </w:rPr>
        <w:t>70</w:t>
      </w:r>
      <w:r w:rsidRPr="00643997">
        <w:t>(6): 1128-1136.</w:t>
      </w:r>
    </w:p>
    <w:sectPr w:rsidR="00643997" w:rsidRPr="00643997">
      <w:head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69D15" w14:textId="77777777" w:rsidR="00E250C7" w:rsidRDefault="00E250C7" w:rsidP="003D699E">
      <w:pPr>
        <w:spacing w:after="0" w:line="240" w:lineRule="auto"/>
      </w:pPr>
      <w:r>
        <w:separator/>
      </w:r>
    </w:p>
  </w:endnote>
  <w:endnote w:type="continuationSeparator" w:id="0">
    <w:p w14:paraId="3B194268" w14:textId="77777777" w:rsidR="00E250C7" w:rsidRDefault="00E250C7"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7177B5A8" w14:textId="0743BC18" w:rsidR="00E7675E" w:rsidRDefault="00E7675E" w:rsidP="002F5A4F">
        <w:pPr>
          <w:pStyle w:val="Footer"/>
          <w:pBdr>
            <w:top w:val="single" w:sz="4" w:space="1" w:color="D9D9D9" w:themeColor="background1" w:themeShade="D9"/>
          </w:pBdr>
          <w:tabs>
            <w:tab w:val="clear" w:pos="4513"/>
            <w:tab w:val="center" w:pos="4253"/>
          </w:tabs>
          <w:jc w:val="cente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DF0206" w:rsidRPr="00DF0206">
          <w:rPr>
            <w:b/>
            <w:bCs/>
            <w:noProof/>
            <w:sz w:val="18"/>
            <w:szCs w:val="18"/>
          </w:rPr>
          <w:t>17</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Pr>
            <w:color w:val="808080" w:themeColor="background1" w:themeShade="80"/>
            <w:spacing w:val="60"/>
            <w:sz w:val="18"/>
            <w:szCs w:val="18"/>
          </w:rPr>
          <w:tab/>
        </w:r>
        <w:r w:rsidR="002F5A4F">
          <w:rPr>
            <w:color w:val="808080" w:themeColor="background1" w:themeShade="80"/>
            <w:spacing w:val="60"/>
            <w:sz w:val="18"/>
            <w:szCs w:val="18"/>
          </w:rPr>
          <w:br/>
          <w:t xml:space="preserve">Ratified PICO </w:t>
        </w:r>
        <w:r>
          <w:rPr>
            <w:color w:val="808080" w:themeColor="background1" w:themeShade="80"/>
            <w:spacing w:val="60"/>
            <w:sz w:val="18"/>
            <w:szCs w:val="18"/>
          </w:rPr>
          <w:t xml:space="preserve">Confirmation </w:t>
        </w:r>
        <w:r w:rsidR="002F5A4F">
          <w:rPr>
            <w:color w:val="808080" w:themeColor="background1" w:themeShade="80"/>
            <w:spacing w:val="60"/>
            <w:sz w:val="18"/>
            <w:szCs w:val="18"/>
          </w:rPr>
          <w:t xml:space="preserve">- </w:t>
        </w:r>
        <w:r>
          <w:rPr>
            <w:color w:val="808080" w:themeColor="background1" w:themeShade="80"/>
            <w:spacing w:val="60"/>
            <w:sz w:val="18"/>
            <w:szCs w:val="18"/>
          </w:rPr>
          <w:t>Application 1559</w:t>
        </w:r>
      </w:p>
      <w:p w14:paraId="65900EE6" w14:textId="74141247" w:rsidR="00E7675E" w:rsidRPr="00CF2DFA" w:rsidRDefault="00E7675E" w:rsidP="007537F2">
        <w:pPr>
          <w:pStyle w:val="Footer"/>
          <w:pBdr>
            <w:top w:val="single" w:sz="4" w:space="1" w:color="D9D9D9" w:themeColor="background1" w:themeShade="D9"/>
          </w:pBdr>
          <w:jc w:val="both"/>
          <w:rPr>
            <w:b/>
            <w:bCs/>
            <w:sz w:val="18"/>
            <w:szCs w:val="18"/>
          </w:rPr>
        </w:pPr>
        <w:r w:rsidRPr="000248A3">
          <w:rPr>
            <w:color w:val="808080" w:themeColor="background1" w:themeShade="80"/>
            <w:spacing w:val="60"/>
            <w:sz w:val="18"/>
            <w:szCs w:val="18"/>
          </w:rPr>
          <w:t xml:space="preserve">Endoscopic Mucosal Resection (EMR) </w:t>
        </w:r>
        <w:r w:rsidR="00F178C3">
          <w:rPr>
            <w:color w:val="808080" w:themeColor="background1" w:themeShade="80"/>
            <w:spacing w:val="60"/>
            <w:sz w:val="18"/>
            <w:szCs w:val="18"/>
          </w:rPr>
          <w:t>as a therapeutic modality for large sessile colorectal polyps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A7B0F" w14:textId="77777777" w:rsidR="00E250C7" w:rsidRDefault="00E250C7" w:rsidP="003D699E">
      <w:pPr>
        <w:spacing w:after="0" w:line="240" w:lineRule="auto"/>
      </w:pPr>
      <w:r>
        <w:separator/>
      </w:r>
    </w:p>
  </w:footnote>
  <w:footnote w:type="continuationSeparator" w:id="0">
    <w:p w14:paraId="6DD37599" w14:textId="77777777" w:rsidR="00E250C7" w:rsidRDefault="00E250C7" w:rsidP="003D699E">
      <w:pPr>
        <w:spacing w:after="0" w:line="240" w:lineRule="auto"/>
      </w:pPr>
      <w:r>
        <w:continuationSeparator/>
      </w:r>
    </w:p>
  </w:footnote>
  <w:footnote w:id="1">
    <w:p w14:paraId="2B43AD8B" w14:textId="219C611B" w:rsidR="001E4319" w:rsidRDefault="001E4319">
      <w:pPr>
        <w:pStyle w:val="FootnoteText"/>
      </w:pPr>
      <w:r>
        <w:rPr>
          <w:rStyle w:val="FootnoteReference"/>
        </w:rPr>
        <w:footnoteRef/>
      </w:r>
      <w:r>
        <w:t xml:space="preserve"> </w:t>
      </w:r>
      <w:r w:rsidR="002A2458" w:rsidRPr="002A2458">
        <w:t>A colorectal lesion is considered non-invasive if it has not invaded into the submucosa of the colorectum</w:t>
      </w:r>
      <w:r w:rsidR="00440EC5">
        <w:t>.</w:t>
      </w:r>
    </w:p>
  </w:footnote>
  <w:footnote w:id="2">
    <w:p w14:paraId="3E464CCA" w14:textId="378D688D" w:rsidR="00103DB9" w:rsidRDefault="00103DB9">
      <w:pPr>
        <w:pStyle w:val="FootnoteText"/>
      </w:pPr>
      <w:r>
        <w:rPr>
          <w:rStyle w:val="FootnoteReference"/>
        </w:rPr>
        <w:footnoteRef/>
      </w:r>
      <w:r>
        <w:t xml:space="preserve"> </w:t>
      </w:r>
      <w:r w:rsidR="009F4A25" w:rsidRPr="00586707">
        <w:t>https://clinicaltrials.gov/ct2/show/NCT01368289?term=ACE%2FEMR&amp;rank=1</w:t>
      </w:r>
    </w:p>
  </w:footnote>
  <w:footnote w:id="3">
    <w:p w14:paraId="0C4134B8" w14:textId="7BBB46B7" w:rsidR="00E7675E" w:rsidRDefault="00E7675E">
      <w:pPr>
        <w:pStyle w:val="FootnoteText"/>
      </w:pPr>
      <w:r>
        <w:rPr>
          <w:rStyle w:val="FootnoteReference"/>
        </w:rPr>
        <w:footnoteRef/>
      </w:r>
      <w:r>
        <w:t xml:space="preserve"> Reported for code 10.06 (Endoscopy – gastrointestinal) by Non-Admitted Outpatient Service 2018-19 NWAU calculator available at: </w:t>
      </w:r>
      <w:hyperlink r:id="rId1" w:tooltip="Link to IHPA website" w:history="1">
        <w:r w:rsidRPr="006640AA">
          <w:rPr>
            <w:rStyle w:val="Hyperlink"/>
          </w:rPr>
          <w:t>https://www.ihpa.gov.au/what-we-do/pricing/national-weighted-activity-unit-nwau-calculators/nwau-calculators-2018-19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ECE8" w14:textId="34092DE4" w:rsidR="00E7675E" w:rsidRDefault="00E7675E">
    <w:pPr>
      <w:pStyle w:val="Header"/>
    </w:pPr>
    <w:r>
      <w:rPr>
        <w:noProof/>
        <w:lang w:eastAsia="en-AU"/>
      </w:rPr>
      <mc:AlternateContent>
        <mc:Choice Requires="wps">
          <w:drawing>
            <wp:inline distT="0" distB="0" distL="0" distR="0" wp14:anchorId="69B88CA7" wp14:editId="67110BDE">
              <wp:extent cx="7458710" cy="621030"/>
              <wp:effectExtent l="0" t="0" r="0" b="0"/>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E47363" w14:textId="77777777" w:rsidR="00E7675E" w:rsidRDefault="00E7675E" w:rsidP="00DA076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B88CA7" id="_x0000_t202" coordsize="21600,21600" o:spt="202" path="m,l,21600r21600,l21600,xe">
              <v:stroke joinstyle="miter"/>
              <v:path gradientshapeok="t" o:connecttype="rect"/>
            </v:shapetype>
            <v:shape id="WordArt 6" o:spid="_x0000_s1026" type="#_x0000_t202" style="width:587.3pt;height:48.9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filled="f" stroked="f">
              <v:stroke joinstyle="round"/>
              <o:lock v:ext="edit" shapetype="t"/>
              <v:textbox style="mso-fit-shape-to-text:t">
                <w:txbxContent>
                  <w:p w14:paraId="2AE47363" w14:textId="77777777" w:rsidR="00E7675E" w:rsidRDefault="00E7675E" w:rsidP="00DA076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7F56F4"/>
    <w:multiLevelType w:val="hybridMultilevel"/>
    <w:tmpl w:val="19009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46233"/>
    <w:multiLevelType w:val="hybridMultilevel"/>
    <w:tmpl w:val="0AEA35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3"/>
  </w:num>
  <w:num w:numId="4">
    <w:abstractNumId w:val="9"/>
  </w:num>
  <w:num w:numId="5">
    <w:abstractNumId w:val="10"/>
  </w:num>
  <w:num w:numId="6">
    <w:abstractNumId w:val="5"/>
  </w:num>
  <w:num w:numId="7">
    <w:abstractNumId w:val="2"/>
  </w:num>
  <w:num w:numId="8">
    <w:abstractNumId w:val="1"/>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 TG Edi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trxwppgpd2wde2swb5es9g90ffpzr5dx2p&quot;&gt;HTAccess EndNote Library-Saved&lt;record-ids&gt;&lt;item&gt;2559&lt;/item&gt;&lt;item&gt;4590&lt;/item&gt;&lt;item&gt;4591&lt;/item&gt;&lt;item&gt;4592&lt;/item&gt;&lt;item&gt;4593&lt;/item&gt;&lt;item&gt;4594&lt;/item&gt;&lt;item&gt;4596&lt;/item&gt;&lt;item&gt;4598&lt;/item&gt;&lt;item&gt;4600&lt;/item&gt;&lt;item&gt;4603&lt;/item&gt;&lt;/record-ids&gt;&lt;/item&gt;&lt;/Libraries&gt;"/>
  </w:docVars>
  <w:rsids>
    <w:rsidRoot w:val="0044715D"/>
    <w:rsid w:val="00002118"/>
    <w:rsid w:val="000042B0"/>
    <w:rsid w:val="00004548"/>
    <w:rsid w:val="00006039"/>
    <w:rsid w:val="000060B3"/>
    <w:rsid w:val="00007F4D"/>
    <w:rsid w:val="000104A6"/>
    <w:rsid w:val="00013ADC"/>
    <w:rsid w:val="00014375"/>
    <w:rsid w:val="00015072"/>
    <w:rsid w:val="00017210"/>
    <w:rsid w:val="00020F34"/>
    <w:rsid w:val="000213DC"/>
    <w:rsid w:val="000240D8"/>
    <w:rsid w:val="00024231"/>
    <w:rsid w:val="0002423C"/>
    <w:rsid w:val="00024748"/>
    <w:rsid w:val="000248A3"/>
    <w:rsid w:val="00026A43"/>
    <w:rsid w:val="00027ACD"/>
    <w:rsid w:val="0003068E"/>
    <w:rsid w:val="000319CE"/>
    <w:rsid w:val="00032A52"/>
    <w:rsid w:val="00032F32"/>
    <w:rsid w:val="000346E7"/>
    <w:rsid w:val="00034B7D"/>
    <w:rsid w:val="0003657C"/>
    <w:rsid w:val="00037138"/>
    <w:rsid w:val="0003799F"/>
    <w:rsid w:val="00041D00"/>
    <w:rsid w:val="00042ABF"/>
    <w:rsid w:val="00042CC6"/>
    <w:rsid w:val="00043A96"/>
    <w:rsid w:val="00045747"/>
    <w:rsid w:val="00046B9B"/>
    <w:rsid w:val="00046F06"/>
    <w:rsid w:val="00050211"/>
    <w:rsid w:val="00051713"/>
    <w:rsid w:val="00053D2E"/>
    <w:rsid w:val="000540A7"/>
    <w:rsid w:val="00055865"/>
    <w:rsid w:val="00057693"/>
    <w:rsid w:val="00060A54"/>
    <w:rsid w:val="00063AC8"/>
    <w:rsid w:val="000641F0"/>
    <w:rsid w:val="00064EFB"/>
    <w:rsid w:val="00065645"/>
    <w:rsid w:val="00070E31"/>
    <w:rsid w:val="0007191E"/>
    <w:rsid w:val="0007439A"/>
    <w:rsid w:val="0007452A"/>
    <w:rsid w:val="000747E0"/>
    <w:rsid w:val="0007662D"/>
    <w:rsid w:val="000772B5"/>
    <w:rsid w:val="00077EC5"/>
    <w:rsid w:val="00077FF4"/>
    <w:rsid w:val="000800D1"/>
    <w:rsid w:val="0008074B"/>
    <w:rsid w:val="000834C5"/>
    <w:rsid w:val="00084FA1"/>
    <w:rsid w:val="00085073"/>
    <w:rsid w:val="00085334"/>
    <w:rsid w:val="000859EF"/>
    <w:rsid w:val="000866FE"/>
    <w:rsid w:val="00086B35"/>
    <w:rsid w:val="000872AA"/>
    <w:rsid w:val="00087B29"/>
    <w:rsid w:val="00087D64"/>
    <w:rsid w:val="00087FAB"/>
    <w:rsid w:val="000900A2"/>
    <w:rsid w:val="0009266E"/>
    <w:rsid w:val="00093BB8"/>
    <w:rsid w:val="00095593"/>
    <w:rsid w:val="00095927"/>
    <w:rsid w:val="00095C77"/>
    <w:rsid w:val="00095CC9"/>
    <w:rsid w:val="00096266"/>
    <w:rsid w:val="00097452"/>
    <w:rsid w:val="000A0B48"/>
    <w:rsid w:val="000A0D38"/>
    <w:rsid w:val="000A0FBA"/>
    <w:rsid w:val="000A7708"/>
    <w:rsid w:val="000B0814"/>
    <w:rsid w:val="000B0C31"/>
    <w:rsid w:val="000B1C77"/>
    <w:rsid w:val="000B3AF2"/>
    <w:rsid w:val="000B519A"/>
    <w:rsid w:val="000B755E"/>
    <w:rsid w:val="000C0D03"/>
    <w:rsid w:val="000C5484"/>
    <w:rsid w:val="000C5581"/>
    <w:rsid w:val="000D039F"/>
    <w:rsid w:val="000D2481"/>
    <w:rsid w:val="000D3315"/>
    <w:rsid w:val="000D39B6"/>
    <w:rsid w:val="000D57CB"/>
    <w:rsid w:val="000D644C"/>
    <w:rsid w:val="000D66BE"/>
    <w:rsid w:val="000D7B96"/>
    <w:rsid w:val="000E09CE"/>
    <w:rsid w:val="000E2832"/>
    <w:rsid w:val="000E6A47"/>
    <w:rsid w:val="000E6F2A"/>
    <w:rsid w:val="000E6FC1"/>
    <w:rsid w:val="000E73B4"/>
    <w:rsid w:val="000E7E5C"/>
    <w:rsid w:val="000F0548"/>
    <w:rsid w:val="000F29C3"/>
    <w:rsid w:val="000F2ADA"/>
    <w:rsid w:val="000F358D"/>
    <w:rsid w:val="000F4FC9"/>
    <w:rsid w:val="000F57D2"/>
    <w:rsid w:val="00100285"/>
    <w:rsid w:val="0010340A"/>
    <w:rsid w:val="00103472"/>
    <w:rsid w:val="00103DB9"/>
    <w:rsid w:val="00105589"/>
    <w:rsid w:val="00107B58"/>
    <w:rsid w:val="00110050"/>
    <w:rsid w:val="001106B8"/>
    <w:rsid w:val="001117D0"/>
    <w:rsid w:val="001138CC"/>
    <w:rsid w:val="00114815"/>
    <w:rsid w:val="001210F8"/>
    <w:rsid w:val="00122069"/>
    <w:rsid w:val="001242CC"/>
    <w:rsid w:val="001260E1"/>
    <w:rsid w:val="001263E5"/>
    <w:rsid w:val="001278A3"/>
    <w:rsid w:val="00130EAB"/>
    <w:rsid w:val="00131749"/>
    <w:rsid w:val="0013319F"/>
    <w:rsid w:val="00135265"/>
    <w:rsid w:val="001353AF"/>
    <w:rsid w:val="00136CB4"/>
    <w:rsid w:val="00137F15"/>
    <w:rsid w:val="0014067A"/>
    <w:rsid w:val="00140C28"/>
    <w:rsid w:val="001418E3"/>
    <w:rsid w:val="00142764"/>
    <w:rsid w:val="0014342D"/>
    <w:rsid w:val="00143F34"/>
    <w:rsid w:val="001455EC"/>
    <w:rsid w:val="001464B6"/>
    <w:rsid w:val="00146741"/>
    <w:rsid w:val="001508F1"/>
    <w:rsid w:val="001513BE"/>
    <w:rsid w:val="0015187A"/>
    <w:rsid w:val="00153548"/>
    <w:rsid w:val="001535C4"/>
    <w:rsid w:val="00153CB0"/>
    <w:rsid w:val="00153DAE"/>
    <w:rsid w:val="001574D2"/>
    <w:rsid w:val="00157BC9"/>
    <w:rsid w:val="00162931"/>
    <w:rsid w:val="00164097"/>
    <w:rsid w:val="001675B7"/>
    <w:rsid w:val="00167925"/>
    <w:rsid w:val="0017140F"/>
    <w:rsid w:val="00171CF5"/>
    <w:rsid w:val="00172416"/>
    <w:rsid w:val="00172B4E"/>
    <w:rsid w:val="00176BCE"/>
    <w:rsid w:val="00177151"/>
    <w:rsid w:val="00177ED2"/>
    <w:rsid w:val="001803FA"/>
    <w:rsid w:val="00182397"/>
    <w:rsid w:val="001833A0"/>
    <w:rsid w:val="00183F16"/>
    <w:rsid w:val="001851DC"/>
    <w:rsid w:val="00185A78"/>
    <w:rsid w:val="001865E1"/>
    <w:rsid w:val="00187073"/>
    <w:rsid w:val="0019064C"/>
    <w:rsid w:val="00190ED5"/>
    <w:rsid w:val="00191E53"/>
    <w:rsid w:val="00192C9F"/>
    <w:rsid w:val="001945F9"/>
    <w:rsid w:val="0019493F"/>
    <w:rsid w:val="00195D7A"/>
    <w:rsid w:val="00195EE2"/>
    <w:rsid w:val="0019780B"/>
    <w:rsid w:val="00197879"/>
    <w:rsid w:val="001A2E96"/>
    <w:rsid w:val="001A318B"/>
    <w:rsid w:val="001A414F"/>
    <w:rsid w:val="001A4A52"/>
    <w:rsid w:val="001A6303"/>
    <w:rsid w:val="001A68C9"/>
    <w:rsid w:val="001A6F00"/>
    <w:rsid w:val="001A7C1F"/>
    <w:rsid w:val="001B13D3"/>
    <w:rsid w:val="001B6E89"/>
    <w:rsid w:val="001C04D3"/>
    <w:rsid w:val="001C22A0"/>
    <w:rsid w:val="001C2A1E"/>
    <w:rsid w:val="001C2FCD"/>
    <w:rsid w:val="001C3FEF"/>
    <w:rsid w:val="001D19FF"/>
    <w:rsid w:val="001D3616"/>
    <w:rsid w:val="001D4C4F"/>
    <w:rsid w:val="001D6311"/>
    <w:rsid w:val="001D6557"/>
    <w:rsid w:val="001D6C75"/>
    <w:rsid w:val="001D6C7F"/>
    <w:rsid w:val="001D6ED3"/>
    <w:rsid w:val="001D7714"/>
    <w:rsid w:val="001E12FC"/>
    <w:rsid w:val="001E1B91"/>
    <w:rsid w:val="001E362B"/>
    <w:rsid w:val="001E41DF"/>
    <w:rsid w:val="001E4319"/>
    <w:rsid w:val="001E5942"/>
    <w:rsid w:val="001E6BF6"/>
    <w:rsid w:val="001E70EC"/>
    <w:rsid w:val="001E7C4A"/>
    <w:rsid w:val="001F2A5C"/>
    <w:rsid w:val="001F315C"/>
    <w:rsid w:val="001F40A0"/>
    <w:rsid w:val="001F4BC9"/>
    <w:rsid w:val="001F55B5"/>
    <w:rsid w:val="001F7EA9"/>
    <w:rsid w:val="00201E7A"/>
    <w:rsid w:val="00204D88"/>
    <w:rsid w:val="0020530E"/>
    <w:rsid w:val="002059DA"/>
    <w:rsid w:val="0020610D"/>
    <w:rsid w:val="00206BD5"/>
    <w:rsid w:val="00207B0C"/>
    <w:rsid w:val="00207E9D"/>
    <w:rsid w:val="0021088C"/>
    <w:rsid w:val="00212794"/>
    <w:rsid w:val="00212EBD"/>
    <w:rsid w:val="00213E8B"/>
    <w:rsid w:val="002147E1"/>
    <w:rsid w:val="00214AEF"/>
    <w:rsid w:val="00215467"/>
    <w:rsid w:val="00217C58"/>
    <w:rsid w:val="00224211"/>
    <w:rsid w:val="002249BB"/>
    <w:rsid w:val="00226E7E"/>
    <w:rsid w:val="002301DF"/>
    <w:rsid w:val="00231BD6"/>
    <w:rsid w:val="00231EB9"/>
    <w:rsid w:val="002337F6"/>
    <w:rsid w:val="002340B7"/>
    <w:rsid w:val="002354B9"/>
    <w:rsid w:val="0023606E"/>
    <w:rsid w:val="00237F70"/>
    <w:rsid w:val="00242C8F"/>
    <w:rsid w:val="00242F30"/>
    <w:rsid w:val="00242F38"/>
    <w:rsid w:val="00243B08"/>
    <w:rsid w:val="00243EB4"/>
    <w:rsid w:val="002445B2"/>
    <w:rsid w:val="0024499D"/>
    <w:rsid w:val="002458BA"/>
    <w:rsid w:val="00246913"/>
    <w:rsid w:val="0025141C"/>
    <w:rsid w:val="00251DF3"/>
    <w:rsid w:val="00252479"/>
    <w:rsid w:val="002525CE"/>
    <w:rsid w:val="00252639"/>
    <w:rsid w:val="00253526"/>
    <w:rsid w:val="002541A5"/>
    <w:rsid w:val="00256E7A"/>
    <w:rsid w:val="00257CC7"/>
    <w:rsid w:val="00257D82"/>
    <w:rsid w:val="00260964"/>
    <w:rsid w:val="00260E83"/>
    <w:rsid w:val="00263E34"/>
    <w:rsid w:val="002645DD"/>
    <w:rsid w:val="002652B2"/>
    <w:rsid w:val="00273386"/>
    <w:rsid w:val="0027489B"/>
    <w:rsid w:val="00275C53"/>
    <w:rsid w:val="00276CAC"/>
    <w:rsid w:val="002777DE"/>
    <w:rsid w:val="00277919"/>
    <w:rsid w:val="00277B70"/>
    <w:rsid w:val="00281170"/>
    <w:rsid w:val="00282B7B"/>
    <w:rsid w:val="00283330"/>
    <w:rsid w:val="00283B47"/>
    <w:rsid w:val="00283F41"/>
    <w:rsid w:val="002847A0"/>
    <w:rsid w:val="00285F45"/>
    <w:rsid w:val="002874A0"/>
    <w:rsid w:val="00287C73"/>
    <w:rsid w:val="002904C8"/>
    <w:rsid w:val="0029096F"/>
    <w:rsid w:val="00291849"/>
    <w:rsid w:val="00291CE0"/>
    <w:rsid w:val="00292DE9"/>
    <w:rsid w:val="00293942"/>
    <w:rsid w:val="00293C7B"/>
    <w:rsid w:val="00294370"/>
    <w:rsid w:val="00296041"/>
    <w:rsid w:val="00296149"/>
    <w:rsid w:val="00297FDA"/>
    <w:rsid w:val="002A03CE"/>
    <w:rsid w:val="002A22E4"/>
    <w:rsid w:val="002A23C8"/>
    <w:rsid w:val="002A2458"/>
    <w:rsid w:val="002A33DF"/>
    <w:rsid w:val="002A457B"/>
    <w:rsid w:val="002A4909"/>
    <w:rsid w:val="002A54A0"/>
    <w:rsid w:val="002A611A"/>
    <w:rsid w:val="002A66BD"/>
    <w:rsid w:val="002B1041"/>
    <w:rsid w:val="002B20EC"/>
    <w:rsid w:val="002B226C"/>
    <w:rsid w:val="002B3338"/>
    <w:rsid w:val="002C0DA6"/>
    <w:rsid w:val="002C1C09"/>
    <w:rsid w:val="002C55DB"/>
    <w:rsid w:val="002C5C90"/>
    <w:rsid w:val="002C61FD"/>
    <w:rsid w:val="002C7B8F"/>
    <w:rsid w:val="002D0A89"/>
    <w:rsid w:val="002D3979"/>
    <w:rsid w:val="002D70B6"/>
    <w:rsid w:val="002D756C"/>
    <w:rsid w:val="002D7CCE"/>
    <w:rsid w:val="002E2348"/>
    <w:rsid w:val="002E2373"/>
    <w:rsid w:val="002E25C4"/>
    <w:rsid w:val="002E33FE"/>
    <w:rsid w:val="002E46D2"/>
    <w:rsid w:val="002E471A"/>
    <w:rsid w:val="002E4753"/>
    <w:rsid w:val="002E7060"/>
    <w:rsid w:val="002F1391"/>
    <w:rsid w:val="002F2262"/>
    <w:rsid w:val="002F28CD"/>
    <w:rsid w:val="002F3B96"/>
    <w:rsid w:val="002F3FB2"/>
    <w:rsid w:val="002F4037"/>
    <w:rsid w:val="002F4072"/>
    <w:rsid w:val="002F5A4F"/>
    <w:rsid w:val="002F5E0B"/>
    <w:rsid w:val="002F5E4F"/>
    <w:rsid w:val="002F617F"/>
    <w:rsid w:val="003026C6"/>
    <w:rsid w:val="0030354C"/>
    <w:rsid w:val="00303C94"/>
    <w:rsid w:val="0030421A"/>
    <w:rsid w:val="003057B0"/>
    <w:rsid w:val="00310767"/>
    <w:rsid w:val="00310F8B"/>
    <w:rsid w:val="00311BAC"/>
    <w:rsid w:val="00312C68"/>
    <w:rsid w:val="00312C83"/>
    <w:rsid w:val="00314CC9"/>
    <w:rsid w:val="00314D53"/>
    <w:rsid w:val="00315BC9"/>
    <w:rsid w:val="0031649D"/>
    <w:rsid w:val="00317ABB"/>
    <w:rsid w:val="00320458"/>
    <w:rsid w:val="00323A07"/>
    <w:rsid w:val="0032646F"/>
    <w:rsid w:val="0033008C"/>
    <w:rsid w:val="0033144D"/>
    <w:rsid w:val="003314BE"/>
    <w:rsid w:val="003333EA"/>
    <w:rsid w:val="0033387A"/>
    <w:rsid w:val="003340B0"/>
    <w:rsid w:val="003342B7"/>
    <w:rsid w:val="003345FA"/>
    <w:rsid w:val="00334A77"/>
    <w:rsid w:val="0034113E"/>
    <w:rsid w:val="0034140B"/>
    <w:rsid w:val="00342D8D"/>
    <w:rsid w:val="00344ED4"/>
    <w:rsid w:val="003467A9"/>
    <w:rsid w:val="00346E77"/>
    <w:rsid w:val="00350650"/>
    <w:rsid w:val="00351252"/>
    <w:rsid w:val="0035449E"/>
    <w:rsid w:val="0035570A"/>
    <w:rsid w:val="003565C4"/>
    <w:rsid w:val="00357B6D"/>
    <w:rsid w:val="00362776"/>
    <w:rsid w:val="00363117"/>
    <w:rsid w:val="00363B13"/>
    <w:rsid w:val="00364BAC"/>
    <w:rsid w:val="00364DD1"/>
    <w:rsid w:val="003652E6"/>
    <w:rsid w:val="003657C0"/>
    <w:rsid w:val="00366452"/>
    <w:rsid w:val="00366C79"/>
    <w:rsid w:val="00367240"/>
    <w:rsid w:val="00367266"/>
    <w:rsid w:val="00367A12"/>
    <w:rsid w:val="003711A9"/>
    <w:rsid w:val="00371BE3"/>
    <w:rsid w:val="00372EAE"/>
    <w:rsid w:val="00374C51"/>
    <w:rsid w:val="003765CF"/>
    <w:rsid w:val="00377484"/>
    <w:rsid w:val="0038260F"/>
    <w:rsid w:val="00382875"/>
    <w:rsid w:val="00383001"/>
    <w:rsid w:val="0038410D"/>
    <w:rsid w:val="0038427D"/>
    <w:rsid w:val="003861C8"/>
    <w:rsid w:val="003879A7"/>
    <w:rsid w:val="00391BA1"/>
    <w:rsid w:val="003931AA"/>
    <w:rsid w:val="00394310"/>
    <w:rsid w:val="00394B54"/>
    <w:rsid w:val="00397940"/>
    <w:rsid w:val="003A2373"/>
    <w:rsid w:val="003A3207"/>
    <w:rsid w:val="003A5FB4"/>
    <w:rsid w:val="003A6564"/>
    <w:rsid w:val="003A7218"/>
    <w:rsid w:val="003A731A"/>
    <w:rsid w:val="003A79B7"/>
    <w:rsid w:val="003B1386"/>
    <w:rsid w:val="003B1612"/>
    <w:rsid w:val="003B34CD"/>
    <w:rsid w:val="003B376A"/>
    <w:rsid w:val="003B4016"/>
    <w:rsid w:val="003B4875"/>
    <w:rsid w:val="003B5DAB"/>
    <w:rsid w:val="003B6337"/>
    <w:rsid w:val="003B7417"/>
    <w:rsid w:val="003C2ADC"/>
    <w:rsid w:val="003C2DED"/>
    <w:rsid w:val="003C4974"/>
    <w:rsid w:val="003C64BB"/>
    <w:rsid w:val="003D2064"/>
    <w:rsid w:val="003D2CD8"/>
    <w:rsid w:val="003D33FA"/>
    <w:rsid w:val="003D34F8"/>
    <w:rsid w:val="003D3864"/>
    <w:rsid w:val="003D5562"/>
    <w:rsid w:val="003D5A42"/>
    <w:rsid w:val="003D6555"/>
    <w:rsid w:val="003D699E"/>
    <w:rsid w:val="003D6E62"/>
    <w:rsid w:val="003E0382"/>
    <w:rsid w:val="003E06BF"/>
    <w:rsid w:val="003E0A2A"/>
    <w:rsid w:val="003E1ED4"/>
    <w:rsid w:val="003E2204"/>
    <w:rsid w:val="003E2327"/>
    <w:rsid w:val="003E37A6"/>
    <w:rsid w:val="003E3A64"/>
    <w:rsid w:val="003E57F4"/>
    <w:rsid w:val="003E5F92"/>
    <w:rsid w:val="003E62F6"/>
    <w:rsid w:val="003E6E9D"/>
    <w:rsid w:val="003E6F00"/>
    <w:rsid w:val="003F29E5"/>
    <w:rsid w:val="003F39A4"/>
    <w:rsid w:val="003F3C8B"/>
    <w:rsid w:val="003F3FDE"/>
    <w:rsid w:val="003F5D7B"/>
    <w:rsid w:val="003F674D"/>
    <w:rsid w:val="003F6B83"/>
    <w:rsid w:val="0040023B"/>
    <w:rsid w:val="00401FD5"/>
    <w:rsid w:val="00403EE6"/>
    <w:rsid w:val="00404F20"/>
    <w:rsid w:val="00405966"/>
    <w:rsid w:val="004059FE"/>
    <w:rsid w:val="0040725C"/>
    <w:rsid w:val="004072C4"/>
    <w:rsid w:val="0041036C"/>
    <w:rsid w:val="00411511"/>
    <w:rsid w:val="0041211D"/>
    <w:rsid w:val="00412AA7"/>
    <w:rsid w:val="00413E83"/>
    <w:rsid w:val="0041485E"/>
    <w:rsid w:val="00416AB9"/>
    <w:rsid w:val="00421692"/>
    <w:rsid w:val="0042291C"/>
    <w:rsid w:val="00422BEC"/>
    <w:rsid w:val="00423767"/>
    <w:rsid w:val="00423CA4"/>
    <w:rsid w:val="0042483F"/>
    <w:rsid w:val="00426DE7"/>
    <w:rsid w:val="00430F26"/>
    <w:rsid w:val="00431162"/>
    <w:rsid w:val="00431CD2"/>
    <w:rsid w:val="00433629"/>
    <w:rsid w:val="004350D8"/>
    <w:rsid w:val="00436439"/>
    <w:rsid w:val="00440049"/>
    <w:rsid w:val="00440228"/>
    <w:rsid w:val="00440781"/>
    <w:rsid w:val="00440EC5"/>
    <w:rsid w:val="00443CB8"/>
    <w:rsid w:val="004459B5"/>
    <w:rsid w:val="004459D2"/>
    <w:rsid w:val="00446605"/>
    <w:rsid w:val="00446FBC"/>
    <w:rsid w:val="0044715D"/>
    <w:rsid w:val="00450223"/>
    <w:rsid w:val="004518AA"/>
    <w:rsid w:val="004546B5"/>
    <w:rsid w:val="00454A15"/>
    <w:rsid w:val="00457732"/>
    <w:rsid w:val="00461165"/>
    <w:rsid w:val="00461260"/>
    <w:rsid w:val="004612AC"/>
    <w:rsid w:val="00463231"/>
    <w:rsid w:val="0046349D"/>
    <w:rsid w:val="004674BD"/>
    <w:rsid w:val="004678F2"/>
    <w:rsid w:val="00470F7A"/>
    <w:rsid w:val="00471CA2"/>
    <w:rsid w:val="0047206C"/>
    <w:rsid w:val="00473A45"/>
    <w:rsid w:val="0047482B"/>
    <w:rsid w:val="00475FD0"/>
    <w:rsid w:val="004807C1"/>
    <w:rsid w:val="00481505"/>
    <w:rsid w:val="00481830"/>
    <w:rsid w:val="00482884"/>
    <w:rsid w:val="00483605"/>
    <w:rsid w:val="00483937"/>
    <w:rsid w:val="0048654F"/>
    <w:rsid w:val="00486BF5"/>
    <w:rsid w:val="00487DDD"/>
    <w:rsid w:val="004920E5"/>
    <w:rsid w:val="0049342F"/>
    <w:rsid w:val="004944C4"/>
    <w:rsid w:val="00495ABA"/>
    <w:rsid w:val="00495E78"/>
    <w:rsid w:val="00495EEB"/>
    <w:rsid w:val="004967B0"/>
    <w:rsid w:val="004A0B71"/>
    <w:rsid w:val="004A187C"/>
    <w:rsid w:val="004A2657"/>
    <w:rsid w:val="004A295D"/>
    <w:rsid w:val="004A309C"/>
    <w:rsid w:val="004A3843"/>
    <w:rsid w:val="004A6E1B"/>
    <w:rsid w:val="004B0EA9"/>
    <w:rsid w:val="004B167D"/>
    <w:rsid w:val="004B2A1A"/>
    <w:rsid w:val="004B5503"/>
    <w:rsid w:val="004B6658"/>
    <w:rsid w:val="004B6684"/>
    <w:rsid w:val="004B6D48"/>
    <w:rsid w:val="004B6DDE"/>
    <w:rsid w:val="004B7BC1"/>
    <w:rsid w:val="004C1F45"/>
    <w:rsid w:val="004C1FA9"/>
    <w:rsid w:val="004C476D"/>
    <w:rsid w:val="004C52A7"/>
    <w:rsid w:val="004D1641"/>
    <w:rsid w:val="004D16AA"/>
    <w:rsid w:val="004D1D41"/>
    <w:rsid w:val="004D31F5"/>
    <w:rsid w:val="004D3341"/>
    <w:rsid w:val="004D3B34"/>
    <w:rsid w:val="004D4BF4"/>
    <w:rsid w:val="004E22B7"/>
    <w:rsid w:val="004E2C75"/>
    <w:rsid w:val="004E3702"/>
    <w:rsid w:val="004E4A98"/>
    <w:rsid w:val="004E50AA"/>
    <w:rsid w:val="004E5496"/>
    <w:rsid w:val="004E65FC"/>
    <w:rsid w:val="004E711F"/>
    <w:rsid w:val="004F2768"/>
    <w:rsid w:val="004F2F23"/>
    <w:rsid w:val="004F3641"/>
    <w:rsid w:val="004F39D1"/>
    <w:rsid w:val="004F3FD5"/>
    <w:rsid w:val="004F7409"/>
    <w:rsid w:val="00502674"/>
    <w:rsid w:val="00502C7B"/>
    <w:rsid w:val="005032D5"/>
    <w:rsid w:val="00503E30"/>
    <w:rsid w:val="00505B0B"/>
    <w:rsid w:val="00511625"/>
    <w:rsid w:val="00511A1B"/>
    <w:rsid w:val="00512AEC"/>
    <w:rsid w:val="00513F79"/>
    <w:rsid w:val="00515712"/>
    <w:rsid w:val="00516D9A"/>
    <w:rsid w:val="00520804"/>
    <w:rsid w:val="00521E47"/>
    <w:rsid w:val="00522740"/>
    <w:rsid w:val="00523C6F"/>
    <w:rsid w:val="00524206"/>
    <w:rsid w:val="00525201"/>
    <w:rsid w:val="005254B5"/>
    <w:rsid w:val="0052655C"/>
    <w:rsid w:val="0052782D"/>
    <w:rsid w:val="005345AE"/>
    <w:rsid w:val="005364AC"/>
    <w:rsid w:val="0054171E"/>
    <w:rsid w:val="0054199A"/>
    <w:rsid w:val="00541AB7"/>
    <w:rsid w:val="0054267E"/>
    <w:rsid w:val="00543A25"/>
    <w:rsid w:val="00544D46"/>
    <w:rsid w:val="005456CD"/>
    <w:rsid w:val="0054595A"/>
    <w:rsid w:val="005472DE"/>
    <w:rsid w:val="0054772A"/>
    <w:rsid w:val="005477D3"/>
    <w:rsid w:val="00552986"/>
    <w:rsid w:val="00552FC7"/>
    <w:rsid w:val="00556B85"/>
    <w:rsid w:val="005572B1"/>
    <w:rsid w:val="005572DB"/>
    <w:rsid w:val="005574DB"/>
    <w:rsid w:val="00557F2F"/>
    <w:rsid w:val="00560217"/>
    <w:rsid w:val="00562005"/>
    <w:rsid w:val="00562E55"/>
    <w:rsid w:val="00563472"/>
    <w:rsid w:val="005640CC"/>
    <w:rsid w:val="00564CBB"/>
    <w:rsid w:val="00566B4D"/>
    <w:rsid w:val="00566D83"/>
    <w:rsid w:val="00567672"/>
    <w:rsid w:val="0057006C"/>
    <w:rsid w:val="00570966"/>
    <w:rsid w:val="00571A28"/>
    <w:rsid w:val="00573A2D"/>
    <w:rsid w:val="00576527"/>
    <w:rsid w:val="005818FD"/>
    <w:rsid w:val="005820EE"/>
    <w:rsid w:val="005825A1"/>
    <w:rsid w:val="00582B7C"/>
    <w:rsid w:val="005874D8"/>
    <w:rsid w:val="0059378A"/>
    <w:rsid w:val="005948C9"/>
    <w:rsid w:val="005965E7"/>
    <w:rsid w:val="005A2E28"/>
    <w:rsid w:val="005A314B"/>
    <w:rsid w:val="005A6B32"/>
    <w:rsid w:val="005A73FF"/>
    <w:rsid w:val="005B255E"/>
    <w:rsid w:val="005B3FA0"/>
    <w:rsid w:val="005B602E"/>
    <w:rsid w:val="005C0A96"/>
    <w:rsid w:val="005C24AF"/>
    <w:rsid w:val="005C56DB"/>
    <w:rsid w:val="005C7B58"/>
    <w:rsid w:val="005D05C6"/>
    <w:rsid w:val="005D0DC1"/>
    <w:rsid w:val="005D2061"/>
    <w:rsid w:val="005D2A27"/>
    <w:rsid w:val="005D375C"/>
    <w:rsid w:val="005D40C2"/>
    <w:rsid w:val="005D565A"/>
    <w:rsid w:val="005D68EE"/>
    <w:rsid w:val="005D6C97"/>
    <w:rsid w:val="005E22D7"/>
    <w:rsid w:val="005E27E5"/>
    <w:rsid w:val="005E43C4"/>
    <w:rsid w:val="005E43C5"/>
    <w:rsid w:val="005E4F74"/>
    <w:rsid w:val="005E54E3"/>
    <w:rsid w:val="005E5CC6"/>
    <w:rsid w:val="005E5FFE"/>
    <w:rsid w:val="005E653D"/>
    <w:rsid w:val="005E775C"/>
    <w:rsid w:val="005F1B33"/>
    <w:rsid w:val="005F4D2F"/>
    <w:rsid w:val="005F4E09"/>
    <w:rsid w:val="005F5565"/>
    <w:rsid w:val="005F72D0"/>
    <w:rsid w:val="005F77D1"/>
    <w:rsid w:val="005F7F89"/>
    <w:rsid w:val="00601F86"/>
    <w:rsid w:val="0060379D"/>
    <w:rsid w:val="00603E09"/>
    <w:rsid w:val="00606AA9"/>
    <w:rsid w:val="00607D2E"/>
    <w:rsid w:val="00610979"/>
    <w:rsid w:val="00610FFD"/>
    <w:rsid w:val="0061124D"/>
    <w:rsid w:val="006128DF"/>
    <w:rsid w:val="006134B6"/>
    <w:rsid w:val="00613688"/>
    <w:rsid w:val="00613EBA"/>
    <w:rsid w:val="006146C9"/>
    <w:rsid w:val="00616D65"/>
    <w:rsid w:val="00620860"/>
    <w:rsid w:val="00620FE7"/>
    <w:rsid w:val="006219B5"/>
    <w:rsid w:val="0062421B"/>
    <w:rsid w:val="006246C3"/>
    <w:rsid w:val="00624968"/>
    <w:rsid w:val="00624BE3"/>
    <w:rsid w:val="0062538B"/>
    <w:rsid w:val="00626196"/>
    <w:rsid w:val="006276D1"/>
    <w:rsid w:val="006277F7"/>
    <w:rsid w:val="00627B5C"/>
    <w:rsid w:val="00631166"/>
    <w:rsid w:val="00631838"/>
    <w:rsid w:val="00634515"/>
    <w:rsid w:val="0063456E"/>
    <w:rsid w:val="0063478F"/>
    <w:rsid w:val="0063652F"/>
    <w:rsid w:val="00637E6C"/>
    <w:rsid w:val="00643997"/>
    <w:rsid w:val="0064411E"/>
    <w:rsid w:val="00644920"/>
    <w:rsid w:val="00644F53"/>
    <w:rsid w:val="00645D5B"/>
    <w:rsid w:val="0065103A"/>
    <w:rsid w:val="00652129"/>
    <w:rsid w:val="00653A6D"/>
    <w:rsid w:val="00655327"/>
    <w:rsid w:val="0065537F"/>
    <w:rsid w:val="006561F9"/>
    <w:rsid w:val="006568D1"/>
    <w:rsid w:val="00657F34"/>
    <w:rsid w:val="00660D19"/>
    <w:rsid w:val="006622C5"/>
    <w:rsid w:val="00662CCC"/>
    <w:rsid w:val="00665B91"/>
    <w:rsid w:val="006668A0"/>
    <w:rsid w:val="00666FA3"/>
    <w:rsid w:val="00667DFE"/>
    <w:rsid w:val="00670563"/>
    <w:rsid w:val="00670D57"/>
    <w:rsid w:val="00672230"/>
    <w:rsid w:val="006738B6"/>
    <w:rsid w:val="006762A1"/>
    <w:rsid w:val="00680C58"/>
    <w:rsid w:val="00684A93"/>
    <w:rsid w:val="00684F26"/>
    <w:rsid w:val="006876F1"/>
    <w:rsid w:val="00687825"/>
    <w:rsid w:val="00690A4C"/>
    <w:rsid w:val="00690E10"/>
    <w:rsid w:val="00691138"/>
    <w:rsid w:val="00692422"/>
    <w:rsid w:val="0069370F"/>
    <w:rsid w:val="00694B90"/>
    <w:rsid w:val="00694DB8"/>
    <w:rsid w:val="006956D7"/>
    <w:rsid w:val="00695854"/>
    <w:rsid w:val="00695BFA"/>
    <w:rsid w:val="00696B71"/>
    <w:rsid w:val="006A099C"/>
    <w:rsid w:val="006A4AC2"/>
    <w:rsid w:val="006A54B9"/>
    <w:rsid w:val="006A5622"/>
    <w:rsid w:val="006A5C93"/>
    <w:rsid w:val="006A6A88"/>
    <w:rsid w:val="006A7F97"/>
    <w:rsid w:val="006B0A79"/>
    <w:rsid w:val="006B33A3"/>
    <w:rsid w:val="006B4C27"/>
    <w:rsid w:val="006B6204"/>
    <w:rsid w:val="006B6567"/>
    <w:rsid w:val="006B71FF"/>
    <w:rsid w:val="006B77F5"/>
    <w:rsid w:val="006C0557"/>
    <w:rsid w:val="006C07D2"/>
    <w:rsid w:val="006C0E90"/>
    <w:rsid w:val="006C1DB7"/>
    <w:rsid w:val="006C2701"/>
    <w:rsid w:val="006C7241"/>
    <w:rsid w:val="006C72BA"/>
    <w:rsid w:val="006C73B9"/>
    <w:rsid w:val="006C7831"/>
    <w:rsid w:val="006C7923"/>
    <w:rsid w:val="006C7F3D"/>
    <w:rsid w:val="006D1643"/>
    <w:rsid w:val="006D4488"/>
    <w:rsid w:val="006D482D"/>
    <w:rsid w:val="006D53A8"/>
    <w:rsid w:val="006D5AEA"/>
    <w:rsid w:val="006D7023"/>
    <w:rsid w:val="006E069A"/>
    <w:rsid w:val="006E1CE8"/>
    <w:rsid w:val="006E2B51"/>
    <w:rsid w:val="006E3B92"/>
    <w:rsid w:val="006E4863"/>
    <w:rsid w:val="006E494D"/>
    <w:rsid w:val="006E4C4D"/>
    <w:rsid w:val="006E60DB"/>
    <w:rsid w:val="006E768F"/>
    <w:rsid w:val="006F43FD"/>
    <w:rsid w:val="006F5479"/>
    <w:rsid w:val="006F6039"/>
    <w:rsid w:val="006F606E"/>
    <w:rsid w:val="007000A1"/>
    <w:rsid w:val="00701B16"/>
    <w:rsid w:val="007028D4"/>
    <w:rsid w:val="00703772"/>
    <w:rsid w:val="00703E67"/>
    <w:rsid w:val="00704735"/>
    <w:rsid w:val="00710679"/>
    <w:rsid w:val="00711107"/>
    <w:rsid w:val="00714CAC"/>
    <w:rsid w:val="00716038"/>
    <w:rsid w:val="007171C8"/>
    <w:rsid w:val="00717A32"/>
    <w:rsid w:val="00722098"/>
    <w:rsid w:val="0072377F"/>
    <w:rsid w:val="00724026"/>
    <w:rsid w:val="007247C5"/>
    <w:rsid w:val="00724E89"/>
    <w:rsid w:val="00727CC6"/>
    <w:rsid w:val="0073046A"/>
    <w:rsid w:val="007317F6"/>
    <w:rsid w:val="00734F81"/>
    <w:rsid w:val="007369C6"/>
    <w:rsid w:val="0073757B"/>
    <w:rsid w:val="007376D3"/>
    <w:rsid w:val="00737847"/>
    <w:rsid w:val="00740082"/>
    <w:rsid w:val="00740E6B"/>
    <w:rsid w:val="00742D0F"/>
    <w:rsid w:val="007430E9"/>
    <w:rsid w:val="00746F69"/>
    <w:rsid w:val="00747F62"/>
    <w:rsid w:val="00751006"/>
    <w:rsid w:val="0075107C"/>
    <w:rsid w:val="007519A7"/>
    <w:rsid w:val="00752491"/>
    <w:rsid w:val="007529B2"/>
    <w:rsid w:val="007537F2"/>
    <w:rsid w:val="00753A64"/>
    <w:rsid w:val="00754294"/>
    <w:rsid w:val="00754699"/>
    <w:rsid w:val="007548DA"/>
    <w:rsid w:val="007553AE"/>
    <w:rsid w:val="007575B3"/>
    <w:rsid w:val="0075786F"/>
    <w:rsid w:val="00761D0D"/>
    <w:rsid w:val="00762118"/>
    <w:rsid w:val="00762DEF"/>
    <w:rsid w:val="00763E32"/>
    <w:rsid w:val="00765544"/>
    <w:rsid w:val="0076667A"/>
    <w:rsid w:val="00767BAD"/>
    <w:rsid w:val="00767E32"/>
    <w:rsid w:val="007708D0"/>
    <w:rsid w:val="00770B67"/>
    <w:rsid w:val="007714C2"/>
    <w:rsid w:val="00771871"/>
    <w:rsid w:val="0077431C"/>
    <w:rsid w:val="007747D1"/>
    <w:rsid w:val="007753CC"/>
    <w:rsid w:val="0077641A"/>
    <w:rsid w:val="00776CC7"/>
    <w:rsid w:val="00780496"/>
    <w:rsid w:val="00781B7F"/>
    <w:rsid w:val="00782470"/>
    <w:rsid w:val="007827EF"/>
    <w:rsid w:val="00782875"/>
    <w:rsid w:val="00782C3A"/>
    <w:rsid w:val="0078323E"/>
    <w:rsid w:val="00784493"/>
    <w:rsid w:val="00785553"/>
    <w:rsid w:val="007864A4"/>
    <w:rsid w:val="00791C6B"/>
    <w:rsid w:val="00791E32"/>
    <w:rsid w:val="007949D3"/>
    <w:rsid w:val="0079614F"/>
    <w:rsid w:val="00796366"/>
    <w:rsid w:val="007977E1"/>
    <w:rsid w:val="007A0291"/>
    <w:rsid w:val="007A125B"/>
    <w:rsid w:val="007A2CC8"/>
    <w:rsid w:val="007A4504"/>
    <w:rsid w:val="007A58BA"/>
    <w:rsid w:val="007A7270"/>
    <w:rsid w:val="007A77E8"/>
    <w:rsid w:val="007B2CE0"/>
    <w:rsid w:val="007B39CF"/>
    <w:rsid w:val="007B3C86"/>
    <w:rsid w:val="007B48FE"/>
    <w:rsid w:val="007B4A78"/>
    <w:rsid w:val="007B5A90"/>
    <w:rsid w:val="007B5E9D"/>
    <w:rsid w:val="007B63E7"/>
    <w:rsid w:val="007C2C12"/>
    <w:rsid w:val="007C56B6"/>
    <w:rsid w:val="007C6D46"/>
    <w:rsid w:val="007D0E70"/>
    <w:rsid w:val="007D1B3C"/>
    <w:rsid w:val="007D2828"/>
    <w:rsid w:val="007D33AF"/>
    <w:rsid w:val="007D42F9"/>
    <w:rsid w:val="007D51C6"/>
    <w:rsid w:val="007E224C"/>
    <w:rsid w:val="007E307F"/>
    <w:rsid w:val="007E36EB"/>
    <w:rsid w:val="007E3E66"/>
    <w:rsid w:val="007E3FF5"/>
    <w:rsid w:val="007E5BA3"/>
    <w:rsid w:val="007E604A"/>
    <w:rsid w:val="007E63AE"/>
    <w:rsid w:val="007E64D8"/>
    <w:rsid w:val="007E6AC0"/>
    <w:rsid w:val="007E77A4"/>
    <w:rsid w:val="007E7E23"/>
    <w:rsid w:val="007E7F56"/>
    <w:rsid w:val="007F098C"/>
    <w:rsid w:val="007F28E9"/>
    <w:rsid w:val="007F2D93"/>
    <w:rsid w:val="007F3121"/>
    <w:rsid w:val="007F4E20"/>
    <w:rsid w:val="00802DE4"/>
    <w:rsid w:val="008047C2"/>
    <w:rsid w:val="0080697A"/>
    <w:rsid w:val="008103DF"/>
    <w:rsid w:val="00810A44"/>
    <w:rsid w:val="00810A6B"/>
    <w:rsid w:val="00812D6D"/>
    <w:rsid w:val="008157AC"/>
    <w:rsid w:val="0081655E"/>
    <w:rsid w:val="00817145"/>
    <w:rsid w:val="00817268"/>
    <w:rsid w:val="0082032F"/>
    <w:rsid w:val="00820F06"/>
    <w:rsid w:val="00821EDC"/>
    <w:rsid w:val="00822591"/>
    <w:rsid w:val="008230EF"/>
    <w:rsid w:val="0082323E"/>
    <w:rsid w:val="00825088"/>
    <w:rsid w:val="00825764"/>
    <w:rsid w:val="00825ACB"/>
    <w:rsid w:val="00825B73"/>
    <w:rsid w:val="008276B0"/>
    <w:rsid w:val="00830E14"/>
    <w:rsid w:val="00831CA9"/>
    <w:rsid w:val="008321E6"/>
    <w:rsid w:val="008322B0"/>
    <w:rsid w:val="00832973"/>
    <w:rsid w:val="00834977"/>
    <w:rsid w:val="00837EE4"/>
    <w:rsid w:val="008403E5"/>
    <w:rsid w:val="008425D2"/>
    <w:rsid w:val="00842627"/>
    <w:rsid w:val="0084590E"/>
    <w:rsid w:val="0084680A"/>
    <w:rsid w:val="0085075D"/>
    <w:rsid w:val="008507C8"/>
    <w:rsid w:val="00853DB3"/>
    <w:rsid w:val="00854201"/>
    <w:rsid w:val="00854F31"/>
    <w:rsid w:val="008552AE"/>
    <w:rsid w:val="008571C2"/>
    <w:rsid w:val="008579F5"/>
    <w:rsid w:val="008605CD"/>
    <w:rsid w:val="00860CC0"/>
    <w:rsid w:val="008617A9"/>
    <w:rsid w:val="008621BD"/>
    <w:rsid w:val="00863FFF"/>
    <w:rsid w:val="0086455F"/>
    <w:rsid w:val="00864DF7"/>
    <w:rsid w:val="00870120"/>
    <w:rsid w:val="00870245"/>
    <w:rsid w:val="008706D6"/>
    <w:rsid w:val="008707C5"/>
    <w:rsid w:val="00870C16"/>
    <w:rsid w:val="0087111F"/>
    <w:rsid w:val="00874BA7"/>
    <w:rsid w:val="008750E7"/>
    <w:rsid w:val="008757BF"/>
    <w:rsid w:val="008803EA"/>
    <w:rsid w:val="00882281"/>
    <w:rsid w:val="00882FA5"/>
    <w:rsid w:val="0088300B"/>
    <w:rsid w:val="0088372D"/>
    <w:rsid w:val="0088473E"/>
    <w:rsid w:val="00886E4D"/>
    <w:rsid w:val="00887247"/>
    <w:rsid w:val="00887319"/>
    <w:rsid w:val="008918E1"/>
    <w:rsid w:val="00894E84"/>
    <w:rsid w:val="00894EBB"/>
    <w:rsid w:val="00895293"/>
    <w:rsid w:val="008954A5"/>
    <w:rsid w:val="00895BCC"/>
    <w:rsid w:val="00895CCE"/>
    <w:rsid w:val="00896845"/>
    <w:rsid w:val="00896BF9"/>
    <w:rsid w:val="00897C6E"/>
    <w:rsid w:val="008A018D"/>
    <w:rsid w:val="008A0273"/>
    <w:rsid w:val="008A1A6C"/>
    <w:rsid w:val="008A3B69"/>
    <w:rsid w:val="008A3C5C"/>
    <w:rsid w:val="008A43B7"/>
    <w:rsid w:val="008A50EE"/>
    <w:rsid w:val="008A59CE"/>
    <w:rsid w:val="008A6D8B"/>
    <w:rsid w:val="008A7600"/>
    <w:rsid w:val="008B1650"/>
    <w:rsid w:val="008B19CC"/>
    <w:rsid w:val="008B22ED"/>
    <w:rsid w:val="008B25C9"/>
    <w:rsid w:val="008B2CA7"/>
    <w:rsid w:val="008B3908"/>
    <w:rsid w:val="008B5D60"/>
    <w:rsid w:val="008B6AC3"/>
    <w:rsid w:val="008B7289"/>
    <w:rsid w:val="008C0BBC"/>
    <w:rsid w:val="008C142D"/>
    <w:rsid w:val="008C1EC1"/>
    <w:rsid w:val="008C2E7E"/>
    <w:rsid w:val="008C3E5E"/>
    <w:rsid w:val="008C55B1"/>
    <w:rsid w:val="008C5611"/>
    <w:rsid w:val="008C6C01"/>
    <w:rsid w:val="008C6E08"/>
    <w:rsid w:val="008C7042"/>
    <w:rsid w:val="008C7970"/>
    <w:rsid w:val="008C7BA5"/>
    <w:rsid w:val="008C7FC1"/>
    <w:rsid w:val="008D0E55"/>
    <w:rsid w:val="008D1EAA"/>
    <w:rsid w:val="008D3917"/>
    <w:rsid w:val="008D4A65"/>
    <w:rsid w:val="008E0DC7"/>
    <w:rsid w:val="008E3304"/>
    <w:rsid w:val="008E4B7E"/>
    <w:rsid w:val="008E6C1E"/>
    <w:rsid w:val="008E6FDA"/>
    <w:rsid w:val="008E73A7"/>
    <w:rsid w:val="008F0CC9"/>
    <w:rsid w:val="008F29CE"/>
    <w:rsid w:val="008F38D3"/>
    <w:rsid w:val="008F6151"/>
    <w:rsid w:val="00902945"/>
    <w:rsid w:val="009032F2"/>
    <w:rsid w:val="0090346E"/>
    <w:rsid w:val="0090349D"/>
    <w:rsid w:val="00906C53"/>
    <w:rsid w:val="00907D5C"/>
    <w:rsid w:val="0091210A"/>
    <w:rsid w:val="0091271E"/>
    <w:rsid w:val="0091470A"/>
    <w:rsid w:val="00915AAE"/>
    <w:rsid w:val="00916CBD"/>
    <w:rsid w:val="00916DAF"/>
    <w:rsid w:val="009179D6"/>
    <w:rsid w:val="00921A9C"/>
    <w:rsid w:val="00921B08"/>
    <w:rsid w:val="0092568D"/>
    <w:rsid w:val="00925DA0"/>
    <w:rsid w:val="00926116"/>
    <w:rsid w:val="00926157"/>
    <w:rsid w:val="00931B48"/>
    <w:rsid w:val="00934E18"/>
    <w:rsid w:val="009435B4"/>
    <w:rsid w:val="009462B4"/>
    <w:rsid w:val="009471C7"/>
    <w:rsid w:val="0095336F"/>
    <w:rsid w:val="00953C19"/>
    <w:rsid w:val="00953ED7"/>
    <w:rsid w:val="00954806"/>
    <w:rsid w:val="00955DD5"/>
    <w:rsid w:val="009562A5"/>
    <w:rsid w:val="0095656F"/>
    <w:rsid w:val="009616FE"/>
    <w:rsid w:val="00962645"/>
    <w:rsid w:val="0096289E"/>
    <w:rsid w:val="0096324C"/>
    <w:rsid w:val="00963400"/>
    <w:rsid w:val="00963936"/>
    <w:rsid w:val="00964407"/>
    <w:rsid w:val="00967334"/>
    <w:rsid w:val="009715E3"/>
    <w:rsid w:val="009735F2"/>
    <w:rsid w:val="009805A2"/>
    <w:rsid w:val="00981CF6"/>
    <w:rsid w:val="0098570D"/>
    <w:rsid w:val="00986473"/>
    <w:rsid w:val="00987FEF"/>
    <w:rsid w:val="009918DB"/>
    <w:rsid w:val="00995D6C"/>
    <w:rsid w:val="00997862"/>
    <w:rsid w:val="009A0925"/>
    <w:rsid w:val="009A0A38"/>
    <w:rsid w:val="009A0FB3"/>
    <w:rsid w:val="009A13CF"/>
    <w:rsid w:val="009A1D60"/>
    <w:rsid w:val="009A2423"/>
    <w:rsid w:val="009A2508"/>
    <w:rsid w:val="009A28C7"/>
    <w:rsid w:val="009A30A7"/>
    <w:rsid w:val="009A4788"/>
    <w:rsid w:val="009A6C64"/>
    <w:rsid w:val="009B370C"/>
    <w:rsid w:val="009B3F54"/>
    <w:rsid w:val="009B5397"/>
    <w:rsid w:val="009B5472"/>
    <w:rsid w:val="009B5794"/>
    <w:rsid w:val="009B63F6"/>
    <w:rsid w:val="009B6EED"/>
    <w:rsid w:val="009B741D"/>
    <w:rsid w:val="009C136B"/>
    <w:rsid w:val="009C525C"/>
    <w:rsid w:val="009C54FD"/>
    <w:rsid w:val="009C5DE2"/>
    <w:rsid w:val="009D0327"/>
    <w:rsid w:val="009D06F0"/>
    <w:rsid w:val="009D0FA2"/>
    <w:rsid w:val="009D12D2"/>
    <w:rsid w:val="009D47FF"/>
    <w:rsid w:val="009D6757"/>
    <w:rsid w:val="009E13BB"/>
    <w:rsid w:val="009E1604"/>
    <w:rsid w:val="009E2AE7"/>
    <w:rsid w:val="009E373F"/>
    <w:rsid w:val="009E3A2D"/>
    <w:rsid w:val="009E3A95"/>
    <w:rsid w:val="009E5295"/>
    <w:rsid w:val="009E7434"/>
    <w:rsid w:val="009E7889"/>
    <w:rsid w:val="009F1088"/>
    <w:rsid w:val="009F1ABC"/>
    <w:rsid w:val="009F26C0"/>
    <w:rsid w:val="009F41B5"/>
    <w:rsid w:val="009F4917"/>
    <w:rsid w:val="009F4A25"/>
    <w:rsid w:val="009F6A30"/>
    <w:rsid w:val="00A023BF"/>
    <w:rsid w:val="00A04918"/>
    <w:rsid w:val="00A0495C"/>
    <w:rsid w:val="00A04B10"/>
    <w:rsid w:val="00A06F32"/>
    <w:rsid w:val="00A104AA"/>
    <w:rsid w:val="00A107F8"/>
    <w:rsid w:val="00A20AF4"/>
    <w:rsid w:val="00A211B9"/>
    <w:rsid w:val="00A2296D"/>
    <w:rsid w:val="00A24416"/>
    <w:rsid w:val="00A24996"/>
    <w:rsid w:val="00A24998"/>
    <w:rsid w:val="00A24EB9"/>
    <w:rsid w:val="00A2681C"/>
    <w:rsid w:val="00A2714B"/>
    <w:rsid w:val="00A2781F"/>
    <w:rsid w:val="00A32144"/>
    <w:rsid w:val="00A329D3"/>
    <w:rsid w:val="00A33F42"/>
    <w:rsid w:val="00A36248"/>
    <w:rsid w:val="00A41B6B"/>
    <w:rsid w:val="00A4204C"/>
    <w:rsid w:val="00A4213C"/>
    <w:rsid w:val="00A42401"/>
    <w:rsid w:val="00A43C80"/>
    <w:rsid w:val="00A43D24"/>
    <w:rsid w:val="00A50259"/>
    <w:rsid w:val="00A51007"/>
    <w:rsid w:val="00A5164B"/>
    <w:rsid w:val="00A52B56"/>
    <w:rsid w:val="00A601AC"/>
    <w:rsid w:val="00A61109"/>
    <w:rsid w:val="00A616BB"/>
    <w:rsid w:val="00A618DB"/>
    <w:rsid w:val="00A61DF0"/>
    <w:rsid w:val="00A625DD"/>
    <w:rsid w:val="00A63BC2"/>
    <w:rsid w:val="00A63D26"/>
    <w:rsid w:val="00A65D1A"/>
    <w:rsid w:val="00A66036"/>
    <w:rsid w:val="00A66155"/>
    <w:rsid w:val="00A667B7"/>
    <w:rsid w:val="00A668E5"/>
    <w:rsid w:val="00A74065"/>
    <w:rsid w:val="00A75B63"/>
    <w:rsid w:val="00A76DAA"/>
    <w:rsid w:val="00A77A80"/>
    <w:rsid w:val="00A80743"/>
    <w:rsid w:val="00A81EE7"/>
    <w:rsid w:val="00A84A56"/>
    <w:rsid w:val="00A85A77"/>
    <w:rsid w:val="00A86F15"/>
    <w:rsid w:val="00A870FB"/>
    <w:rsid w:val="00A929A8"/>
    <w:rsid w:val="00A92F46"/>
    <w:rsid w:val="00A93038"/>
    <w:rsid w:val="00A930D1"/>
    <w:rsid w:val="00A93475"/>
    <w:rsid w:val="00A936D0"/>
    <w:rsid w:val="00A93AA0"/>
    <w:rsid w:val="00A97637"/>
    <w:rsid w:val="00AA41D9"/>
    <w:rsid w:val="00AA464C"/>
    <w:rsid w:val="00AA5C0D"/>
    <w:rsid w:val="00AA7F19"/>
    <w:rsid w:val="00AB08F5"/>
    <w:rsid w:val="00AB10DF"/>
    <w:rsid w:val="00AB18C2"/>
    <w:rsid w:val="00AB1F47"/>
    <w:rsid w:val="00AB2A9E"/>
    <w:rsid w:val="00AB759D"/>
    <w:rsid w:val="00AC0034"/>
    <w:rsid w:val="00AC021B"/>
    <w:rsid w:val="00AC0D89"/>
    <w:rsid w:val="00AC14FC"/>
    <w:rsid w:val="00AC2B8E"/>
    <w:rsid w:val="00AC3398"/>
    <w:rsid w:val="00AC637C"/>
    <w:rsid w:val="00AD03B0"/>
    <w:rsid w:val="00AD25FB"/>
    <w:rsid w:val="00AE19A2"/>
    <w:rsid w:val="00AE21E1"/>
    <w:rsid w:val="00AE23FF"/>
    <w:rsid w:val="00AE4D1F"/>
    <w:rsid w:val="00AE52BC"/>
    <w:rsid w:val="00AE5C5C"/>
    <w:rsid w:val="00AE6DFA"/>
    <w:rsid w:val="00AE7063"/>
    <w:rsid w:val="00AE7D4A"/>
    <w:rsid w:val="00AE7DD9"/>
    <w:rsid w:val="00AF0403"/>
    <w:rsid w:val="00AF0440"/>
    <w:rsid w:val="00AF22FC"/>
    <w:rsid w:val="00AF2E16"/>
    <w:rsid w:val="00AF3B7D"/>
    <w:rsid w:val="00AF406A"/>
    <w:rsid w:val="00AF6C0C"/>
    <w:rsid w:val="00B00256"/>
    <w:rsid w:val="00B007DE"/>
    <w:rsid w:val="00B013A4"/>
    <w:rsid w:val="00B03A2A"/>
    <w:rsid w:val="00B05125"/>
    <w:rsid w:val="00B07A26"/>
    <w:rsid w:val="00B07AC3"/>
    <w:rsid w:val="00B07C98"/>
    <w:rsid w:val="00B07D2E"/>
    <w:rsid w:val="00B101EA"/>
    <w:rsid w:val="00B102C2"/>
    <w:rsid w:val="00B112E2"/>
    <w:rsid w:val="00B11F68"/>
    <w:rsid w:val="00B1383A"/>
    <w:rsid w:val="00B13BEA"/>
    <w:rsid w:val="00B13C23"/>
    <w:rsid w:val="00B1402B"/>
    <w:rsid w:val="00B14E8D"/>
    <w:rsid w:val="00B151B2"/>
    <w:rsid w:val="00B15854"/>
    <w:rsid w:val="00B175B3"/>
    <w:rsid w:val="00B17622"/>
    <w:rsid w:val="00B206A8"/>
    <w:rsid w:val="00B238C1"/>
    <w:rsid w:val="00B25497"/>
    <w:rsid w:val="00B26B2C"/>
    <w:rsid w:val="00B26CBC"/>
    <w:rsid w:val="00B27449"/>
    <w:rsid w:val="00B3056D"/>
    <w:rsid w:val="00B318EB"/>
    <w:rsid w:val="00B33103"/>
    <w:rsid w:val="00B36DB1"/>
    <w:rsid w:val="00B37AC6"/>
    <w:rsid w:val="00B405B1"/>
    <w:rsid w:val="00B426A3"/>
    <w:rsid w:val="00B43946"/>
    <w:rsid w:val="00B43D99"/>
    <w:rsid w:val="00B44290"/>
    <w:rsid w:val="00B45971"/>
    <w:rsid w:val="00B46569"/>
    <w:rsid w:val="00B46A0A"/>
    <w:rsid w:val="00B47B2A"/>
    <w:rsid w:val="00B511A3"/>
    <w:rsid w:val="00B54212"/>
    <w:rsid w:val="00B57BAF"/>
    <w:rsid w:val="00B61FE0"/>
    <w:rsid w:val="00B62A10"/>
    <w:rsid w:val="00B64F10"/>
    <w:rsid w:val="00B65D89"/>
    <w:rsid w:val="00B6764C"/>
    <w:rsid w:val="00B70541"/>
    <w:rsid w:val="00B71623"/>
    <w:rsid w:val="00B72049"/>
    <w:rsid w:val="00B7248F"/>
    <w:rsid w:val="00B731F2"/>
    <w:rsid w:val="00B74B4D"/>
    <w:rsid w:val="00B74E3D"/>
    <w:rsid w:val="00B75D9E"/>
    <w:rsid w:val="00B773B0"/>
    <w:rsid w:val="00B775DD"/>
    <w:rsid w:val="00B77E1A"/>
    <w:rsid w:val="00B80AF1"/>
    <w:rsid w:val="00B81775"/>
    <w:rsid w:val="00B82778"/>
    <w:rsid w:val="00B83C0D"/>
    <w:rsid w:val="00B854FA"/>
    <w:rsid w:val="00B85D39"/>
    <w:rsid w:val="00B8600F"/>
    <w:rsid w:val="00B86D8F"/>
    <w:rsid w:val="00B86E3A"/>
    <w:rsid w:val="00BA148C"/>
    <w:rsid w:val="00BA3023"/>
    <w:rsid w:val="00BA3EF9"/>
    <w:rsid w:val="00BA43F8"/>
    <w:rsid w:val="00BA590A"/>
    <w:rsid w:val="00BA5B36"/>
    <w:rsid w:val="00BA63AA"/>
    <w:rsid w:val="00BA66F2"/>
    <w:rsid w:val="00BA7389"/>
    <w:rsid w:val="00BA745B"/>
    <w:rsid w:val="00BB0BC5"/>
    <w:rsid w:val="00BB0E2B"/>
    <w:rsid w:val="00BB1C1E"/>
    <w:rsid w:val="00BB523F"/>
    <w:rsid w:val="00BB533F"/>
    <w:rsid w:val="00BB55EB"/>
    <w:rsid w:val="00BB6151"/>
    <w:rsid w:val="00BB64B4"/>
    <w:rsid w:val="00BB68DC"/>
    <w:rsid w:val="00BB72D9"/>
    <w:rsid w:val="00BC0051"/>
    <w:rsid w:val="00BC0A20"/>
    <w:rsid w:val="00BC5FB5"/>
    <w:rsid w:val="00BC6C60"/>
    <w:rsid w:val="00BC7D91"/>
    <w:rsid w:val="00BD104B"/>
    <w:rsid w:val="00BD1F11"/>
    <w:rsid w:val="00BD291D"/>
    <w:rsid w:val="00BD3455"/>
    <w:rsid w:val="00BD4646"/>
    <w:rsid w:val="00BD48DD"/>
    <w:rsid w:val="00BD4B85"/>
    <w:rsid w:val="00BD667F"/>
    <w:rsid w:val="00BD6C2A"/>
    <w:rsid w:val="00BD6D0D"/>
    <w:rsid w:val="00BD72D1"/>
    <w:rsid w:val="00BE266E"/>
    <w:rsid w:val="00BE4009"/>
    <w:rsid w:val="00BE412B"/>
    <w:rsid w:val="00BE4444"/>
    <w:rsid w:val="00BE512B"/>
    <w:rsid w:val="00BE6447"/>
    <w:rsid w:val="00BE6DC1"/>
    <w:rsid w:val="00BF0204"/>
    <w:rsid w:val="00BF0DC9"/>
    <w:rsid w:val="00BF142E"/>
    <w:rsid w:val="00BF2DC1"/>
    <w:rsid w:val="00BF7939"/>
    <w:rsid w:val="00C0219C"/>
    <w:rsid w:val="00C040C7"/>
    <w:rsid w:val="00C04E47"/>
    <w:rsid w:val="00C06AB4"/>
    <w:rsid w:val="00C072A0"/>
    <w:rsid w:val="00C079C5"/>
    <w:rsid w:val="00C1024C"/>
    <w:rsid w:val="00C10298"/>
    <w:rsid w:val="00C10BCE"/>
    <w:rsid w:val="00C110D8"/>
    <w:rsid w:val="00C115C2"/>
    <w:rsid w:val="00C12B79"/>
    <w:rsid w:val="00C15364"/>
    <w:rsid w:val="00C17E02"/>
    <w:rsid w:val="00C2032A"/>
    <w:rsid w:val="00C210AA"/>
    <w:rsid w:val="00C21AC4"/>
    <w:rsid w:val="00C248E3"/>
    <w:rsid w:val="00C252D7"/>
    <w:rsid w:val="00C257F8"/>
    <w:rsid w:val="00C25F77"/>
    <w:rsid w:val="00C26014"/>
    <w:rsid w:val="00C278EB"/>
    <w:rsid w:val="00C3098E"/>
    <w:rsid w:val="00C33B25"/>
    <w:rsid w:val="00C33FF8"/>
    <w:rsid w:val="00C349D2"/>
    <w:rsid w:val="00C36D53"/>
    <w:rsid w:val="00C37A51"/>
    <w:rsid w:val="00C42B70"/>
    <w:rsid w:val="00C46107"/>
    <w:rsid w:val="00C504CD"/>
    <w:rsid w:val="00C51434"/>
    <w:rsid w:val="00C5529B"/>
    <w:rsid w:val="00C615F9"/>
    <w:rsid w:val="00C6177B"/>
    <w:rsid w:val="00C61965"/>
    <w:rsid w:val="00C61A88"/>
    <w:rsid w:val="00C61E9F"/>
    <w:rsid w:val="00C624C1"/>
    <w:rsid w:val="00C62B6D"/>
    <w:rsid w:val="00C636BF"/>
    <w:rsid w:val="00C63A94"/>
    <w:rsid w:val="00C64961"/>
    <w:rsid w:val="00C65738"/>
    <w:rsid w:val="00C6605A"/>
    <w:rsid w:val="00C668FF"/>
    <w:rsid w:val="00C7296C"/>
    <w:rsid w:val="00C747BF"/>
    <w:rsid w:val="00C76B77"/>
    <w:rsid w:val="00C7700D"/>
    <w:rsid w:val="00C80CF0"/>
    <w:rsid w:val="00C81D6D"/>
    <w:rsid w:val="00C82FF9"/>
    <w:rsid w:val="00C83CB6"/>
    <w:rsid w:val="00C83CDA"/>
    <w:rsid w:val="00C852E8"/>
    <w:rsid w:val="00C8701B"/>
    <w:rsid w:val="00C87A3F"/>
    <w:rsid w:val="00C91187"/>
    <w:rsid w:val="00C91960"/>
    <w:rsid w:val="00C91AAC"/>
    <w:rsid w:val="00C92600"/>
    <w:rsid w:val="00C92F75"/>
    <w:rsid w:val="00C93B56"/>
    <w:rsid w:val="00C93D67"/>
    <w:rsid w:val="00C9630A"/>
    <w:rsid w:val="00C968D4"/>
    <w:rsid w:val="00CA0303"/>
    <w:rsid w:val="00CA2F7E"/>
    <w:rsid w:val="00CA3068"/>
    <w:rsid w:val="00CA5261"/>
    <w:rsid w:val="00CB100E"/>
    <w:rsid w:val="00CB17F0"/>
    <w:rsid w:val="00CB35FA"/>
    <w:rsid w:val="00CB7E67"/>
    <w:rsid w:val="00CC065B"/>
    <w:rsid w:val="00CC0834"/>
    <w:rsid w:val="00CC18C4"/>
    <w:rsid w:val="00CC2D83"/>
    <w:rsid w:val="00CC5005"/>
    <w:rsid w:val="00CC5346"/>
    <w:rsid w:val="00CC5EF6"/>
    <w:rsid w:val="00CC60B0"/>
    <w:rsid w:val="00CC746F"/>
    <w:rsid w:val="00CC7A6E"/>
    <w:rsid w:val="00CD09F5"/>
    <w:rsid w:val="00CD18C4"/>
    <w:rsid w:val="00CD1C0F"/>
    <w:rsid w:val="00CD281F"/>
    <w:rsid w:val="00CD49CF"/>
    <w:rsid w:val="00CD596A"/>
    <w:rsid w:val="00CD5E24"/>
    <w:rsid w:val="00CD7359"/>
    <w:rsid w:val="00CE0704"/>
    <w:rsid w:val="00CE0A71"/>
    <w:rsid w:val="00CE1AA2"/>
    <w:rsid w:val="00CE1F7C"/>
    <w:rsid w:val="00CE530C"/>
    <w:rsid w:val="00CE57DD"/>
    <w:rsid w:val="00CE5FC0"/>
    <w:rsid w:val="00CE632B"/>
    <w:rsid w:val="00CF060D"/>
    <w:rsid w:val="00CF25F4"/>
    <w:rsid w:val="00D04328"/>
    <w:rsid w:val="00D04B5E"/>
    <w:rsid w:val="00D04F36"/>
    <w:rsid w:val="00D06D3E"/>
    <w:rsid w:val="00D1084B"/>
    <w:rsid w:val="00D11764"/>
    <w:rsid w:val="00D12278"/>
    <w:rsid w:val="00D12E22"/>
    <w:rsid w:val="00D13A22"/>
    <w:rsid w:val="00D143A3"/>
    <w:rsid w:val="00D144FF"/>
    <w:rsid w:val="00D14CCC"/>
    <w:rsid w:val="00D14F15"/>
    <w:rsid w:val="00D153DD"/>
    <w:rsid w:val="00D17066"/>
    <w:rsid w:val="00D17091"/>
    <w:rsid w:val="00D1718D"/>
    <w:rsid w:val="00D172AB"/>
    <w:rsid w:val="00D176CB"/>
    <w:rsid w:val="00D179FF"/>
    <w:rsid w:val="00D21C2B"/>
    <w:rsid w:val="00D2258A"/>
    <w:rsid w:val="00D227F7"/>
    <w:rsid w:val="00D24913"/>
    <w:rsid w:val="00D26848"/>
    <w:rsid w:val="00D316C4"/>
    <w:rsid w:val="00D330A9"/>
    <w:rsid w:val="00D353C5"/>
    <w:rsid w:val="00D3672A"/>
    <w:rsid w:val="00D37817"/>
    <w:rsid w:val="00D403C5"/>
    <w:rsid w:val="00D407B7"/>
    <w:rsid w:val="00D41B1E"/>
    <w:rsid w:val="00D442CC"/>
    <w:rsid w:val="00D44446"/>
    <w:rsid w:val="00D44EDC"/>
    <w:rsid w:val="00D45317"/>
    <w:rsid w:val="00D45A19"/>
    <w:rsid w:val="00D45BBD"/>
    <w:rsid w:val="00D46C89"/>
    <w:rsid w:val="00D47149"/>
    <w:rsid w:val="00D51B86"/>
    <w:rsid w:val="00D52262"/>
    <w:rsid w:val="00D52A18"/>
    <w:rsid w:val="00D532DC"/>
    <w:rsid w:val="00D5441D"/>
    <w:rsid w:val="00D55980"/>
    <w:rsid w:val="00D55F2C"/>
    <w:rsid w:val="00D57F08"/>
    <w:rsid w:val="00D61707"/>
    <w:rsid w:val="00D649F5"/>
    <w:rsid w:val="00D64A29"/>
    <w:rsid w:val="00D64AE1"/>
    <w:rsid w:val="00D64CBF"/>
    <w:rsid w:val="00D660B1"/>
    <w:rsid w:val="00D66F0D"/>
    <w:rsid w:val="00D70983"/>
    <w:rsid w:val="00D70ADD"/>
    <w:rsid w:val="00D70C5F"/>
    <w:rsid w:val="00D71A01"/>
    <w:rsid w:val="00D72AE1"/>
    <w:rsid w:val="00D72B9A"/>
    <w:rsid w:val="00D732D0"/>
    <w:rsid w:val="00D75697"/>
    <w:rsid w:val="00D77278"/>
    <w:rsid w:val="00D83DC3"/>
    <w:rsid w:val="00D90370"/>
    <w:rsid w:val="00D9582F"/>
    <w:rsid w:val="00D95DE2"/>
    <w:rsid w:val="00D974EB"/>
    <w:rsid w:val="00DA076B"/>
    <w:rsid w:val="00DA0CBF"/>
    <w:rsid w:val="00DA0CEA"/>
    <w:rsid w:val="00DA0EDC"/>
    <w:rsid w:val="00DA2342"/>
    <w:rsid w:val="00DA4102"/>
    <w:rsid w:val="00DA68D3"/>
    <w:rsid w:val="00DA6BD6"/>
    <w:rsid w:val="00DB1D29"/>
    <w:rsid w:val="00DB324B"/>
    <w:rsid w:val="00DB3A6E"/>
    <w:rsid w:val="00DB3CD9"/>
    <w:rsid w:val="00DB58A6"/>
    <w:rsid w:val="00DB79FC"/>
    <w:rsid w:val="00DB7C8D"/>
    <w:rsid w:val="00DC0622"/>
    <w:rsid w:val="00DC113F"/>
    <w:rsid w:val="00DC1DAF"/>
    <w:rsid w:val="00DC1DB1"/>
    <w:rsid w:val="00DC2537"/>
    <w:rsid w:val="00DC5E93"/>
    <w:rsid w:val="00DC60C5"/>
    <w:rsid w:val="00DC66FE"/>
    <w:rsid w:val="00DD456A"/>
    <w:rsid w:val="00DD48D0"/>
    <w:rsid w:val="00DD512C"/>
    <w:rsid w:val="00DD5341"/>
    <w:rsid w:val="00DD6879"/>
    <w:rsid w:val="00DD7525"/>
    <w:rsid w:val="00DE269E"/>
    <w:rsid w:val="00DE29AD"/>
    <w:rsid w:val="00DE373F"/>
    <w:rsid w:val="00DE3D6C"/>
    <w:rsid w:val="00DE6898"/>
    <w:rsid w:val="00DE7839"/>
    <w:rsid w:val="00DF0206"/>
    <w:rsid w:val="00DF05B8"/>
    <w:rsid w:val="00DF0D94"/>
    <w:rsid w:val="00DF2773"/>
    <w:rsid w:val="00DF2831"/>
    <w:rsid w:val="00DF30E9"/>
    <w:rsid w:val="00DF33D9"/>
    <w:rsid w:val="00DF3507"/>
    <w:rsid w:val="00DF4421"/>
    <w:rsid w:val="00DF7404"/>
    <w:rsid w:val="00E00C06"/>
    <w:rsid w:val="00E018F5"/>
    <w:rsid w:val="00E02963"/>
    <w:rsid w:val="00E044F5"/>
    <w:rsid w:val="00E06469"/>
    <w:rsid w:val="00E10A4D"/>
    <w:rsid w:val="00E14214"/>
    <w:rsid w:val="00E16DA0"/>
    <w:rsid w:val="00E20E43"/>
    <w:rsid w:val="00E21107"/>
    <w:rsid w:val="00E2325B"/>
    <w:rsid w:val="00E2355F"/>
    <w:rsid w:val="00E23F05"/>
    <w:rsid w:val="00E23F45"/>
    <w:rsid w:val="00E241E6"/>
    <w:rsid w:val="00E250C7"/>
    <w:rsid w:val="00E30348"/>
    <w:rsid w:val="00E313CB"/>
    <w:rsid w:val="00E313E8"/>
    <w:rsid w:val="00E322B5"/>
    <w:rsid w:val="00E34518"/>
    <w:rsid w:val="00E345A4"/>
    <w:rsid w:val="00E345BA"/>
    <w:rsid w:val="00E364F7"/>
    <w:rsid w:val="00E373BC"/>
    <w:rsid w:val="00E37847"/>
    <w:rsid w:val="00E40B19"/>
    <w:rsid w:val="00E41E23"/>
    <w:rsid w:val="00E44582"/>
    <w:rsid w:val="00E468DD"/>
    <w:rsid w:val="00E46B27"/>
    <w:rsid w:val="00E46C0B"/>
    <w:rsid w:val="00E46DB1"/>
    <w:rsid w:val="00E51FA4"/>
    <w:rsid w:val="00E53764"/>
    <w:rsid w:val="00E556CC"/>
    <w:rsid w:val="00E56637"/>
    <w:rsid w:val="00E56E6D"/>
    <w:rsid w:val="00E57454"/>
    <w:rsid w:val="00E57DB0"/>
    <w:rsid w:val="00E604F4"/>
    <w:rsid w:val="00E61C74"/>
    <w:rsid w:val="00E62B70"/>
    <w:rsid w:val="00E62C18"/>
    <w:rsid w:val="00E6433B"/>
    <w:rsid w:val="00E64C60"/>
    <w:rsid w:val="00E65A73"/>
    <w:rsid w:val="00E67522"/>
    <w:rsid w:val="00E67B43"/>
    <w:rsid w:val="00E71CBA"/>
    <w:rsid w:val="00E72837"/>
    <w:rsid w:val="00E72A2D"/>
    <w:rsid w:val="00E73B95"/>
    <w:rsid w:val="00E752E4"/>
    <w:rsid w:val="00E7675E"/>
    <w:rsid w:val="00E767EA"/>
    <w:rsid w:val="00E7707F"/>
    <w:rsid w:val="00E77A48"/>
    <w:rsid w:val="00E77F5A"/>
    <w:rsid w:val="00E80096"/>
    <w:rsid w:val="00E8058C"/>
    <w:rsid w:val="00E80E32"/>
    <w:rsid w:val="00E80EDD"/>
    <w:rsid w:val="00E8241D"/>
    <w:rsid w:val="00E83EA4"/>
    <w:rsid w:val="00E857B1"/>
    <w:rsid w:val="00E86CF6"/>
    <w:rsid w:val="00E875AF"/>
    <w:rsid w:val="00E87926"/>
    <w:rsid w:val="00E903A1"/>
    <w:rsid w:val="00E90830"/>
    <w:rsid w:val="00E90C40"/>
    <w:rsid w:val="00E92503"/>
    <w:rsid w:val="00E93BB2"/>
    <w:rsid w:val="00E9455F"/>
    <w:rsid w:val="00E968F6"/>
    <w:rsid w:val="00EA12FA"/>
    <w:rsid w:val="00EA1A04"/>
    <w:rsid w:val="00EA2401"/>
    <w:rsid w:val="00EA3DCB"/>
    <w:rsid w:val="00EA3E19"/>
    <w:rsid w:val="00EA5B24"/>
    <w:rsid w:val="00EA6479"/>
    <w:rsid w:val="00EB1F7C"/>
    <w:rsid w:val="00EB3C8E"/>
    <w:rsid w:val="00EB6833"/>
    <w:rsid w:val="00EB7011"/>
    <w:rsid w:val="00EB7F0B"/>
    <w:rsid w:val="00EC06D2"/>
    <w:rsid w:val="00EC5FF4"/>
    <w:rsid w:val="00EC6085"/>
    <w:rsid w:val="00ED1ADB"/>
    <w:rsid w:val="00ED4C01"/>
    <w:rsid w:val="00ED5014"/>
    <w:rsid w:val="00ED5612"/>
    <w:rsid w:val="00ED6DC3"/>
    <w:rsid w:val="00ED759A"/>
    <w:rsid w:val="00EE18D2"/>
    <w:rsid w:val="00EE2B33"/>
    <w:rsid w:val="00EE5B58"/>
    <w:rsid w:val="00EE75F7"/>
    <w:rsid w:val="00EE7A1F"/>
    <w:rsid w:val="00EF0CC4"/>
    <w:rsid w:val="00EF0E90"/>
    <w:rsid w:val="00EF1CB7"/>
    <w:rsid w:val="00EF1F35"/>
    <w:rsid w:val="00EF370D"/>
    <w:rsid w:val="00EF5804"/>
    <w:rsid w:val="00EF6427"/>
    <w:rsid w:val="00EF6479"/>
    <w:rsid w:val="00EF70AF"/>
    <w:rsid w:val="00EF7583"/>
    <w:rsid w:val="00EF7F2A"/>
    <w:rsid w:val="00F00319"/>
    <w:rsid w:val="00F00B39"/>
    <w:rsid w:val="00F01493"/>
    <w:rsid w:val="00F0186F"/>
    <w:rsid w:val="00F02536"/>
    <w:rsid w:val="00F0282C"/>
    <w:rsid w:val="00F051CE"/>
    <w:rsid w:val="00F0697B"/>
    <w:rsid w:val="00F06C1B"/>
    <w:rsid w:val="00F06FD1"/>
    <w:rsid w:val="00F0780A"/>
    <w:rsid w:val="00F10275"/>
    <w:rsid w:val="00F1048E"/>
    <w:rsid w:val="00F11348"/>
    <w:rsid w:val="00F125A4"/>
    <w:rsid w:val="00F125BF"/>
    <w:rsid w:val="00F12E59"/>
    <w:rsid w:val="00F130FE"/>
    <w:rsid w:val="00F138F5"/>
    <w:rsid w:val="00F15EA1"/>
    <w:rsid w:val="00F16373"/>
    <w:rsid w:val="00F178C3"/>
    <w:rsid w:val="00F20BC4"/>
    <w:rsid w:val="00F20EA2"/>
    <w:rsid w:val="00F23DD9"/>
    <w:rsid w:val="00F24DAC"/>
    <w:rsid w:val="00F25144"/>
    <w:rsid w:val="00F255BA"/>
    <w:rsid w:val="00F2563E"/>
    <w:rsid w:val="00F2614F"/>
    <w:rsid w:val="00F2644B"/>
    <w:rsid w:val="00F26B14"/>
    <w:rsid w:val="00F27578"/>
    <w:rsid w:val="00F30259"/>
    <w:rsid w:val="00F316A8"/>
    <w:rsid w:val="00F327EE"/>
    <w:rsid w:val="00F34872"/>
    <w:rsid w:val="00F34E03"/>
    <w:rsid w:val="00F3569D"/>
    <w:rsid w:val="00F359F7"/>
    <w:rsid w:val="00F36B77"/>
    <w:rsid w:val="00F37617"/>
    <w:rsid w:val="00F37780"/>
    <w:rsid w:val="00F40B29"/>
    <w:rsid w:val="00F4593F"/>
    <w:rsid w:val="00F460D0"/>
    <w:rsid w:val="00F4622B"/>
    <w:rsid w:val="00F4705F"/>
    <w:rsid w:val="00F4707B"/>
    <w:rsid w:val="00F47EC6"/>
    <w:rsid w:val="00F51047"/>
    <w:rsid w:val="00F54E39"/>
    <w:rsid w:val="00F552F4"/>
    <w:rsid w:val="00F55B7F"/>
    <w:rsid w:val="00F56249"/>
    <w:rsid w:val="00F566C6"/>
    <w:rsid w:val="00F57003"/>
    <w:rsid w:val="00F606F5"/>
    <w:rsid w:val="00F60C27"/>
    <w:rsid w:val="00F620A1"/>
    <w:rsid w:val="00F6334B"/>
    <w:rsid w:val="00F64E40"/>
    <w:rsid w:val="00F64F59"/>
    <w:rsid w:val="00F6502B"/>
    <w:rsid w:val="00F66A65"/>
    <w:rsid w:val="00F66C65"/>
    <w:rsid w:val="00F70567"/>
    <w:rsid w:val="00F73171"/>
    <w:rsid w:val="00F73EC2"/>
    <w:rsid w:val="00F75670"/>
    <w:rsid w:val="00F80771"/>
    <w:rsid w:val="00F80AFF"/>
    <w:rsid w:val="00F82059"/>
    <w:rsid w:val="00F8271A"/>
    <w:rsid w:val="00F84308"/>
    <w:rsid w:val="00F84316"/>
    <w:rsid w:val="00F86012"/>
    <w:rsid w:val="00F87E90"/>
    <w:rsid w:val="00F90A24"/>
    <w:rsid w:val="00F91719"/>
    <w:rsid w:val="00F917AE"/>
    <w:rsid w:val="00F92F18"/>
    <w:rsid w:val="00F939F5"/>
    <w:rsid w:val="00F93A0C"/>
    <w:rsid w:val="00F95EB3"/>
    <w:rsid w:val="00F96461"/>
    <w:rsid w:val="00F96673"/>
    <w:rsid w:val="00F9746C"/>
    <w:rsid w:val="00FA0C0F"/>
    <w:rsid w:val="00FA105C"/>
    <w:rsid w:val="00FA2802"/>
    <w:rsid w:val="00FA45CD"/>
    <w:rsid w:val="00FA522E"/>
    <w:rsid w:val="00FA65FA"/>
    <w:rsid w:val="00FA6B9D"/>
    <w:rsid w:val="00FA6D66"/>
    <w:rsid w:val="00FB108E"/>
    <w:rsid w:val="00FB2497"/>
    <w:rsid w:val="00FB2636"/>
    <w:rsid w:val="00FB4791"/>
    <w:rsid w:val="00FB54CA"/>
    <w:rsid w:val="00FB59AD"/>
    <w:rsid w:val="00FB6EF9"/>
    <w:rsid w:val="00FC17BB"/>
    <w:rsid w:val="00FC2616"/>
    <w:rsid w:val="00FC33C1"/>
    <w:rsid w:val="00FC3F20"/>
    <w:rsid w:val="00FC4319"/>
    <w:rsid w:val="00FC5FD8"/>
    <w:rsid w:val="00FC60F6"/>
    <w:rsid w:val="00FC6996"/>
    <w:rsid w:val="00FC752E"/>
    <w:rsid w:val="00FC7EA7"/>
    <w:rsid w:val="00FD073A"/>
    <w:rsid w:val="00FD08AC"/>
    <w:rsid w:val="00FD2EA3"/>
    <w:rsid w:val="00FD34AA"/>
    <w:rsid w:val="00FD5303"/>
    <w:rsid w:val="00FE690E"/>
    <w:rsid w:val="00FF09FB"/>
    <w:rsid w:val="00FF0C10"/>
    <w:rsid w:val="00FF1C92"/>
    <w:rsid w:val="00FF33F6"/>
    <w:rsid w:val="00FF5347"/>
    <w:rsid w:val="00FF5E3A"/>
    <w:rsid w:val="00FF657D"/>
    <w:rsid w:val="00FF6B2B"/>
    <w:rsid w:val="00FF7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5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5227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DA076B"/>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B81775"/>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B81775"/>
    <w:rPr>
      <w:rFonts w:ascii="Calibri" w:eastAsia="Calibri" w:hAnsi="Calibri" w:cs="Calibri"/>
      <w:noProof/>
      <w:sz w:val="22"/>
      <w:lang w:val="en-US"/>
    </w:rPr>
  </w:style>
  <w:style w:type="paragraph" w:customStyle="1" w:styleId="EndNoteBibliography">
    <w:name w:val="EndNote Bibliography"/>
    <w:basedOn w:val="Normal"/>
    <w:link w:val="EndNoteBibliographyChar"/>
    <w:rsid w:val="00B81775"/>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B81775"/>
    <w:rPr>
      <w:rFonts w:ascii="Calibri" w:eastAsia="Calibri" w:hAnsi="Calibri" w:cs="Calibri"/>
      <w:noProof/>
      <w:sz w:val="22"/>
      <w:lang w:val="en-US"/>
    </w:rPr>
  </w:style>
  <w:style w:type="character" w:styleId="SubtleReference">
    <w:name w:val="Subtle Reference"/>
    <w:basedOn w:val="DefaultParagraphFont"/>
    <w:uiPriority w:val="31"/>
    <w:qFormat/>
    <w:rsid w:val="00026A43"/>
    <w:rPr>
      <w:smallCaps/>
      <w:color w:val="5A5A5A" w:themeColor="text1" w:themeTint="A5"/>
    </w:rPr>
  </w:style>
  <w:style w:type="character" w:styleId="IntenseReference">
    <w:name w:val="Intense Reference"/>
    <w:basedOn w:val="DefaultParagraphFont"/>
    <w:uiPriority w:val="32"/>
    <w:qFormat/>
    <w:rsid w:val="00026A43"/>
    <w:rPr>
      <w:b/>
      <w:bCs/>
      <w:smallCaps/>
      <w:color w:val="4F81BD" w:themeColor="accent1"/>
      <w:spacing w:val="5"/>
    </w:rPr>
  </w:style>
  <w:style w:type="character" w:customStyle="1" w:styleId="UnresolvedMention1">
    <w:name w:val="Unresolved Mention1"/>
    <w:basedOn w:val="DefaultParagraphFont"/>
    <w:uiPriority w:val="99"/>
    <w:semiHidden/>
    <w:unhideWhenUsed/>
    <w:rsid w:val="00486BF5"/>
    <w:rPr>
      <w:color w:val="605E5C"/>
      <w:shd w:val="clear" w:color="auto" w:fill="E1DFDD"/>
    </w:rPr>
  </w:style>
  <w:style w:type="paragraph" w:styleId="FootnoteText">
    <w:name w:val="footnote text"/>
    <w:basedOn w:val="Normal"/>
    <w:link w:val="FootnoteTextChar"/>
    <w:uiPriority w:val="99"/>
    <w:semiHidden/>
    <w:unhideWhenUsed/>
    <w:rsid w:val="009A0A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0A3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A0A38"/>
    <w:rPr>
      <w:vertAlign w:val="superscript"/>
    </w:rPr>
  </w:style>
  <w:style w:type="paragraph" w:customStyle="1" w:styleId="TableText">
    <w:name w:val="TableText"/>
    <w:basedOn w:val="Normal"/>
    <w:rsid w:val="00E857B1"/>
    <w:pPr>
      <w:keepNext/>
      <w:spacing w:before="20" w:after="20" w:line="240" w:lineRule="auto"/>
    </w:pPr>
    <w:rPr>
      <w:rFonts w:ascii="Arial Narrow" w:eastAsia="Times New Roman" w:hAnsi="Arial Narrow"/>
      <w:color w:val="000000"/>
      <w:sz w:val="20"/>
      <w:szCs w:val="21"/>
      <w:lang w:eastAsia="en-AU"/>
    </w:rPr>
  </w:style>
  <w:style w:type="paragraph" w:customStyle="1" w:styleId="TableHeading">
    <w:name w:val="TableHeading"/>
    <w:basedOn w:val="TableText"/>
    <w:rsid w:val="00E857B1"/>
    <w:rPr>
      <w:b/>
      <w:bCs/>
    </w:rPr>
  </w:style>
  <w:style w:type="paragraph" w:customStyle="1" w:styleId="TableFigNotes18">
    <w:name w:val="TableFigNotes+18"/>
    <w:basedOn w:val="TableText"/>
    <w:rsid w:val="0041485E"/>
    <w:pPr>
      <w:keepNext w:val="0"/>
      <w:keepLines/>
      <w:spacing w:before="0" w:after="360"/>
      <w:ind w:left="720"/>
    </w:pPr>
    <w:rPr>
      <w:sz w:val="18"/>
      <w:szCs w:val="18"/>
    </w:rPr>
  </w:style>
  <w:style w:type="paragraph" w:customStyle="1" w:styleId="TableFigNotes0">
    <w:name w:val="TableFigNotes+0"/>
    <w:basedOn w:val="TableFigNotes18"/>
    <w:rsid w:val="0041485E"/>
    <w:pPr>
      <w:keepNext/>
      <w:spacing w:after="0"/>
    </w:pPr>
  </w:style>
  <w:style w:type="character" w:customStyle="1" w:styleId="Heading3Char">
    <w:name w:val="Heading 3 Char"/>
    <w:basedOn w:val="DefaultParagraphFont"/>
    <w:link w:val="Heading3"/>
    <w:uiPriority w:val="9"/>
    <w:rsid w:val="00522740"/>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dicarestatistics.humanservices.gov.au/statistics/mbs_item.j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hpa.gov.au/what-we-do/pricing/national-weighted-activity-unit-nwau-calculators/nwau-calculators-201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EBF63-EA84-40DE-AAA0-717F7233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5273</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2019-10-22T22:00:00Z</dcterms:created>
  <dcterms:modified xsi:type="dcterms:W3CDTF">2019-11-01T03:14:00Z</dcterms:modified>
</cp:coreProperties>
</file>