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6ED73" w14:textId="77777777" w:rsidR="00BC1364" w:rsidRPr="00707064" w:rsidRDefault="00C67DD2" w:rsidP="003F2786">
      <w:pPr>
        <w:spacing w:after="240"/>
        <w:jc w:val="center"/>
        <w:rPr>
          <w:b/>
          <w:i/>
          <w:szCs w:val="24"/>
          <w:highlight w:val="yellow"/>
        </w:rPr>
      </w:pPr>
      <w:r>
        <w:rPr>
          <w:rFonts w:ascii="Arial" w:hAnsi="Arial" w:cs="Arial"/>
          <w:b/>
          <w:noProof/>
          <w:color w:val="000080"/>
          <w:sz w:val="28"/>
          <w:szCs w:val="28"/>
        </w:rPr>
        <w:drawing>
          <wp:inline distT="0" distB="0" distL="0" distR="0" wp14:anchorId="4B3313A2" wp14:editId="38C8AC5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A60501B" w14:textId="77777777" w:rsidR="00BC1364" w:rsidRPr="008D5885" w:rsidRDefault="00BC1364" w:rsidP="003F2786">
      <w:pPr>
        <w:spacing w:after="240"/>
      </w:pPr>
    </w:p>
    <w:p w14:paraId="0BEE1B44" w14:textId="77777777" w:rsidR="00C67DD2" w:rsidRPr="008D5885" w:rsidRDefault="00C67DD2" w:rsidP="003F2786">
      <w:pPr>
        <w:spacing w:after="240"/>
      </w:pPr>
    </w:p>
    <w:p w14:paraId="4898B20E" w14:textId="77777777" w:rsidR="00BC1364" w:rsidRPr="001251C3" w:rsidRDefault="00BF479B" w:rsidP="001251C3">
      <w:pPr>
        <w:pStyle w:val="Title"/>
      </w:pPr>
      <w:r w:rsidRPr="001251C3">
        <w:t>Public Summary Document</w:t>
      </w:r>
    </w:p>
    <w:p w14:paraId="24F39F53" w14:textId="77777777" w:rsidR="00BC1364" w:rsidRPr="007B32D1" w:rsidRDefault="00BC1364" w:rsidP="003F2786">
      <w:pPr>
        <w:spacing w:after="240"/>
      </w:pPr>
    </w:p>
    <w:p w14:paraId="3133FDA2" w14:textId="77777777" w:rsidR="00BC1364" w:rsidRPr="001251C3" w:rsidRDefault="00BC1364" w:rsidP="001251C3">
      <w:pPr>
        <w:pStyle w:val="Subtitle"/>
      </w:pPr>
      <w:r w:rsidRPr="001251C3">
        <w:t xml:space="preserve">Application No. </w:t>
      </w:r>
      <w:r w:rsidR="00B9099B" w:rsidRPr="001251C3">
        <w:t>1</w:t>
      </w:r>
      <w:r w:rsidR="00972566" w:rsidRPr="001251C3">
        <w:t>192.2</w:t>
      </w:r>
      <w:r w:rsidRPr="001251C3">
        <w:t xml:space="preserve"> – </w:t>
      </w:r>
      <w:r w:rsidR="00972566" w:rsidRPr="001251C3">
        <w:t xml:space="preserve">The reduction of mitral regurgitation through tissue approximation using </w:t>
      </w:r>
      <w:proofErr w:type="spellStart"/>
      <w:r w:rsidR="00972566" w:rsidRPr="001251C3">
        <w:t>transvenous</w:t>
      </w:r>
      <w:proofErr w:type="spellEnd"/>
      <w:r w:rsidR="00972566" w:rsidRPr="001251C3">
        <w:t>/transeptal techniques</w:t>
      </w:r>
    </w:p>
    <w:p w14:paraId="3295F875" w14:textId="77777777" w:rsidR="00BC1364" w:rsidRDefault="00BC1364" w:rsidP="003F2786">
      <w:pPr>
        <w:tabs>
          <w:tab w:val="left" w:pos="3600"/>
        </w:tabs>
        <w:spacing w:after="240"/>
        <w:ind w:left="3600" w:hanging="3600"/>
        <w:rPr>
          <w:szCs w:val="24"/>
        </w:rPr>
      </w:pPr>
    </w:p>
    <w:p w14:paraId="6F95B2FE" w14:textId="529B2195" w:rsidR="00BC1364" w:rsidRPr="003F2786" w:rsidRDefault="00B35595" w:rsidP="003F2786">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C80A6A">
        <w:rPr>
          <w:rFonts w:ascii="Arial" w:hAnsi="Arial" w:cs="Arial"/>
          <w:b/>
          <w:szCs w:val="24"/>
        </w:rPr>
        <w:t>Abbott Australasia Pty Ltd</w:t>
      </w:r>
      <w:bookmarkStart w:id="0" w:name="_GoBack"/>
      <w:bookmarkEnd w:id="0"/>
    </w:p>
    <w:p w14:paraId="7CD6F07B" w14:textId="58F68ACE" w:rsidR="00BC1364" w:rsidRPr="003F2786" w:rsidRDefault="00BC1364" w:rsidP="003F2786">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EB6B6F">
        <w:rPr>
          <w:rFonts w:ascii="Arial" w:hAnsi="Arial" w:cs="Arial"/>
          <w:b/>
          <w:szCs w:val="24"/>
        </w:rPr>
        <w:t>7</w:t>
      </w:r>
      <w:r w:rsidR="00EB6B6F" w:rsidRPr="00EB6B6F">
        <w:rPr>
          <w:rFonts w:ascii="Arial" w:hAnsi="Arial" w:cs="Arial"/>
          <w:b/>
          <w:szCs w:val="24"/>
          <w:vertAlign w:val="superscript"/>
        </w:rPr>
        <w:t>th</w:t>
      </w:r>
      <w:r w:rsidR="00EB6B6F">
        <w:rPr>
          <w:rFonts w:ascii="Arial" w:hAnsi="Arial" w:cs="Arial"/>
          <w:b/>
          <w:szCs w:val="24"/>
        </w:rPr>
        <w:t xml:space="preserve"> </w:t>
      </w:r>
      <w:r w:rsidRPr="00D90A38">
        <w:rPr>
          <w:rFonts w:ascii="Arial" w:hAnsi="Arial" w:cs="Arial"/>
          <w:b/>
          <w:szCs w:val="24"/>
        </w:rPr>
        <w:t xml:space="preserve">Meeting, </w:t>
      </w:r>
      <w:r w:rsidR="00B35595">
        <w:rPr>
          <w:rFonts w:ascii="Arial" w:hAnsi="Arial" w:cs="Arial"/>
          <w:b/>
          <w:szCs w:val="24"/>
        </w:rPr>
        <w:t>2</w:t>
      </w:r>
      <w:r w:rsidR="00EB6B6F">
        <w:rPr>
          <w:rFonts w:ascii="Arial" w:hAnsi="Arial" w:cs="Arial"/>
          <w:b/>
          <w:szCs w:val="24"/>
        </w:rPr>
        <w:t>8</w:t>
      </w:r>
      <w:r w:rsidR="00B35595">
        <w:rPr>
          <w:rFonts w:ascii="Arial" w:hAnsi="Arial" w:cs="Arial"/>
          <w:b/>
          <w:szCs w:val="24"/>
        </w:rPr>
        <w:t>-2</w:t>
      </w:r>
      <w:r w:rsidR="00EB6B6F">
        <w:rPr>
          <w:rFonts w:ascii="Arial" w:hAnsi="Arial" w:cs="Arial"/>
          <w:b/>
          <w:szCs w:val="24"/>
        </w:rPr>
        <w:t>9</w:t>
      </w:r>
      <w:r w:rsidR="00B35595">
        <w:rPr>
          <w:rFonts w:ascii="Arial" w:hAnsi="Arial" w:cs="Arial"/>
          <w:b/>
          <w:szCs w:val="24"/>
        </w:rPr>
        <w:t xml:space="preserve"> </w:t>
      </w:r>
      <w:r w:rsidR="00EB6B6F">
        <w:rPr>
          <w:rFonts w:ascii="Arial" w:hAnsi="Arial" w:cs="Arial"/>
          <w:b/>
          <w:szCs w:val="24"/>
        </w:rPr>
        <w:t>July 2016</w:t>
      </w:r>
    </w:p>
    <w:p w14:paraId="15459BC3" w14:textId="21D10B4F" w:rsidR="00F41812" w:rsidRDefault="006A0D97" w:rsidP="003F2786">
      <w:pPr>
        <w:spacing w:after="240"/>
        <w:rPr>
          <w:szCs w:val="24"/>
        </w:rPr>
      </w:pPr>
      <w:r>
        <w:rPr>
          <w:szCs w:val="24"/>
        </w:rPr>
        <w:t>Context for decision: MSAC makes its advice in accordance with its Terms of Reference, see at</w:t>
      </w:r>
      <w:r w:rsidR="001251C3">
        <w:rPr>
          <w:szCs w:val="24"/>
        </w:rPr>
        <w:t xml:space="preserve"> the</w:t>
      </w:r>
      <w:r>
        <w:rPr>
          <w:szCs w:val="24"/>
        </w:rPr>
        <w:t xml:space="preserve"> </w:t>
      </w:r>
      <w:hyperlink r:id="rId10" w:tooltip="Link to MSAC website" w:history="1">
        <w:r w:rsidR="001251C3">
          <w:rPr>
            <w:rStyle w:val="Hyperlink"/>
            <w:szCs w:val="24"/>
          </w:rPr>
          <w:t>MSAC website</w:t>
        </w:r>
      </w:hyperlink>
    </w:p>
    <w:p w14:paraId="6F6898F9" w14:textId="2FFE327A" w:rsidR="003D7F29" w:rsidRPr="004D7ED2" w:rsidRDefault="003D7F29" w:rsidP="004D7ED2">
      <w:pPr>
        <w:pStyle w:val="Heading1"/>
      </w:pPr>
      <w:r w:rsidRPr="004D7ED2">
        <w:t>Purpose of application</w:t>
      </w:r>
      <w:r w:rsidR="00822C7E" w:rsidRPr="004D7ED2">
        <w:t xml:space="preserve"> and links to other application</w:t>
      </w:r>
    </w:p>
    <w:p w14:paraId="0C349DB3" w14:textId="1BC5A6E8" w:rsidR="00052ABC" w:rsidRDefault="00052ABC" w:rsidP="003F2786">
      <w:pPr>
        <w:tabs>
          <w:tab w:val="left" w:pos="851"/>
          <w:tab w:val="left" w:pos="1140"/>
        </w:tabs>
        <w:spacing w:after="240"/>
        <w:rPr>
          <w:szCs w:val="24"/>
        </w:rPr>
      </w:pPr>
      <w:r>
        <w:rPr>
          <w:szCs w:val="24"/>
        </w:rPr>
        <w:t>A</w:t>
      </w:r>
      <w:r w:rsidRPr="009D21F0">
        <w:rPr>
          <w:szCs w:val="24"/>
        </w:rPr>
        <w:t xml:space="preserve"> resubmission requesting </w:t>
      </w:r>
      <w:r w:rsidR="00C80A6A">
        <w:rPr>
          <w:szCs w:val="24"/>
        </w:rPr>
        <w:t xml:space="preserve">a new </w:t>
      </w:r>
      <w:r w:rsidRPr="009D21F0">
        <w:rPr>
          <w:szCs w:val="24"/>
        </w:rPr>
        <w:t xml:space="preserve">Medicare Benefits Schedule (MBS) listing for the reduction of severe </w:t>
      </w:r>
      <w:r>
        <w:rPr>
          <w:szCs w:val="24"/>
        </w:rPr>
        <w:t>mitral regurgitation (</w:t>
      </w:r>
      <w:r w:rsidRPr="009D21F0">
        <w:rPr>
          <w:szCs w:val="24"/>
        </w:rPr>
        <w:t>MR</w:t>
      </w:r>
      <w:r>
        <w:rPr>
          <w:szCs w:val="24"/>
        </w:rPr>
        <w:t>)</w:t>
      </w:r>
      <w:r w:rsidRPr="009D21F0">
        <w:rPr>
          <w:szCs w:val="24"/>
        </w:rPr>
        <w:t xml:space="preserve"> through tissue approximation using </w:t>
      </w:r>
      <w:proofErr w:type="spellStart"/>
      <w:r w:rsidRPr="009D21F0">
        <w:rPr>
          <w:szCs w:val="24"/>
        </w:rPr>
        <w:t>transvenous</w:t>
      </w:r>
      <w:proofErr w:type="spellEnd"/>
      <w:r w:rsidRPr="009D21F0">
        <w:rPr>
          <w:szCs w:val="24"/>
        </w:rPr>
        <w:t>/</w:t>
      </w:r>
      <w:proofErr w:type="spellStart"/>
      <w:r w:rsidRPr="009D21F0">
        <w:rPr>
          <w:szCs w:val="24"/>
        </w:rPr>
        <w:t>transseptal</w:t>
      </w:r>
      <w:proofErr w:type="spellEnd"/>
      <w:r w:rsidRPr="009D21F0">
        <w:rPr>
          <w:szCs w:val="24"/>
        </w:rPr>
        <w:t xml:space="preserve"> techniques in patients</w:t>
      </w:r>
      <w:r w:rsidR="00DD4573">
        <w:rPr>
          <w:szCs w:val="24"/>
        </w:rPr>
        <w:t xml:space="preserve"> </w:t>
      </w:r>
      <w:r w:rsidR="00DD4573" w:rsidRPr="00DD4573">
        <w:rPr>
          <w:szCs w:val="24"/>
        </w:rPr>
        <w:t>with severe degenerative mitral regurgitation (grade 3+ or 4+)</w:t>
      </w:r>
      <w:r w:rsidRPr="009D21F0">
        <w:rPr>
          <w:szCs w:val="24"/>
        </w:rPr>
        <w:t xml:space="preserve"> considered to be high risk for surgery </w:t>
      </w:r>
      <w:r w:rsidR="00BA733B">
        <w:rPr>
          <w:szCs w:val="24"/>
        </w:rPr>
        <w:t>and a new MBS item for the multidisciplinary case conference</w:t>
      </w:r>
      <w:r w:rsidR="00935BEA">
        <w:rPr>
          <w:szCs w:val="24"/>
        </w:rPr>
        <w:t xml:space="preserve"> was received from Abbott Australasia </w:t>
      </w:r>
      <w:r w:rsidR="00935BEA" w:rsidRPr="009D21F0">
        <w:rPr>
          <w:szCs w:val="24"/>
        </w:rPr>
        <w:t>by the Department of Health</w:t>
      </w:r>
      <w:r w:rsidRPr="009D21F0">
        <w:rPr>
          <w:szCs w:val="24"/>
        </w:rPr>
        <w:t>.</w:t>
      </w:r>
    </w:p>
    <w:p w14:paraId="66223ED6" w14:textId="45E3462A" w:rsidR="003D7F29" w:rsidRPr="00D45C93" w:rsidRDefault="00C80A6A" w:rsidP="003F2786">
      <w:pPr>
        <w:tabs>
          <w:tab w:val="left" w:pos="851"/>
          <w:tab w:val="left" w:pos="1140"/>
        </w:tabs>
        <w:spacing w:after="240"/>
        <w:rPr>
          <w:szCs w:val="24"/>
        </w:rPr>
      </w:pPr>
      <w:r>
        <w:rPr>
          <w:szCs w:val="24"/>
        </w:rPr>
        <w:t>T</w:t>
      </w:r>
      <w:r w:rsidR="00052ABC">
        <w:rPr>
          <w:szCs w:val="24"/>
        </w:rPr>
        <w:t xml:space="preserve">his public summary document </w:t>
      </w:r>
      <w:r w:rsidR="00196CF5">
        <w:rPr>
          <w:szCs w:val="24"/>
        </w:rPr>
        <w:t xml:space="preserve">(PSD) </w:t>
      </w:r>
      <w:r w:rsidR="00052ABC">
        <w:rPr>
          <w:szCs w:val="24"/>
        </w:rPr>
        <w:t xml:space="preserve">should be reviewed in conjunction with the </w:t>
      </w:r>
      <w:r w:rsidR="00196CF5">
        <w:rPr>
          <w:szCs w:val="24"/>
        </w:rPr>
        <w:t>PSDs</w:t>
      </w:r>
      <w:r w:rsidR="00052ABC">
        <w:rPr>
          <w:szCs w:val="24"/>
        </w:rPr>
        <w:t xml:space="preserve"> for </w:t>
      </w:r>
      <w:r w:rsidR="00781297">
        <w:rPr>
          <w:szCs w:val="24"/>
        </w:rPr>
        <w:t xml:space="preserve">Applications </w:t>
      </w:r>
      <w:r w:rsidR="00052ABC">
        <w:rPr>
          <w:szCs w:val="24"/>
        </w:rPr>
        <w:t>1192</w:t>
      </w:r>
      <w:r>
        <w:rPr>
          <w:szCs w:val="24"/>
        </w:rPr>
        <w:t xml:space="preserve"> and 1192.1</w:t>
      </w:r>
      <w:r w:rsidR="00052ABC">
        <w:rPr>
          <w:szCs w:val="24"/>
        </w:rPr>
        <w:t>.</w:t>
      </w:r>
    </w:p>
    <w:p w14:paraId="6240F8CE" w14:textId="73BA9BC3" w:rsidR="00E977EE" w:rsidRPr="004D7ED2" w:rsidRDefault="00E977EE" w:rsidP="004D7ED2">
      <w:pPr>
        <w:pStyle w:val="Heading1"/>
      </w:pPr>
      <w:r w:rsidRPr="004D7ED2">
        <w:rPr>
          <w:rStyle w:val="Strong"/>
          <w:b/>
          <w:bCs w:val="0"/>
        </w:rPr>
        <w:t>MSAC’s advice to the Minister</w:t>
      </w:r>
    </w:p>
    <w:p w14:paraId="1DBAD445" w14:textId="24643456" w:rsidR="00E977EE" w:rsidRPr="003F2786" w:rsidRDefault="00E977EE" w:rsidP="003F2786">
      <w:pPr>
        <w:spacing w:after="240"/>
        <w:rPr>
          <w:rFonts w:cs="Arial"/>
        </w:rPr>
      </w:pPr>
      <w:r w:rsidRPr="005B4337">
        <w:t xml:space="preserve">After considering the strength of the available evidence in relation to the safety, clinical effectiveness and cost-effectiveness of </w:t>
      </w:r>
      <w:r w:rsidR="005B4337" w:rsidRPr="009D21F0">
        <w:rPr>
          <w:szCs w:val="24"/>
        </w:rPr>
        <w:t xml:space="preserve">reduction of severe </w:t>
      </w:r>
      <w:r w:rsidR="005B4337">
        <w:rPr>
          <w:szCs w:val="24"/>
        </w:rPr>
        <w:t>mitral regurgitation (</w:t>
      </w:r>
      <w:r w:rsidR="005B4337" w:rsidRPr="009D21F0">
        <w:rPr>
          <w:szCs w:val="24"/>
        </w:rPr>
        <w:t>MR</w:t>
      </w:r>
      <w:r w:rsidR="005B4337">
        <w:rPr>
          <w:szCs w:val="24"/>
        </w:rPr>
        <w:t>)</w:t>
      </w:r>
      <w:r w:rsidR="005B4337" w:rsidRPr="009D21F0">
        <w:rPr>
          <w:szCs w:val="24"/>
        </w:rPr>
        <w:t xml:space="preserve"> through tissue approximation using </w:t>
      </w:r>
      <w:proofErr w:type="spellStart"/>
      <w:r w:rsidR="005B4337" w:rsidRPr="009D21F0">
        <w:rPr>
          <w:szCs w:val="24"/>
        </w:rPr>
        <w:t>transvenous</w:t>
      </w:r>
      <w:proofErr w:type="spellEnd"/>
      <w:r w:rsidR="005B4337" w:rsidRPr="009D21F0">
        <w:rPr>
          <w:szCs w:val="24"/>
        </w:rPr>
        <w:t>/</w:t>
      </w:r>
      <w:proofErr w:type="spellStart"/>
      <w:r w:rsidR="005B4337" w:rsidRPr="009D21F0">
        <w:rPr>
          <w:szCs w:val="24"/>
        </w:rPr>
        <w:t>transseptal</w:t>
      </w:r>
      <w:proofErr w:type="spellEnd"/>
      <w:r w:rsidR="005B4337" w:rsidRPr="009D21F0">
        <w:rPr>
          <w:szCs w:val="24"/>
        </w:rPr>
        <w:t xml:space="preserve"> techniques in patients</w:t>
      </w:r>
      <w:r w:rsidR="005B4337">
        <w:rPr>
          <w:szCs w:val="24"/>
        </w:rPr>
        <w:t xml:space="preserve"> </w:t>
      </w:r>
      <w:r w:rsidR="005B4337" w:rsidRPr="00DD4573">
        <w:rPr>
          <w:szCs w:val="24"/>
        </w:rPr>
        <w:t>with severe degenerative mitral regurgitation (grade 3+ or 4+)</w:t>
      </w:r>
      <w:r w:rsidR="005B4337" w:rsidRPr="009D21F0">
        <w:rPr>
          <w:szCs w:val="24"/>
        </w:rPr>
        <w:t xml:space="preserve"> considered to be high risk for surgery</w:t>
      </w:r>
      <w:r w:rsidRPr="005B4337">
        <w:t xml:space="preserve">, </w:t>
      </w:r>
      <w:r w:rsidR="005B4337">
        <w:rPr>
          <w:rFonts w:cs="Arial"/>
        </w:rPr>
        <w:t xml:space="preserve">MSAC was unable to support the application due to continued uncertainty about </w:t>
      </w:r>
      <w:r w:rsidR="005B4337" w:rsidRPr="00BF52FB">
        <w:rPr>
          <w:rFonts w:cs="Arial"/>
        </w:rPr>
        <w:t>clinical effectiveness and cost effectiveness</w:t>
      </w:r>
      <w:r w:rsidR="005B4337">
        <w:rPr>
          <w:rFonts w:cs="Arial"/>
        </w:rPr>
        <w:t xml:space="preserve">. However, </w:t>
      </w:r>
      <w:r w:rsidR="005B4337" w:rsidRPr="0005434B">
        <w:rPr>
          <w:rFonts w:cs="Arial"/>
        </w:rPr>
        <w:t xml:space="preserve">MSAC noted that there is a clinical need in </w:t>
      </w:r>
      <w:r w:rsidR="005B4337">
        <w:rPr>
          <w:rFonts w:cs="Arial"/>
        </w:rPr>
        <w:t xml:space="preserve">a small group of </w:t>
      </w:r>
      <w:r w:rsidR="005B4337" w:rsidRPr="0005434B">
        <w:rPr>
          <w:rFonts w:cs="Arial"/>
        </w:rPr>
        <w:t xml:space="preserve">patients with severe </w:t>
      </w:r>
      <w:r w:rsidR="005B4337">
        <w:rPr>
          <w:rFonts w:cs="Arial"/>
        </w:rPr>
        <w:t>degenerative mitral regurgitation</w:t>
      </w:r>
      <w:r w:rsidR="005B4337" w:rsidRPr="0005434B">
        <w:rPr>
          <w:rFonts w:cs="Arial"/>
        </w:rPr>
        <w:t xml:space="preserve"> who are unsuitable for surgery. </w:t>
      </w:r>
    </w:p>
    <w:p w14:paraId="27F0EC74" w14:textId="1A148B03" w:rsidR="00FE1F23" w:rsidRPr="004D7ED2" w:rsidRDefault="00550354" w:rsidP="004D7ED2">
      <w:pPr>
        <w:pStyle w:val="Heading1"/>
      </w:pPr>
      <w:r w:rsidRPr="004D7ED2">
        <w:lastRenderedPageBreak/>
        <w:t xml:space="preserve">Summary of consideration and rationale for MSAC’s advice </w:t>
      </w:r>
    </w:p>
    <w:p w14:paraId="39468F60" w14:textId="2125A904" w:rsidR="004B7922" w:rsidRPr="003F2786" w:rsidRDefault="004B7922" w:rsidP="003F2786">
      <w:pPr>
        <w:spacing w:after="240"/>
      </w:pPr>
      <w:r w:rsidRPr="006810A7">
        <w:t xml:space="preserve">MSAC </w:t>
      </w:r>
      <w:r>
        <w:t xml:space="preserve">noted that it did not support public funding of the proposed intervention on two previous occasions (November 2012 and </w:t>
      </w:r>
      <w:r w:rsidR="005D382A">
        <w:t>April 2014</w:t>
      </w:r>
      <w:r>
        <w:t xml:space="preserve">) due to uncertainty around safety, clinical effectiveness and cost effectiveness. MSAC recalled that comparative data on the safety and efficacy of the technique </w:t>
      </w:r>
      <w:r w:rsidR="003924EE">
        <w:t xml:space="preserve">compared with medical management </w:t>
      </w:r>
      <w:r>
        <w:t xml:space="preserve">was lacking. </w:t>
      </w:r>
    </w:p>
    <w:p w14:paraId="3FF9D0A3" w14:textId="33388D9A" w:rsidR="004B7922" w:rsidRPr="003F2786" w:rsidRDefault="004B7922" w:rsidP="003F2786">
      <w:pPr>
        <w:spacing w:after="240"/>
      </w:pPr>
      <w:r>
        <w:rPr>
          <w:rFonts w:cs="Arial"/>
        </w:rPr>
        <w:t>Th</w:t>
      </w:r>
      <w:r w:rsidR="005D382A">
        <w:rPr>
          <w:rFonts w:cs="Arial"/>
        </w:rPr>
        <w:t>is</w:t>
      </w:r>
      <w:r>
        <w:rPr>
          <w:rFonts w:cs="Arial"/>
        </w:rPr>
        <w:t xml:space="preserve"> resubmission restricted eligibility for the intervention to a more narrowly defined patient group than in previous applications. In th</w:t>
      </w:r>
      <w:r w:rsidR="005D382A">
        <w:rPr>
          <w:rFonts w:cs="Arial"/>
        </w:rPr>
        <w:t xml:space="preserve">is </w:t>
      </w:r>
      <w:r>
        <w:rPr>
          <w:rFonts w:cs="Arial"/>
        </w:rPr>
        <w:t xml:space="preserve">resubmission, the eligible patient population </w:t>
      </w:r>
      <w:r w:rsidR="003924EE">
        <w:rPr>
          <w:rFonts w:cs="Arial"/>
        </w:rPr>
        <w:t xml:space="preserve">is </w:t>
      </w:r>
      <w:r>
        <w:rPr>
          <w:rFonts w:cs="Arial"/>
        </w:rPr>
        <w:t xml:space="preserve">patients </w:t>
      </w:r>
      <w:r>
        <w:t xml:space="preserve">with </w:t>
      </w:r>
      <w:r w:rsidRPr="00DB0670">
        <w:t>moderate to severe (</w:t>
      </w:r>
      <w:r>
        <w:t xml:space="preserve">grade </w:t>
      </w:r>
      <w:r w:rsidRPr="00DB0670">
        <w:t>3</w:t>
      </w:r>
      <w:r>
        <w:t xml:space="preserve">+ or </w:t>
      </w:r>
      <w:r w:rsidRPr="00DB0670">
        <w:t>4</w:t>
      </w:r>
      <w:r>
        <w:t>+</w:t>
      </w:r>
      <w:r w:rsidRPr="00DB0670">
        <w:t xml:space="preserve">) </w:t>
      </w:r>
      <w:r>
        <w:t xml:space="preserve">degenerative </w:t>
      </w:r>
      <w:r w:rsidRPr="00DB0670">
        <w:t xml:space="preserve">mitral regurgitation </w:t>
      </w:r>
      <w:r>
        <w:t xml:space="preserve">(DMR) </w:t>
      </w:r>
      <w:r w:rsidRPr="00DB0670">
        <w:t xml:space="preserve">who are assessed by a multidisciplinary team </w:t>
      </w:r>
      <w:r>
        <w:t xml:space="preserve">as </w:t>
      </w:r>
      <w:r w:rsidRPr="00DB0670">
        <w:t>be</w:t>
      </w:r>
      <w:r>
        <w:t>ing</w:t>
      </w:r>
      <w:r w:rsidRPr="00DB0670">
        <w:t xml:space="preserve"> unfit for surgery</w:t>
      </w:r>
      <w:r>
        <w:t xml:space="preserve"> because of a high mortality risk. </w:t>
      </w:r>
      <w:r>
        <w:rPr>
          <w:rFonts w:cs="Arial"/>
        </w:rPr>
        <w:t>Given that these patients are unfit for surgery, MSAC agreed the appropriate c</w:t>
      </w:r>
      <w:r w:rsidRPr="00DB0670">
        <w:t>omparator</w:t>
      </w:r>
      <w:r>
        <w:t xml:space="preserve"> is </w:t>
      </w:r>
      <w:r w:rsidRPr="00DB0670">
        <w:t>medical management</w:t>
      </w:r>
      <w:r>
        <w:t>.</w:t>
      </w:r>
    </w:p>
    <w:p w14:paraId="574E62FC" w14:textId="08BED387" w:rsidR="004B7922" w:rsidRDefault="004B7922" w:rsidP="003F2786">
      <w:pPr>
        <w:spacing w:after="240"/>
        <w:rPr>
          <w:rFonts w:cs="Arial"/>
        </w:rPr>
      </w:pPr>
      <w:r>
        <w:rPr>
          <w:rFonts w:cs="Arial"/>
        </w:rPr>
        <w:t>MSAC considered the intervention to have a reasonable safety profile in this selected patient group. There was no significant difference in 30-day mortality between the intervention group (</w:t>
      </w:r>
      <w:r w:rsidRPr="003040D5">
        <w:t>n</w:t>
      </w:r>
      <w:r>
        <w:t xml:space="preserve"> = 78) </w:t>
      </w:r>
      <w:r w:rsidRPr="003040D5">
        <w:t>and</w:t>
      </w:r>
      <w:r>
        <w:rPr>
          <w:rFonts w:cs="Arial"/>
        </w:rPr>
        <w:t xml:space="preserve"> a retrospective control group (n = 36) in the </w:t>
      </w:r>
      <w:r>
        <w:t xml:space="preserve">EVEREST II </w:t>
      </w:r>
      <w:r>
        <w:rPr>
          <w:rFonts w:cs="Arial"/>
        </w:rPr>
        <w:t>HRR study (</w:t>
      </w:r>
      <w:r w:rsidRPr="003040D5">
        <w:t>7</w:t>
      </w:r>
      <w:r>
        <w:rPr>
          <w:rFonts w:cs="Arial"/>
        </w:rPr>
        <w:t xml:space="preserve">.7% vs 8.3%, respectively; p &gt; 0.999). In another study, 30 day mortality was 4.2% among the 239 patients in the intervention arm and 7.2% among 239 patients from an optimally matched retrospective control group (Velazquez EJ et al 2015). Two pooled analyses of single arm studies </w:t>
      </w:r>
      <w:r w:rsidR="005D382A">
        <w:rPr>
          <w:rFonts w:cs="Arial"/>
        </w:rPr>
        <w:t>-</w:t>
      </w:r>
      <w:r>
        <w:rPr>
          <w:rFonts w:cs="Arial"/>
        </w:rPr>
        <w:t xml:space="preserve"> each including around 3,000 patients </w:t>
      </w:r>
      <w:r w:rsidR="005D382A">
        <w:rPr>
          <w:rFonts w:cs="Arial"/>
        </w:rPr>
        <w:t>-</w:t>
      </w:r>
      <w:r>
        <w:rPr>
          <w:rFonts w:cs="Arial"/>
        </w:rPr>
        <w:t xml:space="preserve"> reported that procedure-related vascular events requiring surgical intervention occurred in 0.8–3.6% of patients (Philip F et al 2014; </w:t>
      </w:r>
      <w:proofErr w:type="spellStart"/>
      <w:r>
        <w:rPr>
          <w:rFonts w:cs="Arial"/>
        </w:rPr>
        <w:t>Vakil</w:t>
      </w:r>
      <w:proofErr w:type="spellEnd"/>
      <w:r>
        <w:rPr>
          <w:rFonts w:cs="Arial"/>
        </w:rPr>
        <w:t xml:space="preserve"> K et al 2014). Bleeding requiring two or more units of blood within 30 days of the procedure was reported in 4–18% of patients (EVEREST II HRR; Philip F et al 2014). Partial clip detachment or clip </w:t>
      </w:r>
      <w:proofErr w:type="gramStart"/>
      <w:r>
        <w:rPr>
          <w:rFonts w:cs="Arial"/>
        </w:rPr>
        <w:t>embolism during the procedure were</w:t>
      </w:r>
      <w:proofErr w:type="gramEnd"/>
      <w:r>
        <w:rPr>
          <w:rFonts w:cs="Arial"/>
        </w:rPr>
        <w:t xml:space="preserve"> reported in less than 2% of patients (EVEREST II HRR; Philip F et al 2014; </w:t>
      </w:r>
      <w:proofErr w:type="spellStart"/>
      <w:r>
        <w:rPr>
          <w:rFonts w:cs="Arial"/>
        </w:rPr>
        <w:t>Vakil</w:t>
      </w:r>
      <w:proofErr w:type="spellEnd"/>
      <w:r>
        <w:rPr>
          <w:rFonts w:cs="Arial"/>
        </w:rPr>
        <w:t xml:space="preserve"> 2014). Unsuccessful clip placement was reported in approximately 3% of patients and the need for reintervention with another clip during follow-up was reported in 1.3–4.2% of patients (EVEREST II HRR; Philip F et al 2014; </w:t>
      </w:r>
      <w:proofErr w:type="spellStart"/>
      <w:r>
        <w:rPr>
          <w:rFonts w:cs="Arial"/>
        </w:rPr>
        <w:t>Vakil</w:t>
      </w:r>
      <w:proofErr w:type="spellEnd"/>
      <w:r>
        <w:rPr>
          <w:rFonts w:cs="Arial"/>
        </w:rPr>
        <w:t xml:space="preserve"> K et al 2014).</w:t>
      </w:r>
    </w:p>
    <w:p w14:paraId="0A38910D" w14:textId="74814B6B" w:rsidR="004B7922" w:rsidRDefault="004B7922" w:rsidP="003F2786">
      <w:pPr>
        <w:spacing w:after="240"/>
        <w:rPr>
          <w:rFonts w:cs="Arial"/>
        </w:rPr>
      </w:pPr>
      <w:r>
        <w:rPr>
          <w:rFonts w:cs="Arial"/>
        </w:rPr>
        <w:t xml:space="preserve">MSAC noted that the </w:t>
      </w:r>
      <w:r>
        <w:t xml:space="preserve">EVEREST II HRR study </w:t>
      </w:r>
      <w:r>
        <w:rPr>
          <w:rFonts w:cs="Arial"/>
        </w:rPr>
        <w:t xml:space="preserve">included patients with both DMR (n = 45) and </w:t>
      </w:r>
      <w:r>
        <w:t>functional mitral regurgitation (</w:t>
      </w:r>
      <w:r>
        <w:rPr>
          <w:rFonts w:cs="Arial"/>
        </w:rPr>
        <w:t>FMR; n = 69). The retrospectively identified control group were patients who were screened for inclusion in the intervention arm of the EVEREST II HRR study</w:t>
      </w:r>
      <w:r w:rsidR="003924EE">
        <w:rPr>
          <w:rFonts w:cs="Arial"/>
        </w:rPr>
        <w:t>,</w:t>
      </w:r>
      <w:r>
        <w:rPr>
          <w:rFonts w:cs="Arial"/>
        </w:rPr>
        <w:t xml:space="preserve"> but did not enrol or were not anatomically eligible for the intervention. Most of the control patients were managed medically, however 14% underwent mitral valve surgery. MSAC considered that further information on why these patients underwent surgery despite being assessed as being at high risk of mortality would have been helpful</w:t>
      </w:r>
      <w:r w:rsidR="003924EE">
        <w:rPr>
          <w:rFonts w:cs="Arial"/>
        </w:rPr>
        <w:t>,</w:t>
      </w:r>
      <w:r>
        <w:rPr>
          <w:rFonts w:cs="Arial"/>
        </w:rPr>
        <w:t xml:space="preserve"> but noted that the applicant had provided evidence that a proportion of such patients choose to take that risk when no other options are available (Jamieson WRE et al 1999; Ambler G et al 2005; Mirabel M et al 2007).</w:t>
      </w:r>
    </w:p>
    <w:p w14:paraId="16B503DB" w14:textId="4F366303" w:rsidR="004B7922" w:rsidRPr="003F2786" w:rsidRDefault="004B7922" w:rsidP="003F2786">
      <w:pPr>
        <w:spacing w:after="240"/>
      </w:pPr>
      <w:r>
        <w:rPr>
          <w:rFonts w:cs="Arial"/>
        </w:rPr>
        <w:t xml:space="preserve">MSAC noted that the evidence of clinical effectiveness remained uncertain and </w:t>
      </w:r>
      <w:r>
        <w:t xml:space="preserve">relied upon three non-randomised studies with retrospective control groups (EVEREST II HRR study; </w:t>
      </w:r>
      <w:r>
        <w:rPr>
          <w:rFonts w:cs="Arial"/>
        </w:rPr>
        <w:t>Velazquez EJ et al 2015</w:t>
      </w:r>
      <w:r>
        <w:t xml:space="preserve">; </w:t>
      </w:r>
      <w:proofErr w:type="spellStart"/>
      <w:r>
        <w:t>Swaans</w:t>
      </w:r>
      <w:proofErr w:type="spellEnd"/>
      <w:r>
        <w:t xml:space="preserve"> MJ et al 2014). MSAC noted that such studies carry an inherent risk of bias, although it was acknowledged that measures to minimise bias (</w:t>
      </w:r>
      <w:proofErr w:type="spellStart"/>
      <w:r>
        <w:t>eg</w:t>
      </w:r>
      <w:proofErr w:type="spellEnd"/>
      <w:r>
        <w:t>, propensity matching, use of a central events committee) may have reduced some of these risks to a certain extent. MSAC noted that there are ongoing or completed randomised controlled trials (RCTs) of the intervention</w:t>
      </w:r>
      <w:r w:rsidR="003924EE">
        <w:t>,</w:t>
      </w:r>
      <w:r>
        <w:t xml:space="preserve"> but these are in a different patient population </w:t>
      </w:r>
      <w:r w:rsidR="005D382A">
        <w:t>-</w:t>
      </w:r>
      <w:r>
        <w:t xml:space="preserve"> patients with FMR instead of DMR. MSAC stated that higher quality evidence demonstrating clinical effectiveness of the intervention in DMR, such as an RCT, was preferred</w:t>
      </w:r>
      <w:r w:rsidR="003924EE">
        <w:t>,</w:t>
      </w:r>
      <w:r>
        <w:t xml:space="preserve"> but acknowledged that such evidence may not be forthcoming. </w:t>
      </w:r>
    </w:p>
    <w:p w14:paraId="704A1B56" w14:textId="5014F636" w:rsidR="004B7922" w:rsidRPr="003F2786" w:rsidRDefault="004B7922" w:rsidP="003F2786">
      <w:pPr>
        <w:spacing w:after="240"/>
      </w:pPr>
      <w:r>
        <w:rPr>
          <w:rFonts w:cs="Arial"/>
        </w:rPr>
        <w:lastRenderedPageBreak/>
        <w:t>MSAC noted that comparative effectiveness data w</w:t>
      </w:r>
      <w:r w:rsidR="003924EE">
        <w:rPr>
          <w:rFonts w:cs="Arial"/>
        </w:rPr>
        <w:t>ere</w:t>
      </w:r>
      <w:r>
        <w:rPr>
          <w:rFonts w:cs="Arial"/>
        </w:rPr>
        <w:t xml:space="preserve"> restricted to 12-month mortality in these non-randomised studies. While s</w:t>
      </w:r>
      <w:r w:rsidRPr="00DB0670">
        <w:t xml:space="preserve">urvival at 12 months </w:t>
      </w:r>
      <w:r>
        <w:t>was better in the intervention arm compared with control in the EVEREST II HRR study, this was of borderline statistical significance (76% vs 56%, p = 0.048). In addition, the confidence interval around the mean difference was</w:t>
      </w:r>
      <w:r w:rsidRPr="00DB0670">
        <w:t xml:space="preserve"> </w:t>
      </w:r>
      <w:r>
        <w:t xml:space="preserve">wide and included zero suggesting there is a chance that there is no difference in survival between the two arms </w:t>
      </w:r>
      <w:r w:rsidRPr="00DB0670">
        <w:t>(mean difference 20%</w:t>
      </w:r>
      <w:r>
        <w:t xml:space="preserve">; </w:t>
      </w:r>
      <w:r w:rsidRPr="00DB0670">
        <w:t>95% CI -0.8%</w:t>
      </w:r>
      <w:r>
        <w:t>–</w:t>
      </w:r>
      <w:r w:rsidRPr="00DB0670">
        <w:t>40.9%)</w:t>
      </w:r>
      <w:r>
        <w:t xml:space="preserve">. In the </w:t>
      </w:r>
      <w:proofErr w:type="spellStart"/>
      <w:r>
        <w:t>Swaans</w:t>
      </w:r>
      <w:proofErr w:type="spellEnd"/>
      <w:r>
        <w:t xml:space="preserve"> MJ et al 2014 study </w:t>
      </w:r>
      <w:r w:rsidR="005D382A">
        <w:t>-</w:t>
      </w:r>
      <w:r>
        <w:t xml:space="preserve"> used to inform overall survival in economic modelling </w:t>
      </w:r>
      <w:r w:rsidR="005D382A">
        <w:t>-</w:t>
      </w:r>
      <w:r>
        <w:t xml:space="preserve"> survival at 12 months was better in 81 intervention patients compared with historical controls</w:t>
      </w:r>
      <w:r w:rsidR="003924EE">
        <w:t>,</w:t>
      </w:r>
      <w:r>
        <w:t xml:space="preserve"> but once again, the confidence intervals were wide (hazard ratio 0.47; 95% CI 0.24–0.93). One-year survival was better in </w:t>
      </w:r>
      <w:r>
        <w:rPr>
          <w:rFonts w:cs="Arial"/>
        </w:rPr>
        <w:t xml:space="preserve">Velazquez EJ et al 2015 </w:t>
      </w:r>
      <w:r>
        <w:t>when compared with optimally matched historical controls</w:t>
      </w:r>
      <w:r w:rsidR="003924EE">
        <w:t>,</w:t>
      </w:r>
      <w:r>
        <w:t xml:space="preserve"> but again, the confidence intervals were wide (hazard ratio 0.66; 95% CI 0.45–0.99).</w:t>
      </w:r>
    </w:p>
    <w:p w14:paraId="3B12965F" w14:textId="3CD1B766" w:rsidR="004B7922" w:rsidRPr="003F2786" w:rsidRDefault="004B7922" w:rsidP="003F2786">
      <w:pPr>
        <w:spacing w:after="240"/>
        <w:rPr>
          <w:szCs w:val="24"/>
        </w:rPr>
      </w:pPr>
      <w:r>
        <w:rPr>
          <w:rFonts w:cs="Arial"/>
        </w:rPr>
        <w:t xml:space="preserve">MSAC remained concerned about the uncertainty inherent in the cost effectiveness model and suggested that a cost minimisation analysis would have been informative. In considering cost effectiveness MSAC noted that in the base case, use of the intervention would incur a cost over 10 years of </w:t>
      </w:r>
      <w:r w:rsidRPr="00A018AB">
        <w:rPr>
          <w:rFonts w:cs="Arial"/>
        </w:rPr>
        <w:t>$</w:t>
      </w:r>
      <w:r>
        <w:rPr>
          <w:rFonts w:cs="Arial"/>
        </w:rPr>
        <w:t>68,002</w:t>
      </w:r>
      <w:r w:rsidRPr="00A018AB">
        <w:rPr>
          <w:rFonts w:cs="Arial"/>
        </w:rPr>
        <w:t xml:space="preserve"> and </w:t>
      </w:r>
      <w:r>
        <w:rPr>
          <w:rFonts w:cs="Arial"/>
        </w:rPr>
        <w:t xml:space="preserve">lead to a </w:t>
      </w:r>
      <w:r w:rsidRPr="00A018AB">
        <w:rPr>
          <w:rFonts w:cs="Arial"/>
        </w:rPr>
        <w:t xml:space="preserve">gain </w:t>
      </w:r>
      <w:r>
        <w:rPr>
          <w:rFonts w:cs="Arial"/>
        </w:rPr>
        <w:t>of 2.58</w:t>
      </w:r>
      <w:r w:rsidRPr="00A018AB">
        <w:rPr>
          <w:rFonts w:cs="Arial"/>
        </w:rPr>
        <w:t xml:space="preserve"> QALYs compared with $</w:t>
      </w:r>
      <w:r>
        <w:rPr>
          <w:rFonts w:cs="Arial"/>
        </w:rPr>
        <w:t xml:space="preserve">22,783 </w:t>
      </w:r>
      <w:r w:rsidRPr="00A018AB">
        <w:rPr>
          <w:rFonts w:cs="Arial"/>
        </w:rPr>
        <w:t xml:space="preserve">and </w:t>
      </w:r>
      <w:r>
        <w:rPr>
          <w:rFonts w:cs="Arial"/>
        </w:rPr>
        <w:t xml:space="preserve">1.28 </w:t>
      </w:r>
      <w:r w:rsidRPr="00A018AB">
        <w:rPr>
          <w:rFonts w:cs="Arial"/>
        </w:rPr>
        <w:t xml:space="preserve">QALYs for </w:t>
      </w:r>
      <w:r>
        <w:rPr>
          <w:rFonts w:cs="Arial"/>
        </w:rPr>
        <w:t xml:space="preserve">medical management, resulting in </w:t>
      </w:r>
      <w:r w:rsidRPr="00A018AB">
        <w:rPr>
          <w:rFonts w:cs="Arial"/>
        </w:rPr>
        <w:t>an ICER of $</w:t>
      </w:r>
      <w:r>
        <w:rPr>
          <w:rFonts w:cs="Arial"/>
        </w:rPr>
        <w:t>34,802</w:t>
      </w:r>
      <w:r w:rsidRPr="00A018AB">
        <w:rPr>
          <w:rFonts w:cs="Arial"/>
        </w:rPr>
        <w:t xml:space="preserve"> per QALY</w:t>
      </w:r>
      <w:r>
        <w:rPr>
          <w:rFonts w:cs="Arial"/>
        </w:rPr>
        <w:t xml:space="preserve">. However, MSAC was concerned that uncertain survival data at 12 months had been extrapolated to 10 years. Reducing the time horizon from 10 years to two years increased the ICER to $104,782 per QALY. Similarly, while the hazard ratio of 0.47 from </w:t>
      </w:r>
      <w:proofErr w:type="spellStart"/>
      <w:r>
        <w:rPr>
          <w:rFonts w:cs="Arial"/>
        </w:rPr>
        <w:t>Swaans</w:t>
      </w:r>
      <w:proofErr w:type="spellEnd"/>
      <w:r>
        <w:rPr>
          <w:rFonts w:cs="Arial"/>
        </w:rPr>
        <w:t xml:space="preserve"> MJ et al 2014 was used to model overall survival in the base case, sensitivity analyses varying this from 0.24 to 0.93 resulted in the ICER ranging from $24,219 to $118,734 per QALY. MSAC was also concerned that the utility values used in the model were not based upon comparative data</w:t>
      </w:r>
      <w:r w:rsidRPr="009306B1">
        <w:rPr>
          <w:rFonts w:cs="Arial"/>
          <w:szCs w:val="24"/>
        </w:rPr>
        <w:t xml:space="preserve">. </w:t>
      </w:r>
      <w:r w:rsidR="009306B1">
        <w:rPr>
          <w:rFonts w:cs="Arial"/>
          <w:szCs w:val="24"/>
        </w:rPr>
        <w:t xml:space="preserve">Overall, </w:t>
      </w:r>
      <w:r w:rsidR="009306B1" w:rsidRPr="009306B1">
        <w:rPr>
          <w:rFonts w:cs="Arial"/>
          <w:szCs w:val="24"/>
        </w:rPr>
        <w:t xml:space="preserve">MSAC considered that the </w:t>
      </w:r>
      <w:r w:rsidR="009306B1" w:rsidRPr="009306B1">
        <w:rPr>
          <w:szCs w:val="24"/>
        </w:rPr>
        <w:t>modelled estimate o</w:t>
      </w:r>
      <w:r w:rsidR="009306B1">
        <w:rPr>
          <w:szCs w:val="24"/>
        </w:rPr>
        <w:t>f cost-effectiveness presented wa</w:t>
      </w:r>
      <w:r w:rsidR="009306B1" w:rsidRPr="009306B1">
        <w:rPr>
          <w:szCs w:val="24"/>
        </w:rPr>
        <w:t>s unacceptable bec</w:t>
      </w:r>
      <w:r w:rsidR="00884656">
        <w:rPr>
          <w:szCs w:val="24"/>
        </w:rPr>
        <w:t>ause the base case overestimated</w:t>
      </w:r>
      <w:r w:rsidR="009306B1" w:rsidRPr="009306B1">
        <w:rPr>
          <w:szCs w:val="24"/>
        </w:rPr>
        <w:t xml:space="preserve"> improvements in health outcomes a</w:t>
      </w:r>
      <w:r w:rsidR="00884656">
        <w:rPr>
          <w:szCs w:val="24"/>
        </w:rPr>
        <w:t>nd underestimated increased</w:t>
      </w:r>
      <w:r w:rsidR="009306B1" w:rsidRPr="009306B1">
        <w:rPr>
          <w:szCs w:val="24"/>
        </w:rPr>
        <w:t xml:space="preserve"> costs. The increased cost of this service is therefore not justified by the extent of improvement in outcomes.</w:t>
      </w:r>
    </w:p>
    <w:p w14:paraId="7C5A6013" w14:textId="1F374634" w:rsidR="004B7922" w:rsidRDefault="004B7922" w:rsidP="003F2786">
      <w:pPr>
        <w:spacing w:after="240"/>
        <w:rPr>
          <w:rFonts w:cs="Arial"/>
        </w:rPr>
      </w:pPr>
      <w:r>
        <w:rPr>
          <w:rFonts w:cs="Arial"/>
        </w:rPr>
        <w:t xml:space="preserve">MSAC noted that the costs of the intervention were highly uncertain given that estimates of the prevalence of heart failure in Australia, and hence mitral regurgitation, vary widely. To address this, the number of patients potentially eligible for the intervention was estimated using a market-based approach and an epidemiological approach. MSAC noted that the two different approaches gave widely different results. Using the epidemiological approach, up to 2,000 patients </w:t>
      </w:r>
      <w:proofErr w:type="gramStart"/>
      <w:r>
        <w:rPr>
          <w:rFonts w:cs="Arial"/>
        </w:rPr>
        <w:t>were</w:t>
      </w:r>
      <w:proofErr w:type="gramEnd"/>
      <w:r>
        <w:rPr>
          <w:rFonts w:cs="Arial"/>
        </w:rPr>
        <w:t xml:space="preserve"> potentially eligible for the intervention depending upon which Australian heart failure prevalence estimates were used. In the market-based approach, the number of patients receiving the intervention was 168 in the first year rising to 875 in year five. MSAC noted the applicant’s argument that capacity issues were likely to restrict the number of people receiving the intervention, but remained concerned that uptake and costs would be greater than estimated. In addition, MSAC noted that MBS costs were likely to be underestimated if eligibility for the intervention was determined by a multidisciplinary team as the costings did not include consultations where the patient was deemed to be unsuitable for the intervention.</w:t>
      </w:r>
    </w:p>
    <w:p w14:paraId="42463BF1" w14:textId="268CF5CF" w:rsidR="004B7922" w:rsidRDefault="004B7922" w:rsidP="003F2786">
      <w:pPr>
        <w:spacing w:after="240"/>
        <w:rPr>
          <w:rFonts w:cs="Arial"/>
        </w:rPr>
      </w:pPr>
      <w:r>
        <w:rPr>
          <w:rFonts w:cs="Arial"/>
        </w:rPr>
        <w:t>MSAC noted that consumer concerns around the intervention’s success rate, access, equity and costs had been raised at ESC.</w:t>
      </w:r>
    </w:p>
    <w:p w14:paraId="25A51A23" w14:textId="505E6351" w:rsidR="00550354" w:rsidRPr="003F2786" w:rsidRDefault="004B7922" w:rsidP="003F2786">
      <w:pPr>
        <w:spacing w:after="240"/>
        <w:rPr>
          <w:rFonts w:cs="Arial"/>
        </w:rPr>
      </w:pPr>
      <w:r>
        <w:rPr>
          <w:rFonts w:cs="Arial"/>
        </w:rPr>
        <w:t>MSAC noted that</w:t>
      </w:r>
      <w:r w:rsidR="005D382A">
        <w:rPr>
          <w:rFonts w:cs="Arial"/>
        </w:rPr>
        <w:t xml:space="preserve"> there is a clinical need in</w:t>
      </w:r>
      <w:r>
        <w:rPr>
          <w:rFonts w:cs="Arial"/>
        </w:rPr>
        <w:t xml:space="preserve"> </w:t>
      </w:r>
      <w:r w:rsidR="007F6A66">
        <w:rPr>
          <w:rFonts w:cs="Arial"/>
        </w:rPr>
        <w:t>a small</w:t>
      </w:r>
      <w:r w:rsidR="003924EE">
        <w:rPr>
          <w:rFonts w:cs="Arial"/>
        </w:rPr>
        <w:t xml:space="preserve"> </w:t>
      </w:r>
      <w:r>
        <w:rPr>
          <w:rFonts w:cs="Arial"/>
        </w:rPr>
        <w:t>patient population identified as being eligible for the intervention</w:t>
      </w:r>
      <w:r w:rsidR="00364494">
        <w:rPr>
          <w:rFonts w:cs="Arial"/>
        </w:rPr>
        <w:t>. H</w:t>
      </w:r>
      <w:r w:rsidR="00972996">
        <w:rPr>
          <w:rFonts w:cs="Arial"/>
        </w:rPr>
        <w:t>owever</w:t>
      </w:r>
      <w:r w:rsidRPr="003770D4">
        <w:rPr>
          <w:rFonts w:cs="Arial"/>
        </w:rPr>
        <w:t xml:space="preserve"> </w:t>
      </w:r>
      <w:r>
        <w:rPr>
          <w:rFonts w:cs="Arial"/>
        </w:rPr>
        <w:t xml:space="preserve">MSAC was unable to support the application due to continued uncertainty about </w:t>
      </w:r>
      <w:r w:rsidRPr="00BF52FB">
        <w:rPr>
          <w:rFonts w:cs="Arial"/>
        </w:rPr>
        <w:t>clinical effectiveness and cost effectiveness</w:t>
      </w:r>
      <w:r>
        <w:rPr>
          <w:rFonts w:cs="Arial"/>
        </w:rPr>
        <w:t>.</w:t>
      </w:r>
    </w:p>
    <w:p w14:paraId="73725C4E" w14:textId="580EF1C8" w:rsidR="00BC1364" w:rsidRPr="004D7ED2" w:rsidRDefault="00BC1364" w:rsidP="004D7ED2">
      <w:pPr>
        <w:pStyle w:val="Heading1"/>
      </w:pPr>
      <w:r w:rsidRPr="004D7ED2">
        <w:lastRenderedPageBreak/>
        <w:t>Background</w:t>
      </w:r>
    </w:p>
    <w:p w14:paraId="054C1D5E" w14:textId="77777777" w:rsidR="00C80A6A" w:rsidRDefault="00C80A6A" w:rsidP="003F2786">
      <w:pPr>
        <w:autoSpaceDE w:val="0"/>
        <w:autoSpaceDN w:val="0"/>
        <w:adjustRightInd w:val="0"/>
        <w:spacing w:after="240"/>
        <w:rPr>
          <w:rFonts w:ascii="TimesNewRomanPSMT" w:eastAsia="Calibri" w:hAnsi="TimesNewRomanPSMT" w:cs="TimesNewRomanPSMT"/>
          <w:szCs w:val="24"/>
        </w:rPr>
      </w:pPr>
      <w:r>
        <w:rPr>
          <w:rFonts w:ascii="TimesNewRomanPSMT" w:eastAsia="Calibri" w:hAnsi="TimesNewRomanPSMT" w:cs="TimesNewRomanPSMT"/>
          <w:szCs w:val="24"/>
        </w:rPr>
        <w:t>MSAC considered Application 1192 for patients with moderate to severe mitral regurgitation</w:t>
      </w:r>
    </w:p>
    <w:p w14:paraId="540F4A88" w14:textId="77777777" w:rsidR="00C80A6A" w:rsidRDefault="00C80A6A" w:rsidP="003F2786">
      <w:pPr>
        <w:autoSpaceDE w:val="0"/>
        <w:autoSpaceDN w:val="0"/>
        <w:adjustRightInd w:val="0"/>
        <w:spacing w:after="240"/>
        <w:rPr>
          <w:rFonts w:ascii="TimesNewRomanPSMT" w:eastAsia="Calibri" w:hAnsi="TimesNewRomanPSMT" w:cs="TimesNewRomanPSMT"/>
          <w:szCs w:val="24"/>
        </w:rPr>
      </w:pPr>
      <w:r>
        <w:rPr>
          <w:rFonts w:ascii="TimesNewRomanPSMT" w:eastAsia="Calibri" w:hAnsi="TimesNewRomanPSMT" w:cs="TimesNewRomanPSMT"/>
          <w:szCs w:val="24"/>
        </w:rPr>
        <w:t>(MR) in November 2012 and did not support public funding. The then comparator was conventional surgery for repair or replacement of the mitral valve and, to a lesser extent, medical management for patients considered to be high risk. MSAC considered that</w:t>
      </w:r>
    </w:p>
    <w:p w14:paraId="6587E04E" w14:textId="760E4856" w:rsidR="00C80A6A" w:rsidRDefault="00C80A6A" w:rsidP="003F2786">
      <w:pPr>
        <w:autoSpaceDE w:val="0"/>
        <w:autoSpaceDN w:val="0"/>
        <w:adjustRightInd w:val="0"/>
        <w:spacing w:after="240"/>
        <w:rPr>
          <w:rFonts w:ascii="TimesNewRomanPSMT" w:eastAsia="Calibri" w:hAnsi="TimesNewRomanPSMT" w:cs="TimesNewRomanPSMT"/>
          <w:szCs w:val="24"/>
        </w:rPr>
      </w:pPr>
      <w:proofErr w:type="spellStart"/>
      <w:r>
        <w:rPr>
          <w:rFonts w:ascii="TimesNewRomanPSMT" w:eastAsia="Calibri" w:hAnsi="TimesNewRomanPSMT" w:cs="TimesNewRomanPSMT"/>
          <w:szCs w:val="24"/>
        </w:rPr>
        <w:t>MitraClip</w:t>
      </w:r>
      <w:proofErr w:type="spellEnd"/>
      <w:r>
        <w:rPr>
          <w:rFonts w:ascii="TimesNewRomanPSMT" w:eastAsia="Calibri" w:hAnsi="TimesNewRomanPSMT" w:cs="TimesNewRomanPSMT"/>
          <w:sz w:val="16"/>
          <w:szCs w:val="16"/>
        </w:rPr>
        <w:t xml:space="preserve">® </w:t>
      </w:r>
      <w:r>
        <w:rPr>
          <w:rFonts w:ascii="TimesNewRomanPSMT" w:eastAsia="Calibri" w:hAnsi="TimesNewRomanPSMT" w:cs="TimesNewRomanPSMT"/>
          <w:szCs w:val="24"/>
        </w:rPr>
        <w:t xml:space="preserve">therapy may be beneficial to treat high risk patients. However, the MSAC noted that there would need to be a high level study performed to address the lack of data. The PSD for this application can be viewed </w:t>
      </w:r>
      <w:r w:rsidR="0054392A">
        <w:rPr>
          <w:rFonts w:ascii="TimesNewRomanPSMT" w:eastAsia="Calibri" w:hAnsi="TimesNewRomanPSMT" w:cs="TimesNewRomanPSMT"/>
          <w:szCs w:val="24"/>
        </w:rPr>
        <w:t>on the MSAC website.</w:t>
      </w:r>
    </w:p>
    <w:p w14:paraId="433A4779" w14:textId="3DEE3259" w:rsidR="00C80A6A" w:rsidRPr="003F2786" w:rsidRDefault="00C80A6A" w:rsidP="003F2786">
      <w:pPr>
        <w:spacing w:after="240"/>
        <w:rPr>
          <w:rFonts w:ascii="TimesNewRomanPSMT" w:eastAsia="Calibri" w:hAnsi="TimesNewRomanPSMT" w:cs="TimesNewRomanPSMT"/>
          <w:szCs w:val="24"/>
        </w:rPr>
      </w:pPr>
      <w:r>
        <w:rPr>
          <w:rFonts w:ascii="TimesNewRomanPSMT" w:eastAsia="Calibri" w:hAnsi="TimesNewRomanPSMT" w:cs="TimesNewRomanPSMT"/>
          <w:szCs w:val="24"/>
        </w:rPr>
        <w:t xml:space="preserve">MSAC considered Application 1192.1 </w:t>
      </w:r>
      <w:r w:rsidR="0051739F">
        <w:rPr>
          <w:rFonts w:ascii="TimesNewRomanPSMT" w:eastAsia="Calibri" w:hAnsi="TimesNewRomanPSMT" w:cs="TimesNewRomanPSMT"/>
          <w:szCs w:val="24"/>
        </w:rPr>
        <w:t>at its</w:t>
      </w:r>
      <w:r>
        <w:rPr>
          <w:rFonts w:ascii="TimesNewRomanPSMT" w:eastAsia="Calibri" w:hAnsi="TimesNewRomanPSMT" w:cs="TimesNewRomanPSMT"/>
          <w:szCs w:val="24"/>
        </w:rPr>
        <w:t xml:space="preserve"> April 2014</w:t>
      </w:r>
      <w:r w:rsidR="00FA301B">
        <w:rPr>
          <w:rFonts w:ascii="TimesNewRomanPSMT" w:eastAsia="Calibri" w:hAnsi="TimesNewRomanPSMT" w:cs="TimesNewRomanPSMT"/>
          <w:szCs w:val="24"/>
        </w:rPr>
        <w:t xml:space="preserve"> </w:t>
      </w:r>
      <w:r w:rsidR="0051739F">
        <w:rPr>
          <w:rFonts w:ascii="TimesNewRomanPSMT" w:eastAsia="Calibri" w:hAnsi="TimesNewRomanPSMT" w:cs="TimesNewRomanPSMT"/>
          <w:szCs w:val="24"/>
        </w:rPr>
        <w:t>meeting. MSAC</w:t>
      </w:r>
      <w:r>
        <w:t xml:space="preserve"> did not support public funding </w:t>
      </w:r>
      <w:r w:rsidRPr="00844B8A">
        <w:t xml:space="preserve">for the reduction of mitral regurgitation through tissue </w:t>
      </w:r>
      <w:r w:rsidR="003647F5">
        <w:t xml:space="preserve">approximation using </w:t>
      </w:r>
      <w:proofErr w:type="spellStart"/>
      <w:r w:rsidR="003647F5">
        <w:t>transvenous</w:t>
      </w:r>
      <w:proofErr w:type="spellEnd"/>
      <w:r w:rsidRPr="00844B8A">
        <w:t xml:space="preserve">/transeptal techniques </w:t>
      </w:r>
      <w:r>
        <w:t>because of uncertain comparative safety, effectiveness and cost-effectiveness due to limited direct comparative data. MSAC considered it was difficult to define a clinical need in terms of the patient population likely to benefit.</w:t>
      </w:r>
      <w:r w:rsidR="00FA301B">
        <w:t xml:space="preserve"> </w:t>
      </w:r>
      <w:r w:rsidR="00FA301B">
        <w:rPr>
          <w:rFonts w:ascii="TimesNewRomanPSMT" w:eastAsia="Calibri" w:hAnsi="TimesNewRomanPSMT" w:cs="TimesNewRomanPSMT"/>
          <w:szCs w:val="24"/>
        </w:rPr>
        <w:t>The PSD for this application ca</w:t>
      </w:r>
      <w:r w:rsidR="0054392A">
        <w:rPr>
          <w:rFonts w:ascii="TimesNewRomanPSMT" w:eastAsia="Calibri" w:hAnsi="TimesNewRomanPSMT" w:cs="TimesNewRomanPSMT"/>
          <w:szCs w:val="24"/>
        </w:rPr>
        <w:t>n be viewed on the MSAC website.</w:t>
      </w:r>
    </w:p>
    <w:p w14:paraId="54D30930" w14:textId="233185FE" w:rsidR="00BC1364" w:rsidRPr="004D7ED2" w:rsidRDefault="00BC1364" w:rsidP="004D7ED2">
      <w:pPr>
        <w:pStyle w:val="Heading1"/>
      </w:pPr>
      <w:r w:rsidRPr="004D7ED2">
        <w:t>Prerequisites to implementation of any funding advice</w:t>
      </w:r>
    </w:p>
    <w:p w14:paraId="0BD3C8E3" w14:textId="26E6C592" w:rsidR="00BC1364" w:rsidRPr="00356BCE" w:rsidRDefault="00DD4573" w:rsidP="003F2786">
      <w:pPr>
        <w:tabs>
          <w:tab w:val="left" w:pos="720"/>
          <w:tab w:val="left" w:pos="1140"/>
        </w:tabs>
        <w:spacing w:after="240"/>
        <w:rPr>
          <w:szCs w:val="24"/>
        </w:rPr>
      </w:pPr>
      <w:r w:rsidRPr="00DD4573">
        <w:rPr>
          <w:szCs w:val="24"/>
        </w:rPr>
        <w:t xml:space="preserve">The </w:t>
      </w:r>
      <w:proofErr w:type="spellStart"/>
      <w:r w:rsidR="00C234FE">
        <w:rPr>
          <w:szCs w:val="24"/>
        </w:rPr>
        <w:t>MitraClip</w:t>
      </w:r>
      <w:proofErr w:type="spellEnd"/>
      <w:r w:rsidR="00C234FE">
        <w:rPr>
          <w:szCs w:val="24"/>
        </w:rPr>
        <w:t xml:space="preserve"> System </w:t>
      </w:r>
      <w:r>
        <w:rPr>
          <w:szCs w:val="24"/>
        </w:rPr>
        <w:t xml:space="preserve">(ARTG 177709) </w:t>
      </w:r>
      <w:r w:rsidRPr="00DD4573">
        <w:rPr>
          <w:szCs w:val="24"/>
        </w:rPr>
        <w:t xml:space="preserve">and the </w:t>
      </w:r>
      <w:r w:rsidR="00C234FE">
        <w:rPr>
          <w:szCs w:val="24"/>
        </w:rPr>
        <w:t>C</w:t>
      </w:r>
      <w:r w:rsidRPr="00DD4573">
        <w:rPr>
          <w:szCs w:val="24"/>
        </w:rPr>
        <w:t>lip delivery system</w:t>
      </w:r>
      <w:r w:rsidR="00C234FE">
        <w:rPr>
          <w:szCs w:val="24"/>
        </w:rPr>
        <w:t xml:space="preserve"> </w:t>
      </w:r>
      <w:r>
        <w:rPr>
          <w:szCs w:val="24"/>
        </w:rPr>
        <w:t xml:space="preserve">(ARTG 189720) </w:t>
      </w:r>
      <w:r w:rsidR="00BC1364" w:rsidRPr="00DD4573">
        <w:rPr>
          <w:szCs w:val="24"/>
        </w:rPr>
        <w:t>are registered with the Therapeutic Goods Administration (TGA) on the Australian Register of Therapeutic Goods (ARTG).</w:t>
      </w:r>
    </w:p>
    <w:p w14:paraId="47B081CC" w14:textId="1B4E5385" w:rsidR="00BC1364" w:rsidRPr="004D7ED2" w:rsidRDefault="00BC1364" w:rsidP="004D7ED2">
      <w:pPr>
        <w:pStyle w:val="Heading1"/>
      </w:pPr>
      <w:r w:rsidRPr="004D7ED2">
        <w:t>Proposal for public funding</w:t>
      </w:r>
    </w:p>
    <w:p w14:paraId="7404A264" w14:textId="401449B7" w:rsidR="00364494" w:rsidRPr="003F2786" w:rsidRDefault="00844A40" w:rsidP="003F2786">
      <w:pPr>
        <w:spacing w:after="240"/>
        <w:rPr>
          <w:szCs w:val="24"/>
        </w:rPr>
      </w:pPr>
      <w:r w:rsidRPr="00844A40">
        <w:rPr>
          <w:szCs w:val="24"/>
        </w:rPr>
        <w:t xml:space="preserve">The proposed listing </w:t>
      </w:r>
      <w:r>
        <w:rPr>
          <w:szCs w:val="24"/>
        </w:rPr>
        <w:t>in the resubmission</w:t>
      </w:r>
      <w:r w:rsidRPr="00844A40">
        <w:rPr>
          <w:szCs w:val="24"/>
        </w:rPr>
        <w:t xml:space="preserve"> is patients with severe </w:t>
      </w:r>
      <w:r w:rsidRPr="00844A40">
        <w:rPr>
          <w:i/>
          <w:iCs/>
          <w:szCs w:val="24"/>
        </w:rPr>
        <w:t xml:space="preserve">degenerative </w:t>
      </w:r>
      <w:r w:rsidRPr="00844A40">
        <w:rPr>
          <w:szCs w:val="24"/>
        </w:rPr>
        <w:t xml:space="preserve">MR (grade 3+ or 4+) who are assessed by a multidisciplinary heart team to be ineligible for surgery due to the risk of high surgical mortality (attributed to the presence of multiple comorbidities, advanced age, or significantly impaired LVEF). </w:t>
      </w:r>
      <w:r>
        <w:rPr>
          <w:szCs w:val="24"/>
        </w:rPr>
        <w:t xml:space="preserve"> The proposed item descriptor and explanatory notes are shown in Table 1.</w:t>
      </w:r>
    </w:p>
    <w:p w14:paraId="67365897" w14:textId="57E32521" w:rsidR="002D71F1" w:rsidRDefault="00980142" w:rsidP="003F2786">
      <w:pPr>
        <w:tabs>
          <w:tab w:val="left" w:pos="720"/>
          <w:tab w:val="left" w:pos="1140"/>
        </w:tabs>
        <w:rPr>
          <w:b/>
          <w:bCs/>
          <w:sz w:val="22"/>
          <w:szCs w:val="22"/>
        </w:rPr>
      </w:pPr>
      <w:r>
        <w:rPr>
          <w:b/>
          <w:bCs/>
          <w:sz w:val="22"/>
          <w:szCs w:val="22"/>
        </w:rPr>
        <w:t xml:space="preserve">Table 1: Proposed MBS item descriptor for using the </w:t>
      </w:r>
      <w:proofErr w:type="spellStart"/>
      <w:r>
        <w:rPr>
          <w:b/>
          <w:bCs/>
          <w:sz w:val="22"/>
          <w:szCs w:val="22"/>
        </w:rPr>
        <w:t>MitraClip</w:t>
      </w:r>
      <w:proofErr w:type="spellEnd"/>
      <w:r>
        <w:rPr>
          <w:b/>
          <w:bCs/>
          <w:sz w:val="22"/>
          <w:szCs w:val="22"/>
        </w:rPr>
        <w:t>® system in patients with severe degenerative mitral regurgitation</w:t>
      </w:r>
    </w:p>
    <w:tbl>
      <w:tblPr>
        <w:tblStyle w:val="TableGrid"/>
        <w:tblW w:w="0" w:type="auto"/>
        <w:tblLook w:val="04A0" w:firstRow="1" w:lastRow="0" w:firstColumn="1" w:lastColumn="0" w:noHBand="0" w:noVBand="1"/>
        <w:tblDescription w:val="Table 1 - Proposed MBS item descriptor for using the MitraClip system in patients with severe degenerative mitral regurgitation"/>
      </w:tblPr>
      <w:tblGrid>
        <w:gridCol w:w="9242"/>
      </w:tblGrid>
      <w:tr w:rsidR="004E3E74" w:rsidRPr="00980142" w14:paraId="1A68F43D" w14:textId="77777777" w:rsidTr="00CC4BAC">
        <w:trPr>
          <w:cantSplit/>
          <w:tblHeader/>
        </w:trPr>
        <w:tc>
          <w:tcPr>
            <w:tcW w:w="9242" w:type="dxa"/>
          </w:tcPr>
          <w:p w14:paraId="5FD57150" w14:textId="77777777" w:rsidR="004E3E74" w:rsidRPr="00980142" w:rsidRDefault="004E3E74" w:rsidP="003F2786">
            <w:pPr>
              <w:tabs>
                <w:tab w:val="left" w:pos="720"/>
                <w:tab w:val="left" w:pos="1140"/>
              </w:tabs>
              <w:spacing w:after="240"/>
              <w:jc w:val="right"/>
              <w:rPr>
                <w:sz w:val="20"/>
              </w:rPr>
            </w:pPr>
            <w:r w:rsidRPr="00980142">
              <w:rPr>
                <w:sz w:val="20"/>
              </w:rPr>
              <w:t>Category 3 – Therapeutic Procedures</w:t>
            </w:r>
          </w:p>
        </w:tc>
      </w:tr>
      <w:tr w:rsidR="00980142" w14:paraId="0C08553C" w14:textId="77777777" w:rsidTr="006A3795">
        <w:trPr>
          <w:cantSplit/>
          <w:trHeight w:val="2540"/>
        </w:trPr>
        <w:tc>
          <w:tcPr>
            <w:tcW w:w="9242" w:type="dxa"/>
          </w:tcPr>
          <w:p w14:paraId="476E8A66" w14:textId="77777777" w:rsidR="00980142" w:rsidRPr="00531E18" w:rsidRDefault="00980142" w:rsidP="003F2786">
            <w:pPr>
              <w:pStyle w:val="Tabletext"/>
              <w:spacing w:after="240"/>
              <w:rPr>
                <w:rFonts w:ascii="Times New Roman" w:hAnsi="Times New Roman"/>
                <w:snapToGrid w:val="0"/>
              </w:rPr>
            </w:pPr>
            <w:r w:rsidRPr="00531E18">
              <w:rPr>
                <w:rFonts w:ascii="Times New Roman" w:hAnsi="Times New Roman"/>
                <w:snapToGrid w:val="0"/>
              </w:rPr>
              <w:t xml:space="preserve">PERCUTANEOUS RECONSTRUCTION OF AN INSUFFICIENT MITRAL VALVE using </w:t>
            </w:r>
            <w:proofErr w:type="spellStart"/>
            <w:r w:rsidRPr="00531E18">
              <w:rPr>
                <w:rFonts w:ascii="Times New Roman" w:hAnsi="Times New Roman"/>
                <w:snapToGrid w:val="0"/>
              </w:rPr>
              <w:t>transvenous</w:t>
            </w:r>
            <w:proofErr w:type="spellEnd"/>
            <w:r w:rsidRPr="00531E18">
              <w:rPr>
                <w:rFonts w:ascii="Times New Roman" w:hAnsi="Times New Roman"/>
                <w:snapToGrid w:val="0"/>
              </w:rPr>
              <w:t>/</w:t>
            </w:r>
            <w:proofErr w:type="spellStart"/>
            <w:r w:rsidRPr="00531E18">
              <w:rPr>
                <w:rFonts w:ascii="Times New Roman" w:hAnsi="Times New Roman"/>
                <w:snapToGrid w:val="0"/>
              </w:rPr>
              <w:t>transseptal</w:t>
            </w:r>
            <w:proofErr w:type="spellEnd"/>
            <w:r w:rsidRPr="00531E18">
              <w:rPr>
                <w:rFonts w:ascii="Times New Roman" w:hAnsi="Times New Roman"/>
                <w:snapToGrid w:val="0"/>
              </w:rPr>
              <w:t xml:space="preserve"> techniques for permanent </w:t>
            </w:r>
            <w:proofErr w:type="spellStart"/>
            <w:r w:rsidRPr="00531E18">
              <w:rPr>
                <w:rFonts w:ascii="Times New Roman" w:hAnsi="Times New Roman"/>
                <w:snapToGrid w:val="0"/>
              </w:rPr>
              <w:t>coaptation</w:t>
            </w:r>
            <w:proofErr w:type="spellEnd"/>
            <w:r w:rsidRPr="00531E18">
              <w:rPr>
                <w:rFonts w:ascii="Times New Roman" w:hAnsi="Times New Roman"/>
                <w:snapToGrid w:val="0"/>
              </w:rPr>
              <w:t xml:space="preserve"> of mitral valve leaflets using one or more tissue approximation devices in patients with severe degenerative mitral regurgitation (grade 3+ or 4+) who have been determined to be at ‘high risk’ for mitral valve surgery by a multidisciplinary heart team.</w:t>
            </w:r>
          </w:p>
          <w:p w14:paraId="76C03468" w14:textId="77777777" w:rsidR="00980142" w:rsidRPr="00531E18" w:rsidRDefault="00980142" w:rsidP="003F2786">
            <w:pPr>
              <w:pStyle w:val="Tabletext"/>
              <w:spacing w:after="240"/>
              <w:rPr>
                <w:rFonts w:ascii="Times New Roman" w:hAnsi="Times New Roman"/>
                <w:snapToGrid w:val="0"/>
              </w:rPr>
            </w:pPr>
            <w:r w:rsidRPr="00531E18">
              <w:rPr>
                <w:rFonts w:ascii="Times New Roman" w:hAnsi="Times New Roman"/>
                <w:snapToGrid w:val="0"/>
              </w:rPr>
              <w:t xml:space="preserve">Multiple Services Rule </w:t>
            </w:r>
          </w:p>
          <w:p w14:paraId="20FFB5E1" w14:textId="0B9C9B7C" w:rsidR="00980142" w:rsidRDefault="00980142" w:rsidP="003F2786">
            <w:pPr>
              <w:pStyle w:val="Tabletext"/>
              <w:spacing w:after="240"/>
              <w:rPr>
                <w:rFonts w:ascii="Times New Roman" w:hAnsi="Times New Roman"/>
                <w:snapToGrid w:val="0"/>
              </w:rPr>
            </w:pPr>
            <w:r w:rsidRPr="00531E18">
              <w:rPr>
                <w:rFonts w:ascii="Times New Roman" w:hAnsi="Times New Roman"/>
                <w:snapToGrid w:val="0"/>
              </w:rPr>
              <w:t>(</w:t>
            </w:r>
            <w:proofErr w:type="spellStart"/>
            <w:r w:rsidRPr="00531E18">
              <w:rPr>
                <w:rFonts w:ascii="Times New Roman" w:hAnsi="Times New Roman"/>
                <w:snapToGrid w:val="0"/>
              </w:rPr>
              <w:t>Anaes</w:t>
            </w:r>
            <w:proofErr w:type="spellEnd"/>
            <w:r w:rsidRPr="00531E18">
              <w:rPr>
                <w:rFonts w:ascii="Times New Roman" w:hAnsi="Times New Roman"/>
                <w:snapToGrid w:val="0"/>
              </w:rPr>
              <w:t>.) (Assist.)</w:t>
            </w:r>
          </w:p>
          <w:p w14:paraId="0CF14F35" w14:textId="77777777" w:rsidR="00980142" w:rsidRPr="00531E18" w:rsidRDefault="00980142" w:rsidP="003F2786">
            <w:pPr>
              <w:pStyle w:val="Tabletext"/>
              <w:spacing w:after="240"/>
              <w:rPr>
                <w:rFonts w:ascii="Times New Roman" w:hAnsi="Times New Roman"/>
                <w:snapToGrid w:val="0"/>
              </w:rPr>
            </w:pPr>
            <w:r w:rsidRPr="00531E18">
              <w:rPr>
                <w:rFonts w:ascii="Times New Roman" w:hAnsi="Times New Roman"/>
                <w:snapToGrid w:val="0"/>
              </w:rPr>
              <w:t>Explanatory note</w:t>
            </w:r>
          </w:p>
          <w:p w14:paraId="20786F42" w14:textId="77777777" w:rsidR="00980142" w:rsidRPr="00531E18" w:rsidRDefault="00980142" w:rsidP="003F2786">
            <w:pPr>
              <w:pStyle w:val="Tabletext"/>
              <w:spacing w:after="240"/>
              <w:rPr>
                <w:rFonts w:ascii="Times New Roman" w:hAnsi="Times New Roman"/>
                <w:snapToGrid w:val="0"/>
              </w:rPr>
            </w:pPr>
            <w:r w:rsidRPr="00531E18">
              <w:rPr>
                <w:rFonts w:ascii="Times New Roman" w:hAnsi="Times New Roman"/>
                <w:snapToGrid w:val="0"/>
              </w:rPr>
              <w:t>A ‘multidisciplinary heart team’ is required to provide approval regarding the patient’s suitability for treatment.</w:t>
            </w:r>
          </w:p>
          <w:p w14:paraId="0AF95F5F" w14:textId="14AEA92B" w:rsidR="00980142" w:rsidRPr="004E3E74" w:rsidRDefault="00980142" w:rsidP="003F2786">
            <w:pPr>
              <w:pStyle w:val="Tabletext"/>
              <w:spacing w:after="240"/>
              <w:rPr>
                <w:rFonts w:ascii="Times New Roman" w:hAnsi="Times New Roman"/>
                <w:snapToGrid w:val="0"/>
              </w:rPr>
            </w:pPr>
            <w:r w:rsidRPr="00531E18">
              <w:rPr>
                <w:rFonts w:ascii="Times New Roman" w:hAnsi="Times New Roman"/>
                <w:snapToGrid w:val="0"/>
              </w:rPr>
              <w:t xml:space="preserve">(See </w:t>
            </w:r>
            <w:proofErr w:type="spellStart"/>
            <w:r w:rsidRPr="00531E18">
              <w:rPr>
                <w:rFonts w:ascii="Times New Roman" w:hAnsi="Times New Roman"/>
                <w:snapToGrid w:val="0"/>
              </w:rPr>
              <w:t>para</w:t>
            </w:r>
            <w:proofErr w:type="spellEnd"/>
            <w:r w:rsidRPr="00531E18">
              <w:rPr>
                <w:rFonts w:ascii="Times New Roman" w:hAnsi="Times New Roman"/>
                <w:snapToGrid w:val="0"/>
              </w:rPr>
              <w:t xml:space="preserve"> </w:t>
            </w:r>
            <w:proofErr w:type="spellStart"/>
            <w:r w:rsidRPr="00531E18">
              <w:rPr>
                <w:rFonts w:ascii="Times New Roman" w:hAnsi="Times New Roman"/>
                <w:snapToGrid w:val="0"/>
              </w:rPr>
              <w:t>Tx.xx</w:t>
            </w:r>
            <w:proofErr w:type="spellEnd"/>
            <w:r w:rsidRPr="00531E18">
              <w:rPr>
                <w:rFonts w:ascii="Times New Roman" w:hAnsi="Times New Roman"/>
                <w:snapToGrid w:val="0"/>
              </w:rPr>
              <w:t xml:space="preserve"> of explanatory notes for definition of ‘high risk’ and recommended composition of the heart team)</w:t>
            </w:r>
          </w:p>
          <w:p w14:paraId="1BCC69EC" w14:textId="77777777" w:rsidR="00980142" w:rsidRPr="004E3E74" w:rsidRDefault="00980142" w:rsidP="003F2786">
            <w:pPr>
              <w:pStyle w:val="Tabletext"/>
              <w:spacing w:after="240"/>
              <w:rPr>
                <w:rFonts w:ascii="Times New Roman" w:hAnsi="Times New Roman"/>
                <w:snapToGrid w:val="0"/>
              </w:rPr>
            </w:pPr>
            <w:r w:rsidRPr="00531E18">
              <w:rPr>
                <w:rFonts w:ascii="Times New Roman" w:hAnsi="Times New Roman"/>
              </w:rPr>
              <w:t xml:space="preserve">Fee: </w:t>
            </w:r>
            <w:r w:rsidRPr="00531E18">
              <w:rPr>
                <w:rFonts w:ascii="Times New Roman" w:hAnsi="Times New Roman"/>
                <w:snapToGrid w:val="0"/>
              </w:rPr>
              <w:t>$</w:t>
            </w:r>
            <w:r>
              <w:rPr>
                <w:rFonts w:ascii="Times New Roman" w:hAnsi="Times New Roman"/>
                <w:snapToGrid w:val="0"/>
              </w:rPr>
              <w:t>1720.90 Benefit: 75%= $1,290.70</w:t>
            </w:r>
            <w:r w:rsidRPr="00980142">
              <w:rPr>
                <w:rFonts w:ascii="Times New Roman" w:hAnsi="Times New Roman"/>
                <w:snapToGrid w:val="0"/>
                <w:szCs w:val="20"/>
              </w:rPr>
              <w:t xml:space="preserve">, </w:t>
            </w:r>
            <w:r w:rsidRPr="00980142">
              <w:rPr>
                <w:rFonts w:ascii="Times New Roman" w:hAnsi="Times New Roman"/>
                <w:szCs w:val="20"/>
              </w:rPr>
              <w:t>85%=1462.80</w:t>
            </w:r>
            <w:r>
              <w:rPr>
                <w:sz w:val="18"/>
                <w:szCs w:val="18"/>
              </w:rPr>
              <w:t xml:space="preserve"> </w:t>
            </w:r>
          </w:p>
        </w:tc>
      </w:tr>
      <w:tr w:rsidR="009A4B99" w14:paraId="26C8B01F" w14:textId="77777777" w:rsidTr="006A3795">
        <w:trPr>
          <w:cantSplit/>
          <w:trHeight w:val="3675"/>
        </w:trPr>
        <w:tc>
          <w:tcPr>
            <w:tcW w:w="9242" w:type="dxa"/>
          </w:tcPr>
          <w:p w14:paraId="36BA91C0" w14:textId="77777777" w:rsidR="009A4B99" w:rsidRPr="008B0682" w:rsidRDefault="009A4B99" w:rsidP="003F2786">
            <w:pPr>
              <w:pStyle w:val="Tablecaption"/>
              <w:keepNext w:val="0"/>
              <w:keepLines w:val="0"/>
              <w:spacing w:after="240"/>
              <w:jc w:val="left"/>
              <w:rPr>
                <w:rFonts w:ascii="Times New Roman" w:hAnsi="Times New Roman" w:cs="Times New Roman"/>
                <w:szCs w:val="24"/>
              </w:rPr>
            </w:pPr>
            <w:r w:rsidRPr="008B0682">
              <w:rPr>
                <w:rFonts w:ascii="Times New Roman" w:hAnsi="Times New Roman" w:cs="Times New Roman"/>
                <w:szCs w:val="24"/>
              </w:rPr>
              <w:lastRenderedPageBreak/>
              <w:t xml:space="preserve">Explanatory note </w:t>
            </w:r>
            <w:proofErr w:type="spellStart"/>
            <w:r w:rsidRPr="008B0682">
              <w:rPr>
                <w:rFonts w:ascii="Times New Roman" w:hAnsi="Times New Roman" w:cs="Times New Roman"/>
                <w:szCs w:val="24"/>
              </w:rPr>
              <w:t>Tx.xx</w:t>
            </w:r>
            <w:proofErr w:type="spellEnd"/>
          </w:p>
          <w:p w14:paraId="2E763A02" w14:textId="77777777" w:rsidR="009A4B99" w:rsidRPr="008B0682" w:rsidRDefault="009A4B99" w:rsidP="003F2786">
            <w:pPr>
              <w:pStyle w:val="Tablecaption"/>
              <w:keepNext w:val="0"/>
              <w:keepLines w:val="0"/>
              <w:spacing w:after="240"/>
              <w:rPr>
                <w:rFonts w:ascii="Times New Roman" w:hAnsi="Times New Roman" w:cs="Times New Roman"/>
                <w:szCs w:val="24"/>
              </w:rPr>
            </w:pPr>
            <w:r w:rsidRPr="008B0682">
              <w:rPr>
                <w:rFonts w:ascii="Times New Roman" w:hAnsi="Times New Roman" w:cs="Times New Roman"/>
                <w:szCs w:val="24"/>
              </w:rPr>
              <w:t xml:space="preserve">The core personnel of the ‘multidisciplinary heart team’ should, at a minimum, comprise a cardiothoracic surgeon, an interventional cardiologist, and an </w:t>
            </w:r>
            <w:proofErr w:type="spellStart"/>
            <w:r w:rsidRPr="008B0682">
              <w:rPr>
                <w:rFonts w:ascii="Times New Roman" w:hAnsi="Times New Roman" w:cs="Times New Roman"/>
                <w:szCs w:val="24"/>
              </w:rPr>
              <w:t>echocardiologist</w:t>
            </w:r>
            <w:proofErr w:type="spellEnd"/>
            <w:r w:rsidRPr="008B0682">
              <w:rPr>
                <w:rFonts w:ascii="Times New Roman" w:hAnsi="Times New Roman" w:cs="Times New Roman"/>
                <w:szCs w:val="24"/>
              </w:rPr>
              <w:t>. An extended team could additionally include: a general cardiologist, a geriatrician, a cardiac anaesthetist, or an intensive care physician. Severe degenerative mitral regurgitation (grade 3+ or 4+) to be defined by echocardiography.</w:t>
            </w:r>
          </w:p>
          <w:p w14:paraId="089C2E9B" w14:textId="77777777" w:rsidR="009A4B99" w:rsidRPr="008B0682" w:rsidRDefault="009A4B99" w:rsidP="003F2786">
            <w:pPr>
              <w:pStyle w:val="Tablecaption"/>
              <w:keepNext w:val="0"/>
              <w:keepLines w:val="0"/>
              <w:spacing w:after="240"/>
              <w:rPr>
                <w:rFonts w:ascii="Times New Roman" w:hAnsi="Times New Roman" w:cs="Times New Roman"/>
              </w:rPr>
            </w:pPr>
            <w:r w:rsidRPr="008B0682">
              <w:rPr>
                <w:rFonts w:ascii="Times New Roman" w:hAnsi="Times New Roman" w:cs="Times New Roman"/>
                <w:szCs w:val="24"/>
              </w:rPr>
              <w:t xml:space="preserve">High risk is determined by the clinical judgement of the multidisciplinary heart team. In most cases, this </w:t>
            </w:r>
            <w:r w:rsidRPr="008B0682">
              <w:rPr>
                <w:rFonts w:ascii="Times New Roman" w:hAnsi="Times New Roman" w:cs="Times New Roman"/>
              </w:rPr>
              <w:t>may include, but is not limited to, the presence of one or more of the following:</w:t>
            </w:r>
          </w:p>
          <w:p w14:paraId="6AB4958C"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a 30-day predicted surgical mortality risk of ≥10% (determined using the Society of Thoracic Surgeons mortality risk calculator),</w:t>
            </w:r>
          </w:p>
          <w:p w14:paraId="2CDA0044"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porcelain aorta or extensively calcified mobile ascending aorta,</w:t>
            </w:r>
          </w:p>
          <w:p w14:paraId="4248F377"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age older than 75 years with LVEF &lt; 40%,</w:t>
            </w:r>
          </w:p>
          <w:p w14:paraId="03B0F001"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post-mediastinal radiation,</w:t>
            </w:r>
          </w:p>
          <w:p w14:paraId="35F40CB0"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 xml:space="preserve">previous median </w:t>
            </w:r>
            <w:proofErr w:type="spellStart"/>
            <w:r w:rsidRPr="008B0682">
              <w:rPr>
                <w:rFonts w:ascii="Times New Roman" w:hAnsi="Times New Roman" w:cs="Times New Roman"/>
              </w:rPr>
              <w:t>sternotomy</w:t>
            </w:r>
            <w:proofErr w:type="spellEnd"/>
            <w:r w:rsidRPr="008B0682">
              <w:rPr>
                <w:rFonts w:ascii="Times New Roman" w:hAnsi="Times New Roman" w:cs="Times New Roman"/>
              </w:rPr>
              <w:t xml:space="preserve"> with patent bypass graft(s),</w:t>
            </w:r>
          </w:p>
          <w:p w14:paraId="6E9789DC"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 2 previous chest surgeries,</w:t>
            </w:r>
          </w:p>
          <w:p w14:paraId="4690B987" w14:textId="77777777" w:rsidR="009A4B99" w:rsidRPr="008B0682" w:rsidRDefault="009A4B99" w:rsidP="003F2786">
            <w:pPr>
              <w:pStyle w:val="Tablecaption"/>
              <w:keepNext w:val="0"/>
              <w:keepLines w:val="0"/>
              <w:spacing w:after="240"/>
              <w:ind w:left="426" w:hanging="142"/>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t>hepatic cirrhosis,</w:t>
            </w:r>
          </w:p>
          <w:p w14:paraId="392A4C95" w14:textId="77777777" w:rsidR="009A4B99" w:rsidRPr="009A4B99" w:rsidRDefault="009A4B99" w:rsidP="003F2786">
            <w:pPr>
              <w:pStyle w:val="Tablecaption"/>
              <w:keepNext w:val="0"/>
              <w:keepLines w:val="0"/>
              <w:spacing w:after="240"/>
              <w:ind w:left="426" w:hanging="142"/>
              <w:jc w:val="left"/>
              <w:rPr>
                <w:rFonts w:ascii="Times New Roman" w:hAnsi="Times New Roman" w:cs="Times New Roman"/>
              </w:rPr>
            </w:pPr>
            <w:r w:rsidRPr="008B0682">
              <w:rPr>
                <w:rFonts w:ascii="Times New Roman" w:hAnsi="Times New Roman" w:cs="Times New Roman"/>
              </w:rPr>
              <w:t>•</w:t>
            </w:r>
            <w:r w:rsidRPr="008B0682">
              <w:rPr>
                <w:rFonts w:ascii="Times New Roman" w:hAnsi="Times New Roman" w:cs="Times New Roman"/>
              </w:rPr>
              <w:tab/>
            </w:r>
            <w:proofErr w:type="gramStart"/>
            <w:r w:rsidRPr="008B0682">
              <w:rPr>
                <w:rFonts w:ascii="Times New Roman" w:hAnsi="Times New Roman" w:cs="Times New Roman"/>
              </w:rPr>
              <w:t>patients</w:t>
            </w:r>
            <w:proofErr w:type="gramEnd"/>
            <w:r w:rsidRPr="008B0682">
              <w:rPr>
                <w:rFonts w:ascii="Times New Roman" w:hAnsi="Times New Roman" w:cs="Times New Roman"/>
              </w:rPr>
              <w:t xml:space="preserve"> with ≥ 3 of the following risk factors: creatinine level &gt; 2.5 mg/</w:t>
            </w:r>
            <w:proofErr w:type="spellStart"/>
            <w:r w:rsidRPr="008B0682">
              <w:rPr>
                <w:rFonts w:ascii="Times New Roman" w:hAnsi="Times New Roman" w:cs="Times New Roman"/>
              </w:rPr>
              <w:t>dL</w:t>
            </w:r>
            <w:proofErr w:type="spellEnd"/>
            <w:r w:rsidRPr="008B0682">
              <w:rPr>
                <w:rFonts w:ascii="Times New Roman" w:hAnsi="Times New Roman" w:cs="Times New Roman"/>
              </w:rPr>
              <w:t>, previous chest surgery, age older than 75 years, or LVEF &lt; 35%.</w:t>
            </w:r>
          </w:p>
        </w:tc>
      </w:tr>
    </w:tbl>
    <w:p w14:paraId="1B72D77E" w14:textId="120594C1" w:rsidR="00844A40" w:rsidRDefault="00AA26A5" w:rsidP="003F2786">
      <w:pPr>
        <w:tabs>
          <w:tab w:val="left" w:pos="720"/>
          <w:tab w:val="left" w:pos="1140"/>
        </w:tabs>
        <w:spacing w:before="240" w:after="240"/>
        <w:rPr>
          <w:szCs w:val="24"/>
        </w:rPr>
      </w:pPr>
      <w:r>
        <w:rPr>
          <w:szCs w:val="24"/>
        </w:rPr>
        <w:t>The</w:t>
      </w:r>
      <w:r w:rsidR="00844A40" w:rsidRPr="00844A40">
        <w:rPr>
          <w:szCs w:val="24"/>
        </w:rPr>
        <w:t xml:space="preserve"> </w:t>
      </w:r>
      <w:r w:rsidR="007A2602">
        <w:rPr>
          <w:szCs w:val="24"/>
        </w:rPr>
        <w:t xml:space="preserve">applicant’s </w:t>
      </w:r>
      <w:proofErr w:type="spellStart"/>
      <w:r w:rsidR="007A2602">
        <w:rPr>
          <w:szCs w:val="24"/>
        </w:rPr>
        <w:t>preMSAC</w:t>
      </w:r>
      <w:proofErr w:type="spellEnd"/>
      <w:r w:rsidR="007A2602">
        <w:rPr>
          <w:szCs w:val="24"/>
        </w:rPr>
        <w:t xml:space="preserve"> response </w:t>
      </w:r>
      <w:r w:rsidR="008C5645">
        <w:rPr>
          <w:szCs w:val="24"/>
        </w:rPr>
        <w:t>provided</w:t>
      </w:r>
      <w:r>
        <w:rPr>
          <w:szCs w:val="24"/>
        </w:rPr>
        <w:t xml:space="preserve"> </w:t>
      </w:r>
      <w:r w:rsidR="007A2602">
        <w:rPr>
          <w:szCs w:val="24"/>
        </w:rPr>
        <w:t xml:space="preserve">revised </w:t>
      </w:r>
      <w:r w:rsidR="00844A40" w:rsidRPr="00844A40">
        <w:rPr>
          <w:szCs w:val="24"/>
        </w:rPr>
        <w:t>separate MBS item</w:t>
      </w:r>
      <w:r w:rsidR="007A2602">
        <w:rPr>
          <w:szCs w:val="24"/>
        </w:rPr>
        <w:t>s</w:t>
      </w:r>
      <w:r w:rsidR="00844A40" w:rsidRPr="00844A40">
        <w:rPr>
          <w:szCs w:val="24"/>
        </w:rPr>
        <w:t xml:space="preserve"> for assessment by the </w:t>
      </w:r>
      <w:r>
        <w:rPr>
          <w:szCs w:val="24"/>
        </w:rPr>
        <w:t>multidisciplinary heart team a</w:t>
      </w:r>
      <w:r w:rsidR="00844A40" w:rsidRPr="00844A40">
        <w:rPr>
          <w:szCs w:val="24"/>
        </w:rPr>
        <w:t>s</w:t>
      </w:r>
      <w:r w:rsidR="00844A40">
        <w:rPr>
          <w:szCs w:val="24"/>
        </w:rPr>
        <w:t xml:space="preserve"> shown in Table 2</w:t>
      </w:r>
      <w:r w:rsidR="002431E3">
        <w:rPr>
          <w:szCs w:val="24"/>
        </w:rPr>
        <w:t xml:space="preserve"> with further clarification on who can claim the item, and the purpose and duration of the case conference</w:t>
      </w:r>
      <w:r w:rsidR="00844A40">
        <w:rPr>
          <w:szCs w:val="24"/>
        </w:rPr>
        <w:t>.</w:t>
      </w:r>
    </w:p>
    <w:p w14:paraId="2AF18F9E" w14:textId="7B286622" w:rsidR="002D71F1" w:rsidRPr="003F2786" w:rsidRDefault="008C5645" w:rsidP="003F2786">
      <w:pPr>
        <w:tabs>
          <w:tab w:val="left" w:pos="720"/>
          <w:tab w:val="left" w:pos="1140"/>
        </w:tabs>
        <w:rPr>
          <w:b/>
          <w:sz w:val="22"/>
          <w:szCs w:val="22"/>
        </w:rPr>
      </w:pPr>
      <w:bookmarkStart w:id="1" w:name="_Ref456263439"/>
      <w:r w:rsidRPr="00B62279">
        <w:rPr>
          <w:b/>
          <w:sz w:val="22"/>
          <w:szCs w:val="22"/>
        </w:rPr>
        <w:t xml:space="preserve">Table </w:t>
      </w:r>
      <w:bookmarkEnd w:id="1"/>
      <w:r w:rsidRPr="00B62279">
        <w:rPr>
          <w:b/>
          <w:sz w:val="22"/>
          <w:szCs w:val="22"/>
        </w:rPr>
        <w:t>2</w:t>
      </w:r>
      <w:r w:rsidRPr="00B62279">
        <w:rPr>
          <w:b/>
          <w:sz w:val="22"/>
          <w:szCs w:val="22"/>
        </w:rPr>
        <w:tab/>
        <w:t xml:space="preserve"> Revised MBS item descriptors for assessment of suitability for mitral valve intervention in patients with severe degenerative mitral regurgitation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 2. Revised MBS item descriptor. The applicant's revised descriptor 1 of 2"/>
      </w:tblPr>
      <w:tblGrid>
        <w:gridCol w:w="9036"/>
      </w:tblGrid>
      <w:tr w:rsidR="008C5645" w:rsidRPr="00AA7EA2" w14:paraId="36AFB611" w14:textId="77777777" w:rsidTr="008C5645">
        <w:trPr>
          <w:cantSplit/>
          <w:tblHeader/>
        </w:trPr>
        <w:tc>
          <w:tcPr>
            <w:tcW w:w="9036"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6653C4BF" w14:textId="77777777" w:rsidR="008C5645" w:rsidRPr="00AA7EA2" w:rsidRDefault="008C5645" w:rsidP="003F2786">
            <w:pPr>
              <w:pStyle w:val="TableH1"/>
              <w:spacing w:after="240"/>
              <w:jc w:val="right"/>
              <w:rPr>
                <w:lang w:val="en-AU"/>
              </w:rPr>
            </w:pPr>
            <w:r w:rsidRPr="008C5645">
              <w:rPr>
                <w:rFonts w:ascii="Times New Roman" w:eastAsia="Times New Roman" w:hAnsi="Times New Roman" w:cs="Times New Roman"/>
                <w:b w:val="0"/>
                <w:szCs w:val="20"/>
                <w:lang w:val="en-AU"/>
              </w:rPr>
              <w:t>Category 1 – Professional attendances</w:t>
            </w:r>
          </w:p>
        </w:tc>
      </w:tr>
      <w:tr w:rsidR="008C5645" w:rsidRPr="00AA7EA2" w14:paraId="6E3A6C59" w14:textId="77777777" w:rsidTr="008C5645">
        <w:trPr>
          <w:cantSplit/>
        </w:trPr>
        <w:tc>
          <w:tcPr>
            <w:tcW w:w="9036" w:type="dxa"/>
            <w:tcBorders>
              <w:top w:val="single" w:sz="4" w:space="0" w:color="auto"/>
              <w:left w:val="single" w:sz="4" w:space="0" w:color="auto"/>
              <w:bottom w:val="single" w:sz="4" w:space="0" w:color="auto"/>
              <w:right w:val="single" w:sz="4" w:space="0" w:color="auto"/>
              <w:tl2br w:val="nil"/>
              <w:tr2bl w:val="nil"/>
            </w:tcBorders>
          </w:tcPr>
          <w:p w14:paraId="0DE88C7C" w14:textId="77777777" w:rsidR="008C5645" w:rsidRPr="008C5645" w:rsidRDefault="008C5645" w:rsidP="003F2786">
            <w:pPr>
              <w:pStyle w:val="Tabletext"/>
              <w:spacing w:after="240"/>
              <w:rPr>
                <w:rFonts w:ascii="Times New Roman" w:hAnsi="Times New Roman"/>
                <w:szCs w:val="20"/>
              </w:rPr>
            </w:pPr>
            <w:r w:rsidRPr="008C5645">
              <w:rPr>
                <w:rFonts w:ascii="Times New Roman" w:hAnsi="Times New Roman"/>
                <w:szCs w:val="20"/>
              </w:rPr>
              <w:t>MBS xxx</w:t>
            </w:r>
          </w:p>
          <w:p w14:paraId="2D623083" w14:textId="77777777" w:rsidR="008C5645" w:rsidRPr="008C5645" w:rsidRDefault="008C5645" w:rsidP="003F2786">
            <w:pPr>
              <w:pStyle w:val="Tabletext"/>
              <w:spacing w:after="240"/>
              <w:rPr>
                <w:rFonts w:ascii="Times New Roman" w:hAnsi="Times New Roman"/>
                <w:szCs w:val="20"/>
              </w:rPr>
            </w:pPr>
            <w:r w:rsidRPr="008C5645">
              <w:rPr>
                <w:rFonts w:ascii="Times New Roman" w:hAnsi="Times New Roman"/>
                <w:szCs w:val="20"/>
              </w:rPr>
              <w:t>MULTIDISCIPLINARY MITRAL VALVE CASE CONFERENCE</w:t>
            </w:r>
          </w:p>
          <w:p w14:paraId="567094B4" w14:textId="6C7D0ED3" w:rsidR="00A25535" w:rsidRDefault="008C5645" w:rsidP="003F2786">
            <w:pPr>
              <w:pStyle w:val="Tabletext"/>
              <w:spacing w:after="240"/>
              <w:rPr>
                <w:rFonts w:ascii="Times New Roman" w:hAnsi="Times New Roman"/>
                <w:szCs w:val="20"/>
              </w:rPr>
            </w:pPr>
            <w:r w:rsidRPr="008C5645">
              <w:rPr>
                <w:rFonts w:ascii="Times New Roman" w:hAnsi="Times New Roman"/>
                <w:szCs w:val="20"/>
              </w:rPr>
              <w:t xml:space="preserve">Attendance by a medical practitioner (including a specialist or consultant physician in the practice of his or her specialty or a general practitioner), as a member of a case conference team, to </w:t>
            </w:r>
            <w:r w:rsidRPr="008C5645">
              <w:rPr>
                <w:rFonts w:ascii="Times New Roman" w:hAnsi="Times New Roman"/>
                <w:b/>
                <w:szCs w:val="20"/>
              </w:rPr>
              <w:t>LEAD AND COOORDINATE</w:t>
            </w:r>
            <w:r w:rsidRPr="008C5645">
              <w:rPr>
                <w:rFonts w:ascii="Times New Roman" w:hAnsi="Times New Roman"/>
                <w:szCs w:val="20"/>
              </w:rPr>
              <w:t xml:space="preserve"> A MULTIDISCIPLINARY CASE CONFERENCE ON A PATIENT WITH SEVERE DEGENERATIVE MITRAL REGURGITATION TO DEVELOP A MULTIDISCIPLINARY TREATMENT PLAN, to determine suitability for mitral valve repair or replacement, or for permanent </w:t>
            </w:r>
            <w:proofErr w:type="spellStart"/>
            <w:r w:rsidRPr="008C5645">
              <w:rPr>
                <w:rFonts w:ascii="Times New Roman" w:hAnsi="Times New Roman"/>
                <w:szCs w:val="20"/>
              </w:rPr>
              <w:t>coaptation</w:t>
            </w:r>
            <w:proofErr w:type="spellEnd"/>
            <w:r w:rsidRPr="008C5645">
              <w:rPr>
                <w:rFonts w:ascii="Times New Roman" w:hAnsi="Times New Roman"/>
                <w:szCs w:val="20"/>
              </w:rPr>
              <w:t xml:space="preserve"> of mitral valve leaflets using one or more tissue approximation devices. </w:t>
            </w:r>
          </w:p>
          <w:p w14:paraId="57C4C2A9" w14:textId="5CC04053" w:rsidR="008C5645" w:rsidRPr="008C5645" w:rsidRDefault="008C5645" w:rsidP="003F2786">
            <w:pPr>
              <w:pStyle w:val="Tabletext"/>
              <w:spacing w:after="240"/>
              <w:rPr>
                <w:rFonts w:ascii="Times New Roman" w:hAnsi="Times New Roman"/>
                <w:szCs w:val="20"/>
              </w:rPr>
            </w:pPr>
            <w:r w:rsidRPr="008C5645">
              <w:rPr>
                <w:rFonts w:ascii="Times New Roman" w:hAnsi="Times New Roman"/>
                <w:szCs w:val="20"/>
              </w:rPr>
              <w:t xml:space="preserve">The core personnel of the ‘multidisciplinary heart team’ should, at a minimum, comprise a cardiothoracic surgeon, an interventional cardiologist, and an </w:t>
            </w:r>
            <w:proofErr w:type="spellStart"/>
            <w:r w:rsidRPr="008C5645">
              <w:rPr>
                <w:rFonts w:ascii="Times New Roman" w:hAnsi="Times New Roman"/>
                <w:szCs w:val="20"/>
              </w:rPr>
              <w:t>echocardiologist</w:t>
            </w:r>
            <w:proofErr w:type="spellEnd"/>
            <w:r w:rsidRPr="008C5645">
              <w:rPr>
                <w:rFonts w:ascii="Times New Roman" w:hAnsi="Times New Roman"/>
                <w:szCs w:val="20"/>
              </w:rPr>
              <w:t xml:space="preserve">. An extended team could include a general cardiologist, a geriatrician, a cardiac anaesthetist, or an intensive care physician. </w:t>
            </w:r>
          </w:p>
          <w:p w14:paraId="32817E47" w14:textId="3322A9BF" w:rsidR="00A25535" w:rsidRDefault="008C5645" w:rsidP="003F2786">
            <w:pPr>
              <w:pStyle w:val="Tabletext"/>
              <w:spacing w:after="240"/>
              <w:rPr>
                <w:rFonts w:ascii="Times New Roman" w:hAnsi="Times New Roman"/>
                <w:szCs w:val="20"/>
              </w:rPr>
            </w:pPr>
            <w:r w:rsidRPr="008C5645">
              <w:rPr>
                <w:rFonts w:ascii="Times New Roman" w:hAnsi="Times New Roman"/>
                <w:szCs w:val="20"/>
              </w:rPr>
              <w:t>The case conference is of at least 10 minutes.</w:t>
            </w:r>
          </w:p>
          <w:p w14:paraId="06AB920C" w14:textId="6B799622" w:rsidR="008C5645" w:rsidRPr="008C5645" w:rsidRDefault="008C5645" w:rsidP="003F2786">
            <w:pPr>
              <w:pStyle w:val="Tabletext"/>
              <w:spacing w:after="240"/>
              <w:rPr>
                <w:rFonts w:ascii="Times New Roman" w:hAnsi="Times New Roman"/>
                <w:szCs w:val="20"/>
              </w:rPr>
            </w:pPr>
            <w:r w:rsidRPr="008C5645">
              <w:rPr>
                <w:rFonts w:ascii="Times New Roman" w:hAnsi="Times New Roman"/>
                <w:szCs w:val="20"/>
              </w:rPr>
              <w:t>(See para xxx of explanatory notes to this Category)</w:t>
            </w:r>
          </w:p>
          <w:p w14:paraId="7F0E9A17" w14:textId="6C84FE9A" w:rsidR="006A3795" w:rsidRPr="005F6F44" w:rsidRDefault="008C5645" w:rsidP="003F2786">
            <w:pPr>
              <w:pStyle w:val="Tabletext"/>
              <w:spacing w:after="240"/>
              <w:rPr>
                <w:rFonts w:ascii="Times New Roman" w:hAnsi="Times New Roman"/>
                <w:szCs w:val="20"/>
              </w:rPr>
            </w:pPr>
            <w:r w:rsidRPr="008C5645">
              <w:rPr>
                <w:rFonts w:ascii="Times New Roman" w:hAnsi="Times New Roman"/>
                <w:szCs w:val="20"/>
              </w:rPr>
              <w:t>Fee: $80.30 Benefit: 75%= $60.25 85%=68.30</w:t>
            </w:r>
          </w:p>
        </w:tc>
      </w:tr>
      <w:tr w:rsidR="005548DC" w:rsidRPr="00AA7EA2" w14:paraId="0B3320EA" w14:textId="77777777" w:rsidTr="005548DC">
        <w:trPr>
          <w:cantSplit/>
        </w:trPr>
        <w:tc>
          <w:tcPr>
            <w:tcW w:w="9036"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5B168D2F" w14:textId="77777777" w:rsidR="005548DC" w:rsidRPr="005548DC" w:rsidRDefault="005548DC" w:rsidP="003F2786">
            <w:pPr>
              <w:pStyle w:val="Tabletext"/>
              <w:spacing w:after="240"/>
              <w:jc w:val="right"/>
              <w:rPr>
                <w:rFonts w:ascii="Times New Roman" w:hAnsi="Times New Roman"/>
                <w:szCs w:val="20"/>
              </w:rPr>
            </w:pPr>
            <w:r w:rsidRPr="008C5645">
              <w:rPr>
                <w:rFonts w:ascii="Times New Roman" w:hAnsi="Times New Roman"/>
                <w:szCs w:val="20"/>
              </w:rPr>
              <w:lastRenderedPageBreak/>
              <w:t>Category 1 – Professional attendances</w:t>
            </w:r>
          </w:p>
        </w:tc>
      </w:tr>
      <w:tr w:rsidR="005548DC" w:rsidRPr="00AA7EA2" w14:paraId="1B918516" w14:textId="77777777" w:rsidTr="005548DC">
        <w:trPr>
          <w:cantSplit/>
        </w:trPr>
        <w:tc>
          <w:tcPr>
            <w:tcW w:w="9036" w:type="dxa"/>
            <w:tcBorders>
              <w:top w:val="single" w:sz="4" w:space="0" w:color="auto"/>
              <w:left w:val="single" w:sz="4" w:space="0" w:color="auto"/>
              <w:bottom w:val="single" w:sz="4" w:space="0" w:color="auto"/>
              <w:right w:val="single" w:sz="4" w:space="0" w:color="auto"/>
              <w:tl2br w:val="nil"/>
              <w:tr2bl w:val="nil"/>
            </w:tcBorders>
          </w:tcPr>
          <w:p w14:paraId="43826682" w14:textId="497E4281" w:rsidR="005548DC" w:rsidRPr="008C5645" w:rsidRDefault="005548DC" w:rsidP="003F2786">
            <w:pPr>
              <w:pStyle w:val="Tabletext"/>
              <w:spacing w:after="240"/>
              <w:rPr>
                <w:rFonts w:ascii="Times New Roman" w:hAnsi="Times New Roman"/>
                <w:szCs w:val="20"/>
              </w:rPr>
            </w:pPr>
            <w:r w:rsidRPr="008C5645">
              <w:rPr>
                <w:rFonts w:ascii="Times New Roman" w:hAnsi="Times New Roman"/>
                <w:szCs w:val="20"/>
              </w:rPr>
              <w:t>MBS xx</w:t>
            </w:r>
            <w:r w:rsidR="004E117A">
              <w:rPr>
                <w:rFonts w:ascii="Times New Roman" w:hAnsi="Times New Roman"/>
                <w:szCs w:val="20"/>
              </w:rPr>
              <w:t>x</w:t>
            </w:r>
          </w:p>
          <w:p w14:paraId="7CA35739" w14:textId="77777777" w:rsidR="005548DC" w:rsidRPr="008C5645" w:rsidRDefault="005548DC" w:rsidP="003F2786">
            <w:pPr>
              <w:pStyle w:val="Tabletext"/>
              <w:spacing w:after="240"/>
              <w:rPr>
                <w:rFonts w:ascii="Times New Roman" w:hAnsi="Times New Roman"/>
                <w:szCs w:val="20"/>
              </w:rPr>
            </w:pPr>
            <w:r w:rsidRPr="008C5645">
              <w:rPr>
                <w:rFonts w:ascii="Times New Roman" w:hAnsi="Times New Roman"/>
                <w:szCs w:val="20"/>
              </w:rPr>
              <w:t>MULTIDISCIPLINARY MITRAL VALVE CASE CONFERENCE</w:t>
            </w:r>
          </w:p>
          <w:p w14:paraId="017A8780" w14:textId="53D6CEDD" w:rsidR="005548DC" w:rsidRDefault="005548DC" w:rsidP="003F2786">
            <w:pPr>
              <w:pStyle w:val="Tabletext"/>
              <w:spacing w:after="240"/>
              <w:rPr>
                <w:rFonts w:ascii="Times New Roman" w:hAnsi="Times New Roman"/>
                <w:szCs w:val="20"/>
              </w:rPr>
            </w:pPr>
            <w:r w:rsidRPr="008C5645">
              <w:rPr>
                <w:rFonts w:ascii="Times New Roman" w:hAnsi="Times New Roman"/>
                <w:szCs w:val="20"/>
              </w:rPr>
              <w:t xml:space="preserve">Attendance by a medical practitioner (including a specialist or consultant physician in the practice of his or her specialty or a general practitioner), as a member of a case conference team, to </w:t>
            </w:r>
            <w:r w:rsidRPr="005548DC">
              <w:rPr>
                <w:rFonts w:ascii="Times New Roman" w:hAnsi="Times New Roman"/>
                <w:szCs w:val="20"/>
              </w:rPr>
              <w:t>PARTICIPATE IN</w:t>
            </w:r>
            <w:r w:rsidRPr="008C5645">
              <w:rPr>
                <w:rFonts w:ascii="Times New Roman" w:hAnsi="Times New Roman"/>
                <w:szCs w:val="20"/>
              </w:rPr>
              <w:t xml:space="preserve"> A MULTIDISCIPLINARY CASE CONFERENCE ON A PATIENT WITH SEVERE DEGENERATIVE MITRAL REGURGITATION TO DEVELOP A MULTIDISCIPLINARY TREATMENT PLAN, to determine suitability for mitral valve repair or replacement, or for permanent </w:t>
            </w:r>
            <w:proofErr w:type="spellStart"/>
            <w:r w:rsidRPr="008C5645">
              <w:rPr>
                <w:rFonts w:ascii="Times New Roman" w:hAnsi="Times New Roman"/>
                <w:szCs w:val="20"/>
              </w:rPr>
              <w:t>coaptation</w:t>
            </w:r>
            <w:proofErr w:type="spellEnd"/>
            <w:r w:rsidRPr="008C5645">
              <w:rPr>
                <w:rFonts w:ascii="Times New Roman" w:hAnsi="Times New Roman"/>
                <w:szCs w:val="20"/>
              </w:rPr>
              <w:t xml:space="preserve"> of mitral valve leaflets using one or more tissue approximation devices. </w:t>
            </w:r>
          </w:p>
          <w:p w14:paraId="54ACF2E5" w14:textId="77777777" w:rsidR="005548DC" w:rsidRPr="008C5645" w:rsidRDefault="005548DC" w:rsidP="003F2786">
            <w:pPr>
              <w:pStyle w:val="Tabletext"/>
              <w:spacing w:after="240"/>
              <w:rPr>
                <w:rFonts w:ascii="Times New Roman" w:hAnsi="Times New Roman"/>
                <w:szCs w:val="20"/>
              </w:rPr>
            </w:pPr>
            <w:r w:rsidRPr="008C5645">
              <w:rPr>
                <w:rFonts w:ascii="Times New Roman" w:hAnsi="Times New Roman"/>
                <w:szCs w:val="20"/>
              </w:rPr>
              <w:t xml:space="preserve">The core personnel of the ‘multidisciplinary heart team’ should, at a minimum, comprise a cardiothoracic surgeon, an interventional cardiologist, and an </w:t>
            </w:r>
            <w:proofErr w:type="spellStart"/>
            <w:r w:rsidRPr="008C5645">
              <w:rPr>
                <w:rFonts w:ascii="Times New Roman" w:hAnsi="Times New Roman"/>
                <w:szCs w:val="20"/>
              </w:rPr>
              <w:t>echocardiologist</w:t>
            </w:r>
            <w:proofErr w:type="spellEnd"/>
            <w:r w:rsidRPr="008C5645">
              <w:rPr>
                <w:rFonts w:ascii="Times New Roman" w:hAnsi="Times New Roman"/>
                <w:szCs w:val="20"/>
              </w:rPr>
              <w:t xml:space="preserve">. An extended team could include a general cardiologist, a geriatrician, a cardiac anaesthetist, or an intensive care physician. </w:t>
            </w:r>
          </w:p>
          <w:p w14:paraId="34CFE7FE" w14:textId="72CAE340" w:rsidR="005548DC" w:rsidRDefault="005548DC" w:rsidP="003F2786">
            <w:pPr>
              <w:pStyle w:val="Tabletext"/>
              <w:spacing w:after="240"/>
              <w:rPr>
                <w:rFonts w:ascii="Times New Roman" w:hAnsi="Times New Roman"/>
                <w:szCs w:val="20"/>
              </w:rPr>
            </w:pPr>
            <w:r w:rsidRPr="008C5645">
              <w:rPr>
                <w:rFonts w:ascii="Times New Roman" w:hAnsi="Times New Roman"/>
                <w:szCs w:val="20"/>
              </w:rPr>
              <w:t>The case conference is of at least 10 minutes.</w:t>
            </w:r>
          </w:p>
          <w:p w14:paraId="2703B8B7" w14:textId="77777777" w:rsidR="005548DC" w:rsidRPr="008C5645" w:rsidRDefault="005548DC" w:rsidP="003F2786">
            <w:pPr>
              <w:pStyle w:val="Tabletext"/>
              <w:spacing w:after="240"/>
              <w:rPr>
                <w:rFonts w:ascii="Times New Roman" w:hAnsi="Times New Roman"/>
                <w:szCs w:val="20"/>
              </w:rPr>
            </w:pPr>
            <w:r w:rsidRPr="008C5645">
              <w:rPr>
                <w:rFonts w:ascii="Times New Roman" w:hAnsi="Times New Roman"/>
                <w:szCs w:val="20"/>
              </w:rPr>
              <w:t>(See para xxx of explanatory notes to this Category)</w:t>
            </w:r>
          </w:p>
          <w:p w14:paraId="54D21C38" w14:textId="77777777" w:rsidR="005548DC" w:rsidRPr="008C5645" w:rsidRDefault="005548DC" w:rsidP="003F2786">
            <w:pPr>
              <w:pStyle w:val="Tabletext"/>
              <w:spacing w:after="240"/>
              <w:rPr>
                <w:rFonts w:ascii="Times New Roman" w:hAnsi="Times New Roman"/>
                <w:szCs w:val="20"/>
              </w:rPr>
            </w:pPr>
            <w:r w:rsidRPr="008C5645">
              <w:rPr>
                <w:rFonts w:ascii="Times New Roman" w:hAnsi="Times New Roman"/>
                <w:szCs w:val="20"/>
              </w:rPr>
              <w:t>Fee: $37.40 Benefit: 75%= $28.05 85%=31.80</w:t>
            </w:r>
          </w:p>
        </w:tc>
      </w:tr>
    </w:tbl>
    <w:p w14:paraId="35011CAB" w14:textId="54759FB1" w:rsidR="008C5645" w:rsidRPr="008C5645" w:rsidRDefault="008C5645" w:rsidP="003F2786">
      <w:pPr>
        <w:spacing w:before="240" w:after="240"/>
      </w:pPr>
      <w:r w:rsidRPr="008C5645">
        <w:t>For the purposes of these items:</w:t>
      </w:r>
    </w:p>
    <w:p w14:paraId="06B5921C" w14:textId="77777777" w:rsidR="008C5645" w:rsidRPr="003F2786" w:rsidRDefault="008C5645" w:rsidP="003F2786">
      <w:pPr>
        <w:pStyle w:val="Bullet0"/>
        <w:spacing w:after="240"/>
        <w:rPr>
          <w:rFonts w:ascii="Times New Roman" w:eastAsia="Times New Roman" w:hAnsi="Times New Roman" w:cs="Times New Roman"/>
          <w:sz w:val="24"/>
          <w:szCs w:val="24"/>
        </w:rPr>
      </w:pPr>
      <w:r w:rsidRPr="003F2786">
        <w:rPr>
          <w:rFonts w:ascii="Times New Roman" w:eastAsia="Times New Roman" w:hAnsi="Times New Roman" w:cs="Times New Roman"/>
          <w:sz w:val="24"/>
          <w:szCs w:val="24"/>
        </w:rPr>
        <w:t>patients in public or private hospitals or the community with clinically significant DMR (grade 3 or 4+), classified using echocardiography and either present with symptoms, or be asymptomatic with evidence of LV dysfunction or dilatation, or have new onset atrial fibrillation or pulmonary hypertension, or be refractory to medical management;</w:t>
      </w:r>
    </w:p>
    <w:p w14:paraId="7EB2E24F" w14:textId="77777777" w:rsidR="008C5645" w:rsidRPr="003F2786" w:rsidRDefault="008C5645" w:rsidP="003F2786">
      <w:pPr>
        <w:pStyle w:val="Bullet0"/>
        <w:spacing w:after="240"/>
        <w:rPr>
          <w:rFonts w:ascii="Times New Roman" w:eastAsia="Times New Roman" w:hAnsi="Times New Roman" w:cs="Times New Roman"/>
          <w:sz w:val="24"/>
          <w:szCs w:val="24"/>
        </w:rPr>
      </w:pPr>
      <w:proofErr w:type="gramStart"/>
      <w:r w:rsidRPr="003F2786">
        <w:rPr>
          <w:rFonts w:ascii="Times New Roman" w:eastAsia="Times New Roman" w:hAnsi="Times New Roman" w:cs="Times New Roman"/>
          <w:sz w:val="24"/>
          <w:szCs w:val="24"/>
        </w:rPr>
        <w:t>the</w:t>
      </w:r>
      <w:proofErr w:type="gramEnd"/>
      <w:r w:rsidRPr="003F2786">
        <w:rPr>
          <w:rFonts w:ascii="Times New Roman" w:eastAsia="Times New Roman" w:hAnsi="Times New Roman" w:cs="Times New Roman"/>
          <w:sz w:val="24"/>
          <w:szCs w:val="24"/>
        </w:rPr>
        <w:t xml:space="preserve"> billing medical practitioner may be from any area of medical practice and must be a treating doctor of the patient discussed at the case conference.  A treating doctor should generally have treated or provided a formal diagnosis of the patient's MR in the past 12 months or expect to do so within the next 12 months;</w:t>
      </w:r>
    </w:p>
    <w:p w14:paraId="2FA0DBFF" w14:textId="77777777" w:rsidR="008C5645" w:rsidRPr="003F2786" w:rsidRDefault="008C5645" w:rsidP="003F2786">
      <w:pPr>
        <w:pStyle w:val="Bullet0"/>
        <w:spacing w:after="240"/>
        <w:rPr>
          <w:rFonts w:ascii="Times New Roman" w:eastAsia="Times New Roman" w:hAnsi="Times New Roman" w:cs="Times New Roman"/>
          <w:sz w:val="24"/>
          <w:szCs w:val="24"/>
        </w:rPr>
      </w:pPr>
      <w:proofErr w:type="gramStart"/>
      <w:r w:rsidRPr="003F2786">
        <w:rPr>
          <w:rFonts w:ascii="Times New Roman" w:eastAsia="Times New Roman" w:hAnsi="Times New Roman" w:cs="Times New Roman"/>
          <w:sz w:val="24"/>
          <w:szCs w:val="24"/>
        </w:rPr>
        <w:t>only</w:t>
      </w:r>
      <w:proofErr w:type="gramEnd"/>
      <w:r w:rsidRPr="003F2786">
        <w:rPr>
          <w:rFonts w:ascii="Times New Roman" w:eastAsia="Times New Roman" w:hAnsi="Times New Roman" w:cs="Times New Roman"/>
          <w:sz w:val="24"/>
          <w:szCs w:val="24"/>
        </w:rPr>
        <w:t xml:space="preserve"> one practitioner is eligible to claim item XXX for each patient case conference. This should be the doctor who assumes responsibility for leading and coordinating the case conference, ensures that records are kept and that the patient is informed of the outcome of the case conference. In most cases this will be the lead treating doctor;</w:t>
      </w:r>
    </w:p>
    <w:p w14:paraId="4924A3AC" w14:textId="77777777" w:rsidR="008C5645" w:rsidRPr="003F2786" w:rsidRDefault="008C5645" w:rsidP="003F2786">
      <w:pPr>
        <w:pStyle w:val="Bullet0"/>
        <w:spacing w:after="240"/>
        <w:rPr>
          <w:rFonts w:ascii="Times New Roman" w:eastAsia="Times New Roman" w:hAnsi="Times New Roman" w:cs="Times New Roman"/>
          <w:sz w:val="24"/>
          <w:szCs w:val="24"/>
        </w:rPr>
      </w:pPr>
      <w:r w:rsidRPr="003F2786">
        <w:rPr>
          <w:rFonts w:ascii="Times New Roman" w:eastAsia="Times New Roman" w:hAnsi="Times New Roman" w:cs="Times New Roman"/>
          <w:sz w:val="24"/>
          <w:szCs w:val="24"/>
        </w:rPr>
        <w:t>each billing practitioner must ensure that his or her patient is informed that a charge will be incurred for the case conference for which a Medicare rebate will be payable;</w:t>
      </w:r>
    </w:p>
    <w:p w14:paraId="1DA7D5C1" w14:textId="77777777" w:rsidR="008C5645" w:rsidRPr="003F2786" w:rsidRDefault="008C5645" w:rsidP="003F2786">
      <w:pPr>
        <w:pStyle w:val="Bullet0"/>
        <w:spacing w:after="240"/>
        <w:rPr>
          <w:rFonts w:ascii="Times New Roman" w:eastAsia="Times New Roman" w:hAnsi="Times New Roman" w:cs="Times New Roman"/>
          <w:sz w:val="24"/>
          <w:szCs w:val="24"/>
        </w:rPr>
      </w:pPr>
      <w:r w:rsidRPr="003F2786">
        <w:rPr>
          <w:rFonts w:ascii="Times New Roman" w:eastAsia="Times New Roman" w:hAnsi="Times New Roman" w:cs="Times New Roman"/>
          <w:sz w:val="24"/>
          <w:szCs w:val="24"/>
        </w:rPr>
        <w:t>participants must be in communication with each other throughout the case conference, either face-to-face, or by telephone or video link;</w:t>
      </w:r>
    </w:p>
    <w:p w14:paraId="4ABFFF8A" w14:textId="77777777" w:rsidR="008C5645" w:rsidRPr="003F2786" w:rsidRDefault="008C5645" w:rsidP="003F2786">
      <w:pPr>
        <w:pStyle w:val="Bullet0"/>
        <w:spacing w:after="240"/>
        <w:rPr>
          <w:rFonts w:ascii="Times New Roman" w:eastAsia="Times New Roman" w:hAnsi="Times New Roman" w:cs="Times New Roman"/>
          <w:sz w:val="24"/>
          <w:szCs w:val="24"/>
        </w:rPr>
      </w:pPr>
      <w:r w:rsidRPr="003F2786">
        <w:rPr>
          <w:rFonts w:ascii="Times New Roman" w:eastAsia="Times New Roman" w:hAnsi="Times New Roman" w:cs="Times New Roman"/>
          <w:sz w:val="24"/>
          <w:szCs w:val="24"/>
        </w:rPr>
        <w:t>in general, it is expected that no more than one case conference per patient per year will be billed by a practitioner; and</w:t>
      </w:r>
    </w:p>
    <w:p w14:paraId="22D3B3F7" w14:textId="1FFCEDE9" w:rsidR="00980142" w:rsidRPr="003F2786" w:rsidRDefault="008C5645" w:rsidP="003F2786">
      <w:pPr>
        <w:pStyle w:val="Bullet0"/>
        <w:spacing w:after="240"/>
        <w:rPr>
          <w:rFonts w:ascii="Times New Roman" w:eastAsia="Times New Roman" w:hAnsi="Times New Roman" w:cs="Times New Roman"/>
          <w:sz w:val="24"/>
          <w:szCs w:val="24"/>
        </w:rPr>
      </w:pPr>
      <w:proofErr w:type="gramStart"/>
      <w:r w:rsidRPr="003F2786">
        <w:rPr>
          <w:rFonts w:ascii="Times New Roman" w:eastAsia="Times New Roman" w:hAnsi="Times New Roman" w:cs="Times New Roman"/>
          <w:sz w:val="24"/>
          <w:szCs w:val="24"/>
        </w:rPr>
        <w:t>the</w:t>
      </w:r>
      <w:proofErr w:type="gramEnd"/>
      <w:r w:rsidRPr="003F2786">
        <w:rPr>
          <w:rFonts w:ascii="Times New Roman" w:eastAsia="Times New Roman" w:hAnsi="Times New Roman" w:cs="Times New Roman"/>
          <w:sz w:val="24"/>
          <w:szCs w:val="24"/>
        </w:rPr>
        <w:t xml:space="preserve"> multidisciplinary heart team case conference is expected to review the patient’s medical condition and valve abnormality, determine if the possible interventions that </w:t>
      </w:r>
      <w:r w:rsidRPr="003F2786">
        <w:rPr>
          <w:rFonts w:ascii="Times New Roman" w:eastAsia="Times New Roman" w:hAnsi="Times New Roman" w:cs="Times New Roman"/>
          <w:sz w:val="24"/>
          <w:szCs w:val="24"/>
        </w:rPr>
        <w:lastRenderedPageBreak/>
        <w:t>are indicated are technically feasible and reasonable, and discuss potential risks and benefits.</w:t>
      </w:r>
    </w:p>
    <w:p w14:paraId="2EABD3B6" w14:textId="77777777" w:rsidR="00451731" w:rsidRPr="00531E18" w:rsidRDefault="00451731" w:rsidP="003F2786">
      <w:pPr>
        <w:spacing w:after="240"/>
        <w:rPr>
          <w:szCs w:val="24"/>
        </w:rPr>
      </w:pPr>
      <w:r w:rsidRPr="00531E18">
        <w:rPr>
          <w:szCs w:val="24"/>
        </w:rPr>
        <w:t>The proposed MBS fee has increased from $895.30 in Application 1192, to $912.30 in Application 1192.1, to $1720.90 in Application 1192.2. The applicant justified this increase due to:</w:t>
      </w:r>
    </w:p>
    <w:p w14:paraId="10E5C3D0" w14:textId="77777777" w:rsidR="00451731" w:rsidRDefault="00451731" w:rsidP="003F2786">
      <w:pPr>
        <w:pStyle w:val="ListParagraph"/>
        <w:numPr>
          <w:ilvl w:val="0"/>
          <w:numId w:val="26"/>
        </w:numPr>
        <w:spacing w:after="240"/>
        <w:contextualSpacing w:val="0"/>
      </w:pPr>
      <w:r>
        <w:t>the increase in average surgical time (compared with the repair of an atrial septal defect)</w:t>
      </w:r>
    </w:p>
    <w:p w14:paraId="5995BC1B" w14:textId="77777777" w:rsidR="00451731" w:rsidRDefault="00451731" w:rsidP="003F2786">
      <w:pPr>
        <w:pStyle w:val="ListParagraph"/>
        <w:numPr>
          <w:ilvl w:val="0"/>
          <w:numId w:val="26"/>
        </w:numPr>
        <w:spacing w:after="240"/>
        <w:contextualSpacing w:val="0"/>
      </w:pPr>
      <w:r>
        <w:t>the complexity of the procedure</w:t>
      </w:r>
    </w:p>
    <w:p w14:paraId="1B835DDF" w14:textId="2488E76B" w:rsidR="00451731" w:rsidRDefault="00451731" w:rsidP="003F2786">
      <w:pPr>
        <w:pStyle w:val="ListParagraph"/>
        <w:numPr>
          <w:ilvl w:val="0"/>
          <w:numId w:val="26"/>
        </w:numPr>
        <w:spacing w:after="240"/>
        <w:contextualSpacing w:val="0"/>
      </w:pPr>
      <w:r>
        <w:t xml:space="preserve">the complexity of TOE imaging </w:t>
      </w:r>
    </w:p>
    <w:p w14:paraId="4EF017C0" w14:textId="56FE8C07" w:rsidR="00BC1364" w:rsidRPr="004D7ED2" w:rsidRDefault="00BC1364" w:rsidP="004D7ED2">
      <w:pPr>
        <w:pStyle w:val="Heading1"/>
      </w:pPr>
      <w:r w:rsidRPr="004D7ED2">
        <w:t xml:space="preserve">Summary of </w:t>
      </w:r>
      <w:r w:rsidR="003D7F29" w:rsidRPr="004D7ED2">
        <w:t>Public Consultation</w:t>
      </w:r>
      <w:r w:rsidRPr="004D7ED2">
        <w:t xml:space="preserve"> Feedback</w:t>
      </w:r>
      <w:r w:rsidR="003D7F29" w:rsidRPr="004D7ED2">
        <w:t>/Consumer Issues</w:t>
      </w:r>
    </w:p>
    <w:p w14:paraId="6BCBFFAF" w14:textId="420248BD" w:rsidR="006A3795" w:rsidRDefault="00A37590" w:rsidP="003F2786">
      <w:pPr>
        <w:spacing w:after="240"/>
        <w:rPr>
          <w:szCs w:val="24"/>
        </w:rPr>
      </w:pPr>
      <w:r>
        <w:rPr>
          <w:szCs w:val="24"/>
        </w:rPr>
        <w:t>See MSAC A</w:t>
      </w:r>
      <w:r w:rsidRPr="001675CB">
        <w:rPr>
          <w:szCs w:val="24"/>
        </w:rPr>
        <w:t xml:space="preserve">pplication 1192 </w:t>
      </w:r>
      <w:r>
        <w:rPr>
          <w:szCs w:val="24"/>
        </w:rPr>
        <w:t>Public Summary Document.</w:t>
      </w:r>
    </w:p>
    <w:p w14:paraId="455AE926" w14:textId="77777777" w:rsidR="00BC1364" w:rsidRPr="004D7ED2" w:rsidRDefault="00BC1364" w:rsidP="004D7ED2">
      <w:pPr>
        <w:pStyle w:val="Heading1"/>
      </w:pPr>
      <w:r w:rsidRPr="004D7ED2">
        <w:t>Proposed intervention’s place in clinical management</w:t>
      </w:r>
    </w:p>
    <w:p w14:paraId="609E3CD7" w14:textId="5153F410" w:rsidR="00B16F1F" w:rsidRPr="003F2786" w:rsidRDefault="00B16F1F" w:rsidP="003F2786">
      <w:pPr>
        <w:spacing w:after="240"/>
      </w:pPr>
      <w:r>
        <w:t>The</w:t>
      </w:r>
      <w:r w:rsidR="007E03F2">
        <w:t xml:space="preserve"> resubmission stated that the</w:t>
      </w:r>
      <w:r>
        <w:t xml:space="preserve"> </w:t>
      </w:r>
      <w:r w:rsidR="00E97B18">
        <w:t xml:space="preserve">proposed </w:t>
      </w:r>
      <w:r>
        <w:t xml:space="preserve">clinical management algorithm is based on American College of Cardiology (ACC)/American Heart Association (AHA) and the European Society of Cardiology (ESC) and the European Association for Cardio-Thoracic Surgery (EACTS) guidelines. Changes to the clinical management algorithm from the previous applications for </w:t>
      </w:r>
      <w:proofErr w:type="spellStart"/>
      <w:r>
        <w:t>MitraClip</w:t>
      </w:r>
      <w:proofErr w:type="spellEnd"/>
      <w:r w:rsidRPr="00E97B18">
        <w:rPr>
          <w:vertAlign w:val="superscript"/>
        </w:rPr>
        <w:t>®</w:t>
      </w:r>
      <w:r>
        <w:t xml:space="preserve"> are based on expert opinion and the recommendations of current guidelines. </w:t>
      </w:r>
    </w:p>
    <w:p w14:paraId="1F76C961" w14:textId="354A6D2A" w:rsidR="00BC1364" w:rsidRPr="00356BCE" w:rsidRDefault="004735F7" w:rsidP="003F2786">
      <w:pPr>
        <w:spacing w:after="240"/>
        <w:rPr>
          <w:szCs w:val="24"/>
        </w:rPr>
      </w:pPr>
      <w:r w:rsidRPr="00AE6A75">
        <w:rPr>
          <w:szCs w:val="24"/>
        </w:rPr>
        <w:t xml:space="preserve">The proposed clinical management algorithm </w:t>
      </w:r>
      <w:r>
        <w:rPr>
          <w:szCs w:val="24"/>
        </w:rPr>
        <w:t>includes</w:t>
      </w:r>
      <w:r w:rsidRPr="00AE6A75">
        <w:rPr>
          <w:szCs w:val="24"/>
        </w:rPr>
        <w:t xml:space="preserve"> the possibility to use </w:t>
      </w:r>
      <w:proofErr w:type="spellStart"/>
      <w:r w:rsidRPr="00AE6A75">
        <w:rPr>
          <w:szCs w:val="24"/>
        </w:rPr>
        <w:t>MitraClip</w:t>
      </w:r>
      <w:proofErr w:type="spellEnd"/>
      <w:r w:rsidRPr="00AE6A75">
        <w:rPr>
          <w:szCs w:val="24"/>
        </w:rPr>
        <w:t xml:space="preserve">® in patients who are at high risk of surgery while still suitable for the </w:t>
      </w:r>
      <w:proofErr w:type="spellStart"/>
      <w:r w:rsidRPr="00AE6A75">
        <w:rPr>
          <w:szCs w:val="24"/>
        </w:rPr>
        <w:t>MitraClip</w:t>
      </w:r>
      <w:proofErr w:type="spellEnd"/>
      <w:r w:rsidRPr="00AE6A75">
        <w:rPr>
          <w:szCs w:val="24"/>
        </w:rPr>
        <w:t>® intervention. Patients who, in current clinical practice, would be high risk to</w:t>
      </w:r>
      <w:r w:rsidR="003F2786">
        <w:rPr>
          <w:szCs w:val="24"/>
        </w:rPr>
        <w:t xml:space="preserve"> surgery would be medically mana</w:t>
      </w:r>
      <w:r w:rsidRPr="00AE6A75">
        <w:rPr>
          <w:szCs w:val="24"/>
        </w:rPr>
        <w:t>ged and flow onto extended heart failure management.</w:t>
      </w:r>
    </w:p>
    <w:p w14:paraId="618EC33E" w14:textId="77777777" w:rsidR="003F2786" w:rsidRDefault="003F2786">
      <w:pPr>
        <w:rPr>
          <w:b/>
        </w:rPr>
      </w:pPr>
      <w:r>
        <w:rPr>
          <w:b/>
        </w:rPr>
        <w:br w:type="page"/>
      </w:r>
    </w:p>
    <w:p w14:paraId="2B184FF4" w14:textId="034AA453" w:rsidR="004735F7" w:rsidRPr="003F2786" w:rsidRDefault="004735F7" w:rsidP="003F2786">
      <w:pPr>
        <w:spacing w:after="240"/>
        <w:rPr>
          <w:b/>
          <w:vertAlign w:val="superscript"/>
        </w:rPr>
      </w:pPr>
      <w:r w:rsidRPr="003F2786">
        <w:rPr>
          <w:b/>
        </w:rPr>
        <w:lastRenderedPageBreak/>
        <w:t>Figure 1</w:t>
      </w:r>
      <w:r w:rsidRPr="003F2786">
        <w:rPr>
          <w:b/>
          <w:noProof/>
        </w:rPr>
        <w:t xml:space="preserve"> - </w:t>
      </w:r>
      <w:r w:rsidRPr="003F2786">
        <w:rPr>
          <w:b/>
        </w:rPr>
        <w:t xml:space="preserve">Proposed clinical management algorithm for degenerative mitral regurgitation with </w:t>
      </w:r>
      <w:proofErr w:type="spellStart"/>
      <w:r w:rsidRPr="003F2786">
        <w:rPr>
          <w:b/>
        </w:rPr>
        <w:t>MitraClip</w:t>
      </w:r>
      <w:proofErr w:type="spellEnd"/>
      <w:r w:rsidRPr="003F2786">
        <w:rPr>
          <w:b/>
          <w:vertAlign w:val="superscript"/>
        </w:rPr>
        <w:t>®</w:t>
      </w:r>
    </w:p>
    <w:p w14:paraId="3ABA5132" w14:textId="77777777" w:rsidR="008E2234" w:rsidRPr="008E2234" w:rsidRDefault="008E2234" w:rsidP="003F2786">
      <w:pPr>
        <w:spacing w:after="240"/>
        <w:rPr>
          <w:lang w:eastAsia="en-US"/>
        </w:rPr>
      </w:pPr>
    </w:p>
    <w:p w14:paraId="072FD7CA" w14:textId="77777777" w:rsidR="004735F7" w:rsidRPr="00AE6A75" w:rsidRDefault="004735F7" w:rsidP="003F2786">
      <w:pPr>
        <w:pStyle w:val="Tablenotes"/>
        <w:spacing w:after="240"/>
        <w:jc w:val="left"/>
        <w:rPr>
          <w:rFonts w:ascii="Times New Roman" w:hAnsi="Times New Roman" w:cs="Times New Roman"/>
          <w:sz w:val="24"/>
          <w:szCs w:val="24"/>
        </w:rPr>
      </w:pPr>
      <w:r w:rsidRPr="00AE6A75">
        <w:rPr>
          <w:rFonts w:ascii="Times New Roman" w:hAnsi="Times New Roman" w:cs="Times New Roman"/>
          <w:noProof/>
          <w:sz w:val="24"/>
          <w:szCs w:val="24"/>
          <w:lang w:eastAsia="en-AU"/>
        </w:rPr>
        <w:drawing>
          <wp:inline distT="0" distB="0" distL="0" distR="0" wp14:anchorId="66E10A58" wp14:editId="18EF257B">
            <wp:extent cx="5724525" cy="4724400"/>
            <wp:effectExtent l="0" t="0" r="9525" b="0"/>
            <wp:docPr id="61" name="Picture 61" descr="Figure 1. Clinical managment algorithm - proposed. degenerative mitral regurgitation with MitraClip. See surroun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730165"/>
                    </a:xfrm>
                    <a:prstGeom prst="rect">
                      <a:avLst/>
                    </a:prstGeom>
                    <a:noFill/>
                  </pic:spPr>
                </pic:pic>
              </a:graphicData>
            </a:graphic>
          </wp:inline>
        </w:drawing>
      </w:r>
    </w:p>
    <w:p w14:paraId="37526E36" w14:textId="3CE4F91E" w:rsidR="00650D98" w:rsidRPr="00E97B18" w:rsidRDefault="004735F7" w:rsidP="003F2786">
      <w:pPr>
        <w:pStyle w:val="Tablenotes"/>
        <w:spacing w:after="240"/>
        <w:jc w:val="left"/>
        <w:rPr>
          <w:rFonts w:ascii="Times New Roman" w:hAnsi="Times New Roman" w:cs="Times New Roman"/>
          <w:sz w:val="20"/>
          <w:szCs w:val="24"/>
        </w:rPr>
      </w:pPr>
      <w:r w:rsidRPr="0056202F">
        <w:rPr>
          <w:rFonts w:ascii="Times New Roman" w:hAnsi="Times New Roman" w:cs="Times New Roman"/>
          <w:sz w:val="20"/>
          <w:szCs w:val="24"/>
        </w:rPr>
        <w:t>Abbreviations: LVEF, Left Ventricular Ejection Fraction; LVESD, Left Ventricular End Systolic Dimension; MR, Mitral Regurgitation; NYHA, New York Heart Association; SPAP, Systolic Pulmonary Arterial Pressure.</w:t>
      </w:r>
    </w:p>
    <w:p w14:paraId="705AD7A5" w14:textId="77777777" w:rsidR="004735F7" w:rsidRPr="00AE6A75" w:rsidRDefault="004735F7" w:rsidP="003F2786">
      <w:pPr>
        <w:pStyle w:val="Tablenotes"/>
        <w:spacing w:after="240"/>
        <w:jc w:val="left"/>
        <w:rPr>
          <w:rFonts w:ascii="Times New Roman" w:hAnsi="Times New Roman" w:cs="Times New Roman"/>
          <w:sz w:val="24"/>
          <w:szCs w:val="24"/>
        </w:rPr>
      </w:pPr>
      <w:r w:rsidRPr="00AE6A75">
        <w:rPr>
          <w:rFonts w:ascii="Times New Roman" w:hAnsi="Times New Roman" w:cs="Times New Roman"/>
          <w:sz w:val="24"/>
          <w:szCs w:val="24"/>
        </w:rPr>
        <w:t xml:space="preserve">1. For patients with normal LV function, periodic monitoring is suggested every 3-5 years for progressive DMR (mild severity), every 1-2 years for progressive DMR (moderate severity), and every 6-12 months for severe </w:t>
      </w:r>
      <w:proofErr w:type="gramStart"/>
      <w:r w:rsidRPr="00AE6A75">
        <w:rPr>
          <w:rFonts w:ascii="Times New Roman" w:hAnsi="Times New Roman" w:cs="Times New Roman"/>
          <w:sz w:val="24"/>
          <w:szCs w:val="24"/>
        </w:rPr>
        <w:t>DMR(</w:t>
      </w:r>
      <w:proofErr w:type="gramEnd"/>
      <w:r w:rsidRPr="00AE6A75">
        <w:rPr>
          <w:rFonts w:ascii="Times New Roman" w:hAnsi="Times New Roman" w:cs="Times New Roman"/>
          <w:sz w:val="24"/>
          <w:szCs w:val="24"/>
        </w:rPr>
        <w:t>11).</w:t>
      </w:r>
    </w:p>
    <w:p w14:paraId="680FC076" w14:textId="77777777" w:rsidR="004735F7" w:rsidRPr="00AE6A75" w:rsidRDefault="004735F7" w:rsidP="003F2786">
      <w:pPr>
        <w:pStyle w:val="Tablenotes"/>
        <w:spacing w:after="240"/>
        <w:jc w:val="left"/>
        <w:rPr>
          <w:rFonts w:ascii="Times New Roman" w:hAnsi="Times New Roman" w:cs="Times New Roman"/>
          <w:sz w:val="24"/>
          <w:szCs w:val="24"/>
        </w:rPr>
      </w:pPr>
      <w:r w:rsidRPr="00AE6A75">
        <w:rPr>
          <w:rFonts w:ascii="Times New Roman" w:hAnsi="Times New Roman" w:cs="Times New Roman"/>
          <w:sz w:val="24"/>
          <w:szCs w:val="24"/>
        </w:rPr>
        <w:t>2. Patients considered ‘high risk’ for surgery as determined by a multidisciplinary heart team, combining surgical risk assessment, frailty, major organ system dysfunction, and procedure-specific impediments.</w:t>
      </w:r>
    </w:p>
    <w:p w14:paraId="2E96168C" w14:textId="52265A47" w:rsidR="006A3795" w:rsidRPr="00AE6A75" w:rsidRDefault="004735F7" w:rsidP="003F2786">
      <w:pPr>
        <w:pStyle w:val="Tablenotes"/>
        <w:spacing w:after="240"/>
        <w:jc w:val="left"/>
        <w:rPr>
          <w:rFonts w:ascii="Times New Roman" w:hAnsi="Times New Roman" w:cs="Times New Roman"/>
          <w:sz w:val="24"/>
          <w:szCs w:val="24"/>
        </w:rPr>
      </w:pPr>
      <w:r w:rsidRPr="00AE6A75">
        <w:rPr>
          <w:rFonts w:ascii="Times New Roman" w:hAnsi="Times New Roman" w:cs="Times New Roman"/>
          <w:sz w:val="24"/>
          <w:szCs w:val="24"/>
        </w:rPr>
        <w:t>3. Extended heart failure management includes cardiac resynchronisation therapy, ventricular assist devices, cardiac restraint devices and heart transplant.</w:t>
      </w:r>
    </w:p>
    <w:p w14:paraId="06803F41" w14:textId="1A7D40A9" w:rsidR="00BC1364" w:rsidRPr="004D7ED2" w:rsidRDefault="00BC1364" w:rsidP="004D7ED2">
      <w:pPr>
        <w:pStyle w:val="Heading1"/>
      </w:pPr>
      <w:r w:rsidRPr="004D7ED2">
        <w:t xml:space="preserve">Comparator </w:t>
      </w:r>
    </w:p>
    <w:p w14:paraId="01075345" w14:textId="77777777" w:rsidR="00BC1364" w:rsidRPr="004735F7" w:rsidRDefault="00BC1364" w:rsidP="003F2786">
      <w:pPr>
        <w:tabs>
          <w:tab w:val="num" w:pos="426"/>
        </w:tabs>
        <w:spacing w:after="240"/>
        <w:rPr>
          <w:szCs w:val="24"/>
        </w:rPr>
      </w:pPr>
      <w:r w:rsidRPr="007E79D0">
        <w:t xml:space="preserve">MSAC agreed that </w:t>
      </w:r>
      <w:r w:rsidR="004735F7" w:rsidRPr="007E79D0">
        <w:t>medical management</w:t>
      </w:r>
      <w:r w:rsidRPr="007E79D0">
        <w:t xml:space="preserve"> is the appropriate comparator as nominated in the </w:t>
      </w:r>
      <w:r w:rsidR="004735F7" w:rsidRPr="004735F7">
        <w:t>resubmission</w:t>
      </w:r>
      <w:r w:rsidRPr="004735F7">
        <w:t>.</w:t>
      </w:r>
      <w:r w:rsidR="00DB5833" w:rsidRPr="004735F7">
        <w:rPr>
          <w:szCs w:val="24"/>
        </w:rPr>
        <w:t xml:space="preserve"> </w:t>
      </w:r>
    </w:p>
    <w:p w14:paraId="11122974" w14:textId="77777777" w:rsidR="00BC1364" w:rsidRPr="00707064" w:rsidRDefault="00BC1364" w:rsidP="003F2786">
      <w:pPr>
        <w:spacing w:after="240"/>
        <w:rPr>
          <w:b/>
          <w:szCs w:val="24"/>
        </w:rPr>
      </w:pPr>
    </w:p>
    <w:p w14:paraId="53B17152" w14:textId="6F1C4327" w:rsidR="00BC1364" w:rsidRPr="004D7ED2" w:rsidRDefault="00BC1364" w:rsidP="004D7ED2">
      <w:pPr>
        <w:pStyle w:val="Heading1"/>
      </w:pPr>
      <w:r w:rsidRPr="004D7ED2">
        <w:lastRenderedPageBreak/>
        <w:t>Comparative safety</w:t>
      </w:r>
    </w:p>
    <w:p w14:paraId="345B5C0C" w14:textId="1566CDDE" w:rsidR="00451731" w:rsidRPr="00AB3640" w:rsidRDefault="00451731" w:rsidP="003F2786">
      <w:pPr>
        <w:spacing w:after="240"/>
        <w:rPr>
          <w:szCs w:val="24"/>
        </w:rPr>
      </w:pPr>
      <w:r w:rsidRPr="00AB3640">
        <w:rPr>
          <w:szCs w:val="24"/>
        </w:rPr>
        <w:t xml:space="preserve">No relevant randomised controlled trials evaluating the safety or effectiveness of </w:t>
      </w:r>
      <w:proofErr w:type="spellStart"/>
      <w:r w:rsidRPr="00AB3640">
        <w:rPr>
          <w:szCs w:val="24"/>
        </w:rPr>
        <w:t>MitraClip</w:t>
      </w:r>
      <w:proofErr w:type="spellEnd"/>
      <w:r w:rsidRPr="00AB3640">
        <w:rPr>
          <w:szCs w:val="24"/>
        </w:rPr>
        <w:t xml:space="preserve"> compared with medical management in the proposed patient population were identified. </w:t>
      </w:r>
    </w:p>
    <w:p w14:paraId="4BFA5F7F" w14:textId="5D2FFF6D" w:rsidR="00AB3640" w:rsidRDefault="00AB3640" w:rsidP="003F2786">
      <w:pPr>
        <w:spacing w:after="240"/>
        <w:rPr>
          <w:szCs w:val="24"/>
        </w:rPr>
      </w:pPr>
      <w:r w:rsidRPr="00AB3640">
        <w:rPr>
          <w:szCs w:val="24"/>
        </w:rPr>
        <w:t xml:space="preserve">Three relevant non-randomised comparative studies (4 citations) that evaluated the effectiveness of </w:t>
      </w:r>
      <w:proofErr w:type="spellStart"/>
      <w:r w:rsidRPr="00AB3640">
        <w:rPr>
          <w:szCs w:val="24"/>
        </w:rPr>
        <w:t>MitraClip</w:t>
      </w:r>
      <w:proofErr w:type="spellEnd"/>
      <w:r w:rsidRPr="00AB3640">
        <w:rPr>
          <w:szCs w:val="24"/>
        </w:rPr>
        <w:t xml:space="preserve"> compared with medical management in patients with MR who were not suitable for surgery and two systematic reviews of single-arm studies were included in the assessment report.</w:t>
      </w:r>
    </w:p>
    <w:p w14:paraId="11CD9D88" w14:textId="23F48C40" w:rsidR="00615B43" w:rsidRDefault="00615B43" w:rsidP="003F2786">
      <w:pPr>
        <w:spacing w:after="240"/>
        <w:rPr>
          <w:szCs w:val="24"/>
        </w:rPr>
      </w:pPr>
      <w:r>
        <w:rPr>
          <w:szCs w:val="24"/>
        </w:rPr>
        <w:t>The resubmission stated that the r</w:t>
      </w:r>
      <w:r w:rsidRPr="00615B43">
        <w:rPr>
          <w:szCs w:val="24"/>
        </w:rPr>
        <w:t xml:space="preserve">esults for the primary safety endpoint in the EVEREST II HRR showed that high risk patients who undergo the </w:t>
      </w:r>
      <w:proofErr w:type="spellStart"/>
      <w:r w:rsidRPr="00615B43">
        <w:rPr>
          <w:szCs w:val="24"/>
        </w:rPr>
        <w:t>MitraClip</w:t>
      </w:r>
      <w:proofErr w:type="spellEnd"/>
      <w:r w:rsidRPr="00615B43">
        <w:rPr>
          <w:szCs w:val="24"/>
        </w:rPr>
        <w:t xml:space="preserve"> procedure do not have an increased risk of early mortality compared with patients managed by standard care (p&gt;0.999). There were six deaths among the 78 patients who received </w:t>
      </w:r>
      <w:proofErr w:type="spellStart"/>
      <w:r w:rsidRPr="00615B43">
        <w:rPr>
          <w:szCs w:val="24"/>
        </w:rPr>
        <w:t>MitraClip</w:t>
      </w:r>
      <w:proofErr w:type="spellEnd"/>
      <w:r w:rsidRPr="00615B43">
        <w:rPr>
          <w:szCs w:val="24"/>
        </w:rPr>
        <w:t>, corresponding to a procedural (30-day) mortality rate of 7.7% (all cardiac-related). In comparison, there were three deaths (8.3%) out of 36 patients the standard care group (all cardiac related). Similar results were reported by Velazquez (2015), with fewer deaths observed at 30-days among 239</w:t>
      </w:r>
      <w:r>
        <w:rPr>
          <w:szCs w:val="24"/>
        </w:rPr>
        <w:t> </w:t>
      </w:r>
      <w:r w:rsidRPr="00615B43">
        <w:rPr>
          <w:szCs w:val="24"/>
        </w:rPr>
        <w:t xml:space="preserve">patients who received </w:t>
      </w:r>
      <w:proofErr w:type="spellStart"/>
      <w:r w:rsidRPr="00615B43">
        <w:rPr>
          <w:szCs w:val="24"/>
        </w:rPr>
        <w:t>MitraClip</w:t>
      </w:r>
      <w:proofErr w:type="spellEnd"/>
      <w:r w:rsidRPr="00615B43">
        <w:rPr>
          <w:szCs w:val="24"/>
        </w:rPr>
        <w:t>, compared with the optimally matched standard care cohort.</w:t>
      </w:r>
    </w:p>
    <w:p w14:paraId="48A402DC" w14:textId="77B53B7A" w:rsidR="00065F22" w:rsidRPr="00AD0309" w:rsidRDefault="00065F22" w:rsidP="003F2786">
      <w:pPr>
        <w:spacing w:after="240"/>
        <w:rPr>
          <w:szCs w:val="24"/>
        </w:rPr>
      </w:pPr>
      <w:r w:rsidRPr="00AD0309">
        <w:rPr>
          <w:szCs w:val="24"/>
        </w:rPr>
        <w:t xml:space="preserve">An extended assessment of safety and adverse events data showed that the </w:t>
      </w:r>
      <w:proofErr w:type="spellStart"/>
      <w:r w:rsidRPr="00AD0309">
        <w:rPr>
          <w:szCs w:val="24"/>
        </w:rPr>
        <w:t>MitraClip</w:t>
      </w:r>
      <w:proofErr w:type="spellEnd"/>
      <w:r w:rsidRPr="00AD0309">
        <w:rPr>
          <w:szCs w:val="24"/>
        </w:rPr>
        <w:t xml:space="preserve"> procedure is associated with a low rate of adverse events, with the most common being bleeding complications that necessitate transfusion of ≥ 2 units of blood.</w:t>
      </w:r>
    </w:p>
    <w:p w14:paraId="570E99D9" w14:textId="77777777" w:rsidR="00BC1364" w:rsidRPr="00AB3640" w:rsidRDefault="00615B43" w:rsidP="003F2786">
      <w:pPr>
        <w:pStyle w:val="Guidelines"/>
        <w:spacing w:line="240" w:lineRule="auto"/>
        <w:jc w:val="left"/>
        <w:rPr>
          <w:rFonts w:ascii="Times New Roman" w:hAnsi="Times New Roman" w:cs="Times New Roman"/>
          <w:vanish w:val="0"/>
          <w:color w:val="auto"/>
          <w:sz w:val="24"/>
          <w:szCs w:val="24"/>
        </w:rPr>
      </w:pPr>
      <w:r>
        <w:rPr>
          <w:rFonts w:ascii="Times New Roman" w:hAnsi="Times New Roman" w:cs="Times New Roman"/>
          <w:vanish w:val="0"/>
          <w:color w:val="auto"/>
          <w:sz w:val="24"/>
          <w:szCs w:val="24"/>
        </w:rPr>
        <w:t xml:space="preserve">The critique </w:t>
      </w:r>
      <w:r w:rsidR="0011134F">
        <w:rPr>
          <w:rFonts w:ascii="Times New Roman" w:hAnsi="Times New Roman" w:cs="Times New Roman"/>
          <w:vanish w:val="0"/>
          <w:color w:val="auto"/>
          <w:sz w:val="24"/>
          <w:szCs w:val="24"/>
        </w:rPr>
        <w:t>noted that a</w:t>
      </w:r>
      <w:r w:rsidR="002456E7">
        <w:rPr>
          <w:rFonts w:ascii="Times New Roman" w:hAnsi="Times New Roman" w:cs="Times New Roman"/>
          <w:vanish w:val="0"/>
          <w:color w:val="auto"/>
          <w:sz w:val="24"/>
          <w:szCs w:val="24"/>
        </w:rPr>
        <w:t xml:space="preserve"> comparative </w:t>
      </w:r>
      <w:r w:rsidR="00C45967">
        <w:rPr>
          <w:rFonts w:ascii="Times New Roman" w:hAnsi="Times New Roman" w:cs="Times New Roman"/>
          <w:vanish w:val="0"/>
          <w:color w:val="auto"/>
          <w:sz w:val="24"/>
          <w:szCs w:val="24"/>
        </w:rPr>
        <w:t xml:space="preserve">safety </w:t>
      </w:r>
      <w:r w:rsidR="002456E7">
        <w:rPr>
          <w:rFonts w:ascii="Times New Roman" w:hAnsi="Times New Roman" w:cs="Times New Roman"/>
          <w:vanish w:val="0"/>
          <w:color w:val="auto"/>
          <w:sz w:val="24"/>
          <w:szCs w:val="24"/>
        </w:rPr>
        <w:t xml:space="preserve">analysis of </w:t>
      </w:r>
      <w:proofErr w:type="spellStart"/>
      <w:r w:rsidR="002456E7">
        <w:rPr>
          <w:rFonts w:ascii="Times New Roman" w:hAnsi="Times New Roman" w:cs="Times New Roman"/>
          <w:vanish w:val="0"/>
          <w:color w:val="auto"/>
          <w:sz w:val="24"/>
          <w:szCs w:val="24"/>
        </w:rPr>
        <w:t>MitraClip</w:t>
      </w:r>
      <w:proofErr w:type="spellEnd"/>
      <w:r w:rsidR="002456E7" w:rsidRPr="00AE6A75">
        <w:rPr>
          <w:rFonts w:ascii="Times New Roman" w:hAnsi="Times New Roman" w:cs="Times New Roman"/>
          <w:vanish w:val="0"/>
          <w:color w:val="auto"/>
          <w:sz w:val="24"/>
          <w:szCs w:val="24"/>
        </w:rPr>
        <w:t>®</w:t>
      </w:r>
      <w:r w:rsidR="002456E7">
        <w:rPr>
          <w:rFonts w:ascii="Times New Roman" w:hAnsi="Times New Roman" w:cs="Times New Roman"/>
          <w:vanish w:val="0"/>
          <w:color w:val="auto"/>
          <w:sz w:val="24"/>
          <w:szCs w:val="24"/>
        </w:rPr>
        <w:t xml:space="preserve"> with medical management was not provided. The data presented was a</w:t>
      </w:r>
      <w:r w:rsidR="00AB3640" w:rsidRPr="00AE6A75">
        <w:rPr>
          <w:rFonts w:ascii="Times New Roman" w:hAnsi="Times New Roman" w:cs="Times New Roman"/>
          <w:vanish w:val="0"/>
          <w:color w:val="auto"/>
          <w:sz w:val="24"/>
          <w:szCs w:val="24"/>
        </w:rPr>
        <w:t xml:space="preserve"> change in adverse events at 30 days and 12 months in a patient population treated with </w:t>
      </w:r>
      <w:proofErr w:type="spellStart"/>
      <w:r w:rsidR="00AB3640" w:rsidRPr="00AE6A75">
        <w:rPr>
          <w:rFonts w:ascii="Times New Roman" w:hAnsi="Times New Roman" w:cs="Times New Roman"/>
          <w:vanish w:val="0"/>
          <w:color w:val="auto"/>
          <w:sz w:val="24"/>
          <w:szCs w:val="24"/>
        </w:rPr>
        <w:t>MitraClip</w:t>
      </w:r>
      <w:proofErr w:type="spellEnd"/>
      <w:r w:rsidR="00AB3640" w:rsidRPr="00AE6A75">
        <w:rPr>
          <w:rFonts w:ascii="Times New Roman" w:hAnsi="Times New Roman" w:cs="Times New Roman"/>
          <w:vanish w:val="0"/>
          <w:color w:val="auto"/>
          <w:sz w:val="24"/>
          <w:szCs w:val="24"/>
        </w:rPr>
        <w:t xml:space="preserve">® </w:t>
      </w:r>
      <w:r w:rsidR="0011134F">
        <w:rPr>
          <w:rFonts w:ascii="Times New Roman" w:hAnsi="Times New Roman" w:cs="Times New Roman"/>
          <w:vanish w:val="0"/>
          <w:color w:val="auto"/>
          <w:sz w:val="24"/>
          <w:szCs w:val="24"/>
        </w:rPr>
        <w:t xml:space="preserve">based on </w:t>
      </w:r>
      <w:r w:rsidR="0011134F" w:rsidRPr="0011134F">
        <w:rPr>
          <w:rFonts w:ascii="Times New Roman" w:hAnsi="Times New Roman" w:cs="Times New Roman"/>
          <w:vanish w:val="0"/>
          <w:color w:val="auto"/>
          <w:sz w:val="24"/>
          <w:szCs w:val="24"/>
        </w:rPr>
        <w:t xml:space="preserve">the EVEREST II HRR trial, along with the meta-analyses of single arm studies (Philip 2014, </w:t>
      </w:r>
      <w:proofErr w:type="spellStart"/>
      <w:r w:rsidR="0011134F" w:rsidRPr="0011134F">
        <w:rPr>
          <w:rFonts w:ascii="Times New Roman" w:hAnsi="Times New Roman" w:cs="Times New Roman"/>
          <w:vanish w:val="0"/>
          <w:color w:val="auto"/>
          <w:sz w:val="24"/>
          <w:szCs w:val="24"/>
        </w:rPr>
        <w:t>Vakil</w:t>
      </w:r>
      <w:proofErr w:type="spellEnd"/>
      <w:r w:rsidR="0011134F" w:rsidRPr="0011134F">
        <w:rPr>
          <w:rFonts w:ascii="Times New Roman" w:hAnsi="Times New Roman" w:cs="Times New Roman"/>
          <w:vanish w:val="0"/>
          <w:color w:val="auto"/>
          <w:sz w:val="24"/>
          <w:szCs w:val="24"/>
        </w:rPr>
        <w:t xml:space="preserve"> 2014). </w:t>
      </w:r>
      <w:r w:rsidR="0011134F">
        <w:rPr>
          <w:rFonts w:ascii="Times New Roman" w:hAnsi="Times New Roman" w:cs="Times New Roman"/>
          <w:vanish w:val="0"/>
          <w:color w:val="auto"/>
          <w:sz w:val="24"/>
          <w:szCs w:val="24"/>
        </w:rPr>
        <w:t xml:space="preserve">The </w:t>
      </w:r>
      <w:r w:rsidR="002456E7">
        <w:rPr>
          <w:rFonts w:ascii="Times New Roman" w:hAnsi="Times New Roman" w:cs="Times New Roman"/>
          <w:vanish w:val="0"/>
          <w:color w:val="auto"/>
          <w:sz w:val="24"/>
          <w:szCs w:val="24"/>
        </w:rPr>
        <w:t>rates of adverse events were not compared with the control arm.</w:t>
      </w:r>
    </w:p>
    <w:p w14:paraId="7EA2036C" w14:textId="19FE02D8" w:rsidR="00BC1364" w:rsidRPr="004D7ED2" w:rsidRDefault="00BC1364" w:rsidP="004D7ED2">
      <w:pPr>
        <w:pStyle w:val="Heading1"/>
      </w:pPr>
      <w:r w:rsidRPr="004D7ED2">
        <w:t>Comparative effectiveness</w:t>
      </w:r>
    </w:p>
    <w:p w14:paraId="0D6E0746" w14:textId="0B1E8927" w:rsidR="00615B43" w:rsidRDefault="00615B43" w:rsidP="003F2786">
      <w:pPr>
        <w:spacing w:after="240"/>
      </w:pPr>
      <w:r w:rsidRPr="00615B43">
        <w:t>The</w:t>
      </w:r>
      <w:r>
        <w:t xml:space="preserve"> resubmission stated that for the primary effectiveness endpoint of 12-month survival, all three comparative studies demonstrated that high risk patients who receive </w:t>
      </w:r>
      <w:proofErr w:type="spellStart"/>
      <w:r>
        <w:t>MitraClip</w:t>
      </w:r>
      <w:proofErr w:type="spellEnd"/>
      <w:r w:rsidR="008D6283" w:rsidRPr="00AE6A75">
        <w:rPr>
          <w:szCs w:val="24"/>
        </w:rPr>
        <w:t>®</w:t>
      </w:r>
      <w:r>
        <w:t xml:space="preserve"> have a statistically significant survival benefit (range 76% to 86%) compared with patients who are medically managed (range 55% to 68%). Velazquez (2015) estimated that the number needed to treat (NNT) to prevent one death was 10 and </w:t>
      </w:r>
      <w:proofErr w:type="spellStart"/>
      <w:r>
        <w:t>Swaans</w:t>
      </w:r>
      <w:proofErr w:type="spellEnd"/>
      <w:r>
        <w:t xml:space="preserve"> (2013) demonstrated that the survival benefit was sustained through three years. The consistency across all three comparative studies suggested that any unmeasured confounding variables within the studies were unlikely to have contributed to the overall interpretation of results.</w:t>
      </w:r>
    </w:p>
    <w:p w14:paraId="61593B53" w14:textId="2D806434" w:rsidR="004A7791" w:rsidRDefault="00615B43" w:rsidP="003F2786">
      <w:pPr>
        <w:spacing w:after="240"/>
      </w:pPr>
      <w:r>
        <w:t xml:space="preserve">The EVEREST II HRR study also demonstrated that the </w:t>
      </w:r>
      <w:proofErr w:type="spellStart"/>
      <w:r>
        <w:t>MitraClip</w:t>
      </w:r>
      <w:proofErr w:type="spellEnd"/>
      <w:r w:rsidR="008D6283" w:rsidRPr="00AE6A75">
        <w:rPr>
          <w:szCs w:val="24"/>
        </w:rPr>
        <w:t>®</w:t>
      </w:r>
      <w:r>
        <w:t xml:space="preserve"> device provides a sustainable reduction in MR in high surgical risk patients, with 77.8% of patients having an MR severity grade of &lt;2+ at 12 months. These data are consistent with that observed in the single-arm studies, with </w:t>
      </w:r>
      <w:proofErr w:type="spellStart"/>
      <w:r>
        <w:t>Vakil</w:t>
      </w:r>
      <w:proofErr w:type="spellEnd"/>
      <w:r>
        <w:t xml:space="preserve"> (2014) reporting data from nine studies that showed the mean MR grade was reduced from 3.5 </w:t>
      </w:r>
      <w:r w:rsidRPr="00615B43">
        <w:rPr>
          <w:u w:val="single"/>
        </w:rPr>
        <w:t>+</w:t>
      </w:r>
      <w:r w:rsidRPr="00615B43">
        <w:t xml:space="preserve"> 0.1 at baseline to 1.8 </w:t>
      </w:r>
      <w:r w:rsidRPr="00615B43">
        <w:rPr>
          <w:u w:val="single"/>
        </w:rPr>
        <w:t>+</w:t>
      </w:r>
      <w:r w:rsidRPr="00615B43">
        <w:t xml:space="preserve"> 0.1 at</w:t>
      </w:r>
      <w:r>
        <w:t xml:space="preserve"> follow-up.</w:t>
      </w:r>
    </w:p>
    <w:p w14:paraId="16BE3229" w14:textId="3190D9DC" w:rsidR="00C31F96" w:rsidRPr="003F2786" w:rsidRDefault="004A7791" w:rsidP="003F2786">
      <w:pPr>
        <w:spacing w:after="240"/>
      </w:pPr>
      <w:r>
        <w:t>Other clinical measures of benefit also demonstrated to sho</w:t>
      </w:r>
      <w:r w:rsidR="00065F22">
        <w:t>w</w:t>
      </w:r>
      <w:r>
        <w:t xml:space="preserve"> sustained improvement at </w:t>
      </w:r>
      <w:r w:rsidR="00065F22">
        <w:t xml:space="preserve">12-months among patients who received </w:t>
      </w:r>
      <w:proofErr w:type="spellStart"/>
      <w:r w:rsidR="00065F22">
        <w:t>MitraClip</w:t>
      </w:r>
      <w:proofErr w:type="spellEnd"/>
      <w:r w:rsidR="008D6283" w:rsidRPr="00AE6A75">
        <w:rPr>
          <w:szCs w:val="24"/>
        </w:rPr>
        <w:t>®</w:t>
      </w:r>
      <w:r w:rsidR="00065F22">
        <w:t>, included NYHA functional class, quality of life, measures of LV function and re-hospitalisations for congestive HF.</w:t>
      </w:r>
    </w:p>
    <w:p w14:paraId="673F8444" w14:textId="77777777" w:rsidR="00766C41" w:rsidRPr="00AE6A75" w:rsidRDefault="00065F22" w:rsidP="003F2786">
      <w:pPr>
        <w:pStyle w:val="Guidelines"/>
        <w:spacing w:line="240" w:lineRule="auto"/>
        <w:jc w:val="left"/>
        <w:rPr>
          <w:rFonts w:ascii="Times New Roman" w:hAnsi="Times New Roman" w:cs="Times New Roman"/>
          <w:vanish w:val="0"/>
          <w:color w:val="auto"/>
          <w:sz w:val="24"/>
          <w:szCs w:val="24"/>
        </w:rPr>
      </w:pPr>
      <w:r>
        <w:rPr>
          <w:rFonts w:ascii="Times New Roman" w:hAnsi="Times New Roman" w:cs="Times New Roman"/>
          <w:vanish w:val="0"/>
          <w:color w:val="auto"/>
          <w:sz w:val="24"/>
          <w:szCs w:val="24"/>
        </w:rPr>
        <w:t>The critique noted that c</w:t>
      </w:r>
      <w:r w:rsidR="00766C41" w:rsidRPr="00AE6A75">
        <w:rPr>
          <w:rFonts w:ascii="Times New Roman" w:hAnsi="Times New Roman" w:cs="Times New Roman"/>
          <w:vanish w:val="0"/>
          <w:color w:val="auto"/>
          <w:sz w:val="24"/>
          <w:szCs w:val="24"/>
        </w:rPr>
        <w:t xml:space="preserve">omparative evidence was only available for 30 day and 12 month survival of patients treated with either </w:t>
      </w:r>
      <w:proofErr w:type="spellStart"/>
      <w:r w:rsidR="00766C41" w:rsidRPr="00AE6A75">
        <w:rPr>
          <w:rFonts w:ascii="Times New Roman" w:hAnsi="Times New Roman" w:cs="Times New Roman"/>
          <w:vanish w:val="0"/>
          <w:color w:val="auto"/>
          <w:sz w:val="24"/>
          <w:szCs w:val="24"/>
        </w:rPr>
        <w:t>MitraClip</w:t>
      </w:r>
      <w:proofErr w:type="spellEnd"/>
      <w:r w:rsidR="00766C41" w:rsidRPr="00AE6A75">
        <w:rPr>
          <w:rFonts w:ascii="Times New Roman" w:hAnsi="Times New Roman" w:cs="Times New Roman"/>
          <w:vanish w:val="0"/>
          <w:color w:val="auto"/>
          <w:sz w:val="24"/>
          <w:szCs w:val="24"/>
        </w:rPr>
        <w:t xml:space="preserve">® or medical management. Survival at </w:t>
      </w:r>
      <w:r w:rsidR="00766C41" w:rsidRPr="00AE6A75">
        <w:rPr>
          <w:rFonts w:ascii="Times New Roman" w:hAnsi="Times New Roman" w:cs="Times New Roman"/>
          <w:vanish w:val="0"/>
          <w:color w:val="auto"/>
          <w:sz w:val="24"/>
          <w:szCs w:val="24"/>
        </w:rPr>
        <w:lastRenderedPageBreak/>
        <w:t>12</w:t>
      </w:r>
      <w:r w:rsidR="008D6283">
        <w:rPr>
          <w:rFonts w:ascii="Times New Roman" w:hAnsi="Times New Roman" w:cs="Times New Roman"/>
          <w:vanish w:val="0"/>
          <w:color w:val="auto"/>
          <w:sz w:val="24"/>
          <w:szCs w:val="24"/>
        </w:rPr>
        <w:t> </w:t>
      </w:r>
      <w:r w:rsidR="00766C41" w:rsidRPr="00AE6A75">
        <w:rPr>
          <w:rFonts w:ascii="Times New Roman" w:hAnsi="Times New Roman" w:cs="Times New Roman"/>
          <w:vanish w:val="0"/>
          <w:color w:val="auto"/>
          <w:sz w:val="24"/>
          <w:szCs w:val="24"/>
        </w:rPr>
        <w:t xml:space="preserve">months was marginally statistically significant, as reported in the EVEREST II HRR trial (p=0.0482). A mean difference of 20.1%, in favour of </w:t>
      </w:r>
      <w:proofErr w:type="spellStart"/>
      <w:r w:rsidR="00766C41" w:rsidRPr="00AE6A75">
        <w:rPr>
          <w:rFonts w:ascii="Times New Roman" w:hAnsi="Times New Roman" w:cs="Times New Roman"/>
          <w:vanish w:val="0"/>
          <w:color w:val="auto"/>
          <w:sz w:val="24"/>
          <w:szCs w:val="24"/>
        </w:rPr>
        <w:t>MitraClip</w:t>
      </w:r>
      <w:proofErr w:type="spellEnd"/>
      <w:r w:rsidR="00766C41" w:rsidRPr="00AE6A75">
        <w:rPr>
          <w:rFonts w:ascii="Times New Roman" w:hAnsi="Times New Roman" w:cs="Times New Roman"/>
          <w:vanish w:val="0"/>
          <w:color w:val="auto"/>
          <w:sz w:val="24"/>
          <w:szCs w:val="24"/>
        </w:rPr>
        <w:t xml:space="preserve">® was reported, with a confidence interval of between -0.8% and 40.9%. As the confidence intervals cross the line of no effect (i.e. 0%), the </w:t>
      </w:r>
      <w:r w:rsidR="008D6283">
        <w:rPr>
          <w:rFonts w:ascii="Times New Roman" w:hAnsi="Times New Roman" w:cs="Times New Roman"/>
          <w:vanish w:val="0"/>
          <w:color w:val="auto"/>
          <w:sz w:val="24"/>
          <w:szCs w:val="24"/>
        </w:rPr>
        <w:t xml:space="preserve">critique found the </w:t>
      </w:r>
      <w:r w:rsidR="00766C41" w:rsidRPr="00AE6A75">
        <w:rPr>
          <w:rFonts w:ascii="Times New Roman" w:hAnsi="Times New Roman" w:cs="Times New Roman"/>
          <w:vanish w:val="0"/>
          <w:color w:val="auto"/>
          <w:sz w:val="24"/>
          <w:szCs w:val="24"/>
        </w:rPr>
        <w:t xml:space="preserve">clinical significance of this finding questionable. Additionally, the data is from a single small study of limited applicability and at high risk of bias, </w:t>
      </w:r>
      <w:r w:rsidR="008D6283">
        <w:rPr>
          <w:rFonts w:ascii="Times New Roman" w:hAnsi="Times New Roman" w:cs="Times New Roman"/>
          <w:vanish w:val="0"/>
          <w:color w:val="auto"/>
          <w:sz w:val="24"/>
          <w:szCs w:val="24"/>
        </w:rPr>
        <w:t>which further diminished</w:t>
      </w:r>
      <w:r w:rsidR="00766C41" w:rsidRPr="00AE6A75">
        <w:rPr>
          <w:rFonts w:ascii="Times New Roman" w:hAnsi="Times New Roman" w:cs="Times New Roman"/>
          <w:vanish w:val="0"/>
          <w:color w:val="auto"/>
          <w:sz w:val="24"/>
          <w:szCs w:val="24"/>
        </w:rPr>
        <w:t xml:space="preserve"> confidence in the claims of superiority. There was no statistical difference between the two intervention</w:t>
      </w:r>
      <w:r w:rsidR="008D6283">
        <w:rPr>
          <w:rFonts w:ascii="Times New Roman" w:hAnsi="Times New Roman" w:cs="Times New Roman"/>
          <w:vanish w:val="0"/>
          <w:color w:val="auto"/>
          <w:sz w:val="24"/>
          <w:szCs w:val="24"/>
        </w:rPr>
        <w:t>s</w:t>
      </w:r>
      <w:r w:rsidR="00766C41" w:rsidRPr="00AE6A75">
        <w:rPr>
          <w:rFonts w:ascii="Times New Roman" w:hAnsi="Times New Roman" w:cs="Times New Roman"/>
          <w:vanish w:val="0"/>
          <w:color w:val="auto"/>
          <w:sz w:val="24"/>
          <w:szCs w:val="24"/>
        </w:rPr>
        <w:t xml:space="preserve"> for mortality at 30 days (p&gt;0.99) when comparing </w:t>
      </w:r>
      <w:proofErr w:type="spellStart"/>
      <w:r w:rsidR="00766C41" w:rsidRPr="00AE6A75">
        <w:rPr>
          <w:rFonts w:ascii="Times New Roman" w:hAnsi="Times New Roman" w:cs="Times New Roman"/>
          <w:vanish w:val="0"/>
          <w:color w:val="auto"/>
          <w:sz w:val="24"/>
          <w:szCs w:val="24"/>
        </w:rPr>
        <w:t>MitraClip</w:t>
      </w:r>
      <w:proofErr w:type="spellEnd"/>
      <w:r w:rsidR="00766C41" w:rsidRPr="00AE6A75">
        <w:rPr>
          <w:rFonts w:ascii="Times New Roman" w:hAnsi="Times New Roman" w:cs="Times New Roman"/>
          <w:vanish w:val="0"/>
          <w:color w:val="auto"/>
          <w:sz w:val="24"/>
          <w:szCs w:val="24"/>
        </w:rPr>
        <w:t>® surgery with the concurrent control group.</w:t>
      </w:r>
    </w:p>
    <w:p w14:paraId="547153BD" w14:textId="4CC4059A" w:rsidR="00BC1364" w:rsidRPr="003F2786" w:rsidRDefault="00766C41" w:rsidP="003F2786">
      <w:pPr>
        <w:spacing w:after="240"/>
        <w:rPr>
          <w:szCs w:val="24"/>
        </w:rPr>
      </w:pPr>
      <w:r w:rsidRPr="00AE6A75">
        <w:rPr>
          <w:szCs w:val="24"/>
        </w:rPr>
        <w:t xml:space="preserve">On the basis of the benefits and harms reported in the evidence base, the </w:t>
      </w:r>
      <w:r w:rsidR="00065F22">
        <w:rPr>
          <w:szCs w:val="24"/>
        </w:rPr>
        <w:t>resubmission proposed</w:t>
      </w:r>
      <w:r w:rsidRPr="00AE6A75">
        <w:rPr>
          <w:szCs w:val="24"/>
        </w:rPr>
        <w:t xml:space="preserve"> that, relative to medical management, </w:t>
      </w:r>
      <w:proofErr w:type="spellStart"/>
      <w:r w:rsidRPr="00AE6A75">
        <w:rPr>
          <w:szCs w:val="24"/>
        </w:rPr>
        <w:t>MitraClip</w:t>
      </w:r>
      <w:proofErr w:type="spellEnd"/>
      <w:r w:rsidRPr="00AE6A75">
        <w:rPr>
          <w:szCs w:val="24"/>
        </w:rPr>
        <w:t>® has non-inferior safety an</w:t>
      </w:r>
      <w:r w:rsidR="00065F22">
        <w:rPr>
          <w:szCs w:val="24"/>
        </w:rPr>
        <w:t xml:space="preserve">d superior effectiveness. </w:t>
      </w:r>
      <w:r w:rsidR="003647F5" w:rsidRPr="00031839">
        <w:rPr>
          <w:szCs w:val="24"/>
        </w:rPr>
        <w:t>The critique concluded that, based on limited data, it is not possible to support these claims</w:t>
      </w:r>
      <w:r w:rsidRPr="00AE6A75">
        <w:rPr>
          <w:szCs w:val="24"/>
        </w:rPr>
        <w:t>.</w:t>
      </w:r>
    </w:p>
    <w:p w14:paraId="7CAFA6B5" w14:textId="198055DB" w:rsidR="00BC1364" w:rsidRPr="004D7ED2" w:rsidRDefault="00BC1364" w:rsidP="004D7ED2">
      <w:pPr>
        <w:pStyle w:val="Heading1"/>
      </w:pPr>
      <w:r w:rsidRPr="004D7ED2">
        <w:t>Economic evaluation</w:t>
      </w:r>
    </w:p>
    <w:p w14:paraId="5AFB7FFE" w14:textId="6B6A68BB" w:rsidR="008D5D4E" w:rsidRPr="003F2786" w:rsidRDefault="00065F22" w:rsidP="003F2786">
      <w:pPr>
        <w:pStyle w:val="Default"/>
        <w:spacing w:after="240"/>
      </w:pPr>
      <w:r w:rsidRPr="00AE6A75">
        <w:t xml:space="preserve">The </w:t>
      </w:r>
      <w:r>
        <w:t>resubmission</w:t>
      </w:r>
      <w:r w:rsidRPr="00AE6A75">
        <w:t xml:space="preserve"> present</w:t>
      </w:r>
      <w:r>
        <w:t>ed</w:t>
      </w:r>
      <w:r w:rsidRPr="00AE6A75">
        <w:t xml:space="preserve"> a stepped economic evaluation</w:t>
      </w:r>
      <w:r>
        <w:t>.</w:t>
      </w:r>
      <w:r w:rsidR="00036C5F">
        <w:t xml:space="preserve"> </w:t>
      </w:r>
      <w:r w:rsidR="00036C5F" w:rsidRPr="00036C5F">
        <w:t xml:space="preserve">The </w:t>
      </w:r>
      <w:proofErr w:type="spellStart"/>
      <w:r w:rsidR="00BA5F72">
        <w:t>preESC</w:t>
      </w:r>
      <w:proofErr w:type="spellEnd"/>
      <w:r w:rsidR="00BA5F72">
        <w:t xml:space="preserve"> response to the critique provided a revised </w:t>
      </w:r>
      <w:r w:rsidR="00036C5F" w:rsidRPr="00036C5F">
        <w:t xml:space="preserve">base case cost-effectiveness result for </w:t>
      </w:r>
      <w:proofErr w:type="spellStart"/>
      <w:r w:rsidR="00036C5F" w:rsidRPr="00036C5F">
        <w:t>MitraClip</w:t>
      </w:r>
      <w:proofErr w:type="spellEnd"/>
      <w:r w:rsidR="00036C5F" w:rsidRPr="00036C5F">
        <w:t xml:space="preserve"> compared with medical m</w:t>
      </w:r>
      <w:r w:rsidR="00815D08">
        <w:t>anagement alone</w:t>
      </w:r>
      <w:r w:rsidR="00BA5F72">
        <w:t>. The revised ICER, including three heart team professionals and updated costs,</w:t>
      </w:r>
      <w:r w:rsidR="00815D08">
        <w:t xml:space="preserve"> wa</w:t>
      </w:r>
      <w:r w:rsidR="00036C5F" w:rsidRPr="00036C5F">
        <w:t xml:space="preserve">s </w:t>
      </w:r>
      <w:r w:rsidR="00815D08">
        <w:t xml:space="preserve">estimated to be </w:t>
      </w:r>
      <w:r w:rsidR="00BA5F72">
        <w:t>$</w:t>
      </w:r>
      <w:r w:rsidR="003647F5" w:rsidRPr="002D71F1">
        <w:rPr>
          <w:b/>
        </w:rPr>
        <w:t>redacted</w:t>
      </w:r>
      <w:r w:rsidR="00036C5F" w:rsidRPr="00036C5F">
        <w:t>/QALY.</w:t>
      </w:r>
      <w:r w:rsidR="00CB1950">
        <w:t xml:space="preserve"> The </w:t>
      </w:r>
      <w:proofErr w:type="spellStart"/>
      <w:r w:rsidR="00CB1950">
        <w:t>preMSAC</w:t>
      </w:r>
      <w:proofErr w:type="spellEnd"/>
      <w:r w:rsidR="00CB1950">
        <w:t xml:space="preserve"> response noted this was consistent with other published economic models, Cameron (2014) and </w:t>
      </w:r>
      <w:proofErr w:type="spellStart"/>
      <w:r w:rsidR="00CB1950">
        <w:t>Mealing</w:t>
      </w:r>
      <w:proofErr w:type="spellEnd"/>
      <w:r w:rsidR="00CB1950">
        <w:t xml:space="preserve"> (2013), which </w:t>
      </w:r>
      <w:r w:rsidR="004768FA">
        <w:t xml:space="preserve">both </w:t>
      </w:r>
      <w:r w:rsidR="00CB1950">
        <w:t xml:space="preserve">reported an ICER between A$20,000 and </w:t>
      </w:r>
      <w:proofErr w:type="gramStart"/>
      <w:r w:rsidR="00CB1950">
        <w:t>A$</w:t>
      </w:r>
      <w:proofErr w:type="gramEnd"/>
      <w:r w:rsidR="00CB1950">
        <w:t>30,000 per QALY.</w:t>
      </w:r>
      <w:r w:rsidR="008D5D4E">
        <w:t xml:space="preserve"> </w:t>
      </w:r>
      <w:r w:rsidR="00036C5F">
        <w:rPr>
          <w:color w:val="auto"/>
        </w:rPr>
        <w:t>One-way sensitivity analyses showed that t</w:t>
      </w:r>
      <w:r w:rsidR="00036C5F" w:rsidRPr="00036C5F">
        <w:rPr>
          <w:color w:val="auto"/>
        </w:rPr>
        <w:t>he ICER was most sensitive to the time horizon and hazard ratio for mortality. However, the ICER remained below $45,000 per QALY in the majority of scenarios tested.</w:t>
      </w:r>
      <w:r w:rsidR="00DB78E8">
        <w:rPr>
          <w:color w:val="auto"/>
        </w:rPr>
        <w:t xml:space="preserve"> </w:t>
      </w:r>
    </w:p>
    <w:p w14:paraId="7D6A23E3" w14:textId="529E9455" w:rsidR="00036C5F" w:rsidRDefault="00DB78E8" w:rsidP="003F2786">
      <w:pPr>
        <w:pStyle w:val="Default"/>
        <w:spacing w:after="240"/>
        <w:rPr>
          <w:color w:val="auto"/>
        </w:rPr>
      </w:pPr>
      <w:r>
        <w:rPr>
          <w:color w:val="auto"/>
        </w:rPr>
        <w:t xml:space="preserve">The </w:t>
      </w:r>
      <w:proofErr w:type="spellStart"/>
      <w:r>
        <w:rPr>
          <w:color w:val="auto"/>
        </w:rPr>
        <w:t>preESC</w:t>
      </w:r>
      <w:proofErr w:type="spellEnd"/>
      <w:r>
        <w:rPr>
          <w:color w:val="auto"/>
        </w:rPr>
        <w:t xml:space="preserve"> response to the critique noted that the average number of Clips implanted is </w:t>
      </w:r>
      <w:r w:rsidR="003647F5" w:rsidRPr="002D71F1">
        <w:rPr>
          <w:b/>
          <w:color w:val="auto"/>
        </w:rPr>
        <w:t>redacted</w:t>
      </w:r>
      <w:r w:rsidR="008D5D4E">
        <w:rPr>
          <w:color w:val="auto"/>
        </w:rPr>
        <w:t> </w:t>
      </w:r>
      <w:r>
        <w:rPr>
          <w:color w:val="auto"/>
        </w:rPr>
        <w:t xml:space="preserve">clips per patient, however because the </w:t>
      </w:r>
      <w:proofErr w:type="spellStart"/>
      <w:r>
        <w:rPr>
          <w:color w:val="auto"/>
        </w:rPr>
        <w:t>MitraClip</w:t>
      </w:r>
      <w:proofErr w:type="spellEnd"/>
      <w:r>
        <w:rPr>
          <w:color w:val="auto"/>
        </w:rPr>
        <w:t xml:space="preserve"> system is priced per procedure the associated costs with </w:t>
      </w:r>
      <w:proofErr w:type="spellStart"/>
      <w:r>
        <w:rPr>
          <w:color w:val="auto"/>
        </w:rPr>
        <w:t>MitraClip</w:t>
      </w:r>
      <w:proofErr w:type="spellEnd"/>
      <w:r>
        <w:rPr>
          <w:color w:val="auto"/>
        </w:rPr>
        <w:t xml:space="preserve"> surgery are unchanged.</w:t>
      </w:r>
    </w:p>
    <w:p w14:paraId="390A22A0" w14:textId="6C40B449" w:rsidR="000441CF" w:rsidRDefault="000441CF" w:rsidP="003F2786">
      <w:pPr>
        <w:pStyle w:val="Default"/>
        <w:spacing w:after="240"/>
        <w:rPr>
          <w:color w:val="auto"/>
        </w:rPr>
      </w:pPr>
      <w:r w:rsidRPr="00036C5F">
        <w:rPr>
          <w:color w:val="auto"/>
        </w:rPr>
        <w:t xml:space="preserve">Utilities accrued by health state (NYHA state) were presented as undiscounted and discounted results. </w:t>
      </w:r>
    </w:p>
    <w:p w14:paraId="0F2FE2B6" w14:textId="09513302" w:rsidR="00036C5F" w:rsidRDefault="00036C5F" w:rsidP="003F2786">
      <w:pPr>
        <w:pStyle w:val="Default"/>
        <w:spacing w:after="240"/>
        <w:rPr>
          <w:color w:val="auto"/>
        </w:rPr>
      </w:pPr>
      <w:r w:rsidRPr="00036C5F">
        <w:rPr>
          <w:color w:val="auto"/>
        </w:rPr>
        <w:t xml:space="preserve">The </w:t>
      </w:r>
      <w:r>
        <w:rPr>
          <w:color w:val="auto"/>
        </w:rPr>
        <w:t xml:space="preserve">critique considered that the economic model </w:t>
      </w:r>
      <w:r w:rsidR="000441CF">
        <w:rPr>
          <w:color w:val="auto"/>
        </w:rPr>
        <w:t>was flawed</w:t>
      </w:r>
      <w:r w:rsidRPr="00036C5F">
        <w:rPr>
          <w:color w:val="auto"/>
        </w:rPr>
        <w:t xml:space="preserve">. To increase the transparency of the results, it would have been beneficial if the applicant had also supplied the incremental cost effectiveness results using a shorter time horizon, using only the trial results along with the results if no discounting had been applied. </w:t>
      </w:r>
    </w:p>
    <w:p w14:paraId="4B39E997" w14:textId="1D02A4E4" w:rsidR="00815D08" w:rsidRDefault="00D350B6" w:rsidP="003F2786">
      <w:pPr>
        <w:pStyle w:val="Default"/>
        <w:spacing w:after="240"/>
        <w:rPr>
          <w:color w:val="auto"/>
        </w:rPr>
      </w:pPr>
      <w:r>
        <w:rPr>
          <w:color w:val="auto"/>
        </w:rPr>
        <w:t>The critique also noted that w</w:t>
      </w:r>
      <w:r w:rsidR="00036C5F" w:rsidRPr="00036C5F">
        <w:rPr>
          <w:color w:val="auto"/>
        </w:rPr>
        <w:t xml:space="preserve">hile the methodology used in the survival analysis was appropriate, the data used in the economic evaluation of </w:t>
      </w:r>
      <w:proofErr w:type="spellStart"/>
      <w:r w:rsidR="00036C5F" w:rsidRPr="00036C5F">
        <w:rPr>
          <w:color w:val="auto"/>
        </w:rPr>
        <w:t>MitraClip</w:t>
      </w:r>
      <w:proofErr w:type="spellEnd"/>
      <w:r w:rsidR="00036C5F" w:rsidRPr="00036C5F">
        <w:rPr>
          <w:color w:val="auto"/>
        </w:rPr>
        <w:t>® is insufficient to accurately represent the cost effectiveness of the intervention. The EVEREST II HRR trial may be the best available evidence, but the lack of comparative data, along with data that may not be comparable to the MBS descript</w:t>
      </w:r>
      <w:r w:rsidR="00644428">
        <w:rPr>
          <w:color w:val="auto"/>
        </w:rPr>
        <w:t>or</w:t>
      </w:r>
      <w:r w:rsidR="00036C5F" w:rsidRPr="00036C5F">
        <w:rPr>
          <w:color w:val="auto"/>
        </w:rPr>
        <w:t xml:space="preserve">, flaws in the inputs of the model (such as unadjusted costs derived from different years), inappropriate transition state probabilities, and using the extrapolated data from month 0 rather than the end of trial data, </w:t>
      </w:r>
      <w:r>
        <w:rPr>
          <w:color w:val="auto"/>
        </w:rPr>
        <w:t>reduces</w:t>
      </w:r>
      <w:r w:rsidR="00036C5F" w:rsidRPr="00036C5F">
        <w:rPr>
          <w:color w:val="auto"/>
        </w:rPr>
        <w:t xml:space="preserve"> the accuracy </w:t>
      </w:r>
      <w:r>
        <w:rPr>
          <w:color w:val="auto"/>
        </w:rPr>
        <w:t>and certainty around</w:t>
      </w:r>
      <w:r w:rsidR="00036C5F" w:rsidRPr="00036C5F">
        <w:rPr>
          <w:color w:val="auto"/>
        </w:rPr>
        <w:t xml:space="preserve"> the ICER.</w:t>
      </w:r>
    </w:p>
    <w:p w14:paraId="63E5DE5C" w14:textId="097C7BC0" w:rsidR="00DE6C1A" w:rsidRDefault="00815D08" w:rsidP="003F2786">
      <w:pPr>
        <w:pStyle w:val="Default"/>
        <w:spacing w:after="240"/>
      </w:pPr>
      <w:r w:rsidRPr="00AE6A75">
        <w:t xml:space="preserve">The </w:t>
      </w:r>
      <w:r>
        <w:t xml:space="preserve">critique </w:t>
      </w:r>
      <w:r w:rsidR="00D350B6">
        <w:t xml:space="preserve">further </w:t>
      </w:r>
      <w:r>
        <w:t xml:space="preserve">raised concerns regarding the </w:t>
      </w:r>
      <w:r w:rsidRPr="00AE6A75">
        <w:t>hazard rat</w:t>
      </w:r>
      <w:r w:rsidR="00644428">
        <w:t>io</w:t>
      </w:r>
      <w:r w:rsidRPr="00AE6A75">
        <w:t xml:space="preserve"> and the time horizon</w:t>
      </w:r>
      <w:r>
        <w:t>, which</w:t>
      </w:r>
      <w:r w:rsidRPr="00AE6A75">
        <w:t xml:space="preserve"> were the two main inputs which drove the model</w:t>
      </w:r>
      <w:r>
        <w:t>, particularly</w:t>
      </w:r>
      <w:r w:rsidRPr="00AE6A75">
        <w:t xml:space="preserve"> due to the uncertainty regarding the clinical data. Additionally, neither transitional probabilities (patient movement between NYHA states) nor the starting time cycle of extrapolation </w:t>
      </w:r>
      <w:r>
        <w:t xml:space="preserve">were </w:t>
      </w:r>
      <w:r w:rsidRPr="00AE6A75">
        <w:t>tes</w:t>
      </w:r>
      <w:r>
        <w:t>ted in the sensitivity analyses</w:t>
      </w:r>
      <w:r w:rsidRPr="00AE6A75">
        <w:t xml:space="preserve">. The only multivariate analysis tested was </w:t>
      </w:r>
      <w:proofErr w:type="gramStart"/>
      <w:r w:rsidRPr="00AE6A75">
        <w:t>differing</w:t>
      </w:r>
      <w:proofErr w:type="gramEnd"/>
      <w:r w:rsidRPr="00AE6A75">
        <w:t xml:space="preserve"> the data set of utilities used in the model.</w:t>
      </w:r>
    </w:p>
    <w:p w14:paraId="31511EBE" w14:textId="07A41BB7" w:rsidR="00BC1364" w:rsidRPr="003F2786" w:rsidRDefault="00DE6C1A" w:rsidP="003F2786">
      <w:pPr>
        <w:pStyle w:val="Default"/>
        <w:spacing w:after="240"/>
        <w:rPr>
          <w:color w:val="auto"/>
        </w:rPr>
      </w:pPr>
      <w:r>
        <w:rPr>
          <w:color w:val="auto"/>
        </w:rPr>
        <w:lastRenderedPageBreak/>
        <w:t xml:space="preserve">The critique considered that as superiority of </w:t>
      </w:r>
      <w:proofErr w:type="spellStart"/>
      <w:r>
        <w:rPr>
          <w:color w:val="auto"/>
        </w:rPr>
        <w:t>MitraClip</w:t>
      </w:r>
      <w:proofErr w:type="spellEnd"/>
      <w:r>
        <w:rPr>
          <w:color w:val="auto"/>
        </w:rPr>
        <w:t>® wa</w:t>
      </w:r>
      <w:r w:rsidRPr="00036C5F">
        <w:rPr>
          <w:color w:val="auto"/>
        </w:rPr>
        <w:t>s not established based on the clinical evidence</w:t>
      </w:r>
      <w:r>
        <w:rPr>
          <w:color w:val="auto"/>
        </w:rPr>
        <w:t>,</w:t>
      </w:r>
      <w:r w:rsidRPr="00036C5F">
        <w:rPr>
          <w:color w:val="auto"/>
        </w:rPr>
        <w:t xml:space="preserve"> a cost minimisation step would have been </w:t>
      </w:r>
      <w:r>
        <w:rPr>
          <w:color w:val="auto"/>
        </w:rPr>
        <w:t>informative</w:t>
      </w:r>
      <w:r w:rsidRPr="00036C5F">
        <w:rPr>
          <w:color w:val="auto"/>
        </w:rPr>
        <w:t xml:space="preserve">, where the cost of </w:t>
      </w:r>
      <w:proofErr w:type="spellStart"/>
      <w:r w:rsidRPr="00036C5F">
        <w:rPr>
          <w:color w:val="auto"/>
        </w:rPr>
        <w:t>MitraClip</w:t>
      </w:r>
      <w:proofErr w:type="spellEnd"/>
      <w:r w:rsidRPr="00036C5F">
        <w:rPr>
          <w:color w:val="auto"/>
        </w:rPr>
        <w:t xml:space="preserve">® was decreased until the cost of the </w:t>
      </w:r>
      <w:proofErr w:type="spellStart"/>
      <w:r w:rsidRPr="00036C5F">
        <w:rPr>
          <w:color w:val="auto"/>
        </w:rPr>
        <w:t>MitraClip</w:t>
      </w:r>
      <w:proofErr w:type="spellEnd"/>
      <w:r w:rsidRPr="00036C5F">
        <w:rPr>
          <w:color w:val="auto"/>
        </w:rPr>
        <w:t>® intervention was equal to the overall cost of medical management.</w:t>
      </w:r>
    </w:p>
    <w:p w14:paraId="167307A5" w14:textId="1F22BC1E" w:rsidR="00BC1364" w:rsidRPr="004D7ED2" w:rsidRDefault="00BC1364" w:rsidP="004D7ED2">
      <w:pPr>
        <w:pStyle w:val="Heading1"/>
      </w:pPr>
      <w:r w:rsidRPr="004D7ED2">
        <w:t>Financial/budgetary impacts</w:t>
      </w:r>
    </w:p>
    <w:p w14:paraId="4D223E3D" w14:textId="12979202" w:rsidR="00815D08" w:rsidRDefault="00815D08" w:rsidP="003F2786">
      <w:pPr>
        <w:spacing w:after="240"/>
        <w:rPr>
          <w:szCs w:val="24"/>
        </w:rPr>
      </w:pPr>
      <w:r>
        <w:rPr>
          <w:szCs w:val="24"/>
        </w:rPr>
        <w:t>The resubmission presented a</w:t>
      </w:r>
      <w:r w:rsidRPr="00AE6A75">
        <w:rPr>
          <w:szCs w:val="24"/>
        </w:rPr>
        <w:t>n epide</w:t>
      </w:r>
      <w:r>
        <w:rPr>
          <w:szCs w:val="24"/>
        </w:rPr>
        <w:t xml:space="preserve">miological and market approach </w:t>
      </w:r>
      <w:r w:rsidRPr="00AE6A75">
        <w:rPr>
          <w:szCs w:val="24"/>
        </w:rPr>
        <w:t xml:space="preserve">to estimate the financial implications </w:t>
      </w:r>
      <w:r>
        <w:rPr>
          <w:szCs w:val="24"/>
        </w:rPr>
        <w:t xml:space="preserve">from the proposed listing </w:t>
      </w:r>
      <w:r w:rsidRPr="00AE6A75">
        <w:rPr>
          <w:szCs w:val="24"/>
        </w:rPr>
        <w:t xml:space="preserve">of </w:t>
      </w:r>
      <w:proofErr w:type="spellStart"/>
      <w:r w:rsidRPr="00AE6A75">
        <w:rPr>
          <w:szCs w:val="24"/>
        </w:rPr>
        <w:t>MitraClip</w:t>
      </w:r>
      <w:proofErr w:type="spellEnd"/>
      <w:r w:rsidRPr="00AE6A75">
        <w:rPr>
          <w:szCs w:val="24"/>
        </w:rPr>
        <w:t>®.</w:t>
      </w:r>
    </w:p>
    <w:p w14:paraId="2AA2BBF5" w14:textId="5BC918A9" w:rsidR="005F6F44" w:rsidRDefault="00815D08" w:rsidP="003F2786">
      <w:pPr>
        <w:spacing w:after="240"/>
        <w:rPr>
          <w:szCs w:val="24"/>
        </w:rPr>
      </w:pPr>
      <w:r w:rsidRPr="00AE6A75">
        <w:rPr>
          <w:szCs w:val="24"/>
        </w:rPr>
        <w:t xml:space="preserve">The financial implications </w:t>
      </w:r>
      <w:r>
        <w:rPr>
          <w:szCs w:val="24"/>
        </w:rPr>
        <w:t>based on the market approach, are summarised</w:t>
      </w:r>
      <w:r w:rsidRPr="00AE6A75">
        <w:rPr>
          <w:szCs w:val="24"/>
        </w:rPr>
        <w:t xml:space="preserve"> in </w:t>
      </w:r>
      <w:r>
        <w:rPr>
          <w:szCs w:val="24"/>
        </w:rPr>
        <w:t>Table 4</w:t>
      </w:r>
      <w:r w:rsidRPr="00AE6A75">
        <w:rPr>
          <w:szCs w:val="24"/>
        </w:rPr>
        <w:t>.</w:t>
      </w:r>
    </w:p>
    <w:p w14:paraId="281C0E25" w14:textId="118C0781" w:rsidR="003F2786" w:rsidRPr="003F2786" w:rsidRDefault="003F2786" w:rsidP="003F2786">
      <w:pPr>
        <w:rPr>
          <w:rFonts w:ascii="Arial" w:hAnsi="Arial" w:cs="Arial"/>
          <w:sz w:val="20"/>
        </w:rPr>
      </w:pPr>
      <w:r w:rsidRPr="003F2786">
        <w:rPr>
          <w:rFonts w:ascii="Arial" w:hAnsi="Arial" w:cs="Arial"/>
          <w:sz w:val="20"/>
        </w:rPr>
        <w:t>Table 4</w:t>
      </w:r>
      <w:r w:rsidRPr="003F2786">
        <w:rPr>
          <w:rFonts w:ascii="Arial" w:hAnsi="Arial" w:cs="Arial"/>
          <w:sz w:val="20"/>
        </w:rPr>
        <w:tab/>
        <w:t xml:space="preserve">Total costs to the MBS associated with </w:t>
      </w:r>
      <w:proofErr w:type="spellStart"/>
      <w:r w:rsidRPr="003F2786">
        <w:rPr>
          <w:rFonts w:ascii="Arial" w:hAnsi="Arial" w:cs="Arial"/>
          <w:sz w:val="20"/>
        </w:rPr>
        <w:t>MitraClip</w:t>
      </w:r>
      <w:proofErr w:type="spellEnd"/>
      <w:r w:rsidRPr="003F2786">
        <w:rPr>
          <w:rFonts w:ascii="Arial" w:hAnsi="Arial" w:cs="Arial"/>
          <w:sz w:val="20"/>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9 Total costs to the MBS associated with XXX. This table provides a summary of the financial impact of the proposed new medical service over the next five years."/>
      </w:tblPr>
      <w:tblGrid>
        <w:gridCol w:w="3374"/>
        <w:gridCol w:w="1072"/>
        <w:gridCol w:w="1072"/>
        <w:gridCol w:w="1252"/>
        <w:gridCol w:w="1274"/>
        <w:gridCol w:w="1135"/>
      </w:tblGrid>
      <w:tr w:rsidR="00815D08" w:rsidRPr="00AE6A75" w14:paraId="27A81AA1" w14:textId="77777777" w:rsidTr="00644428">
        <w:trPr>
          <w:trHeight w:val="300"/>
          <w:tblHeader/>
        </w:trPr>
        <w:tc>
          <w:tcPr>
            <w:tcW w:w="1838" w:type="pct"/>
            <w:tcBorders>
              <w:bottom w:val="single" w:sz="4" w:space="0" w:color="auto"/>
            </w:tcBorders>
            <w:shd w:val="clear" w:color="auto" w:fill="BFBFBF" w:themeFill="background1" w:themeFillShade="BF"/>
            <w:vAlign w:val="center"/>
          </w:tcPr>
          <w:p w14:paraId="35B98C60" w14:textId="77777777" w:rsidR="00815D08" w:rsidRPr="00AE6A75" w:rsidRDefault="00815D08" w:rsidP="003F2786">
            <w:pPr>
              <w:keepNext/>
              <w:tabs>
                <w:tab w:val="left" w:pos="851"/>
              </w:tabs>
              <w:spacing w:after="240"/>
              <w:rPr>
                <w:b/>
                <w:sz w:val="20"/>
                <w:szCs w:val="24"/>
              </w:rPr>
            </w:pPr>
            <w:r w:rsidRPr="00AE6A75">
              <w:rPr>
                <w:b/>
                <w:color w:val="FFFFFF" w:themeColor="background1"/>
                <w:sz w:val="20"/>
                <w:szCs w:val="24"/>
              </w:rPr>
              <w:t>-</w:t>
            </w:r>
          </w:p>
        </w:tc>
        <w:tc>
          <w:tcPr>
            <w:tcW w:w="584" w:type="pct"/>
            <w:tcBorders>
              <w:bottom w:val="single" w:sz="4" w:space="0" w:color="auto"/>
            </w:tcBorders>
            <w:shd w:val="clear" w:color="auto" w:fill="BFBFBF" w:themeFill="background1" w:themeFillShade="BF"/>
            <w:vAlign w:val="center"/>
          </w:tcPr>
          <w:p w14:paraId="2A4B12F2" w14:textId="77777777" w:rsidR="00815D08" w:rsidRPr="00AE6A75" w:rsidRDefault="00815D08" w:rsidP="003F2786">
            <w:pPr>
              <w:keepNext/>
              <w:tabs>
                <w:tab w:val="left" w:pos="851"/>
              </w:tabs>
              <w:spacing w:after="240"/>
              <w:rPr>
                <w:b/>
                <w:sz w:val="20"/>
                <w:szCs w:val="24"/>
              </w:rPr>
            </w:pPr>
            <w:r w:rsidRPr="00AE6A75">
              <w:rPr>
                <w:b/>
                <w:sz w:val="20"/>
                <w:szCs w:val="24"/>
              </w:rPr>
              <w:t>2015-16</w:t>
            </w:r>
          </w:p>
        </w:tc>
        <w:tc>
          <w:tcPr>
            <w:tcW w:w="584" w:type="pct"/>
            <w:tcBorders>
              <w:bottom w:val="single" w:sz="4" w:space="0" w:color="auto"/>
            </w:tcBorders>
            <w:shd w:val="clear" w:color="auto" w:fill="BFBFBF" w:themeFill="background1" w:themeFillShade="BF"/>
            <w:vAlign w:val="center"/>
          </w:tcPr>
          <w:p w14:paraId="1D22A01D" w14:textId="77777777" w:rsidR="00815D08" w:rsidRPr="00AE6A75" w:rsidRDefault="00815D08" w:rsidP="003F2786">
            <w:pPr>
              <w:keepNext/>
              <w:tabs>
                <w:tab w:val="left" w:pos="851"/>
              </w:tabs>
              <w:spacing w:after="240"/>
              <w:rPr>
                <w:b/>
                <w:sz w:val="20"/>
                <w:szCs w:val="24"/>
              </w:rPr>
            </w:pPr>
            <w:r w:rsidRPr="00AE6A75">
              <w:rPr>
                <w:b/>
                <w:sz w:val="20"/>
                <w:szCs w:val="24"/>
              </w:rPr>
              <w:t>2016-17</w:t>
            </w:r>
          </w:p>
        </w:tc>
        <w:tc>
          <w:tcPr>
            <w:tcW w:w="682" w:type="pct"/>
            <w:tcBorders>
              <w:bottom w:val="single" w:sz="4" w:space="0" w:color="auto"/>
            </w:tcBorders>
            <w:shd w:val="clear" w:color="auto" w:fill="BFBFBF" w:themeFill="background1" w:themeFillShade="BF"/>
            <w:vAlign w:val="center"/>
          </w:tcPr>
          <w:p w14:paraId="546535FA" w14:textId="77777777" w:rsidR="00815D08" w:rsidRPr="00AE6A75" w:rsidRDefault="00815D08" w:rsidP="003F2786">
            <w:pPr>
              <w:keepNext/>
              <w:tabs>
                <w:tab w:val="left" w:pos="851"/>
              </w:tabs>
              <w:spacing w:after="240"/>
              <w:rPr>
                <w:b/>
                <w:sz w:val="20"/>
                <w:szCs w:val="24"/>
              </w:rPr>
            </w:pPr>
            <w:r w:rsidRPr="00AE6A75">
              <w:rPr>
                <w:b/>
                <w:sz w:val="20"/>
                <w:szCs w:val="24"/>
              </w:rPr>
              <w:t>2017-18</w:t>
            </w:r>
          </w:p>
        </w:tc>
        <w:tc>
          <w:tcPr>
            <w:tcW w:w="694" w:type="pct"/>
            <w:tcBorders>
              <w:bottom w:val="single" w:sz="4" w:space="0" w:color="auto"/>
            </w:tcBorders>
            <w:shd w:val="clear" w:color="auto" w:fill="BFBFBF" w:themeFill="background1" w:themeFillShade="BF"/>
            <w:vAlign w:val="center"/>
          </w:tcPr>
          <w:p w14:paraId="49D48F90" w14:textId="77777777" w:rsidR="00815D08" w:rsidRPr="00AE6A75" w:rsidRDefault="00815D08" w:rsidP="003F2786">
            <w:pPr>
              <w:keepNext/>
              <w:tabs>
                <w:tab w:val="left" w:pos="851"/>
              </w:tabs>
              <w:spacing w:after="240"/>
              <w:rPr>
                <w:b/>
                <w:sz w:val="20"/>
                <w:szCs w:val="24"/>
              </w:rPr>
            </w:pPr>
            <w:r w:rsidRPr="00AE6A75">
              <w:rPr>
                <w:b/>
                <w:sz w:val="20"/>
                <w:szCs w:val="24"/>
              </w:rPr>
              <w:t>2018-19</w:t>
            </w:r>
          </w:p>
        </w:tc>
        <w:tc>
          <w:tcPr>
            <w:tcW w:w="618" w:type="pct"/>
            <w:tcBorders>
              <w:bottom w:val="single" w:sz="4" w:space="0" w:color="auto"/>
            </w:tcBorders>
            <w:shd w:val="clear" w:color="auto" w:fill="BFBFBF" w:themeFill="background1" w:themeFillShade="BF"/>
            <w:vAlign w:val="center"/>
          </w:tcPr>
          <w:p w14:paraId="7A9455AF" w14:textId="77777777" w:rsidR="00815D08" w:rsidRPr="00AE6A75" w:rsidRDefault="00815D08" w:rsidP="003F2786">
            <w:pPr>
              <w:keepNext/>
              <w:tabs>
                <w:tab w:val="left" w:pos="851"/>
              </w:tabs>
              <w:spacing w:after="240"/>
              <w:rPr>
                <w:b/>
                <w:sz w:val="20"/>
                <w:szCs w:val="24"/>
              </w:rPr>
            </w:pPr>
            <w:r w:rsidRPr="00AE6A75">
              <w:rPr>
                <w:b/>
                <w:sz w:val="20"/>
                <w:szCs w:val="24"/>
              </w:rPr>
              <w:t>2019-20</w:t>
            </w:r>
          </w:p>
        </w:tc>
      </w:tr>
      <w:tr w:rsidR="00815D08" w:rsidRPr="00AE6A75" w14:paraId="22760EE9" w14:textId="77777777" w:rsidTr="00644428">
        <w:trPr>
          <w:trHeight w:val="300"/>
        </w:trPr>
        <w:tc>
          <w:tcPr>
            <w:tcW w:w="1838" w:type="pct"/>
            <w:shd w:val="clear" w:color="auto" w:fill="auto"/>
          </w:tcPr>
          <w:p w14:paraId="7712564C" w14:textId="77777777" w:rsidR="00815D08" w:rsidRPr="00AE6A75" w:rsidRDefault="00815D08" w:rsidP="003F2786">
            <w:pPr>
              <w:widowControl w:val="0"/>
              <w:tabs>
                <w:tab w:val="left" w:pos="851"/>
              </w:tabs>
              <w:spacing w:after="240"/>
              <w:rPr>
                <w:b/>
                <w:sz w:val="20"/>
                <w:szCs w:val="24"/>
              </w:rPr>
            </w:pPr>
            <w:r w:rsidRPr="00AE6A75">
              <w:rPr>
                <w:b/>
                <w:sz w:val="20"/>
                <w:szCs w:val="24"/>
              </w:rPr>
              <w:t>Number of services</w:t>
            </w:r>
          </w:p>
        </w:tc>
        <w:tc>
          <w:tcPr>
            <w:tcW w:w="584" w:type="pct"/>
          </w:tcPr>
          <w:p w14:paraId="15858A36" w14:textId="77777777" w:rsidR="00815D08" w:rsidRPr="00AE6A75" w:rsidRDefault="00815D08" w:rsidP="003F2786">
            <w:pPr>
              <w:widowControl w:val="0"/>
              <w:spacing w:after="240"/>
              <w:rPr>
                <w:b/>
                <w:sz w:val="20"/>
                <w:szCs w:val="24"/>
              </w:rPr>
            </w:pPr>
            <w:r w:rsidRPr="00AE6A75">
              <w:rPr>
                <w:b/>
                <w:sz w:val="20"/>
                <w:szCs w:val="24"/>
              </w:rPr>
              <w:t>168</w:t>
            </w:r>
          </w:p>
        </w:tc>
        <w:tc>
          <w:tcPr>
            <w:tcW w:w="584" w:type="pct"/>
            <w:shd w:val="clear" w:color="auto" w:fill="auto"/>
          </w:tcPr>
          <w:p w14:paraId="3F1402F9" w14:textId="77777777" w:rsidR="00815D08" w:rsidRPr="00AE6A75" w:rsidRDefault="00815D08" w:rsidP="003F2786">
            <w:pPr>
              <w:widowControl w:val="0"/>
              <w:spacing w:after="240"/>
              <w:rPr>
                <w:b/>
                <w:sz w:val="20"/>
                <w:szCs w:val="24"/>
              </w:rPr>
            </w:pPr>
            <w:r w:rsidRPr="00AE6A75">
              <w:rPr>
                <w:b/>
                <w:sz w:val="20"/>
                <w:szCs w:val="24"/>
              </w:rPr>
              <w:t>360</w:t>
            </w:r>
          </w:p>
        </w:tc>
        <w:tc>
          <w:tcPr>
            <w:tcW w:w="682" w:type="pct"/>
            <w:shd w:val="clear" w:color="auto" w:fill="auto"/>
          </w:tcPr>
          <w:p w14:paraId="7DC2DDA0" w14:textId="77777777" w:rsidR="00815D08" w:rsidRPr="00AE6A75" w:rsidRDefault="00815D08" w:rsidP="003F2786">
            <w:pPr>
              <w:widowControl w:val="0"/>
              <w:spacing w:after="240"/>
              <w:rPr>
                <w:b/>
                <w:sz w:val="20"/>
                <w:szCs w:val="24"/>
              </w:rPr>
            </w:pPr>
            <w:r w:rsidRPr="00AE6A75">
              <w:rPr>
                <w:b/>
                <w:sz w:val="20"/>
                <w:szCs w:val="24"/>
              </w:rPr>
              <w:t>475</w:t>
            </w:r>
          </w:p>
        </w:tc>
        <w:tc>
          <w:tcPr>
            <w:tcW w:w="694" w:type="pct"/>
            <w:shd w:val="clear" w:color="auto" w:fill="auto"/>
          </w:tcPr>
          <w:p w14:paraId="37BD34CB" w14:textId="77777777" w:rsidR="00815D08" w:rsidRPr="00AE6A75" w:rsidRDefault="00815D08" w:rsidP="003F2786">
            <w:pPr>
              <w:widowControl w:val="0"/>
              <w:spacing w:after="240"/>
              <w:rPr>
                <w:b/>
                <w:sz w:val="20"/>
                <w:szCs w:val="24"/>
              </w:rPr>
            </w:pPr>
            <w:r w:rsidRPr="00AE6A75">
              <w:rPr>
                <w:b/>
                <w:sz w:val="20"/>
                <w:szCs w:val="24"/>
              </w:rPr>
              <w:t>600</w:t>
            </w:r>
          </w:p>
        </w:tc>
        <w:tc>
          <w:tcPr>
            <w:tcW w:w="618" w:type="pct"/>
            <w:shd w:val="clear" w:color="auto" w:fill="auto"/>
          </w:tcPr>
          <w:p w14:paraId="709F1859" w14:textId="77777777" w:rsidR="00815D08" w:rsidRPr="00AE6A75" w:rsidRDefault="00815D08" w:rsidP="003F2786">
            <w:pPr>
              <w:widowControl w:val="0"/>
              <w:spacing w:after="240"/>
              <w:rPr>
                <w:b/>
                <w:sz w:val="20"/>
                <w:szCs w:val="24"/>
              </w:rPr>
            </w:pPr>
            <w:r w:rsidRPr="00AE6A75">
              <w:rPr>
                <w:b/>
                <w:sz w:val="20"/>
                <w:szCs w:val="24"/>
              </w:rPr>
              <w:t>875</w:t>
            </w:r>
          </w:p>
        </w:tc>
      </w:tr>
      <w:tr w:rsidR="00815D08" w:rsidRPr="00AE6A75" w14:paraId="48EA0642" w14:textId="77777777" w:rsidTr="00644428">
        <w:trPr>
          <w:trHeight w:val="315"/>
        </w:trPr>
        <w:tc>
          <w:tcPr>
            <w:tcW w:w="1838" w:type="pct"/>
            <w:tcBorders>
              <w:bottom w:val="single" w:sz="4" w:space="0" w:color="auto"/>
            </w:tcBorders>
            <w:shd w:val="clear" w:color="auto" w:fill="auto"/>
          </w:tcPr>
          <w:p w14:paraId="2626CECC" w14:textId="77777777" w:rsidR="00815D08" w:rsidRPr="00AE6A75" w:rsidRDefault="00815D08" w:rsidP="003F2786">
            <w:pPr>
              <w:widowControl w:val="0"/>
              <w:spacing w:after="240"/>
              <w:rPr>
                <w:sz w:val="20"/>
                <w:szCs w:val="24"/>
              </w:rPr>
            </w:pPr>
            <w:proofErr w:type="spellStart"/>
            <w:r w:rsidRPr="00AE6A75">
              <w:rPr>
                <w:sz w:val="20"/>
                <w:szCs w:val="24"/>
              </w:rPr>
              <w:t>MitraClip</w:t>
            </w:r>
            <w:proofErr w:type="spellEnd"/>
            <w:r w:rsidRPr="00AE6A75">
              <w:rPr>
                <w:sz w:val="20"/>
                <w:szCs w:val="24"/>
                <w:vertAlign w:val="superscript"/>
              </w:rPr>
              <w:t>®</w:t>
            </w:r>
          </w:p>
        </w:tc>
        <w:tc>
          <w:tcPr>
            <w:tcW w:w="584" w:type="pct"/>
            <w:tcBorders>
              <w:bottom w:val="single" w:sz="4" w:space="0" w:color="auto"/>
            </w:tcBorders>
          </w:tcPr>
          <w:p w14:paraId="39D82CE5" w14:textId="28AD552D" w:rsidR="00815D08" w:rsidRPr="00AE6A75" w:rsidRDefault="00815D08" w:rsidP="003F2786">
            <w:pPr>
              <w:widowControl w:val="0"/>
              <w:spacing w:after="240"/>
              <w:rPr>
                <w:sz w:val="20"/>
                <w:szCs w:val="24"/>
              </w:rPr>
            </w:pPr>
            <w:r w:rsidRPr="00AE6A75">
              <w:rPr>
                <w:sz w:val="20"/>
                <w:szCs w:val="24"/>
              </w:rPr>
              <w:t>$</w:t>
            </w:r>
            <w:r w:rsidR="003647F5" w:rsidRPr="002D71F1">
              <w:rPr>
                <w:b/>
                <w:sz w:val="20"/>
                <w:szCs w:val="24"/>
              </w:rPr>
              <w:t>redacted</w:t>
            </w:r>
          </w:p>
        </w:tc>
        <w:tc>
          <w:tcPr>
            <w:tcW w:w="584" w:type="pct"/>
            <w:tcBorders>
              <w:bottom w:val="single" w:sz="4" w:space="0" w:color="auto"/>
            </w:tcBorders>
            <w:shd w:val="clear" w:color="auto" w:fill="auto"/>
          </w:tcPr>
          <w:p w14:paraId="353F1D4A" w14:textId="28D8036F" w:rsidR="00815D08" w:rsidRPr="00AE6A75" w:rsidRDefault="00815D08" w:rsidP="003F2786">
            <w:pPr>
              <w:widowControl w:val="0"/>
              <w:spacing w:after="240"/>
              <w:rPr>
                <w:sz w:val="20"/>
                <w:szCs w:val="24"/>
              </w:rPr>
            </w:pPr>
            <w:r w:rsidRPr="00AE6A75">
              <w:rPr>
                <w:sz w:val="20"/>
                <w:szCs w:val="24"/>
              </w:rPr>
              <w:t>$</w:t>
            </w:r>
            <w:r w:rsidR="003647F5" w:rsidRPr="00515BDF">
              <w:rPr>
                <w:b/>
                <w:sz w:val="20"/>
                <w:szCs w:val="24"/>
              </w:rPr>
              <w:t>redacted</w:t>
            </w:r>
          </w:p>
        </w:tc>
        <w:tc>
          <w:tcPr>
            <w:tcW w:w="682" w:type="pct"/>
            <w:tcBorders>
              <w:bottom w:val="single" w:sz="4" w:space="0" w:color="auto"/>
            </w:tcBorders>
            <w:shd w:val="clear" w:color="auto" w:fill="auto"/>
          </w:tcPr>
          <w:p w14:paraId="51538064" w14:textId="2C0EEFCA" w:rsidR="00815D08" w:rsidRPr="00AE6A75" w:rsidRDefault="00815D08" w:rsidP="003F2786">
            <w:pPr>
              <w:widowControl w:val="0"/>
              <w:spacing w:after="240"/>
              <w:rPr>
                <w:sz w:val="20"/>
                <w:szCs w:val="24"/>
              </w:rPr>
            </w:pPr>
            <w:r w:rsidRPr="00AE6A75">
              <w:rPr>
                <w:sz w:val="20"/>
                <w:szCs w:val="24"/>
              </w:rPr>
              <w:t>$</w:t>
            </w:r>
            <w:r w:rsidR="003647F5" w:rsidRPr="00515BDF">
              <w:rPr>
                <w:b/>
                <w:sz w:val="20"/>
                <w:szCs w:val="24"/>
              </w:rPr>
              <w:t>redacted</w:t>
            </w:r>
          </w:p>
        </w:tc>
        <w:tc>
          <w:tcPr>
            <w:tcW w:w="694" w:type="pct"/>
            <w:tcBorders>
              <w:bottom w:val="single" w:sz="4" w:space="0" w:color="auto"/>
            </w:tcBorders>
            <w:shd w:val="clear" w:color="auto" w:fill="auto"/>
          </w:tcPr>
          <w:p w14:paraId="0B71545F" w14:textId="5411E27C" w:rsidR="00815D08" w:rsidRPr="00AE6A75" w:rsidRDefault="00815D08" w:rsidP="003F2786">
            <w:pPr>
              <w:widowControl w:val="0"/>
              <w:spacing w:after="240"/>
              <w:rPr>
                <w:sz w:val="20"/>
                <w:szCs w:val="24"/>
              </w:rPr>
            </w:pPr>
            <w:r w:rsidRPr="00AE6A75">
              <w:rPr>
                <w:sz w:val="20"/>
                <w:szCs w:val="24"/>
              </w:rPr>
              <w:t>$</w:t>
            </w:r>
            <w:r w:rsidR="003647F5" w:rsidRPr="00515BDF">
              <w:rPr>
                <w:b/>
                <w:sz w:val="20"/>
                <w:szCs w:val="24"/>
              </w:rPr>
              <w:t>redacted</w:t>
            </w:r>
          </w:p>
        </w:tc>
        <w:tc>
          <w:tcPr>
            <w:tcW w:w="618" w:type="pct"/>
            <w:tcBorders>
              <w:bottom w:val="single" w:sz="4" w:space="0" w:color="auto"/>
            </w:tcBorders>
            <w:shd w:val="clear" w:color="auto" w:fill="auto"/>
          </w:tcPr>
          <w:p w14:paraId="15BE8466" w14:textId="4D2AA189" w:rsidR="00815D08" w:rsidRPr="00AE6A75" w:rsidRDefault="00815D08" w:rsidP="003F2786">
            <w:pPr>
              <w:widowControl w:val="0"/>
              <w:spacing w:after="240"/>
              <w:rPr>
                <w:sz w:val="20"/>
                <w:szCs w:val="24"/>
              </w:rPr>
            </w:pPr>
            <w:r w:rsidRPr="00AE6A75">
              <w:rPr>
                <w:sz w:val="20"/>
                <w:szCs w:val="24"/>
              </w:rPr>
              <w:t>$</w:t>
            </w:r>
            <w:r w:rsidR="003647F5" w:rsidRPr="00515BDF">
              <w:rPr>
                <w:b/>
                <w:sz w:val="20"/>
                <w:szCs w:val="24"/>
              </w:rPr>
              <w:t>redacted</w:t>
            </w:r>
          </w:p>
        </w:tc>
      </w:tr>
      <w:tr w:rsidR="00815D08" w:rsidRPr="00AE6A75" w14:paraId="1A1CC444" w14:textId="77777777" w:rsidTr="00644428">
        <w:trPr>
          <w:trHeight w:val="300"/>
        </w:trPr>
        <w:tc>
          <w:tcPr>
            <w:tcW w:w="1838" w:type="pct"/>
            <w:shd w:val="clear" w:color="auto" w:fill="auto"/>
          </w:tcPr>
          <w:p w14:paraId="54FEFD93" w14:textId="77777777" w:rsidR="00815D08" w:rsidRPr="00AE6A75" w:rsidRDefault="00815D08" w:rsidP="003F2786">
            <w:pPr>
              <w:widowControl w:val="0"/>
              <w:tabs>
                <w:tab w:val="left" w:pos="851"/>
              </w:tabs>
              <w:spacing w:after="240"/>
              <w:rPr>
                <w:sz w:val="20"/>
                <w:szCs w:val="24"/>
              </w:rPr>
            </w:pPr>
            <w:r w:rsidRPr="00AE6A75">
              <w:rPr>
                <w:sz w:val="20"/>
                <w:szCs w:val="24"/>
              </w:rPr>
              <w:t>Heart Team Assessment</w:t>
            </w:r>
          </w:p>
        </w:tc>
        <w:tc>
          <w:tcPr>
            <w:tcW w:w="584" w:type="pct"/>
          </w:tcPr>
          <w:p w14:paraId="5552C3F2" w14:textId="77777777" w:rsidR="00815D08" w:rsidRPr="00AE6A75" w:rsidRDefault="00815D08" w:rsidP="003F2786">
            <w:pPr>
              <w:widowControl w:val="0"/>
              <w:spacing w:after="240"/>
              <w:rPr>
                <w:sz w:val="20"/>
                <w:szCs w:val="24"/>
              </w:rPr>
            </w:pPr>
            <w:r w:rsidRPr="00AE6A75">
              <w:rPr>
                <w:sz w:val="20"/>
                <w:szCs w:val="24"/>
              </w:rPr>
              <w:t>$11,474</w:t>
            </w:r>
          </w:p>
        </w:tc>
        <w:tc>
          <w:tcPr>
            <w:tcW w:w="584" w:type="pct"/>
            <w:shd w:val="clear" w:color="auto" w:fill="auto"/>
          </w:tcPr>
          <w:p w14:paraId="6334090F" w14:textId="77777777" w:rsidR="00815D08" w:rsidRPr="00AE6A75" w:rsidRDefault="00815D08" w:rsidP="003F2786">
            <w:pPr>
              <w:widowControl w:val="0"/>
              <w:spacing w:after="240"/>
              <w:rPr>
                <w:sz w:val="20"/>
                <w:szCs w:val="24"/>
              </w:rPr>
            </w:pPr>
            <w:r w:rsidRPr="00AE6A75">
              <w:rPr>
                <w:sz w:val="20"/>
                <w:szCs w:val="24"/>
              </w:rPr>
              <w:t>$24,588</w:t>
            </w:r>
          </w:p>
        </w:tc>
        <w:tc>
          <w:tcPr>
            <w:tcW w:w="682" w:type="pct"/>
            <w:shd w:val="clear" w:color="auto" w:fill="auto"/>
          </w:tcPr>
          <w:p w14:paraId="5E4C5EBC" w14:textId="77777777" w:rsidR="00815D08" w:rsidRPr="00AE6A75" w:rsidRDefault="00815D08" w:rsidP="003F2786">
            <w:pPr>
              <w:widowControl w:val="0"/>
              <w:spacing w:after="240"/>
              <w:rPr>
                <w:sz w:val="20"/>
                <w:szCs w:val="24"/>
              </w:rPr>
            </w:pPr>
            <w:r w:rsidRPr="00AE6A75">
              <w:rPr>
                <w:sz w:val="20"/>
                <w:szCs w:val="24"/>
              </w:rPr>
              <w:t>$32,443</w:t>
            </w:r>
          </w:p>
        </w:tc>
        <w:tc>
          <w:tcPr>
            <w:tcW w:w="694" w:type="pct"/>
            <w:shd w:val="clear" w:color="auto" w:fill="auto"/>
          </w:tcPr>
          <w:p w14:paraId="32DB4DC8" w14:textId="77777777" w:rsidR="00815D08" w:rsidRPr="00AE6A75" w:rsidRDefault="00815D08" w:rsidP="003F2786">
            <w:pPr>
              <w:widowControl w:val="0"/>
              <w:spacing w:after="240"/>
              <w:rPr>
                <w:sz w:val="20"/>
                <w:szCs w:val="24"/>
              </w:rPr>
            </w:pPr>
            <w:r w:rsidRPr="00AE6A75">
              <w:rPr>
                <w:sz w:val="20"/>
                <w:szCs w:val="24"/>
              </w:rPr>
              <w:t>$40,980</w:t>
            </w:r>
          </w:p>
        </w:tc>
        <w:tc>
          <w:tcPr>
            <w:tcW w:w="618" w:type="pct"/>
            <w:shd w:val="clear" w:color="auto" w:fill="auto"/>
          </w:tcPr>
          <w:p w14:paraId="2243B252" w14:textId="77777777" w:rsidR="00815D08" w:rsidRPr="00AE6A75" w:rsidRDefault="00815D08" w:rsidP="003F2786">
            <w:pPr>
              <w:widowControl w:val="0"/>
              <w:spacing w:after="240"/>
              <w:rPr>
                <w:sz w:val="20"/>
                <w:szCs w:val="24"/>
              </w:rPr>
            </w:pPr>
            <w:r w:rsidRPr="00AE6A75">
              <w:rPr>
                <w:sz w:val="20"/>
                <w:szCs w:val="24"/>
              </w:rPr>
              <w:t>$59,763</w:t>
            </w:r>
          </w:p>
        </w:tc>
      </w:tr>
      <w:tr w:rsidR="00815D08" w:rsidRPr="00AE6A75" w14:paraId="549A4B39" w14:textId="77777777" w:rsidTr="00644428">
        <w:trPr>
          <w:trHeight w:val="300"/>
        </w:trPr>
        <w:tc>
          <w:tcPr>
            <w:tcW w:w="1838" w:type="pct"/>
            <w:tcBorders>
              <w:bottom w:val="single" w:sz="4" w:space="0" w:color="auto"/>
            </w:tcBorders>
            <w:shd w:val="clear" w:color="auto" w:fill="auto"/>
          </w:tcPr>
          <w:p w14:paraId="5CA21B53" w14:textId="77777777" w:rsidR="00815D08" w:rsidRPr="00AE6A75" w:rsidRDefault="00815D08" w:rsidP="003F2786">
            <w:pPr>
              <w:widowControl w:val="0"/>
              <w:spacing w:after="240"/>
              <w:rPr>
                <w:sz w:val="20"/>
                <w:szCs w:val="24"/>
              </w:rPr>
            </w:pPr>
            <w:r w:rsidRPr="00AE6A75">
              <w:rPr>
                <w:sz w:val="20"/>
                <w:szCs w:val="24"/>
              </w:rPr>
              <w:t>General Anaesthesia</w:t>
            </w:r>
          </w:p>
        </w:tc>
        <w:tc>
          <w:tcPr>
            <w:tcW w:w="584" w:type="pct"/>
            <w:tcBorders>
              <w:bottom w:val="single" w:sz="4" w:space="0" w:color="auto"/>
            </w:tcBorders>
          </w:tcPr>
          <w:p w14:paraId="51FF28F3" w14:textId="77777777" w:rsidR="00815D08" w:rsidRPr="00AE6A75" w:rsidRDefault="00815D08" w:rsidP="003F2786">
            <w:pPr>
              <w:widowControl w:val="0"/>
              <w:spacing w:after="240"/>
              <w:rPr>
                <w:sz w:val="20"/>
                <w:szCs w:val="24"/>
              </w:rPr>
            </w:pPr>
            <w:r w:rsidRPr="00AE6A75">
              <w:rPr>
                <w:sz w:val="20"/>
                <w:szCs w:val="24"/>
              </w:rPr>
              <w:t>$16,986</w:t>
            </w:r>
          </w:p>
        </w:tc>
        <w:tc>
          <w:tcPr>
            <w:tcW w:w="584" w:type="pct"/>
            <w:tcBorders>
              <w:bottom w:val="single" w:sz="4" w:space="0" w:color="auto"/>
            </w:tcBorders>
            <w:shd w:val="clear" w:color="auto" w:fill="auto"/>
          </w:tcPr>
          <w:p w14:paraId="44D2DE66" w14:textId="77777777" w:rsidR="00815D08" w:rsidRPr="00AE6A75" w:rsidRDefault="00815D08" w:rsidP="003F2786">
            <w:pPr>
              <w:widowControl w:val="0"/>
              <w:spacing w:after="240"/>
              <w:rPr>
                <w:sz w:val="20"/>
                <w:szCs w:val="24"/>
              </w:rPr>
            </w:pPr>
            <w:r w:rsidRPr="00AE6A75">
              <w:rPr>
                <w:sz w:val="20"/>
                <w:szCs w:val="24"/>
              </w:rPr>
              <w:t>$36,360</w:t>
            </w:r>
          </w:p>
        </w:tc>
        <w:tc>
          <w:tcPr>
            <w:tcW w:w="682" w:type="pct"/>
            <w:tcBorders>
              <w:bottom w:val="single" w:sz="4" w:space="0" w:color="auto"/>
            </w:tcBorders>
            <w:shd w:val="clear" w:color="auto" w:fill="auto"/>
          </w:tcPr>
          <w:p w14:paraId="68AACD03" w14:textId="77777777" w:rsidR="00815D08" w:rsidRPr="00AE6A75" w:rsidRDefault="00815D08" w:rsidP="003F2786">
            <w:pPr>
              <w:widowControl w:val="0"/>
              <w:spacing w:after="240"/>
              <w:rPr>
                <w:sz w:val="20"/>
                <w:szCs w:val="24"/>
              </w:rPr>
            </w:pPr>
            <w:r w:rsidRPr="00AE6A75">
              <w:rPr>
                <w:sz w:val="20"/>
                <w:szCs w:val="24"/>
              </w:rPr>
              <w:t>$47,975</w:t>
            </w:r>
          </w:p>
        </w:tc>
        <w:tc>
          <w:tcPr>
            <w:tcW w:w="694" w:type="pct"/>
            <w:tcBorders>
              <w:bottom w:val="single" w:sz="4" w:space="0" w:color="auto"/>
            </w:tcBorders>
            <w:shd w:val="clear" w:color="auto" w:fill="auto"/>
          </w:tcPr>
          <w:p w14:paraId="7B87E3BF" w14:textId="77777777" w:rsidR="00815D08" w:rsidRPr="00AE6A75" w:rsidRDefault="00815D08" w:rsidP="003F2786">
            <w:pPr>
              <w:widowControl w:val="0"/>
              <w:spacing w:after="240"/>
              <w:rPr>
                <w:sz w:val="20"/>
                <w:szCs w:val="24"/>
              </w:rPr>
            </w:pPr>
            <w:r w:rsidRPr="00AE6A75">
              <w:rPr>
                <w:sz w:val="20"/>
                <w:szCs w:val="24"/>
              </w:rPr>
              <w:t>$60,600</w:t>
            </w:r>
          </w:p>
        </w:tc>
        <w:tc>
          <w:tcPr>
            <w:tcW w:w="618" w:type="pct"/>
            <w:tcBorders>
              <w:bottom w:val="single" w:sz="4" w:space="0" w:color="auto"/>
            </w:tcBorders>
            <w:shd w:val="clear" w:color="auto" w:fill="auto"/>
          </w:tcPr>
          <w:p w14:paraId="273919AA" w14:textId="77777777" w:rsidR="00815D08" w:rsidRPr="00AE6A75" w:rsidRDefault="00815D08" w:rsidP="003F2786">
            <w:pPr>
              <w:widowControl w:val="0"/>
              <w:spacing w:after="240"/>
              <w:rPr>
                <w:sz w:val="20"/>
                <w:szCs w:val="24"/>
              </w:rPr>
            </w:pPr>
            <w:r w:rsidRPr="00AE6A75">
              <w:rPr>
                <w:sz w:val="20"/>
                <w:szCs w:val="24"/>
              </w:rPr>
              <w:t>$88,375</w:t>
            </w:r>
          </w:p>
        </w:tc>
      </w:tr>
      <w:tr w:rsidR="00815D08" w:rsidRPr="00AE6A75" w14:paraId="3CA798FE" w14:textId="77777777" w:rsidTr="00644428">
        <w:trPr>
          <w:trHeight w:val="300"/>
        </w:trPr>
        <w:tc>
          <w:tcPr>
            <w:tcW w:w="1838" w:type="pct"/>
            <w:tcBorders>
              <w:bottom w:val="single" w:sz="4" w:space="0" w:color="auto"/>
            </w:tcBorders>
            <w:shd w:val="clear" w:color="auto" w:fill="auto"/>
          </w:tcPr>
          <w:p w14:paraId="3E44B9F3" w14:textId="77777777" w:rsidR="00815D08" w:rsidRPr="00AE6A75" w:rsidRDefault="00815D08" w:rsidP="003F2786">
            <w:pPr>
              <w:widowControl w:val="0"/>
              <w:spacing w:after="240"/>
              <w:rPr>
                <w:sz w:val="20"/>
                <w:szCs w:val="24"/>
              </w:rPr>
            </w:pPr>
            <w:r w:rsidRPr="00AE6A75">
              <w:rPr>
                <w:sz w:val="20"/>
                <w:szCs w:val="24"/>
              </w:rPr>
              <w:t xml:space="preserve">Intra-operative </w:t>
            </w:r>
            <w:proofErr w:type="spellStart"/>
            <w:r w:rsidRPr="00AE6A75">
              <w:rPr>
                <w:sz w:val="20"/>
                <w:szCs w:val="24"/>
              </w:rPr>
              <w:t>transesophageal</w:t>
            </w:r>
            <w:proofErr w:type="spellEnd"/>
            <w:r w:rsidRPr="00AE6A75">
              <w:rPr>
                <w:sz w:val="20"/>
                <w:szCs w:val="24"/>
              </w:rPr>
              <w:t xml:space="preserve"> echocardiography (TOE)</w:t>
            </w:r>
          </w:p>
        </w:tc>
        <w:tc>
          <w:tcPr>
            <w:tcW w:w="584" w:type="pct"/>
            <w:tcBorders>
              <w:bottom w:val="single" w:sz="4" w:space="0" w:color="auto"/>
            </w:tcBorders>
          </w:tcPr>
          <w:p w14:paraId="6D9E7CDC" w14:textId="77777777" w:rsidR="00815D08" w:rsidRPr="00AE6A75" w:rsidRDefault="00815D08" w:rsidP="003F2786">
            <w:pPr>
              <w:widowControl w:val="0"/>
              <w:spacing w:after="240"/>
              <w:rPr>
                <w:sz w:val="20"/>
                <w:szCs w:val="24"/>
              </w:rPr>
            </w:pPr>
            <w:r w:rsidRPr="00AE6A75">
              <w:rPr>
                <w:sz w:val="20"/>
                <w:szCs w:val="24"/>
              </w:rPr>
              <w:t>$50,501</w:t>
            </w:r>
          </w:p>
        </w:tc>
        <w:tc>
          <w:tcPr>
            <w:tcW w:w="584" w:type="pct"/>
            <w:tcBorders>
              <w:bottom w:val="single" w:sz="4" w:space="0" w:color="auto"/>
            </w:tcBorders>
            <w:shd w:val="clear" w:color="auto" w:fill="auto"/>
          </w:tcPr>
          <w:p w14:paraId="7428FF1A" w14:textId="77777777" w:rsidR="00815D08" w:rsidRPr="00AE6A75" w:rsidRDefault="00815D08" w:rsidP="003F2786">
            <w:pPr>
              <w:widowControl w:val="0"/>
              <w:spacing w:after="240"/>
              <w:rPr>
                <w:sz w:val="20"/>
                <w:szCs w:val="24"/>
              </w:rPr>
            </w:pPr>
            <w:r w:rsidRPr="00AE6A75">
              <w:rPr>
                <w:sz w:val="20"/>
                <w:szCs w:val="24"/>
              </w:rPr>
              <w:t>$108,216</w:t>
            </w:r>
          </w:p>
        </w:tc>
        <w:tc>
          <w:tcPr>
            <w:tcW w:w="682" w:type="pct"/>
            <w:tcBorders>
              <w:bottom w:val="single" w:sz="4" w:space="0" w:color="auto"/>
            </w:tcBorders>
            <w:shd w:val="clear" w:color="auto" w:fill="auto"/>
          </w:tcPr>
          <w:p w14:paraId="63CF79F6" w14:textId="77777777" w:rsidR="00815D08" w:rsidRPr="00AE6A75" w:rsidRDefault="00815D08" w:rsidP="003F2786">
            <w:pPr>
              <w:widowControl w:val="0"/>
              <w:spacing w:after="240"/>
              <w:rPr>
                <w:sz w:val="20"/>
                <w:szCs w:val="24"/>
              </w:rPr>
            </w:pPr>
            <w:r w:rsidRPr="00AE6A75">
              <w:rPr>
                <w:sz w:val="20"/>
                <w:szCs w:val="24"/>
              </w:rPr>
              <w:t>$142,785</w:t>
            </w:r>
          </w:p>
        </w:tc>
        <w:tc>
          <w:tcPr>
            <w:tcW w:w="694" w:type="pct"/>
            <w:tcBorders>
              <w:bottom w:val="single" w:sz="4" w:space="0" w:color="auto"/>
            </w:tcBorders>
            <w:shd w:val="clear" w:color="auto" w:fill="auto"/>
          </w:tcPr>
          <w:p w14:paraId="2986B367" w14:textId="77777777" w:rsidR="00815D08" w:rsidRPr="00AE6A75" w:rsidRDefault="00815D08" w:rsidP="003F2786">
            <w:pPr>
              <w:widowControl w:val="0"/>
              <w:spacing w:after="240"/>
              <w:rPr>
                <w:sz w:val="20"/>
                <w:szCs w:val="24"/>
              </w:rPr>
            </w:pPr>
            <w:r w:rsidRPr="00AE6A75">
              <w:rPr>
                <w:sz w:val="20"/>
                <w:szCs w:val="24"/>
              </w:rPr>
              <w:t>$180,360</w:t>
            </w:r>
          </w:p>
        </w:tc>
        <w:tc>
          <w:tcPr>
            <w:tcW w:w="618" w:type="pct"/>
            <w:tcBorders>
              <w:bottom w:val="single" w:sz="4" w:space="0" w:color="auto"/>
            </w:tcBorders>
            <w:shd w:val="clear" w:color="auto" w:fill="auto"/>
          </w:tcPr>
          <w:p w14:paraId="2F9D3283" w14:textId="77777777" w:rsidR="00815D08" w:rsidRPr="00AE6A75" w:rsidRDefault="00815D08" w:rsidP="003F2786">
            <w:pPr>
              <w:widowControl w:val="0"/>
              <w:spacing w:after="240"/>
              <w:rPr>
                <w:sz w:val="20"/>
                <w:szCs w:val="24"/>
              </w:rPr>
            </w:pPr>
            <w:r w:rsidRPr="00AE6A75">
              <w:rPr>
                <w:sz w:val="20"/>
                <w:szCs w:val="24"/>
              </w:rPr>
              <w:t>$263,025</w:t>
            </w:r>
          </w:p>
        </w:tc>
      </w:tr>
      <w:tr w:rsidR="00815D08" w:rsidRPr="00AE6A75" w14:paraId="38939BB2" w14:textId="77777777" w:rsidTr="00644428">
        <w:trPr>
          <w:trHeight w:val="300"/>
        </w:trPr>
        <w:tc>
          <w:tcPr>
            <w:tcW w:w="1838" w:type="pct"/>
            <w:tcBorders>
              <w:bottom w:val="single" w:sz="4" w:space="0" w:color="auto"/>
            </w:tcBorders>
            <w:shd w:val="clear" w:color="auto" w:fill="auto"/>
          </w:tcPr>
          <w:p w14:paraId="04A5141B" w14:textId="77777777" w:rsidR="00815D08" w:rsidRPr="00AE6A75" w:rsidRDefault="00815D08" w:rsidP="003F2786">
            <w:pPr>
              <w:widowControl w:val="0"/>
              <w:spacing w:after="240"/>
              <w:rPr>
                <w:sz w:val="20"/>
                <w:szCs w:val="24"/>
              </w:rPr>
            </w:pPr>
            <w:r w:rsidRPr="00AE6A75">
              <w:rPr>
                <w:sz w:val="20"/>
                <w:szCs w:val="24"/>
              </w:rPr>
              <w:t>Fluoroscopy</w:t>
            </w:r>
          </w:p>
        </w:tc>
        <w:tc>
          <w:tcPr>
            <w:tcW w:w="584" w:type="pct"/>
            <w:tcBorders>
              <w:bottom w:val="single" w:sz="4" w:space="0" w:color="auto"/>
            </w:tcBorders>
          </w:tcPr>
          <w:p w14:paraId="4C00FC64" w14:textId="77777777" w:rsidR="00815D08" w:rsidRPr="00AE6A75" w:rsidRDefault="00815D08" w:rsidP="003F2786">
            <w:pPr>
              <w:widowControl w:val="0"/>
              <w:spacing w:after="240"/>
              <w:rPr>
                <w:sz w:val="20"/>
                <w:szCs w:val="24"/>
              </w:rPr>
            </w:pPr>
            <w:r w:rsidRPr="00AE6A75">
              <w:rPr>
                <w:sz w:val="20"/>
                <w:szCs w:val="24"/>
              </w:rPr>
              <w:t>$36,977</w:t>
            </w:r>
          </w:p>
        </w:tc>
        <w:tc>
          <w:tcPr>
            <w:tcW w:w="584" w:type="pct"/>
            <w:tcBorders>
              <w:bottom w:val="single" w:sz="4" w:space="0" w:color="auto"/>
            </w:tcBorders>
            <w:shd w:val="clear" w:color="auto" w:fill="auto"/>
          </w:tcPr>
          <w:p w14:paraId="5CDF6517" w14:textId="77777777" w:rsidR="00815D08" w:rsidRPr="00AE6A75" w:rsidRDefault="00815D08" w:rsidP="003F2786">
            <w:pPr>
              <w:widowControl w:val="0"/>
              <w:spacing w:after="240"/>
              <w:rPr>
                <w:sz w:val="20"/>
                <w:szCs w:val="24"/>
              </w:rPr>
            </w:pPr>
            <w:r w:rsidRPr="00AE6A75">
              <w:rPr>
                <w:sz w:val="20"/>
                <w:szCs w:val="24"/>
              </w:rPr>
              <w:t>$79,236</w:t>
            </w:r>
          </w:p>
        </w:tc>
        <w:tc>
          <w:tcPr>
            <w:tcW w:w="682" w:type="pct"/>
            <w:tcBorders>
              <w:bottom w:val="single" w:sz="4" w:space="0" w:color="auto"/>
            </w:tcBorders>
            <w:shd w:val="clear" w:color="auto" w:fill="auto"/>
          </w:tcPr>
          <w:p w14:paraId="0135F841" w14:textId="77777777" w:rsidR="00815D08" w:rsidRPr="00AE6A75" w:rsidRDefault="00815D08" w:rsidP="003F2786">
            <w:pPr>
              <w:widowControl w:val="0"/>
              <w:spacing w:after="240"/>
              <w:rPr>
                <w:sz w:val="20"/>
                <w:szCs w:val="24"/>
              </w:rPr>
            </w:pPr>
            <w:r w:rsidRPr="00AE6A75">
              <w:rPr>
                <w:sz w:val="20"/>
                <w:szCs w:val="24"/>
              </w:rPr>
              <w:t>$104,548</w:t>
            </w:r>
          </w:p>
        </w:tc>
        <w:tc>
          <w:tcPr>
            <w:tcW w:w="694" w:type="pct"/>
            <w:tcBorders>
              <w:bottom w:val="single" w:sz="4" w:space="0" w:color="auto"/>
            </w:tcBorders>
            <w:shd w:val="clear" w:color="auto" w:fill="auto"/>
          </w:tcPr>
          <w:p w14:paraId="0E818160" w14:textId="77777777" w:rsidR="00815D08" w:rsidRPr="00AE6A75" w:rsidRDefault="00815D08" w:rsidP="003F2786">
            <w:pPr>
              <w:widowControl w:val="0"/>
              <w:spacing w:after="240"/>
              <w:rPr>
                <w:sz w:val="20"/>
                <w:szCs w:val="24"/>
              </w:rPr>
            </w:pPr>
            <w:r w:rsidRPr="00AE6A75">
              <w:rPr>
                <w:sz w:val="20"/>
                <w:szCs w:val="24"/>
              </w:rPr>
              <w:t>$132,060</w:t>
            </w:r>
          </w:p>
        </w:tc>
        <w:tc>
          <w:tcPr>
            <w:tcW w:w="618" w:type="pct"/>
            <w:tcBorders>
              <w:bottom w:val="single" w:sz="4" w:space="0" w:color="auto"/>
            </w:tcBorders>
            <w:shd w:val="clear" w:color="auto" w:fill="auto"/>
          </w:tcPr>
          <w:p w14:paraId="194CF65A" w14:textId="77777777" w:rsidR="00815D08" w:rsidRPr="00AE6A75" w:rsidRDefault="00815D08" w:rsidP="003F2786">
            <w:pPr>
              <w:widowControl w:val="0"/>
              <w:spacing w:after="240"/>
              <w:rPr>
                <w:sz w:val="20"/>
                <w:szCs w:val="24"/>
              </w:rPr>
            </w:pPr>
            <w:r w:rsidRPr="00AE6A75">
              <w:rPr>
                <w:sz w:val="20"/>
                <w:szCs w:val="24"/>
              </w:rPr>
              <w:t>$192,588</w:t>
            </w:r>
          </w:p>
        </w:tc>
      </w:tr>
      <w:tr w:rsidR="00815D08" w:rsidRPr="00AE6A75" w14:paraId="79AAF916" w14:textId="77777777" w:rsidTr="00644428">
        <w:trPr>
          <w:trHeight w:val="300"/>
        </w:trPr>
        <w:tc>
          <w:tcPr>
            <w:tcW w:w="1838" w:type="pct"/>
            <w:tcBorders>
              <w:bottom w:val="single" w:sz="4" w:space="0" w:color="auto"/>
            </w:tcBorders>
            <w:shd w:val="clear" w:color="auto" w:fill="auto"/>
          </w:tcPr>
          <w:p w14:paraId="11C8D851" w14:textId="77777777" w:rsidR="00815D08" w:rsidRPr="00AE6A75" w:rsidRDefault="00815D08" w:rsidP="003F2786">
            <w:pPr>
              <w:widowControl w:val="0"/>
              <w:spacing w:after="240"/>
              <w:rPr>
                <w:sz w:val="20"/>
                <w:szCs w:val="24"/>
              </w:rPr>
            </w:pPr>
            <w:r w:rsidRPr="00AE6A75">
              <w:rPr>
                <w:sz w:val="20"/>
                <w:szCs w:val="24"/>
              </w:rPr>
              <w:t>Post-operative transthoracic echocardiography (TTE)</w:t>
            </w:r>
          </w:p>
        </w:tc>
        <w:tc>
          <w:tcPr>
            <w:tcW w:w="584" w:type="pct"/>
            <w:tcBorders>
              <w:bottom w:val="single" w:sz="4" w:space="0" w:color="auto"/>
            </w:tcBorders>
          </w:tcPr>
          <w:p w14:paraId="611F52B9" w14:textId="77777777" w:rsidR="00815D08" w:rsidRPr="00AE6A75" w:rsidRDefault="00815D08" w:rsidP="003F2786">
            <w:pPr>
              <w:widowControl w:val="0"/>
              <w:spacing w:after="240"/>
              <w:rPr>
                <w:sz w:val="20"/>
                <w:szCs w:val="24"/>
              </w:rPr>
            </w:pPr>
            <w:r w:rsidRPr="00AE6A75">
              <w:rPr>
                <w:sz w:val="20"/>
                <w:szCs w:val="24"/>
              </w:rPr>
              <w:t>$32,945</w:t>
            </w:r>
          </w:p>
        </w:tc>
        <w:tc>
          <w:tcPr>
            <w:tcW w:w="584" w:type="pct"/>
            <w:tcBorders>
              <w:bottom w:val="single" w:sz="4" w:space="0" w:color="auto"/>
            </w:tcBorders>
            <w:shd w:val="clear" w:color="auto" w:fill="auto"/>
          </w:tcPr>
          <w:p w14:paraId="09B55EFF" w14:textId="77777777" w:rsidR="00815D08" w:rsidRPr="00AE6A75" w:rsidRDefault="00815D08" w:rsidP="003F2786">
            <w:pPr>
              <w:widowControl w:val="0"/>
              <w:spacing w:after="240"/>
              <w:rPr>
                <w:sz w:val="20"/>
                <w:szCs w:val="24"/>
              </w:rPr>
            </w:pPr>
            <w:r w:rsidRPr="00AE6A75">
              <w:rPr>
                <w:sz w:val="20"/>
                <w:szCs w:val="24"/>
              </w:rPr>
              <w:t>$70,596</w:t>
            </w:r>
          </w:p>
        </w:tc>
        <w:tc>
          <w:tcPr>
            <w:tcW w:w="682" w:type="pct"/>
            <w:tcBorders>
              <w:bottom w:val="single" w:sz="4" w:space="0" w:color="auto"/>
            </w:tcBorders>
            <w:shd w:val="clear" w:color="auto" w:fill="auto"/>
          </w:tcPr>
          <w:p w14:paraId="0E0A23AC" w14:textId="77777777" w:rsidR="00815D08" w:rsidRPr="00AE6A75" w:rsidRDefault="00815D08" w:rsidP="003F2786">
            <w:pPr>
              <w:widowControl w:val="0"/>
              <w:spacing w:after="240"/>
              <w:rPr>
                <w:sz w:val="20"/>
                <w:szCs w:val="24"/>
              </w:rPr>
            </w:pPr>
            <w:r w:rsidRPr="00AE6A75">
              <w:rPr>
                <w:sz w:val="20"/>
                <w:szCs w:val="24"/>
              </w:rPr>
              <w:t>$93,148</w:t>
            </w:r>
          </w:p>
        </w:tc>
        <w:tc>
          <w:tcPr>
            <w:tcW w:w="694" w:type="pct"/>
            <w:tcBorders>
              <w:bottom w:val="single" w:sz="4" w:space="0" w:color="auto"/>
            </w:tcBorders>
            <w:shd w:val="clear" w:color="auto" w:fill="auto"/>
          </w:tcPr>
          <w:p w14:paraId="36073874" w14:textId="77777777" w:rsidR="00815D08" w:rsidRPr="00AE6A75" w:rsidRDefault="00815D08" w:rsidP="003F2786">
            <w:pPr>
              <w:widowControl w:val="0"/>
              <w:spacing w:after="240"/>
              <w:rPr>
                <w:sz w:val="20"/>
                <w:szCs w:val="24"/>
              </w:rPr>
            </w:pPr>
            <w:r w:rsidRPr="00AE6A75">
              <w:rPr>
                <w:sz w:val="20"/>
                <w:szCs w:val="24"/>
              </w:rPr>
              <w:t>$117,660</w:t>
            </w:r>
          </w:p>
        </w:tc>
        <w:tc>
          <w:tcPr>
            <w:tcW w:w="618" w:type="pct"/>
            <w:tcBorders>
              <w:bottom w:val="single" w:sz="4" w:space="0" w:color="auto"/>
            </w:tcBorders>
            <w:shd w:val="clear" w:color="auto" w:fill="auto"/>
          </w:tcPr>
          <w:p w14:paraId="4E0D921B" w14:textId="77777777" w:rsidR="00815D08" w:rsidRPr="00AE6A75" w:rsidRDefault="00815D08" w:rsidP="003F2786">
            <w:pPr>
              <w:widowControl w:val="0"/>
              <w:spacing w:after="240"/>
              <w:rPr>
                <w:sz w:val="20"/>
                <w:szCs w:val="24"/>
              </w:rPr>
            </w:pPr>
            <w:r w:rsidRPr="00AE6A75">
              <w:rPr>
                <w:sz w:val="20"/>
                <w:szCs w:val="24"/>
              </w:rPr>
              <w:t>$171,588</w:t>
            </w:r>
          </w:p>
        </w:tc>
      </w:tr>
      <w:tr w:rsidR="00815D08" w:rsidRPr="00AE6A75" w14:paraId="6FA12C55" w14:textId="77777777" w:rsidTr="00644428">
        <w:trPr>
          <w:trHeight w:val="315"/>
        </w:trPr>
        <w:tc>
          <w:tcPr>
            <w:tcW w:w="1838" w:type="pct"/>
            <w:shd w:val="clear" w:color="auto" w:fill="auto"/>
          </w:tcPr>
          <w:p w14:paraId="2F22B4AF" w14:textId="77777777" w:rsidR="00815D08" w:rsidRPr="00AE6A75" w:rsidRDefault="00815D08" w:rsidP="003F2786">
            <w:pPr>
              <w:widowControl w:val="0"/>
              <w:spacing w:after="240"/>
              <w:rPr>
                <w:b/>
                <w:sz w:val="20"/>
                <w:szCs w:val="24"/>
              </w:rPr>
            </w:pPr>
            <w:r w:rsidRPr="00AE6A75">
              <w:rPr>
                <w:b/>
                <w:sz w:val="20"/>
                <w:szCs w:val="24"/>
              </w:rPr>
              <w:t>Total cost</w:t>
            </w:r>
          </w:p>
        </w:tc>
        <w:tc>
          <w:tcPr>
            <w:tcW w:w="584" w:type="pct"/>
          </w:tcPr>
          <w:p w14:paraId="617A626E" w14:textId="73CCC93A" w:rsidR="00815D08" w:rsidRPr="00AE6A75" w:rsidRDefault="00815D08" w:rsidP="003F2786">
            <w:pPr>
              <w:widowControl w:val="0"/>
              <w:spacing w:after="240"/>
              <w:rPr>
                <w:b/>
                <w:sz w:val="20"/>
                <w:szCs w:val="24"/>
              </w:rPr>
            </w:pPr>
            <w:r w:rsidRPr="00AE6A75">
              <w:rPr>
                <w:b/>
                <w:sz w:val="20"/>
                <w:szCs w:val="24"/>
              </w:rPr>
              <w:t>$</w:t>
            </w:r>
            <w:r w:rsidR="003647F5" w:rsidRPr="00515BDF">
              <w:rPr>
                <w:b/>
                <w:sz w:val="20"/>
                <w:szCs w:val="24"/>
              </w:rPr>
              <w:t>redacted</w:t>
            </w:r>
          </w:p>
        </w:tc>
        <w:tc>
          <w:tcPr>
            <w:tcW w:w="584" w:type="pct"/>
            <w:shd w:val="clear" w:color="auto" w:fill="auto"/>
          </w:tcPr>
          <w:p w14:paraId="2F1F1364" w14:textId="1250B0BB" w:rsidR="00815D08" w:rsidRPr="00AE6A75" w:rsidRDefault="00815D08" w:rsidP="003F2786">
            <w:pPr>
              <w:widowControl w:val="0"/>
              <w:spacing w:after="240"/>
              <w:rPr>
                <w:b/>
                <w:sz w:val="20"/>
                <w:szCs w:val="24"/>
              </w:rPr>
            </w:pPr>
            <w:r w:rsidRPr="00AE6A75">
              <w:rPr>
                <w:b/>
                <w:sz w:val="20"/>
                <w:szCs w:val="24"/>
              </w:rPr>
              <w:t>$</w:t>
            </w:r>
            <w:r w:rsidR="003647F5" w:rsidRPr="00515BDF">
              <w:rPr>
                <w:b/>
                <w:sz w:val="20"/>
                <w:szCs w:val="24"/>
              </w:rPr>
              <w:t>redacted</w:t>
            </w:r>
          </w:p>
        </w:tc>
        <w:tc>
          <w:tcPr>
            <w:tcW w:w="682" w:type="pct"/>
            <w:shd w:val="clear" w:color="auto" w:fill="auto"/>
          </w:tcPr>
          <w:p w14:paraId="5637BFB7" w14:textId="3C98B6BF" w:rsidR="00815D08" w:rsidRPr="00AE6A75" w:rsidRDefault="00815D08" w:rsidP="003F2786">
            <w:pPr>
              <w:widowControl w:val="0"/>
              <w:spacing w:after="240"/>
              <w:rPr>
                <w:b/>
                <w:sz w:val="20"/>
                <w:szCs w:val="24"/>
              </w:rPr>
            </w:pPr>
            <w:r w:rsidRPr="00AE6A75">
              <w:rPr>
                <w:b/>
                <w:sz w:val="20"/>
                <w:szCs w:val="24"/>
              </w:rPr>
              <w:t>$</w:t>
            </w:r>
            <w:r w:rsidR="003647F5" w:rsidRPr="00515BDF">
              <w:rPr>
                <w:b/>
                <w:sz w:val="20"/>
                <w:szCs w:val="24"/>
              </w:rPr>
              <w:t>redacted</w:t>
            </w:r>
          </w:p>
        </w:tc>
        <w:tc>
          <w:tcPr>
            <w:tcW w:w="694" w:type="pct"/>
            <w:shd w:val="clear" w:color="auto" w:fill="auto"/>
          </w:tcPr>
          <w:p w14:paraId="33C2A7E6" w14:textId="49A79BCC" w:rsidR="00815D08" w:rsidRPr="00AE6A75" w:rsidRDefault="00815D08" w:rsidP="003F2786">
            <w:pPr>
              <w:widowControl w:val="0"/>
              <w:spacing w:after="240"/>
              <w:rPr>
                <w:b/>
                <w:sz w:val="20"/>
                <w:szCs w:val="24"/>
              </w:rPr>
            </w:pPr>
            <w:r w:rsidRPr="00AE6A75">
              <w:rPr>
                <w:b/>
                <w:sz w:val="20"/>
                <w:szCs w:val="24"/>
              </w:rPr>
              <w:t>$</w:t>
            </w:r>
            <w:r w:rsidR="003647F5" w:rsidRPr="00515BDF">
              <w:rPr>
                <w:b/>
                <w:sz w:val="20"/>
                <w:szCs w:val="24"/>
              </w:rPr>
              <w:t>redacted</w:t>
            </w:r>
          </w:p>
        </w:tc>
        <w:tc>
          <w:tcPr>
            <w:tcW w:w="618" w:type="pct"/>
            <w:shd w:val="clear" w:color="auto" w:fill="auto"/>
          </w:tcPr>
          <w:p w14:paraId="4DAFE2EB" w14:textId="3E10B5DB" w:rsidR="00815D08" w:rsidRPr="00AE6A75" w:rsidRDefault="00815D08" w:rsidP="003F2786">
            <w:pPr>
              <w:widowControl w:val="0"/>
              <w:spacing w:after="240"/>
              <w:rPr>
                <w:b/>
                <w:sz w:val="20"/>
                <w:szCs w:val="24"/>
              </w:rPr>
            </w:pPr>
            <w:r w:rsidRPr="00AE6A75">
              <w:rPr>
                <w:b/>
                <w:sz w:val="20"/>
                <w:szCs w:val="24"/>
              </w:rPr>
              <w:t>$</w:t>
            </w:r>
            <w:r w:rsidR="003647F5" w:rsidRPr="00515BDF">
              <w:rPr>
                <w:b/>
                <w:sz w:val="20"/>
                <w:szCs w:val="24"/>
              </w:rPr>
              <w:t>redacted</w:t>
            </w:r>
          </w:p>
        </w:tc>
      </w:tr>
    </w:tbl>
    <w:p w14:paraId="39B08CB5" w14:textId="11486EC0" w:rsidR="00810E32" w:rsidRPr="003F2786" w:rsidRDefault="003F2786" w:rsidP="003F2786">
      <w:pPr>
        <w:pStyle w:val="Tablenotes"/>
        <w:spacing w:after="240"/>
        <w:jc w:val="left"/>
        <w:rPr>
          <w:rFonts w:ascii="Times New Roman" w:hAnsi="Times New Roman" w:cs="Times New Roman"/>
          <w:sz w:val="20"/>
          <w:szCs w:val="24"/>
        </w:rPr>
      </w:pPr>
      <w:r>
        <w:rPr>
          <w:rFonts w:ascii="Times New Roman" w:hAnsi="Times New Roman" w:cs="Times New Roman"/>
          <w:sz w:val="20"/>
          <w:szCs w:val="24"/>
        </w:rPr>
        <w:t>Ab</w:t>
      </w:r>
      <w:r w:rsidR="00815D08" w:rsidRPr="00AE6A75">
        <w:rPr>
          <w:rFonts w:ascii="Times New Roman" w:hAnsi="Times New Roman" w:cs="Times New Roman"/>
          <w:sz w:val="20"/>
          <w:szCs w:val="24"/>
        </w:rPr>
        <w:t xml:space="preserve">breviations: TOE, </w:t>
      </w:r>
      <w:proofErr w:type="spellStart"/>
      <w:r w:rsidR="00815D08" w:rsidRPr="00AE6A75">
        <w:rPr>
          <w:rFonts w:ascii="Times New Roman" w:hAnsi="Times New Roman" w:cs="Times New Roman"/>
          <w:sz w:val="20"/>
          <w:szCs w:val="24"/>
        </w:rPr>
        <w:t>Transesophageal</w:t>
      </w:r>
      <w:proofErr w:type="spellEnd"/>
      <w:r w:rsidR="00815D08" w:rsidRPr="00AE6A75">
        <w:rPr>
          <w:rFonts w:ascii="Times New Roman" w:hAnsi="Times New Roman" w:cs="Times New Roman"/>
          <w:sz w:val="20"/>
          <w:szCs w:val="24"/>
        </w:rPr>
        <w:t xml:space="preserve"> Echocardiography; TTE, Transthoracic Echocardiography</w:t>
      </w:r>
    </w:p>
    <w:p w14:paraId="7EBE5835" w14:textId="22CD88DA" w:rsidR="00522FF7" w:rsidRDefault="00522FF7" w:rsidP="003F2786">
      <w:pPr>
        <w:spacing w:after="240"/>
        <w:rPr>
          <w:szCs w:val="24"/>
          <w:lang w:eastAsia="en-US"/>
        </w:rPr>
      </w:pPr>
      <w:r>
        <w:rPr>
          <w:szCs w:val="24"/>
          <w:lang w:eastAsia="en-US"/>
        </w:rPr>
        <w:t xml:space="preserve">An updated financial analysis was provided in the </w:t>
      </w:r>
      <w:proofErr w:type="spellStart"/>
      <w:r>
        <w:rPr>
          <w:szCs w:val="24"/>
          <w:lang w:eastAsia="en-US"/>
        </w:rPr>
        <w:t>preMSAC</w:t>
      </w:r>
      <w:proofErr w:type="spellEnd"/>
      <w:r>
        <w:rPr>
          <w:szCs w:val="24"/>
          <w:lang w:eastAsia="en-US"/>
        </w:rPr>
        <w:t xml:space="preserve"> response of net costs to public and private hospitals over five years. The net cost to hospitals for treatment with </w:t>
      </w:r>
      <w:proofErr w:type="spellStart"/>
      <w:r>
        <w:rPr>
          <w:szCs w:val="24"/>
          <w:lang w:eastAsia="en-US"/>
        </w:rPr>
        <w:t>MitraClip</w:t>
      </w:r>
      <w:proofErr w:type="spellEnd"/>
      <w:r>
        <w:rPr>
          <w:szCs w:val="24"/>
          <w:lang w:eastAsia="en-US"/>
        </w:rPr>
        <w:t xml:space="preserve"> ranged from $</w:t>
      </w:r>
      <w:r w:rsidR="003647F5" w:rsidRPr="002D71F1">
        <w:rPr>
          <w:b/>
          <w:szCs w:val="24"/>
          <w:lang w:eastAsia="en-US"/>
        </w:rPr>
        <w:t>redacted</w:t>
      </w:r>
      <w:r>
        <w:rPr>
          <w:szCs w:val="24"/>
          <w:lang w:eastAsia="en-US"/>
        </w:rPr>
        <w:t xml:space="preserve"> in 2016 to $</w:t>
      </w:r>
      <w:r w:rsidR="003647F5" w:rsidRPr="003647F5">
        <w:rPr>
          <w:b/>
          <w:szCs w:val="24"/>
          <w:lang w:eastAsia="en-US"/>
        </w:rPr>
        <w:t xml:space="preserve"> </w:t>
      </w:r>
      <w:r w:rsidR="003647F5" w:rsidRPr="00515BDF">
        <w:rPr>
          <w:b/>
          <w:szCs w:val="24"/>
          <w:lang w:eastAsia="en-US"/>
        </w:rPr>
        <w:t>redacted</w:t>
      </w:r>
      <w:r w:rsidR="002D71F1">
        <w:rPr>
          <w:b/>
          <w:szCs w:val="24"/>
          <w:lang w:eastAsia="en-US"/>
        </w:rPr>
        <w:t xml:space="preserve"> </w:t>
      </w:r>
      <w:r>
        <w:rPr>
          <w:szCs w:val="24"/>
          <w:lang w:eastAsia="en-US"/>
        </w:rPr>
        <w:t>in 2020.</w:t>
      </w:r>
    </w:p>
    <w:p w14:paraId="674AD9CB" w14:textId="77777777" w:rsidR="00810E32" w:rsidRDefault="00810E32" w:rsidP="003F2786">
      <w:pPr>
        <w:spacing w:after="240"/>
        <w:rPr>
          <w:szCs w:val="24"/>
          <w:lang w:eastAsia="en-US"/>
        </w:rPr>
      </w:pPr>
      <w:r>
        <w:rPr>
          <w:szCs w:val="24"/>
          <w:lang w:eastAsia="en-US"/>
        </w:rPr>
        <w:t xml:space="preserve">The applicant’s </w:t>
      </w:r>
      <w:proofErr w:type="spellStart"/>
      <w:r>
        <w:rPr>
          <w:szCs w:val="24"/>
          <w:lang w:eastAsia="en-US"/>
        </w:rPr>
        <w:t>preMSAC</w:t>
      </w:r>
      <w:proofErr w:type="spellEnd"/>
      <w:r>
        <w:rPr>
          <w:szCs w:val="24"/>
          <w:lang w:eastAsia="en-US"/>
        </w:rPr>
        <w:t xml:space="preserve"> response noted that there are significant capacity constraints with performing the proposed procedure. The anticipated uptake is contingent upon the limited number of centres and qualified practitioners with the capacity to perform the procedure in accordance with the requirements specified in the proposed MBS descriptor.</w:t>
      </w:r>
    </w:p>
    <w:p w14:paraId="2DD58755" w14:textId="5A01976A" w:rsidR="00067016" w:rsidRDefault="00067016" w:rsidP="003F2786">
      <w:pPr>
        <w:spacing w:after="240"/>
        <w:rPr>
          <w:szCs w:val="24"/>
          <w:lang w:eastAsia="en-US"/>
        </w:rPr>
      </w:pPr>
      <w:r>
        <w:rPr>
          <w:szCs w:val="24"/>
          <w:lang w:eastAsia="en-US"/>
        </w:rPr>
        <w:t>The critique stated that a</w:t>
      </w:r>
      <w:r w:rsidR="00815D08" w:rsidRPr="00AE6A75">
        <w:rPr>
          <w:szCs w:val="24"/>
          <w:lang w:eastAsia="en-US"/>
        </w:rPr>
        <w:t xml:space="preserve"> market-based</w:t>
      </w:r>
      <w:r>
        <w:rPr>
          <w:szCs w:val="24"/>
          <w:lang w:eastAsia="en-US"/>
        </w:rPr>
        <w:t xml:space="preserve"> </w:t>
      </w:r>
      <w:r w:rsidRPr="00AE6A75">
        <w:rPr>
          <w:szCs w:val="24"/>
          <w:lang w:eastAsia="en-US"/>
        </w:rPr>
        <w:t>approach</w:t>
      </w:r>
      <w:r w:rsidR="00815D08">
        <w:rPr>
          <w:szCs w:val="24"/>
          <w:lang w:eastAsia="en-US"/>
        </w:rPr>
        <w:t>, based on estimated supply side capacity constraints,</w:t>
      </w:r>
      <w:r w:rsidR="00815D08" w:rsidRPr="00AE6A75">
        <w:rPr>
          <w:szCs w:val="24"/>
          <w:lang w:eastAsia="en-US"/>
        </w:rPr>
        <w:t xml:space="preserve"> was used as the base case in determining the number of procedures per site per year. An epidemiological approach was used as a sensitivity analysis.</w:t>
      </w:r>
      <w:r w:rsidR="00815D08">
        <w:rPr>
          <w:szCs w:val="24"/>
          <w:lang w:eastAsia="en-US"/>
        </w:rPr>
        <w:t xml:space="preserve"> The </w:t>
      </w:r>
      <w:r w:rsidR="00810E32">
        <w:rPr>
          <w:szCs w:val="24"/>
          <w:lang w:eastAsia="en-US"/>
        </w:rPr>
        <w:t xml:space="preserve">critique considered that the </w:t>
      </w:r>
      <w:r w:rsidR="00815D08">
        <w:rPr>
          <w:szCs w:val="24"/>
          <w:lang w:eastAsia="en-US"/>
        </w:rPr>
        <w:t>assumption that each clinical site would only conduct one op</w:t>
      </w:r>
      <w:r>
        <w:rPr>
          <w:szCs w:val="24"/>
          <w:lang w:eastAsia="en-US"/>
        </w:rPr>
        <w:t>eration per month was questionable</w:t>
      </w:r>
      <w:r w:rsidR="00815D08">
        <w:rPr>
          <w:szCs w:val="24"/>
          <w:lang w:eastAsia="en-US"/>
        </w:rPr>
        <w:t xml:space="preserve"> – particularly when the epidemiological estimates show</w:t>
      </w:r>
      <w:r>
        <w:rPr>
          <w:szCs w:val="24"/>
          <w:lang w:eastAsia="en-US"/>
        </w:rPr>
        <w:t>ed</w:t>
      </w:r>
      <w:r w:rsidR="00815D08">
        <w:rPr>
          <w:szCs w:val="24"/>
          <w:lang w:eastAsia="en-US"/>
        </w:rPr>
        <w:t xml:space="preserve"> that the potential demand for the treatment is substantially higher. </w:t>
      </w:r>
      <w:r w:rsidR="00815D08" w:rsidRPr="00AE6A75">
        <w:rPr>
          <w:szCs w:val="24"/>
          <w:lang w:eastAsia="en-US"/>
        </w:rPr>
        <w:t>The difference b</w:t>
      </w:r>
      <w:r>
        <w:rPr>
          <w:szCs w:val="24"/>
          <w:lang w:eastAsia="en-US"/>
        </w:rPr>
        <w:t>etween the two methods indicated</w:t>
      </w:r>
      <w:r w:rsidR="00815D08" w:rsidRPr="00AE6A75">
        <w:rPr>
          <w:szCs w:val="24"/>
          <w:lang w:eastAsia="en-US"/>
        </w:rPr>
        <w:t xml:space="preserve"> tha</w:t>
      </w:r>
      <w:r>
        <w:rPr>
          <w:szCs w:val="24"/>
          <w:lang w:eastAsia="en-US"/>
        </w:rPr>
        <w:t>t</w:t>
      </w:r>
      <w:r w:rsidR="00815D08" w:rsidRPr="00AE6A75">
        <w:rPr>
          <w:szCs w:val="24"/>
          <w:lang w:eastAsia="en-US"/>
        </w:rPr>
        <w:t xml:space="preserve"> neither may be correct, and </w:t>
      </w:r>
      <w:r w:rsidR="00815D08">
        <w:rPr>
          <w:szCs w:val="24"/>
          <w:lang w:eastAsia="en-US"/>
        </w:rPr>
        <w:t>an alternative</w:t>
      </w:r>
      <w:r w:rsidR="00815D08" w:rsidRPr="00AE6A75">
        <w:rPr>
          <w:szCs w:val="24"/>
          <w:lang w:eastAsia="en-US"/>
        </w:rPr>
        <w:t xml:space="preserve"> approach </w:t>
      </w:r>
      <w:r>
        <w:rPr>
          <w:szCs w:val="24"/>
          <w:lang w:eastAsia="en-US"/>
        </w:rPr>
        <w:t>may be more appropriate</w:t>
      </w:r>
      <w:r w:rsidR="00815D08" w:rsidRPr="00AE6A75">
        <w:rPr>
          <w:szCs w:val="24"/>
          <w:lang w:eastAsia="en-US"/>
        </w:rPr>
        <w:t xml:space="preserve">. </w:t>
      </w:r>
    </w:p>
    <w:p w14:paraId="73B58C49" w14:textId="20EAAF02" w:rsidR="00815D08" w:rsidRDefault="00815D08" w:rsidP="003F2786">
      <w:pPr>
        <w:spacing w:after="240"/>
        <w:rPr>
          <w:szCs w:val="24"/>
          <w:lang w:eastAsia="en-US"/>
        </w:rPr>
      </w:pPr>
      <w:r w:rsidRPr="00AE6A75">
        <w:rPr>
          <w:szCs w:val="24"/>
          <w:lang w:eastAsia="en-US"/>
        </w:rPr>
        <w:t xml:space="preserve">The </w:t>
      </w:r>
      <w:r w:rsidR="007A2602">
        <w:rPr>
          <w:szCs w:val="24"/>
          <w:lang w:eastAsia="en-US"/>
        </w:rPr>
        <w:t xml:space="preserve">critique noted that the </w:t>
      </w:r>
      <w:r w:rsidRPr="00AE6A75">
        <w:rPr>
          <w:szCs w:val="24"/>
          <w:lang w:eastAsia="en-US"/>
        </w:rPr>
        <w:t xml:space="preserve">prevalence of heart failure and therefore mitral regurgitation are difficult to assess, and reports range from 100,000 to 400,000 heart failure patients in Australia. The estimate (used in </w:t>
      </w:r>
      <w:r w:rsidR="007A2602">
        <w:rPr>
          <w:szCs w:val="24"/>
          <w:lang w:eastAsia="en-US"/>
        </w:rPr>
        <w:t>the resubmission</w:t>
      </w:r>
      <w:r w:rsidRPr="00AE6A75">
        <w:rPr>
          <w:szCs w:val="24"/>
          <w:lang w:eastAsia="en-US"/>
        </w:rPr>
        <w:t xml:space="preserve">) of the incidence of heart failure is 10%. This translated to 1,653 patients with severe MR in the first year increasing to 1,754 per year </w:t>
      </w:r>
      <w:r w:rsidRPr="00AE6A75">
        <w:rPr>
          <w:szCs w:val="24"/>
          <w:lang w:eastAsia="en-US"/>
        </w:rPr>
        <w:lastRenderedPageBreak/>
        <w:t>after five years. These statistics are based on 2004 data and have not been adjusted to increases in the Australian population. Therefore the epidemiological approach u</w:t>
      </w:r>
      <w:r w:rsidR="00067016">
        <w:rPr>
          <w:szCs w:val="24"/>
          <w:lang w:eastAsia="en-US"/>
        </w:rPr>
        <w:t>nderestimated</w:t>
      </w:r>
      <w:r w:rsidRPr="00AE6A75">
        <w:rPr>
          <w:szCs w:val="24"/>
          <w:lang w:eastAsia="en-US"/>
        </w:rPr>
        <w:t xml:space="preserve"> the </w:t>
      </w:r>
      <w:r w:rsidR="00B177F0">
        <w:rPr>
          <w:szCs w:val="24"/>
          <w:lang w:eastAsia="en-US"/>
        </w:rPr>
        <w:t xml:space="preserve">potential </w:t>
      </w:r>
      <w:r w:rsidRPr="00AE6A75">
        <w:rPr>
          <w:szCs w:val="24"/>
          <w:lang w:eastAsia="en-US"/>
        </w:rPr>
        <w:t>number of patient</w:t>
      </w:r>
      <w:r w:rsidR="00B177F0">
        <w:rPr>
          <w:szCs w:val="24"/>
          <w:lang w:eastAsia="en-US"/>
        </w:rPr>
        <w:t>s</w:t>
      </w:r>
      <w:r w:rsidRPr="00AE6A75">
        <w:rPr>
          <w:szCs w:val="24"/>
          <w:lang w:eastAsia="en-US"/>
        </w:rPr>
        <w:t xml:space="preserve"> treated with </w:t>
      </w:r>
      <w:proofErr w:type="spellStart"/>
      <w:r w:rsidRPr="00AE6A75">
        <w:rPr>
          <w:szCs w:val="24"/>
          <w:lang w:eastAsia="en-US"/>
        </w:rPr>
        <w:t>MitraClip</w:t>
      </w:r>
      <w:proofErr w:type="spellEnd"/>
      <w:r w:rsidRPr="00AE6A75">
        <w:rPr>
          <w:szCs w:val="24"/>
          <w:lang w:eastAsia="en-US"/>
        </w:rPr>
        <w:t xml:space="preserve">®. This approach considerably differs from the market approach which estimates 168 patients to be treated with </w:t>
      </w:r>
      <w:proofErr w:type="spellStart"/>
      <w:r w:rsidRPr="00AE6A75">
        <w:rPr>
          <w:szCs w:val="24"/>
          <w:lang w:eastAsia="en-US"/>
        </w:rPr>
        <w:t>MitraClip</w:t>
      </w:r>
      <w:proofErr w:type="spellEnd"/>
      <w:r w:rsidRPr="00AE6A75">
        <w:rPr>
          <w:szCs w:val="24"/>
          <w:lang w:eastAsia="en-US"/>
        </w:rPr>
        <w:t>® in the first year, increasing to 875 in the fifth year. The applicant has also assumed the number of patients who are high risk and treated with medical management and who would elect surgery even with the associated risks, are transferable between the EVEREST II trial and in an Australian health care setting. This may not be the case, and no justification has been provided.</w:t>
      </w:r>
    </w:p>
    <w:p w14:paraId="16D3C681" w14:textId="6648AEC6" w:rsidR="00A43E24" w:rsidRDefault="00815D08" w:rsidP="003F2786">
      <w:pPr>
        <w:spacing w:after="240"/>
        <w:rPr>
          <w:szCs w:val="24"/>
          <w:lang w:eastAsia="en-US"/>
        </w:rPr>
      </w:pPr>
      <w:r>
        <w:rPr>
          <w:szCs w:val="24"/>
          <w:lang w:eastAsia="en-US"/>
        </w:rPr>
        <w:t>The</w:t>
      </w:r>
      <w:r w:rsidR="007A2602">
        <w:rPr>
          <w:szCs w:val="24"/>
          <w:lang w:eastAsia="en-US"/>
        </w:rPr>
        <w:t xml:space="preserve"> critique considered that the</w:t>
      </w:r>
      <w:r>
        <w:rPr>
          <w:szCs w:val="24"/>
          <w:lang w:eastAsia="en-US"/>
        </w:rPr>
        <w:t xml:space="preserve"> </w:t>
      </w:r>
      <w:r w:rsidR="00067016">
        <w:rPr>
          <w:szCs w:val="24"/>
          <w:lang w:eastAsia="en-US"/>
        </w:rPr>
        <w:t>resubmission</w:t>
      </w:r>
      <w:r>
        <w:rPr>
          <w:szCs w:val="24"/>
          <w:lang w:eastAsia="en-US"/>
        </w:rPr>
        <w:t xml:space="preserve"> did not appropriately account for the number of multi-disciplinary care items; only counting those where a </w:t>
      </w:r>
      <w:proofErr w:type="spellStart"/>
      <w:r>
        <w:rPr>
          <w:szCs w:val="24"/>
          <w:lang w:eastAsia="en-US"/>
        </w:rPr>
        <w:t>MitraClip</w:t>
      </w:r>
      <w:proofErr w:type="spellEnd"/>
      <w:r>
        <w:rPr>
          <w:szCs w:val="24"/>
          <w:lang w:eastAsia="en-US"/>
        </w:rPr>
        <w:t xml:space="preserve"> procedure was deemed viable</w:t>
      </w:r>
      <w:r w:rsidR="00B177F0">
        <w:rPr>
          <w:szCs w:val="24"/>
          <w:lang w:eastAsia="en-US"/>
        </w:rPr>
        <w:t>,</w:t>
      </w:r>
      <w:r>
        <w:rPr>
          <w:szCs w:val="24"/>
          <w:lang w:eastAsia="en-US"/>
        </w:rPr>
        <w:t xml:space="preserve"> but not for those where patient was deemed unsuitable for the procedure.</w:t>
      </w:r>
    </w:p>
    <w:p w14:paraId="3A778A34" w14:textId="3735CB57" w:rsidR="00BC1364" w:rsidRPr="003F2786" w:rsidRDefault="00815D08" w:rsidP="003F2786">
      <w:pPr>
        <w:spacing w:after="240"/>
        <w:rPr>
          <w:szCs w:val="24"/>
          <w:lang w:eastAsia="en-US"/>
        </w:rPr>
      </w:pPr>
      <w:r w:rsidRPr="00A43E24">
        <w:rPr>
          <w:rStyle w:val="Emphasis"/>
          <w:rFonts w:ascii="Times New Roman" w:hAnsi="Times New Roman"/>
          <w:i w:val="0"/>
        </w:rPr>
        <w:t>There is potential for the net cost/year to the MBS to be greater than estimated in the SBA.</w:t>
      </w:r>
    </w:p>
    <w:p w14:paraId="16FDC263" w14:textId="77777777" w:rsidR="006A0D97" w:rsidRPr="004D7ED2" w:rsidRDefault="006A0D97" w:rsidP="004D7ED2">
      <w:pPr>
        <w:pStyle w:val="Heading1"/>
      </w:pPr>
      <w:r w:rsidRPr="004D7ED2">
        <w:t>Key issues from ESC for MSAC</w:t>
      </w:r>
    </w:p>
    <w:p w14:paraId="2F5EA70A" w14:textId="77777777" w:rsidR="00067016" w:rsidRPr="004D7ED2" w:rsidRDefault="00067016" w:rsidP="004D7ED2">
      <w:pPr>
        <w:pStyle w:val="Heading2"/>
      </w:pPr>
      <w:r w:rsidRPr="004D7ED2">
        <w:t>Comparative safety</w:t>
      </w:r>
    </w:p>
    <w:p w14:paraId="3CE7FEF7" w14:textId="25C6A179" w:rsidR="00067016" w:rsidRPr="003F2786" w:rsidRDefault="00067016" w:rsidP="003F2786">
      <w:pPr>
        <w:tabs>
          <w:tab w:val="left" w:pos="469"/>
        </w:tabs>
        <w:spacing w:after="240"/>
        <w:rPr>
          <w:spacing w:val="5"/>
        </w:rPr>
      </w:pPr>
      <w:r w:rsidRPr="00BD6ACC">
        <w:t xml:space="preserve">ESC raised concerns that the evidence presented in this resubmission to support safety and benefit claims was based on </w:t>
      </w:r>
      <w:r w:rsidRPr="00BF3EBA">
        <w:t xml:space="preserve">three small non-randomised trials, with the potential for bias in favour of </w:t>
      </w:r>
      <w:proofErr w:type="spellStart"/>
      <w:r w:rsidRPr="00BF3EBA">
        <w:t>MitraClip</w:t>
      </w:r>
      <w:proofErr w:type="spellEnd"/>
      <w:r w:rsidRPr="00BD6ACC">
        <w:t>®. However, ESC questioned w</w:t>
      </w:r>
      <w:r>
        <w:t xml:space="preserve">hether </w:t>
      </w:r>
      <w:r w:rsidRPr="00BD6ACC">
        <w:t>better evidence is</w:t>
      </w:r>
      <w:r>
        <w:t xml:space="preserve"> likely to be forthcoming. ESC noted that the only reported </w:t>
      </w:r>
      <w:r w:rsidR="00B177F0">
        <w:t xml:space="preserve">safety </w:t>
      </w:r>
      <w:r>
        <w:t>outcomes from the EVEREST II HRR trial were adverse events at 30 days and 12 months, and there was no comparison to medical management. This evidence does not support claims of non-inferior safety.</w:t>
      </w:r>
    </w:p>
    <w:p w14:paraId="2B2D1B8E" w14:textId="77777777" w:rsidR="00067016" w:rsidRPr="00BF3EBA" w:rsidRDefault="00067016" w:rsidP="004D7ED2">
      <w:pPr>
        <w:pStyle w:val="Heading2"/>
      </w:pPr>
      <w:r w:rsidRPr="00BF3EBA">
        <w:t>Comparative Effectiveness</w:t>
      </w:r>
    </w:p>
    <w:p w14:paraId="5C080234" w14:textId="0A1AA86F" w:rsidR="00067016" w:rsidRPr="003F2786" w:rsidRDefault="00067016" w:rsidP="003F2786">
      <w:pPr>
        <w:tabs>
          <w:tab w:val="left" w:pos="469"/>
        </w:tabs>
        <w:spacing w:after="240"/>
      </w:pPr>
      <w:r w:rsidRPr="00A02CE8">
        <w:rPr>
          <w:szCs w:val="24"/>
        </w:rPr>
        <w:t xml:space="preserve">ESC noted that the resubmission </w:t>
      </w:r>
      <w:r w:rsidRPr="00A02CE8">
        <w:t xml:space="preserve">has a </w:t>
      </w:r>
      <w:r>
        <w:t>p</w:t>
      </w:r>
      <w:r w:rsidRPr="00A02CE8">
        <w:t xml:space="preserve">otential bias </w:t>
      </w:r>
      <w:r>
        <w:t>in</w:t>
      </w:r>
      <w:r w:rsidRPr="00A02CE8">
        <w:t xml:space="preserve"> comparative effectiveness</w:t>
      </w:r>
      <w:r>
        <w:t>.</w:t>
      </w:r>
    </w:p>
    <w:p w14:paraId="2F89D227" w14:textId="3B9249A8" w:rsidR="00067016" w:rsidRDefault="00067016" w:rsidP="003F2786">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noted the resubmission has potential study bias, with the pivotal trial consisting of both degenerative and functional mitral regurgitation </w:t>
      </w:r>
      <w:r w:rsidRPr="00FE4615">
        <w:rPr>
          <w:rFonts w:ascii="Times New Roman" w:hAnsi="Times New Roman" w:cs="Times New Roman"/>
          <w:sz w:val="24"/>
          <w:szCs w:val="24"/>
        </w:rPr>
        <w:t>patients</w:t>
      </w:r>
      <w:r>
        <w:rPr>
          <w:rFonts w:ascii="Times New Roman" w:hAnsi="Times New Roman" w:cs="Times New Roman"/>
          <w:sz w:val="24"/>
          <w:szCs w:val="24"/>
        </w:rPr>
        <w:t>. It was also noted that in this trial, 30</w:t>
      </w:r>
      <w:r w:rsidR="00364494">
        <w:rPr>
          <w:rFonts w:ascii="Times New Roman" w:hAnsi="Times New Roman" w:cs="Times New Roman"/>
          <w:sz w:val="24"/>
          <w:szCs w:val="24"/>
        </w:rPr>
        <w:t> </w:t>
      </w:r>
      <w:r>
        <w:rPr>
          <w:rFonts w:ascii="Times New Roman" w:hAnsi="Times New Roman" w:cs="Times New Roman"/>
          <w:sz w:val="24"/>
          <w:szCs w:val="24"/>
        </w:rPr>
        <w:t xml:space="preserve">patients were excluded from the comparator group, which raised concerns of selection bias. </w:t>
      </w:r>
    </w:p>
    <w:p w14:paraId="554FF7F6" w14:textId="77777777" w:rsidR="00067016" w:rsidRPr="00BF3EBA" w:rsidRDefault="00067016" w:rsidP="004D7ED2">
      <w:pPr>
        <w:pStyle w:val="Heading2"/>
      </w:pPr>
      <w:r w:rsidRPr="00BF3EBA">
        <w:t xml:space="preserve">Economic evaluation </w:t>
      </w:r>
    </w:p>
    <w:p w14:paraId="77E87161" w14:textId="77777777" w:rsidR="00067016" w:rsidRDefault="00067016" w:rsidP="003F2786">
      <w:pPr>
        <w:pStyle w:val="NoSpacing"/>
        <w:spacing w:after="240"/>
        <w:rPr>
          <w:rFonts w:ascii="Times New Roman" w:hAnsi="Times New Roman" w:cs="Times New Roman"/>
          <w:sz w:val="24"/>
          <w:szCs w:val="24"/>
        </w:rPr>
      </w:pPr>
      <w:r>
        <w:rPr>
          <w:rFonts w:ascii="Times New Roman" w:hAnsi="Times New Roman" w:cs="Times New Roman"/>
          <w:sz w:val="24"/>
          <w:szCs w:val="24"/>
        </w:rPr>
        <w:t>ESC raised concerns that:</w:t>
      </w:r>
    </w:p>
    <w:p w14:paraId="2B528E5A" w14:textId="77777777" w:rsidR="00067016" w:rsidRPr="00A02CE8" w:rsidRDefault="00067016" w:rsidP="003F2786">
      <w:pPr>
        <w:pStyle w:val="ListParagraph"/>
        <w:numPr>
          <w:ilvl w:val="0"/>
          <w:numId w:val="27"/>
        </w:numPr>
        <w:tabs>
          <w:tab w:val="left" w:pos="469"/>
        </w:tabs>
        <w:spacing w:after="240"/>
      </w:pPr>
      <w:r w:rsidRPr="00A02CE8">
        <w:rPr>
          <w:rFonts w:eastAsiaTheme="minorEastAsia"/>
        </w:rPr>
        <w:t xml:space="preserve">Utility measures used </w:t>
      </w:r>
      <w:r>
        <w:rPr>
          <w:rFonts w:eastAsiaTheme="minorEastAsia"/>
        </w:rPr>
        <w:t xml:space="preserve">were </w:t>
      </w:r>
      <w:r w:rsidRPr="00A02CE8">
        <w:rPr>
          <w:rFonts w:eastAsiaTheme="minorEastAsia"/>
        </w:rPr>
        <w:t>not based on comparative analysis</w:t>
      </w:r>
      <w:r>
        <w:rPr>
          <w:rFonts w:eastAsiaTheme="minorEastAsia"/>
        </w:rPr>
        <w:t>;</w:t>
      </w:r>
    </w:p>
    <w:p w14:paraId="192BCCC4" w14:textId="77777777" w:rsidR="00067016" w:rsidRPr="00A02CE8" w:rsidRDefault="00067016" w:rsidP="003F2786">
      <w:pPr>
        <w:pStyle w:val="ListParagraph"/>
        <w:numPr>
          <w:ilvl w:val="0"/>
          <w:numId w:val="27"/>
        </w:numPr>
        <w:tabs>
          <w:tab w:val="left" w:pos="469"/>
        </w:tabs>
        <w:spacing w:after="240"/>
      </w:pPr>
      <w:r w:rsidRPr="00A02CE8">
        <w:rPr>
          <w:rFonts w:eastAsiaTheme="minorEastAsia"/>
        </w:rPr>
        <w:t xml:space="preserve">Survival benefit extrapolated on very short-term data for the </w:t>
      </w:r>
      <w:r w:rsidRPr="00A02CE8">
        <w:t>comparator group</w:t>
      </w:r>
      <w:r>
        <w:t>;</w:t>
      </w:r>
    </w:p>
    <w:p w14:paraId="405B4C47" w14:textId="2523B655" w:rsidR="00067016" w:rsidRPr="00A02CE8" w:rsidRDefault="00067016" w:rsidP="003F2786">
      <w:pPr>
        <w:pStyle w:val="ListParagraph"/>
        <w:numPr>
          <w:ilvl w:val="0"/>
          <w:numId w:val="27"/>
        </w:numPr>
        <w:tabs>
          <w:tab w:val="left" w:pos="469"/>
        </w:tabs>
        <w:spacing w:after="240"/>
      </w:pPr>
      <w:r w:rsidRPr="00A02CE8">
        <w:rPr>
          <w:rFonts w:eastAsiaTheme="minorEastAsia"/>
        </w:rPr>
        <w:t>ICER of $</w:t>
      </w:r>
      <w:r w:rsidR="003647F5" w:rsidRPr="00515BDF">
        <w:rPr>
          <w:b/>
          <w:szCs w:val="24"/>
          <w:lang w:eastAsia="en-US"/>
        </w:rPr>
        <w:t>redacted</w:t>
      </w:r>
      <w:r w:rsidRPr="00A02CE8">
        <w:rPr>
          <w:rFonts w:eastAsiaTheme="minorEastAsia"/>
        </w:rPr>
        <w:t xml:space="preserve"> per QALY </w:t>
      </w:r>
      <w:r>
        <w:rPr>
          <w:rFonts w:eastAsiaTheme="minorEastAsia"/>
        </w:rPr>
        <w:t>is potentially underestimated with a</w:t>
      </w:r>
      <w:r w:rsidRPr="00A02CE8">
        <w:rPr>
          <w:rFonts w:eastAsiaTheme="minorEastAsia"/>
        </w:rPr>
        <w:t xml:space="preserve"> greater likelihood that it is</w:t>
      </w:r>
      <w:r w:rsidRPr="00A02CE8">
        <w:t xml:space="preserve"> significantly higher</w:t>
      </w:r>
      <w:r>
        <w:t>; and</w:t>
      </w:r>
    </w:p>
    <w:p w14:paraId="0F5A0C4E" w14:textId="5C301494" w:rsidR="00067016" w:rsidRDefault="00067016" w:rsidP="003F2786">
      <w:pPr>
        <w:pStyle w:val="ListParagraph"/>
        <w:numPr>
          <w:ilvl w:val="0"/>
          <w:numId w:val="27"/>
        </w:numPr>
        <w:tabs>
          <w:tab w:val="left" w:pos="469"/>
        </w:tabs>
        <w:spacing w:after="240"/>
      </w:pPr>
      <w:r>
        <w:rPr>
          <w:rFonts w:eastAsiaTheme="minorEastAsia"/>
        </w:rPr>
        <w:t xml:space="preserve">The </w:t>
      </w:r>
      <w:r w:rsidRPr="00A02CE8">
        <w:rPr>
          <w:rFonts w:eastAsiaTheme="minorEastAsia"/>
        </w:rPr>
        <w:t xml:space="preserve">ICER </w:t>
      </w:r>
      <w:r>
        <w:rPr>
          <w:rFonts w:eastAsiaTheme="minorEastAsia"/>
        </w:rPr>
        <w:t xml:space="preserve">is </w:t>
      </w:r>
      <w:r w:rsidRPr="00A02CE8">
        <w:rPr>
          <w:rFonts w:eastAsiaTheme="minorEastAsia"/>
        </w:rPr>
        <w:t>highly sensitive</w:t>
      </w:r>
      <w:r w:rsidRPr="00A02CE8">
        <w:t xml:space="preserve"> to </w:t>
      </w:r>
      <w:r>
        <w:t xml:space="preserve">the </w:t>
      </w:r>
      <w:r w:rsidRPr="00A02CE8">
        <w:t>hazard ratio</w:t>
      </w:r>
      <w:r>
        <w:t>.</w:t>
      </w:r>
    </w:p>
    <w:p w14:paraId="0C96D518" w14:textId="77777777" w:rsidR="00067016" w:rsidRPr="004D7ED2" w:rsidRDefault="00067016" w:rsidP="004D7ED2">
      <w:pPr>
        <w:pStyle w:val="Heading3"/>
      </w:pPr>
      <w:r w:rsidRPr="004D7ED2">
        <w:t xml:space="preserve">MBS item descriptor issues </w:t>
      </w:r>
    </w:p>
    <w:p w14:paraId="061B3023" w14:textId="76208E57" w:rsidR="006A0D97" w:rsidRPr="006A0D97" w:rsidRDefault="00067016" w:rsidP="003F2786">
      <w:pPr>
        <w:tabs>
          <w:tab w:val="left" w:pos="469"/>
        </w:tabs>
        <w:spacing w:after="240"/>
      </w:pPr>
      <w:r w:rsidRPr="0006516E">
        <w:t>It is unclear whether the proposed MBS item for professional attendances would be claimed by each medical practitioner of the case conference team (which is indicated by the wording of the MBS descriptor) or one item would be claimed by the entire team (as indicated by the costing in Section D and E</w:t>
      </w:r>
      <w:r>
        <w:t xml:space="preserve"> of the application</w:t>
      </w:r>
      <w:r w:rsidRPr="0006516E">
        <w:t>).</w:t>
      </w:r>
      <w:r>
        <w:t xml:space="preserve"> Further clarification on who can claim this item, as well as its purpose and duration of the case conference is needed. </w:t>
      </w:r>
    </w:p>
    <w:p w14:paraId="4B02844E" w14:textId="52A09079" w:rsidR="00D90A38" w:rsidRPr="004D7ED2" w:rsidRDefault="00BC1364" w:rsidP="004D7ED2">
      <w:pPr>
        <w:pStyle w:val="Heading1"/>
      </w:pPr>
      <w:r w:rsidRPr="004D7ED2">
        <w:lastRenderedPageBreak/>
        <w:t>Other significant factors</w:t>
      </w:r>
    </w:p>
    <w:p w14:paraId="5479EF6C" w14:textId="4207E983" w:rsidR="00BC1364" w:rsidRPr="00707064" w:rsidRDefault="00BC1364" w:rsidP="003F2786">
      <w:pPr>
        <w:spacing w:after="240"/>
        <w:rPr>
          <w:szCs w:val="24"/>
        </w:rPr>
      </w:pPr>
      <w:proofErr w:type="gramStart"/>
      <w:r w:rsidRPr="00067016">
        <w:rPr>
          <w:szCs w:val="24"/>
        </w:rPr>
        <w:t>Nil</w:t>
      </w:r>
      <w:r w:rsidR="00356BCE">
        <w:rPr>
          <w:szCs w:val="24"/>
        </w:rPr>
        <w:t>.</w:t>
      </w:r>
      <w:proofErr w:type="gramEnd"/>
    </w:p>
    <w:p w14:paraId="710FD4D1" w14:textId="480E4254" w:rsidR="00BC1364" w:rsidRPr="004D7ED2" w:rsidRDefault="00BC1364" w:rsidP="004D7ED2">
      <w:pPr>
        <w:pStyle w:val="Heading1"/>
      </w:pPr>
      <w:r w:rsidRPr="004D7ED2">
        <w:t xml:space="preserve">Applicant’s comments on MSAC’s </w:t>
      </w:r>
      <w:r w:rsidR="00DA56AA" w:rsidRPr="004D7ED2">
        <w:t>Public Summary Document</w:t>
      </w:r>
    </w:p>
    <w:p w14:paraId="2F01250B" w14:textId="74D34CEB" w:rsidR="00BC1364" w:rsidRPr="003F2786" w:rsidRDefault="003647F5" w:rsidP="003F2786">
      <w:pPr>
        <w:pStyle w:val="BodyText"/>
        <w:spacing w:after="240"/>
        <w:rPr>
          <w:rFonts w:ascii="Times New Roman" w:hAnsi="Times New Roman" w:cs="Times New Roman"/>
          <w:sz w:val="24"/>
          <w:szCs w:val="24"/>
        </w:rPr>
      </w:pPr>
      <w:r w:rsidRPr="002D71F1">
        <w:rPr>
          <w:rFonts w:ascii="Times New Roman" w:hAnsi="Times New Roman" w:cs="Times New Roman"/>
          <w:sz w:val="24"/>
          <w:szCs w:val="24"/>
        </w:rPr>
        <w:t xml:space="preserve">Abbott Vascular would like to thank MSAC for its consideration of the proposed listing of the reduction of mitral regurgitation through tissue approximation using </w:t>
      </w:r>
      <w:proofErr w:type="spellStart"/>
      <w:r w:rsidRPr="002D71F1">
        <w:rPr>
          <w:rFonts w:ascii="Times New Roman" w:hAnsi="Times New Roman" w:cs="Times New Roman"/>
          <w:sz w:val="24"/>
          <w:szCs w:val="24"/>
        </w:rPr>
        <w:t>transvenous</w:t>
      </w:r>
      <w:proofErr w:type="spellEnd"/>
      <w:r w:rsidRPr="002D71F1">
        <w:rPr>
          <w:rFonts w:ascii="Times New Roman" w:hAnsi="Times New Roman" w:cs="Times New Roman"/>
          <w:sz w:val="24"/>
          <w:szCs w:val="24"/>
        </w:rPr>
        <w:t>/</w:t>
      </w:r>
      <w:proofErr w:type="spellStart"/>
      <w:r w:rsidRPr="002D71F1">
        <w:rPr>
          <w:rFonts w:ascii="Times New Roman" w:hAnsi="Times New Roman" w:cs="Times New Roman"/>
          <w:sz w:val="24"/>
          <w:szCs w:val="24"/>
        </w:rPr>
        <w:t>transseptal</w:t>
      </w:r>
      <w:proofErr w:type="spellEnd"/>
      <w:r w:rsidRPr="002D71F1">
        <w:rPr>
          <w:rFonts w:ascii="Times New Roman" w:hAnsi="Times New Roman" w:cs="Times New Roman"/>
          <w:sz w:val="24"/>
          <w:szCs w:val="24"/>
        </w:rPr>
        <w:t xml:space="preserve"> techniques in patients with severe DMR (grade 3+ or 4+) who are considered too high risk for surgery. The intent of the proposed listing is to address an area of high unmet need in patients with severe DMR who are not eligible for surgery. The applicant is pleased MSAC has acknowledged the intervention has a reasonable safety profile and noted that there is a clinical need in this small patient group who have no other treatment options; however, Abbott Vascular is disappointed with MSAC’s decision and is keen to work with all relevant stakeholders to ensure </w:t>
      </w:r>
      <w:proofErr w:type="spellStart"/>
      <w:r w:rsidRPr="002D71F1">
        <w:rPr>
          <w:rFonts w:ascii="Times New Roman" w:hAnsi="Times New Roman" w:cs="Times New Roman"/>
          <w:sz w:val="24"/>
          <w:szCs w:val="24"/>
        </w:rPr>
        <w:t>MitraClip</w:t>
      </w:r>
      <w:proofErr w:type="spellEnd"/>
      <w:r w:rsidRPr="002D71F1">
        <w:rPr>
          <w:rFonts w:ascii="Times New Roman" w:hAnsi="Times New Roman" w:cs="Times New Roman"/>
          <w:sz w:val="24"/>
          <w:szCs w:val="24"/>
        </w:rPr>
        <w:t xml:space="preserve"> becomes available to all DMR patients who are eligible for this intervention. The areas of uncertainty outlined in this PSD were addressed in the applicant’s responses to the evaluation and ESC reports, and, although some inherent limitations with the available comparative evidence exist, the applicant has some concerns that these areas of uncertainty have been overstated. Given the unmet need in this defined patient group, randomised controlled trials would be challenging and are believed not feasible. The applicant reiterates that there is a vast body of real world evidence that has demonstrated the efficacy and cost-effectiveness of this innovative intervention. Transcatheter mitral valve repair with </w:t>
      </w:r>
      <w:proofErr w:type="spellStart"/>
      <w:r w:rsidRPr="002D71F1">
        <w:rPr>
          <w:rFonts w:ascii="Times New Roman" w:hAnsi="Times New Roman" w:cs="Times New Roman"/>
          <w:sz w:val="24"/>
          <w:szCs w:val="24"/>
        </w:rPr>
        <w:t>MitraClip</w:t>
      </w:r>
      <w:proofErr w:type="spellEnd"/>
      <w:r w:rsidRPr="002D71F1">
        <w:rPr>
          <w:rFonts w:ascii="Times New Roman" w:hAnsi="Times New Roman" w:cs="Times New Roman"/>
          <w:sz w:val="24"/>
          <w:szCs w:val="24"/>
        </w:rPr>
        <w:t xml:space="preserve"> results in improvements in heart functioning, NYHA functional status, quality of life and reduces heart failure hospitalisations. In addition, Australian cardiothoracic surgeons and cardiac specialists have recognised that </w:t>
      </w:r>
      <w:proofErr w:type="spellStart"/>
      <w:r w:rsidRPr="002D71F1">
        <w:rPr>
          <w:rFonts w:ascii="Times New Roman" w:hAnsi="Times New Roman" w:cs="Times New Roman"/>
          <w:sz w:val="24"/>
          <w:szCs w:val="24"/>
        </w:rPr>
        <w:t>MitraClip</w:t>
      </w:r>
      <w:proofErr w:type="spellEnd"/>
      <w:r w:rsidRPr="002D71F1">
        <w:rPr>
          <w:rFonts w:ascii="Times New Roman" w:hAnsi="Times New Roman" w:cs="Times New Roman"/>
          <w:sz w:val="24"/>
          <w:szCs w:val="24"/>
        </w:rPr>
        <w:t xml:space="preserve"> offers a valuable alternative for these difficult-to-treat patients and its use in this setting is supported by US and European guidelines. Further, the applicant reaffirms that the market-based approach to estimating costs is the most appropriate. As validated in other countries, the uptake and costs of the intervention would be limited by the specialised expertise and multi-disciplinary approach needed for the assessment, treatment, and management of these complex valve disease patients.</w:t>
      </w:r>
    </w:p>
    <w:p w14:paraId="71B8B0F4" w14:textId="6FE228B9" w:rsidR="00BC1364" w:rsidRPr="004D7ED2" w:rsidRDefault="00271F18" w:rsidP="004D7ED2">
      <w:pPr>
        <w:pStyle w:val="Heading1"/>
      </w:pPr>
      <w:r w:rsidRPr="004D7ED2">
        <w:t>Further information on MSAC</w:t>
      </w:r>
    </w:p>
    <w:p w14:paraId="55697ED2" w14:textId="1F985EF9" w:rsidR="00BC1364" w:rsidRPr="00DD2858" w:rsidRDefault="00271F18" w:rsidP="003F2786">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w:t>
      </w:r>
      <w:hyperlink r:id="rId12" w:tooltip="This is a link to the MSAC website" w:history="1">
        <w:r w:rsidR="001251C3">
          <w:rPr>
            <w:rStyle w:val="Hyperlink"/>
            <w:color w:val="auto"/>
            <w:szCs w:val="24"/>
          </w:rPr>
          <w:t>MSAC Website</w:t>
        </w:r>
      </w:hyperlink>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AE465" w14:textId="77777777" w:rsidR="00A5726D" w:rsidRDefault="00A5726D" w:rsidP="00065623">
      <w:r>
        <w:separator/>
      </w:r>
    </w:p>
  </w:endnote>
  <w:endnote w:type="continuationSeparator" w:id="0">
    <w:p w14:paraId="5A8AA3ED" w14:textId="77777777" w:rsidR="00A5726D" w:rsidRDefault="00A5726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7D3ED" w14:textId="77777777" w:rsidR="00644428" w:rsidRDefault="00644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DF29A16" w14:textId="77777777" w:rsidR="00644428" w:rsidRDefault="00644428">
        <w:pPr>
          <w:pStyle w:val="Footer"/>
          <w:jc w:val="right"/>
        </w:pPr>
        <w:r>
          <w:fldChar w:fldCharType="begin"/>
        </w:r>
        <w:r>
          <w:instrText xml:space="preserve"> PAGE   \* MERGEFORMAT </w:instrText>
        </w:r>
        <w:r>
          <w:fldChar w:fldCharType="separate"/>
        </w:r>
        <w:r w:rsidR="00853F48">
          <w:rPr>
            <w:noProof/>
          </w:rPr>
          <w:t>1</w:t>
        </w:r>
        <w:r>
          <w:rPr>
            <w:noProof/>
          </w:rPr>
          <w:fldChar w:fldCharType="end"/>
        </w:r>
      </w:p>
    </w:sdtContent>
  </w:sdt>
  <w:p w14:paraId="0F0E2206" w14:textId="77777777" w:rsidR="00644428" w:rsidRDefault="006444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B30FA" w14:textId="77777777" w:rsidR="00644428" w:rsidRDefault="00644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06A2" w14:textId="77777777" w:rsidR="00A5726D" w:rsidRDefault="00A5726D" w:rsidP="00065623">
      <w:r>
        <w:separator/>
      </w:r>
    </w:p>
  </w:footnote>
  <w:footnote w:type="continuationSeparator" w:id="0">
    <w:p w14:paraId="4E304523" w14:textId="77777777" w:rsidR="00A5726D" w:rsidRDefault="00A5726D"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161A" w14:textId="49FFD5A4" w:rsidR="00644428" w:rsidRDefault="00644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555A" w14:textId="76B3CFD6" w:rsidR="00644428" w:rsidRDefault="00644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A51E" w14:textId="0D106BAF" w:rsidR="00644428" w:rsidRDefault="00644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1F935A7"/>
    <w:multiLevelType w:val="hybridMultilevel"/>
    <w:tmpl w:val="96560A6E"/>
    <w:lvl w:ilvl="0" w:tplc="5F9EC3C6">
      <w:start w:val="1"/>
      <w:numFmt w:val="bullet"/>
      <w:pStyle w:val="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9F63C7"/>
    <w:multiLevelType w:val="hybridMultilevel"/>
    <w:tmpl w:val="F3164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4F70C7"/>
    <w:multiLevelType w:val="hybridMultilevel"/>
    <w:tmpl w:val="A7FE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9F3C3E"/>
    <w:multiLevelType w:val="hybridMultilevel"/>
    <w:tmpl w:val="C054F7E2"/>
    <w:lvl w:ilvl="0" w:tplc="A7923D7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C760B45"/>
    <w:multiLevelType w:val="hybridMultilevel"/>
    <w:tmpl w:val="FB1CF9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
  </w:num>
  <w:num w:numId="4">
    <w:abstractNumId w:val="18"/>
  </w:num>
  <w:num w:numId="5">
    <w:abstractNumId w:val="11"/>
  </w:num>
  <w:num w:numId="6">
    <w:abstractNumId w:val="16"/>
  </w:num>
  <w:num w:numId="7">
    <w:abstractNumId w:val="21"/>
  </w:num>
  <w:num w:numId="8">
    <w:abstractNumId w:val="12"/>
  </w:num>
  <w:num w:numId="9">
    <w:abstractNumId w:val="29"/>
  </w:num>
  <w:num w:numId="10">
    <w:abstractNumId w:val="0"/>
  </w:num>
  <w:num w:numId="11">
    <w:abstractNumId w:val="20"/>
  </w:num>
  <w:num w:numId="12">
    <w:abstractNumId w:val="22"/>
  </w:num>
  <w:num w:numId="13">
    <w:abstractNumId w:val="5"/>
  </w:num>
  <w:num w:numId="14">
    <w:abstractNumId w:val="27"/>
  </w:num>
  <w:num w:numId="15">
    <w:abstractNumId w:val="19"/>
  </w:num>
  <w:num w:numId="16">
    <w:abstractNumId w:val="23"/>
  </w:num>
  <w:num w:numId="17">
    <w:abstractNumId w:val="13"/>
  </w:num>
  <w:num w:numId="18">
    <w:abstractNumId w:val="14"/>
  </w:num>
  <w:num w:numId="19">
    <w:abstractNumId w:val="25"/>
  </w:num>
  <w:num w:numId="20">
    <w:abstractNumId w:val="24"/>
  </w:num>
  <w:num w:numId="21">
    <w:abstractNumId w:val="3"/>
  </w:num>
  <w:num w:numId="22">
    <w:abstractNumId w:val="10"/>
  </w:num>
  <w:num w:numId="23">
    <w:abstractNumId w:val="2"/>
  </w:num>
  <w:num w:numId="24">
    <w:abstractNumId w:val="9"/>
  </w:num>
  <w:num w:numId="25">
    <w:abstractNumId w:val="7"/>
  </w:num>
  <w:num w:numId="26">
    <w:abstractNumId w:val="17"/>
  </w:num>
  <w:num w:numId="27">
    <w:abstractNumId w:val="28"/>
  </w:num>
  <w:num w:numId="28">
    <w:abstractNumId w:val="4"/>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6C5F"/>
    <w:rsid w:val="000441CF"/>
    <w:rsid w:val="00047606"/>
    <w:rsid w:val="00052ABC"/>
    <w:rsid w:val="000552DB"/>
    <w:rsid w:val="00065623"/>
    <w:rsid w:val="00065F22"/>
    <w:rsid w:val="00067016"/>
    <w:rsid w:val="000756B9"/>
    <w:rsid w:val="00096B67"/>
    <w:rsid w:val="00096DAF"/>
    <w:rsid w:val="000C2F47"/>
    <w:rsid w:val="000C5AE5"/>
    <w:rsid w:val="000D6C00"/>
    <w:rsid w:val="000E4E04"/>
    <w:rsid w:val="000F14B4"/>
    <w:rsid w:val="000F75DF"/>
    <w:rsid w:val="00103AA9"/>
    <w:rsid w:val="00105116"/>
    <w:rsid w:val="00110F2A"/>
    <w:rsid w:val="0011134F"/>
    <w:rsid w:val="001251C3"/>
    <w:rsid w:val="001328FA"/>
    <w:rsid w:val="00147AAF"/>
    <w:rsid w:val="001552C0"/>
    <w:rsid w:val="001566ED"/>
    <w:rsid w:val="001640B1"/>
    <w:rsid w:val="0018435E"/>
    <w:rsid w:val="00193A98"/>
    <w:rsid w:val="00195C8F"/>
    <w:rsid w:val="00196CF5"/>
    <w:rsid w:val="00200128"/>
    <w:rsid w:val="002041A1"/>
    <w:rsid w:val="002054F0"/>
    <w:rsid w:val="0020679A"/>
    <w:rsid w:val="00230D6B"/>
    <w:rsid w:val="00232068"/>
    <w:rsid w:val="002330F2"/>
    <w:rsid w:val="002431E3"/>
    <w:rsid w:val="00243D9E"/>
    <w:rsid w:val="002456E7"/>
    <w:rsid w:val="00251545"/>
    <w:rsid w:val="00253B66"/>
    <w:rsid w:val="00261DF1"/>
    <w:rsid w:val="00271F18"/>
    <w:rsid w:val="00282779"/>
    <w:rsid w:val="0028334D"/>
    <w:rsid w:val="00296CE7"/>
    <w:rsid w:val="002B7FFA"/>
    <w:rsid w:val="002C2BCF"/>
    <w:rsid w:val="002D71F1"/>
    <w:rsid w:val="002F279D"/>
    <w:rsid w:val="002F43B8"/>
    <w:rsid w:val="00336856"/>
    <w:rsid w:val="0034554D"/>
    <w:rsid w:val="00352224"/>
    <w:rsid w:val="00352521"/>
    <w:rsid w:val="00356BCE"/>
    <w:rsid w:val="0036222E"/>
    <w:rsid w:val="00364494"/>
    <w:rsid w:val="003647F5"/>
    <w:rsid w:val="0036611A"/>
    <w:rsid w:val="003671E6"/>
    <w:rsid w:val="00367376"/>
    <w:rsid w:val="00376C5F"/>
    <w:rsid w:val="00384272"/>
    <w:rsid w:val="00386D67"/>
    <w:rsid w:val="003900FA"/>
    <w:rsid w:val="003924EE"/>
    <w:rsid w:val="003945B8"/>
    <w:rsid w:val="003D7F29"/>
    <w:rsid w:val="003F2786"/>
    <w:rsid w:val="00405A6B"/>
    <w:rsid w:val="00407B1F"/>
    <w:rsid w:val="00414C57"/>
    <w:rsid w:val="0041758C"/>
    <w:rsid w:val="004444A3"/>
    <w:rsid w:val="00451731"/>
    <w:rsid w:val="004539DE"/>
    <w:rsid w:val="00453B74"/>
    <w:rsid w:val="004735F7"/>
    <w:rsid w:val="004768FA"/>
    <w:rsid w:val="00486B3A"/>
    <w:rsid w:val="004A2CF1"/>
    <w:rsid w:val="004A7791"/>
    <w:rsid w:val="004B7922"/>
    <w:rsid w:val="004C0927"/>
    <w:rsid w:val="004C3035"/>
    <w:rsid w:val="004C307F"/>
    <w:rsid w:val="004D7ED2"/>
    <w:rsid w:val="004E117A"/>
    <w:rsid w:val="004E3E74"/>
    <w:rsid w:val="004E4BA8"/>
    <w:rsid w:val="004F340F"/>
    <w:rsid w:val="004F7B7C"/>
    <w:rsid w:val="0051739F"/>
    <w:rsid w:val="0052243D"/>
    <w:rsid w:val="00522FF7"/>
    <w:rsid w:val="00532435"/>
    <w:rsid w:val="0054392A"/>
    <w:rsid w:val="00546608"/>
    <w:rsid w:val="00550354"/>
    <w:rsid w:val="005548DC"/>
    <w:rsid w:val="00555C8E"/>
    <w:rsid w:val="00564901"/>
    <w:rsid w:val="00571236"/>
    <w:rsid w:val="005953A1"/>
    <w:rsid w:val="005B4337"/>
    <w:rsid w:val="005D0332"/>
    <w:rsid w:val="005D0D8C"/>
    <w:rsid w:val="005D382A"/>
    <w:rsid w:val="005E11FA"/>
    <w:rsid w:val="005F6F44"/>
    <w:rsid w:val="00615B43"/>
    <w:rsid w:val="00644428"/>
    <w:rsid w:val="00650D98"/>
    <w:rsid w:val="00651FDB"/>
    <w:rsid w:val="006776AE"/>
    <w:rsid w:val="006A0D97"/>
    <w:rsid w:val="006A3795"/>
    <w:rsid w:val="006B1F86"/>
    <w:rsid w:val="006C0A91"/>
    <w:rsid w:val="006E78F4"/>
    <w:rsid w:val="006F6A71"/>
    <w:rsid w:val="007054BB"/>
    <w:rsid w:val="00707064"/>
    <w:rsid w:val="00730683"/>
    <w:rsid w:val="0075261F"/>
    <w:rsid w:val="0075468E"/>
    <w:rsid w:val="00764B40"/>
    <w:rsid w:val="007665D8"/>
    <w:rsid w:val="00766C41"/>
    <w:rsid w:val="00766E36"/>
    <w:rsid w:val="007765F4"/>
    <w:rsid w:val="00776633"/>
    <w:rsid w:val="00781297"/>
    <w:rsid w:val="00784D53"/>
    <w:rsid w:val="007851BA"/>
    <w:rsid w:val="0079507B"/>
    <w:rsid w:val="00797797"/>
    <w:rsid w:val="007A2602"/>
    <w:rsid w:val="007A63C9"/>
    <w:rsid w:val="007B32D1"/>
    <w:rsid w:val="007B7095"/>
    <w:rsid w:val="007D24E1"/>
    <w:rsid w:val="007E03F2"/>
    <w:rsid w:val="007E79D0"/>
    <w:rsid w:val="007F4CE9"/>
    <w:rsid w:val="007F4E20"/>
    <w:rsid w:val="007F6A66"/>
    <w:rsid w:val="00810E32"/>
    <w:rsid w:val="00815D08"/>
    <w:rsid w:val="00822C7E"/>
    <w:rsid w:val="00833EA2"/>
    <w:rsid w:val="00844A40"/>
    <w:rsid w:val="0084689B"/>
    <w:rsid w:val="00847060"/>
    <w:rsid w:val="00853F48"/>
    <w:rsid w:val="00856A33"/>
    <w:rsid w:val="0088053C"/>
    <w:rsid w:val="00884656"/>
    <w:rsid w:val="00892620"/>
    <w:rsid w:val="008B4544"/>
    <w:rsid w:val="008B6EA5"/>
    <w:rsid w:val="008B71AA"/>
    <w:rsid w:val="008C02E4"/>
    <w:rsid w:val="008C5645"/>
    <w:rsid w:val="008C7D37"/>
    <w:rsid w:val="008D5885"/>
    <w:rsid w:val="008D5D4E"/>
    <w:rsid w:val="008D6283"/>
    <w:rsid w:val="008E2234"/>
    <w:rsid w:val="00923FA2"/>
    <w:rsid w:val="0092658E"/>
    <w:rsid w:val="009306B1"/>
    <w:rsid w:val="00935BEA"/>
    <w:rsid w:val="0096060D"/>
    <w:rsid w:val="00972566"/>
    <w:rsid w:val="00972996"/>
    <w:rsid w:val="00974A50"/>
    <w:rsid w:val="0097585A"/>
    <w:rsid w:val="00980142"/>
    <w:rsid w:val="009924B0"/>
    <w:rsid w:val="00992DB2"/>
    <w:rsid w:val="009942C9"/>
    <w:rsid w:val="009A3191"/>
    <w:rsid w:val="009A4B99"/>
    <w:rsid w:val="009B35C4"/>
    <w:rsid w:val="009C630A"/>
    <w:rsid w:val="009E0D98"/>
    <w:rsid w:val="009F7043"/>
    <w:rsid w:val="00A068A1"/>
    <w:rsid w:val="00A1207D"/>
    <w:rsid w:val="00A12FD8"/>
    <w:rsid w:val="00A25535"/>
    <w:rsid w:val="00A346FC"/>
    <w:rsid w:val="00A37590"/>
    <w:rsid w:val="00A43E24"/>
    <w:rsid w:val="00A56BBE"/>
    <w:rsid w:val="00A5726D"/>
    <w:rsid w:val="00A84F93"/>
    <w:rsid w:val="00A859DC"/>
    <w:rsid w:val="00AA26A5"/>
    <w:rsid w:val="00AB1AC5"/>
    <w:rsid w:val="00AB3640"/>
    <w:rsid w:val="00AB3BFC"/>
    <w:rsid w:val="00AC4F2E"/>
    <w:rsid w:val="00AD0309"/>
    <w:rsid w:val="00AD0C37"/>
    <w:rsid w:val="00AD385F"/>
    <w:rsid w:val="00AE2A43"/>
    <w:rsid w:val="00AE6E2A"/>
    <w:rsid w:val="00B07F06"/>
    <w:rsid w:val="00B16F1F"/>
    <w:rsid w:val="00B177F0"/>
    <w:rsid w:val="00B227BF"/>
    <w:rsid w:val="00B31E9C"/>
    <w:rsid w:val="00B35595"/>
    <w:rsid w:val="00B51C6D"/>
    <w:rsid w:val="00B54241"/>
    <w:rsid w:val="00B62279"/>
    <w:rsid w:val="00B86D64"/>
    <w:rsid w:val="00B9099B"/>
    <w:rsid w:val="00BA4AC5"/>
    <w:rsid w:val="00BA5F72"/>
    <w:rsid w:val="00BA733B"/>
    <w:rsid w:val="00BC1364"/>
    <w:rsid w:val="00BC7DE9"/>
    <w:rsid w:val="00BF479B"/>
    <w:rsid w:val="00C02577"/>
    <w:rsid w:val="00C204FB"/>
    <w:rsid w:val="00C20BEE"/>
    <w:rsid w:val="00C2158D"/>
    <w:rsid w:val="00C234FE"/>
    <w:rsid w:val="00C31F96"/>
    <w:rsid w:val="00C45967"/>
    <w:rsid w:val="00C45ABA"/>
    <w:rsid w:val="00C65587"/>
    <w:rsid w:val="00C67DD2"/>
    <w:rsid w:val="00C725CB"/>
    <w:rsid w:val="00C76F5C"/>
    <w:rsid w:val="00C80A6A"/>
    <w:rsid w:val="00C96BAD"/>
    <w:rsid w:val="00CA6944"/>
    <w:rsid w:val="00CB0F8E"/>
    <w:rsid w:val="00CB1950"/>
    <w:rsid w:val="00CB7E7D"/>
    <w:rsid w:val="00CC2911"/>
    <w:rsid w:val="00CC4BAC"/>
    <w:rsid w:val="00CF0C6D"/>
    <w:rsid w:val="00CF7307"/>
    <w:rsid w:val="00CF7C68"/>
    <w:rsid w:val="00D0021A"/>
    <w:rsid w:val="00D068E5"/>
    <w:rsid w:val="00D124FA"/>
    <w:rsid w:val="00D340DE"/>
    <w:rsid w:val="00D350B6"/>
    <w:rsid w:val="00D45C93"/>
    <w:rsid w:val="00D4600E"/>
    <w:rsid w:val="00D55723"/>
    <w:rsid w:val="00D5727A"/>
    <w:rsid w:val="00D62FAD"/>
    <w:rsid w:val="00D65BD2"/>
    <w:rsid w:val="00D70450"/>
    <w:rsid w:val="00D83BFD"/>
    <w:rsid w:val="00D90A38"/>
    <w:rsid w:val="00DA0515"/>
    <w:rsid w:val="00DA171E"/>
    <w:rsid w:val="00DA56AA"/>
    <w:rsid w:val="00DB5833"/>
    <w:rsid w:val="00DB78E8"/>
    <w:rsid w:val="00DD2858"/>
    <w:rsid w:val="00DD4573"/>
    <w:rsid w:val="00DE6C1A"/>
    <w:rsid w:val="00E03E33"/>
    <w:rsid w:val="00E101A8"/>
    <w:rsid w:val="00E3642A"/>
    <w:rsid w:val="00E415C4"/>
    <w:rsid w:val="00E50016"/>
    <w:rsid w:val="00E50EAA"/>
    <w:rsid w:val="00E656D6"/>
    <w:rsid w:val="00E812A9"/>
    <w:rsid w:val="00E977EE"/>
    <w:rsid w:val="00E97B18"/>
    <w:rsid w:val="00EA67A2"/>
    <w:rsid w:val="00EB6B6F"/>
    <w:rsid w:val="00EC4F98"/>
    <w:rsid w:val="00EC6FCF"/>
    <w:rsid w:val="00ED55F3"/>
    <w:rsid w:val="00EE40D1"/>
    <w:rsid w:val="00EF60DD"/>
    <w:rsid w:val="00F07410"/>
    <w:rsid w:val="00F12F02"/>
    <w:rsid w:val="00F27BE4"/>
    <w:rsid w:val="00F32E0D"/>
    <w:rsid w:val="00F35134"/>
    <w:rsid w:val="00F41812"/>
    <w:rsid w:val="00F73333"/>
    <w:rsid w:val="00F95D8F"/>
    <w:rsid w:val="00FA301B"/>
    <w:rsid w:val="00FB350A"/>
    <w:rsid w:val="00FD1B4A"/>
    <w:rsid w:val="00FD33D6"/>
    <w:rsid w:val="00FE1F23"/>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D5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4D7ED2"/>
    <w:pPr>
      <w:keepNext/>
      <w:keepLines/>
      <w:numPr>
        <w:numId w:val="30"/>
      </w:numPr>
      <w:spacing w:after="240"/>
      <w:outlineLvl w:val="0"/>
    </w:pPr>
    <w:rPr>
      <w:rFonts w:ascii="Arial" w:hAnsi="Arial"/>
      <w:b/>
      <w:szCs w:val="28"/>
    </w:rPr>
  </w:style>
  <w:style w:type="paragraph" w:styleId="Heading2">
    <w:name w:val="heading 2"/>
    <w:basedOn w:val="Normal"/>
    <w:next w:val="Normal"/>
    <w:link w:val="Heading2Char"/>
    <w:unhideWhenUsed/>
    <w:qFormat/>
    <w:locked/>
    <w:rsid w:val="004D7ED2"/>
    <w:pPr>
      <w:tabs>
        <w:tab w:val="left" w:pos="469"/>
      </w:tabs>
      <w:spacing w:after="240"/>
      <w:outlineLvl w:val="1"/>
    </w:pPr>
    <w:rPr>
      <w:b/>
    </w:rPr>
  </w:style>
  <w:style w:type="paragraph" w:styleId="Heading3">
    <w:name w:val="heading 3"/>
    <w:basedOn w:val="Normal"/>
    <w:next w:val="Normal"/>
    <w:link w:val="Heading3Char"/>
    <w:unhideWhenUsed/>
    <w:qFormat/>
    <w:locked/>
    <w:rsid w:val="004D7ED2"/>
    <w:pPr>
      <w:tabs>
        <w:tab w:val="left" w:pos="469"/>
      </w:tabs>
      <w:spacing w:after="24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ED2"/>
    <w:rPr>
      <w:rFonts w:ascii="Arial" w:eastAsia="Times New Roman" w:hAnsi="Arial"/>
      <w:b/>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D7ED2"/>
    <w:rPr>
      <w:rFonts w:eastAsia="Times New Roman"/>
      <w:b/>
      <w:sz w:val="24"/>
      <w:szCs w:val="20"/>
    </w:rPr>
  </w:style>
  <w:style w:type="table" w:styleId="TableGrid">
    <w:name w:val="Table Grid"/>
    <w:basedOn w:val="TableNormal"/>
    <w:uiPriority w:val="59"/>
    <w:locked/>
    <w:rsid w:val="004E3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uiPriority w:val="4"/>
    <w:qFormat/>
    <w:rsid w:val="004E3E74"/>
    <w:rPr>
      <w:rFonts w:ascii="Arial Narrow" w:hAnsi="Arial Narrow"/>
      <w:sz w:val="20"/>
      <w:szCs w:val="24"/>
      <w:lang w:eastAsia="en-US"/>
    </w:rPr>
  </w:style>
  <w:style w:type="character" w:customStyle="1" w:styleId="TabletextChar">
    <w:name w:val="Table text Char"/>
    <w:basedOn w:val="DefaultParagraphFont"/>
    <w:link w:val="Tabletext"/>
    <w:uiPriority w:val="4"/>
    <w:rsid w:val="004E3E74"/>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9A4B99"/>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9A4B99"/>
    <w:rPr>
      <w:rFonts w:ascii="Arial Narrow" w:eastAsia="Times New Roman" w:hAnsi="Arial Narrow" w:cs="Arial"/>
      <w:sz w:val="20"/>
      <w:szCs w:val="20"/>
      <w:lang w:eastAsia="en-US"/>
    </w:rPr>
  </w:style>
  <w:style w:type="paragraph" w:styleId="Caption">
    <w:name w:val="caption"/>
    <w:aliases w:val="Bayer Caption,IB Caption,Medical Caption,CSR Caption,Table and Figure Name"/>
    <w:basedOn w:val="Normal"/>
    <w:next w:val="Normal"/>
    <w:link w:val="CaptionChar"/>
    <w:uiPriority w:val="99"/>
    <w:unhideWhenUsed/>
    <w:qFormat/>
    <w:locked/>
    <w:rsid w:val="004735F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
    <w:basedOn w:val="DefaultParagraphFont"/>
    <w:link w:val="Caption"/>
    <w:uiPriority w:val="99"/>
    <w:rsid w:val="004735F7"/>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4735F7"/>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4735F7"/>
    <w:rPr>
      <w:rFonts w:ascii="Arial Narrow" w:eastAsia="Times New Roman" w:hAnsi="Arial Narrow" w:cs="Arial"/>
      <w:snapToGrid w:val="0"/>
      <w:sz w:val="18"/>
      <w:szCs w:val="20"/>
      <w:lang w:eastAsia="en-US"/>
    </w:rPr>
  </w:style>
  <w:style w:type="paragraph" w:customStyle="1" w:styleId="Guidelines">
    <w:name w:val="Guidelines"/>
    <w:basedOn w:val="Normal"/>
    <w:link w:val="GuidelinesChar"/>
    <w:qFormat/>
    <w:rsid w:val="00AB3640"/>
    <w:pPr>
      <w:spacing w:after="240" w:line="312" w:lineRule="auto"/>
      <w:jc w:val="both"/>
    </w:pPr>
    <w:rPr>
      <w:rFonts w:ascii="Calibri" w:hAnsi="Calibri" w:cs="Tahoma"/>
      <w:vanish/>
      <w:color w:val="C00000"/>
      <w:sz w:val="22"/>
      <w:szCs w:val="22"/>
    </w:rPr>
  </w:style>
  <w:style w:type="character" w:customStyle="1" w:styleId="GuidelinesChar">
    <w:name w:val="Guidelines Char"/>
    <w:basedOn w:val="DefaultParagraphFont"/>
    <w:link w:val="Guidelines"/>
    <w:rsid w:val="00AB3640"/>
    <w:rPr>
      <w:rFonts w:ascii="Calibri" w:eastAsia="Times New Roman" w:hAnsi="Calibri" w:cs="Tahoma"/>
      <w:vanish/>
      <w:color w:val="C00000"/>
    </w:rPr>
  </w:style>
  <w:style w:type="character" w:styleId="Emphasis">
    <w:name w:val="Emphasis"/>
    <w:uiPriority w:val="20"/>
    <w:qFormat/>
    <w:locked/>
    <w:rsid w:val="00815D08"/>
    <w:rPr>
      <w:rFonts w:ascii="Garamond" w:eastAsia="Times New Roman" w:hAnsi="Garamond" w:cs="Times New Roman"/>
      <w:i/>
      <w:sz w:val="24"/>
      <w:szCs w:val="24"/>
    </w:rPr>
  </w:style>
  <w:style w:type="paragraph" w:customStyle="1" w:styleId="Comment">
    <w:name w:val="Comment"/>
    <w:basedOn w:val="Normal"/>
    <w:link w:val="CommentChar"/>
    <w:qFormat/>
    <w:rsid w:val="00815D08"/>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815D08"/>
    <w:rPr>
      <w:rFonts w:ascii="Calibri" w:eastAsia="Times New Roman" w:hAnsi="Calibri" w:cs="Tahoma"/>
      <w:i/>
    </w:rPr>
  </w:style>
  <w:style w:type="paragraph" w:styleId="NoSpacing">
    <w:name w:val="No Spacing"/>
    <w:uiPriority w:val="1"/>
    <w:qFormat/>
    <w:rsid w:val="00067016"/>
    <w:rPr>
      <w:rFonts w:asciiTheme="minorHAnsi" w:eastAsiaTheme="minorHAnsi" w:hAnsiTheme="minorHAnsi" w:cstheme="minorBidi"/>
      <w:lang w:eastAsia="en-US"/>
    </w:rPr>
  </w:style>
  <w:style w:type="character" w:styleId="IntenseReference">
    <w:name w:val="Intense Reference"/>
    <w:basedOn w:val="DefaultParagraphFont"/>
    <w:uiPriority w:val="32"/>
    <w:qFormat/>
    <w:rsid w:val="00067016"/>
    <w:rPr>
      <w:b/>
      <w:bCs/>
      <w:i/>
      <w:smallCaps/>
      <w:color w:val="C0504D" w:themeColor="accent2"/>
      <w:spacing w:val="5"/>
      <w:u w:val="none"/>
    </w:rPr>
  </w:style>
  <w:style w:type="paragraph" w:styleId="BodyText">
    <w:name w:val="Body Text"/>
    <w:link w:val="BodyTextChar"/>
    <w:rsid w:val="008C5645"/>
    <w:pPr>
      <w:spacing w:after="120"/>
    </w:pPr>
    <w:rPr>
      <w:rFonts w:ascii="Calibri" w:hAnsi="Calibri" w:cs="Calibri"/>
      <w:sz w:val="20"/>
      <w:szCs w:val="20"/>
      <w:lang w:eastAsia="en-US"/>
    </w:rPr>
  </w:style>
  <w:style w:type="character" w:customStyle="1" w:styleId="BodyTextChar">
    <w:name w:val="Body Text Char"/>
    <w:basedOn w:val="DefaultParagraphFont"/>
    <w:link w:val="BodyText"/>
    <w:rsid w:val="008C5645"/>
    <w:rPr>
      <w:rFonts w:ascii="Calibri" w:hAnsi="Calibri" w:cs="Calibri"/>
      <w:sz w:val="20"/>
      <w:szCs w:val="20"/>
      <w:lang w:eastAsia="en-US"/>
    </w:rPr>
  </w:style>
  <w:style w:type="paragraph" w:customStyle="1" w:styleId="Bulletintro">
    <w:name w:val="Bullet intro"/>
    <w:basedOn w:val="BodyText"/>
    <w:uiPriority w:val="2"/>
    <w:qFormat/>
    <w:rsid w:val="008C5645"/>
    <w:rPr>
      <w:rFonts w:eastAsia="Times New Roman" w:cs="Arial"/>
      <w:szCs w:val="24"/>
      <w:lang w:val="en-US"/>
    </w:rPr>
  </w:style>
  <w:style w:type="paragraph" w:customStyle="1" w:styleId="Bullet0">
    <w:name w:val="Bullet+0"/>
    <w:basedOn w:val="BodyText"/>
    <w:uiPriority w:val="2"/>
    <w:qFormat/>
    <w:rsid w:val="008C5645"/>
    <w:pPr>
      <w:numPr>
        <w:numId w:val="28"/>
      </w:numPr>
      <w:tabs>
        <w:tab w:val="left" w:pos="765"/>
      </w:tabs>
      <w:spacing w:after="0"/>
    </w:pPr>
  </w:style>
  <w:style w:type="paragraph" w:customStyle="1" w:styleId="TableH1">
    <w:name w:val="Table H1"/>
    <w:basedOn w:val="BodyText"/>
    <w:uiPriority w:val="4"/>
    <w:qFormat/>
    <w:rsid w:val="008C5645"/>
    <w:pPr>
      <w:keepNext/>
      <w:spacing w:after="20"/>
      <w:ind w:left="113" w:right="113"/>
    </w:pPr>
    <w:rPr>
      <w:b/>
      <w:szCs w:val="16"/>
      <w:lang w:val="en-US"/>
    </w:rPr>
  </w:style>
  <w:style w:type="paragraph" w:customStyle="1" w:styleId="TableFigNotes6">
    <w:name w:val="TableFigNotes+6"/>
    <w:basedOn w:val="Normal"/>
    <w:uiPriority w:val="4"/>
    <w:rsid w:val="008C5645"/>
    <w:pPr>
      <w:keepNext/>
      <w:spacing w:after="120" w:line="276" w:lineRule="auto"/>
      <w:ind w:left="284" w:hanging="284"/>
    </w:pPr>
    <w:rPr>
      <w:rFonts w:ascii="Calibri" w:eastAsia="Calibri" w:hAnsi="Calibri" w:cs="Calibri"/>
      <w:sz w:val="16"/>
      <w:lang w:eastAsia="en-US"/>
    </w:rPr>
  </w:style>
  <w:style w:type="character" w:styleId="Strong">
    <w:name w:val="Strong"/>
    <w:basedOn w:val="DefaultParagraphFont"/>
    <w:qFormat/>
    <w:locked/>
    <w:rsid w:val="00F27BE4"/>
    <w:rPr>
      <w:b/>
      <w:bCs/>
    </w:rPr>
  </w:style>
  <w:style w:type="paragraph" w:styleId="Subtitle">
    <w:name w:val="Subtitle"/>
    <w:basedOn w:val="Normal"/>
    <w:next w:val="Normal"/>
    <w:link w:val="SubtitleChar"/>
    <w:qFormat/>
    <w:locked/>
    <w:rsid w:val="001251C3"/>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1251C3"/>
    <w:rPr>
      <w:rFonts w:ascii="Arial" w:eastAsia="Times New Roman" w:hAnsi="Arial" w:cs="Arial"/>
      <w:b/>
      <w:bCs/>
      <w:i/>
      <w:color w:val="000080"/>
      <w:sz w:val="28"/>
      <w:szCs w:val="28"/>
    </w:rPr>
  </w:style>
  <w:style w:type="paragraph" w:styleId="Title">
    <w:name w:val="Title"/>
    <w:basedOn w:val="Normal"/>
    <w:next w:val="Normal"/>
    <w:link w:val="TitleChar"/>
    <w:qFormat/>
    <w:locked/>
    <w:rsid w:val="001251C3"/>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1251C3"/>
    <w:rPr>
      <w:rFonts w:ascii="Arial" w:eastAsia="Times New Roman" w:hAnsi="Arial" w:cs="Arial"/>
      <w:b/>
      <w:bCs/>
      <w:color w:val="000080"/>
      <w:sz w:val="36"/>
      <w:szCs w:val="36"/>
    </w:rPr>
  </w:style>
  <w:style w:type="character" w:customStyle="1" w:styleId="Heading3Char">
    <w:name w:val="Heading 3 Char"/>
    <w:basedOn w:val="DefaultParagraphFont"/>
    <w:link w:val="Heading3"/>
    <w:rsid w:val="004D7ED2"/>
    <w:rPr>
      <w:rFonts w:eastAsia="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4D7ED2"/>
    <w:pPr>
      <w:keepNext/>
      <w:keepLines/>
      <w:numPr>
        <w:numId w:val="30"/>
      </w:numPr>
      <w:spacing w:after="240"/>
      <w:outlineLvl w:val="0"/>
    </w:pPr>
    <w:rPr>
      <w:rFonts w:ascii="Arial" w:hAnsi="Arial"/>
      <w:b/>
      <w:szCs w:val="28"/>
    </w:rPr>
  </w:style>
  <w:style w:type="paragraph" w:styleId="Heading2">
    <w:name w:val="heading 2"/>
    <w:basedOn w:val="Normal"/>
    <w:next w:val="Normal"/>
    <w:link w:val="Heading2Char"/>
    <w:unhideWhenUsed/>
    <w:qFormat/>
    <w:locked/>
    <w:rsid w:val="004D7ED2"/>
    <w:pPr>
      <w:tabs>
        <w:tab w:val="left" w:pos="469"/>
      </w:tabs>
      <w:spacing w:after="240"/>
      <w:outlineLvl w:val="1"/>
    </w:pPr>
    <w:rPr>
      <w:b/>
    </w:rPr>
  </w:style>
  <w:style w:type="paragraph" w:styleId="Heading3">
    <w:name w:val="heading 3"/>
    <w:basedOn w:val="Normal"/>
    <w:next w:val="Normal"/>
    <w:link w:val="Heading3Char"/>
    <w:unhideWhenUsed/>
    <w:qFormat/>
    <w:locked/>
    <w:rsid w:val="004D7ED2"/>
    <w:pPr>
      <w:tabs>
        <w:tab w:val="left" w:pos="469"/>
      </w:tabs>
      <w:spacing w:after="24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ED2"/>
    <w:rPr>
      <w:rFonts w:ascii="Arial" w:eastAsia="Times New Roman" w:hAnsi="Arial"/>
      <w:b/>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D7ED2"/>
    <w:rPr>
      <w:rFonts w:eastAsia="Times New Roman"/>
      <w:b/>
      <w:sz w:val="24"/>
      <w:szCs w:val="20"/>
    </w:rPr>
  </w:style>
  <w:style w:type="table" w:styleId="TableGrid">
    <w:name w:val="Table Grid"/>
    <w:basedOn w:val="TableNormal"/>
    <w:uiPriority w:val="59"/>
    <w:locked/>
    <w:rsid w:val="004E3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uiPriority w:val="4"/>
    <w:qFormat/>
    <w:rsid w:val="004E3E74"/>
    <w:rPr>
      <w:rFonts w:ascii="Arial Narrow" w:hAnsi="Arial Narrow"/>
      <w:sz w:val="20"/>
      <w:szCs w:val="24"/>
      <w:lang w:eastAsia="en-US"/>
    </w:rPr>
  </w:style>
  <w:style w:type="character" w:customStyle="1" w:styleId="TabletextChar">
    <w:name w:val="Table text Char"/>
    <w:basedOn w:val="DefaultParagraphFont"/>
    <w:link w:val="Tabletext"/>
    <w:uiPriority w:val="4"/>
    <w:rsid w:val="004E3E74"/>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9A4B99"/>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9A4B99"/>
    <w:rPr>
      <w:rFonts w:ascii="Arial Narrow" w:eastAsia="Times New Roman" w:hAnsi="Arial Narrow" w:cs="Arial"/>
      <w:sz w:val="20"/>
      <w:szCs w:val="20"/>
      <w:lang w:eastAsia="en-US"/>
    </w:rPr>
  </w:style>
  <w:style w:type="paragraph" w:styleId="Caption">
    <w:name w:val="caption"/>
    <w:aliases w:val="Bayer Caption,IB Caption,Medical Caption,CSR Caption,Table and Figure Name"/>
    <w:basedOn w:val="Normal"/>
    <w:next w:val="Normal"/>
    <w:link w:val="CaptionChar"/>
    <w:uiPriority w:val="99"/>
    <w:unhideWhenUsed/>
    <w:qFormat/>
    <w:locked/>
    <w:rsid w:val="004735F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
    <w:basedOn w:val="DefaultParagraphFont"/>
    <w:link w:val="Caption"/>
    <w:uiPriority w:val="99"/>
    <w:rsid w:val="004735F7"/>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4735F7"/>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4735F7"/>
    <w:rPr>
      <w:rFonts w:ascii="Arial Narrow" w:eastAsia="Times New Roman" w:hAnsi="Arial Narrow" w:cs="Arial"/>
      <w:snapToGrid w:val="0"/>
      <w:sz w:val="18"/>
      <w:szCs w:val="20"/>
      <w:lang w:eastAsia="en-US"/>
    </w:rPr>
  </w:style>
  <w:style w:type="paragraph" w:customStyle="1" w:styleId="Guidelines">
    <w:name w:val="Guidelines"/>
    <w:basedOn w:val="Normal"/>
    <w:link w:val="GuidelinesChar"/>
    <w:qFormat/>
    <w:rsid w:val="00AB3640"/>
    <w:pPr>
      <w:spacing w:after="240" w:line="312" w:lineRule="auto"/>
      <w:jc w:val="both"/>
    </w:pPr>
    <w:rPr>
      <w:rFonts w:ascii="Calibri" w:hAnsi="Calibri" w:cs="Tahoma"/>
      <w:vanish/>
      <w:color w:val="C00000"/>
      <w:sz w:val="22"/>
      <w:szCs w:val="22"/>
    </w:rPr>
  </w:style>
  <w:style w:type="character" w:customStyle="1" w:styleId="GuidelinesChar">
    <w:name w:val="Guidelines Char"/>
    <w:basedOn w:val="DefaultParagraphFont"/>
    <w:link w:val="Guidelines"/>
    <w:rsid w:val="00AB3640"/>
    <w:rPr>
      <w:rFonts w:ascii="Calibri" w:eastAsia="Times New Roman" w:hAnsi="Calibri" w:cs="Tahoma"/>
      <w:vanish/>
      <w:color w:val="C00000"/>
    </w:rPr>
  </w:style>
  <w:style w:type="character" w:styleId="Emphasis">
    <w:name w:val="Emphasis"/>
    <w:uiPriority w:val="20"/>
    <w:qFormat/>
    <w:locked/>
    <w:rsid w:val="00815D08"/>
    <w:rPr>
      <w:rFonts w:ascii="Garamond" w:eastAsia="Times New Roman" w:hAnsi="Garamond" w:cs="Times New Roman"/>
      <w:i/>
      <w:sz w:val="24"/>
      <w:szCs w:val="24"/>
    </w:rPr>
  </w:style>
  <w:style w:type="paragraph" w:customStyle="1" w:styleId="Comment">
    <w:name w:val="Comment"/>
    <w:basedOn w:val="Normal"/>
    <w:link w:val="CommentChar"/>
    <w:qFormat/>
    <w:rsid w:val="00815D08"/>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815D08"/>
    <w:rPr>
      <w:rFonts w:ascii="Calibri" w:eastAsia="Times New Roman" w:hAnsi="Calibri" w:cs="Tahoma"/>
      <w:i/>
    </w:rPr>
  </w:style>
  <w:style w:type="paragraph" w:styleId="NoSpacing">
    <w:name w:val="No Spacing"/>
    <w:uiPriority w:val="1"/>
    <w:qFormat/>
    <w:rsid w:val="00067016"/>
    <w:rPr>
      <w:rFonts w:asciiTheme="minorHAnsi" w:eastAsiaTheme="minorHAnsi" w:hAnsiTheme="minorHAnsi" w:cstheme="minorBidi"/>
      <w:lang w:eastAsia="en-US"/>
    </w:rPr>
  </w:style>
  <w:style w:type="character" w:styleId="IntenseReference">
    <w:name w:val="Intense Reference"/>
    <w:basedOn w:val="DefaultParagraphFont"/>
    <w:uiPriority w:val="32"/>
    <w:qFormat/>
    <w:rsid w:val="00067016"/>
    <w:rPr>
      <w:b/>
      <w:bCs/>
      <w:i/>
      <w:smallCaps/>
      <w:color w:val="C0504D" w:themeColor="accent2"/>
      <w:spacing w:val="5"/>
      <w:u w:val="none"/>
    </w:rPr>
  </w:style>
  <w:style w:type="paragraph" w:styleId="BodyText">
    <w:name w:val="Body Text"/>
    <w:link w:val="BodyTextChar"/>
    <w:rsid w:val="008C5645"/>
    <w:pPr>
      <w:spacing w:after="120"/>
    </w:pPr>
    <w:rPr>
      <w:rFonts w:ascii="Calibri" w:hAnsi="Calibri" w:cs="Calibri"/>
      <w:sz w:val="20"/>
      <w:szCs w:val="20"/>
      <w:lang w:eastAsia="en-US"/>
    </w:rPr>
  </w:style>
  <w:style w:type="character" w:customStyle="1" w:styleId="BodyTextChar">
    <w:name w:val="Body Text Char"/>
    <w:basedOn w:val="DefaultParagraphFont"/>
    <w:link w:val="BodyText"/>
    <w:rsid w:val="008C5645"/>
    <w:rPr>
      <w:rFonts w:ascii="Calibri" w:hAnsi="Calibri" w:cs="Calibri"/>
      <w:sz w:val="20"/>
      <w:szCs w:val="20"/>
      <w:lang w:eastAsia="en-US"/>
    </w:rPr>
  </w:style>
  <w:style w:type="paragraph" w:customStyle="1" w:styleId="Bulletintro">
    <w:name w:val="Bullet intro"/>
    <w:basedOn w:val="BodyText"/>
    <w:uiPriority w:val="2"/>
    <w:qFormat/>
    <w:rsid w:val="008C5645"/>
    <w:rPr>
      <w:rFonts w:eastAsia="Times New Roman" w:cs="Arial"/>
      <w:szCs w:val="24"/>
      <w:lang w:val="en-US"/>
    </w:rPr>
  </w:style>
  <w:style w:type="paragraph" w:customStyle="1" w:styleId="Bullet0">
    <w:name w:val="Bullet+0"/>
    <w:basedOn w:val="BodyText"/>
    <w:uiPriority w:val="2"/>
    <w:qFormat/>
    <w:rsid w:val="008C5645"/>
    <w:pPr>
      <w:numPr>
        <w:numId w:val="28"/>
      </w:numPr>
      <w:tabs>
        <w:tab w:val="left" w:pos="765"/>
      </w:tabs>
      <w:spacing w:after="0"/>
    </w:pPr>
  </w:style>
  <w:style w:type="paragraph" w:customStyle="1" w:styleId="TableH1">
    <w:name w:val="Table H1"/>
    <w:basedOn w:val="BodyText"/>
    <w:uiPriority w:val="4"/>
    <w:qFormat/>
    <w:rsid w:val="008C5645"/>
    <w:pPr>
      <w:keepNext/>
      <w:spacing w:after="20"/>
      <w:ind w:left="113" w:right="113"/>
    </w:pPr>
    <w:rPr>
      <w:b/>
      <w:szCs w:val="16"/>
      <w:lang w:val="en-US"/>
    </w:rPr>
  </w:style>
  <w:style w:type="paragraph" w:customStyle="1" w:styleId="TableFigNotes6">
    <w:name w:val="TableFigNotes+6"/>
    <w:basedOn w:val="Normal"/>
    <w:uiPriority w:val="4"/>
    <w:rsid w:val="008C5645"/>
    <w:pPr>
      <w:keepNext/>
      <w:spacing w:after="120" w:line="276" w:lineRule="auto"/>
      <w:ind w:left="284" w:hanging="284"/>
    </w:pPr>
    <w:rPr>
      <w:rFonts w:ascii="Calibri" w:eastAsia="Calibri" w:hAnsi="Calibri" w:cs="Calibri"/>
      <w:sz w:val="16"/>
      <w:lang w:eastAsia="en-US"/>
    </w:rPr>
  </w:style>
  <w:style w:type="character" w:styleId="Strong">
    <w:name w:val="Strong"/>
    <w:basedOn w:val="DefaultParagraphFont"/>
    <w:qFormat/>
    <w:locked/>
    <w:rsid w:val="00F27BE4"/>
    <w:rPr>
      <w:b/>
      <w:bCs/>
    </w:rPr>
  </w:style>
  <w:style w:type="paragraph" w:styleId="Subtitle">
    <w:name w:val="Subtitle"/>
    <w:basedOn w:val="Normal"/>
    <w:next w:val="Normal"/>
    <w:link w:val="SubtitleChar"/>
    <w:qFormat/>
    <w:locked/>
    <w:rsid w:val="001251C3"/>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1251C3"/>
    <w:rPr>
      <w:rFonts w:ascii="Arial" w:eastAsia="Times New Roman" w:hAnsi="Arial" w:cs="Arial"/>
      <w:b/>
      <w:bCs/>
      <w:i/>
      <w:color w:val="000080"/>
      <w:sz w:val="28"/>
      <w:szCs w:val="28"/>
    </w:rPr>
  </w:style>
  <w:style w:type="paragraph" w:styleId="Title">
    <w:name w:val="Title"/>
    <w:basedOn w:val="Normal"/>
    <w:next w:val="Normal"/>
    <w:link w:val="TitleChar"/>
    <w:qFormat/>
    <w:locked/>
    <w:rsid w:val="001251C3"/>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1251C3"/>
    <w:rPr>
      <w:rFonts w:ascii="Arial" w:eastAsia="Times New Roman" w:hAnsi="Arial" w:cs="Arial"/>
      <w:b/>
      <w:bCs/>
      <w:color w:val="000080"/>
      <w:sz w:val="36"/>
      <w:szCs w:val="36"/>
    </w:rPr>
  </w:style>
  <w:style w:type="character" w:customStyle="1" w:styleId="Heading3Char">
    <w:name w:val="Heading 3 Char"/>
    <w:basedOn w:val="DefaultParagraphFont"/>
    <w:link w:val="Heading3"/>
    <w:rsid w:val="004D7ED2"/>
    <w:rPr>
      <w:rFonts w:eastAsia="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FB64-6676-4298-8B96-ECF391A7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5265</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1192.2 PSD</vt:lpstr>
    </vt:vector>
  </TitlesOfParts>
  <LinksUpToDate>false</LinksUpToDate>
  <CharactersWithSpaces>35046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1192.2 PSD</dc:title>
  <dc:creator/>
  <cp:lastModifiedBy/>
  <cp:revision>1</cp:revision>
  <dcterms:created xsi:type="dcterms:W3CDTF">2016-10-18T03:27:00Z</dcterms:created>
  <dcterms:modified xsi:type="dcterms:W3CDTF">2016-10-18T03:28:00Z</dcterms:modified>
</cp:coreProperties>
</file>