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779C" w14:textId="263C4E79" w:rsidR="00295944" w:rsidRDefault="00295944" w:rsidP="004041D6">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bookmarkStart w:id="0" w:name="_Hlk68005436"/>
      <w:r>
        <w:rPr>
          <w:rFonts w:ascii="Arial" w:hAnsi="Arial" w:cs="Arial"/>
          <w:b/>
          <w:bCs/>
          <w:color w:val="000080"/>
          <w:sz w:val="36"/>
          <w:szCs w:val="36"/>
        </w:rPr>
        <w:t>Medical Services Advisory Committee (MSAC)</w:t>
      </w:r>
      <w:r>
        <w:rPr>
          <w:rFonts w:ascii="Arial" w:hAnsi="Arial" w:cs="Arial"/>
          <w:b/>
          <w:bCs/>
          <w:color w:val="000080"/>
          <w:sz w:val="36"/>
          <w:szCs w:val="36"/>
        </w:rPr>
        <w:br/>
      </w:r>
      <w:r w:rsidR="004041D6" w:rsidRPr="00F76D74">
        <w:rPr>
          <w:rFonts w:ascii="Arial" w:hAnsi="Arial" w:cs="Arial"/>
          <w:b/>
          <w:bCs/>
          <w:color w:val="000080"/>
          <w:sz w:val="36"/>
          <w:szCs w:val="36"/>
        </w:rPr>
        <w:t>Public Summary Document</w:t>
      </w:r>
    </w:p>
    <w:bookmarkEnd w:id="0"/>
    <w:p w14:paraId="52F48ED0" w14:textId="77777777" w:rsidR="00295944" w:rsidRPr="00CE28E3" w:rsidRDefault="00295944" w:rsidP="00AD481B">
      <w:pPr>
        <w:pStyle w:val="Subtitle"/>
      </w:pPr>
      <w:r w:rsidRPr="00CE28E3">
        <w:t xml:space="preserve">Application No. </w:t>
      </w:r>
      <w:r w:rsidRPr="0015161E">
        <w:rPr>
          <w:shd w:val="clear" w:color="auto" w:fill="FFFFFF" w:themeFill="background1"/>
        </w:rPr>
        <w:t>1734 –</w:t>
      </w:r>
      <w:r w:rsidRPr="0015161E">
        <w:t xml:space="preserve"> Intravascular lithotripsy for the </w:t>
      </w:r>
      <w:r w:rsidRPr="00BC20AE">
        <w:t>treatment</w:t>
      </w:r>
      <w:r w:rsidRPr="0015161E">
        <w:t xml:space="preserve"> of moderately or severely calcified peripheral artery disease</w:t>
      </w:r>
    </w:p>
    <w:p w14:paraId="0B17A705" w14:textId="0EB73E17" w:rsidR="00295944" w:rsidRDefault="00295944" w:rsidP="00AD481B">
      <w:pPr>
        <w:tabs>
          <w:tab w:val="left" w:pos="3686"/>
        </w:tabs>
        <w:spacing w:line="256" w:lineRule="auto"/>
        <w:ind w:left="3686" w:hanging="3686"/>
        <w:rPr>
          <w:rFonts w:ascii="Arial" w:hAnsi="Arial" w:cs="Arial"/>
          <w:b/>
          <w:szCs w:val="24"/>
        </w:rPr>
      </w:pPr>
      <w:r w:rsidRPr="0044058B">
        <w:rPr>
          <w:rFonts w:ascii="Arial" w:eastAsia="Calibri" w:hAnsi="Arial" w:cs="Arial"/>
          <w:b/>
          <w:szCs w:val="24"/>
        </w:rPr>
        <w:t>Applicant:</w:t>
      </w:r>
      <w:r w:rsidRPr="0044058B">
        <w:rPr>
          <w:rFonts w:ascii="Arial" w:eastAsia="Calibri" w:hAnsi="Arial" w:cs="Arial"/>
          <w:b/>
          <w:szCs w:val="24"/>
        </w:rPr>
        <w:tab/>
      </w:r>
      <w:r w:rsidRPr="00506DC9">
        <w:rPr>
          <w:rFonts w:ascii="Arial" w:hAnsi="Arial" w:cs="Arial"/>
          <w:b/>
          <w:szCs w:val="24"/>
        </w:rPr>
        <w:t>Shockwave Medical Inc (Manufacturer) and</w:t>
      </w:r>
      <w:r>
        <w:rPr>
          <w:rFonts w:ascii="Arial" w:hAnsi="Arial" w:cs="Arial"/>
          <w:b/>
          <w:szCs w:val="24"/>
        </w:rPr>
        <w:t xml:space="preserve"> </w:t>
      </w:r>
      <w:r w:rsidRPr="00506DC9">
        <w:rPr>
          <w:rFonts w:ascii="Arial" w:hAnsi="Arial" w:cs="Arial"/>
          <w:b/>
          <w:szCs w:val="24"/>
        </w:rPr>
        <w:t>Diverse Devices Pty Ltd (Distributor)</w:t>
      </w:r>
    </w:p>
    <w:p w14:paraId="2379852E" w14:textId="6913CDEF" w:rsidR="009C466C" w:rsidRDefault="009C466C" w:rsidP="009C466C">
      <w:pPr>
        <w:spacing w:before="320"/>
        <w:rPr>
          <w:rFonts w:ascii="Arial" w:hAnsi="Arial" w:cs="Arial"/>
          <w:b/>
          <w:bCs/>
        </w:rPr>
      </w:pPr>
      <w:r w:rsidRPr="008366C9">
        <w:rPr>
          <w:rFonts w:ascii="Arial" w:hAnsi="Arial" w:cs="Arial"/>
          <w:b/>
          <w:bCs/>
        </w:rPr>
        <w:t xml:space="preserve">Date of </w:t>
      </w:r>
      <w:r w:rsidR="004041D6">
        <w:rPr>
          <w:rFonts w:ascii="Arial" w:hAnsi="Arial" w:cs="Arial"/>
          <w:b/>
          <w:bCs/>
        </w:rPr>
        <w:t>MSAC</w:t>
      </w:r>
      <w:r w:rsidRPr="008366C9">
        <w:rPr>
          <w:rFonts w:ascii="Arial" w:hAnsi="Arial" w:cs="Arial"/>
          <w:b/>
          <w:bCs/>
        </w:rPr>
        <w:t xml:space="preserve"> consideration:</w:t>
      </w:r>
      <w:r w:rsidRPr="008366C9">
        <w:rPr>
          <w:rFonts w:ascii="Arial" w:hAnsi="Arial" w:cs="Arial"/>
          <w:b/>
          <w:bCs/>
        </w:rPr>
        <w:tab/>
      </w:r>
      <w:r w:rsidR="004041D6">
        <w:rPr>
          <w:rFonts w:ascii="Arial" w:hAnsi="Arial" w:cs="Arial"/>
          <w:b/>
          <w:bCs/>
        </w:rPr>
        <w:t>23-24 November</w:t>
      </w:r>
      <w:r w:rsidRPr="008366C9">
        <w:rPr>
          <w:rFonts w:ascii="Arial" w:hAnsi="Arial" w:cs="Arial"/>
          <w:b/>
          <w:bCs/>
        </w:rPr>
        <w:t xml:space="preserve"> 2023</w:t>
      </w:r>
    </w:p>
    <w:p w14:paraId="488A5032" w14:textId="77777777" w:rsidR="004041D6" w:rsidRPr="00415A9B" w:rsidRDefault="004041D6" w:rsidP="004041D6">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1" w:name="_Toc69491415"/>
      <w:r>
        <w:t>1.</w:t>
      </w:r>
      <w:r>
        <w:tab/>
      </w:r>
      <w:r w:rsidR="00772829" w:rsidRPr="00CE28E3">
        <w:t xml:space="preserve">Purpose </w:t>
      </w:r>
      <w:r w:rsidR="00772829" w:rsidRPr="00CE28E3">
        <w:rPr>
          <w:szCs w:val="32"/>
        </w:rPr>
        <w:t>of</w:t>
      </w:r>
      <w:r w:rsidR="00772829" w:rsidRPr="00CE28E3">
        <w:t xml:space="preserve"> application</w:t>
      </w:r>
      <w:bookmarkEnd w:id="1"/>
    </w:p>
    <w:p w14:paraId="229B7ABA" w14:textId="6A9E3133" w:rsidR="00EA28CA" w:rsidRPr="009A3778" w:rsidRDefault="00EA28CA" w:rsidP="00581E29">
      <w:pPr>
        <w:rPr>
          <w:iCs/>
        </w:rPr>
      </w:pPr>
      <w:bookmarkStart w:id="2" w:name="_Hlk69734469"/>
      <w:r w:rsidRPr="009A3778">
        <w:rPr>
          <w:iCs/>
        </w:rPr>
        <w:t xml:space="preserve">An application requesting </w:t>
      </w:r>
      <w:r w:rsidRPr="00832DF1">
        <w:rPr>
          <w:iCs/>
        </w:rPr>
        <w:t xml:space="preserve">Medicare Benefits Schedule (MBS) listing </w:t>
      </w:r>
      <w:r>
        <w:rPr>
          <w:iCs/>
        </w:rPr>
        <w:t xml:space="preserve">for providing </w:t>
      </w:r>
      <w:r>
        <w:t>intravascular lithotripsy (IVL)</w:t>
      </w:r>
      <w:r w:rsidR="002F0483">
        <w:t>,</w:t>
      </w:r>
      <w:r>
        <w:t xml:space="preserve"> as a stand</w:t>
      </w:r>
      <w:r w:rsidR="00C90312">
        <w:t>-</w:t>
      </w:r>
      <w:r>
        <w:t>alone treatment or a</w:t>
      </w:r>
      <w:r w:rsidRPr="00867445">
        <w:t xml:space="preserve">s a </w:t>
      </w:r>
      <w:r>
        <w:t>vessel preparation strategy prior to stent</w:t>
      </w:r>
      <w:r w:rsidRPr="00867445">
        <w:t xml:space="preserve"> insertion or treatment with a drug-coated balloon</w:t>
      </w:r>
      <w:r>
        <w:t xml:space="preserve"> (DCB)</w:t>
      </w:r>
      <w:r w:rsidR="002F0483">
        <w:t>,</w:t>
      </w:r>
      <w:r w:rsidRPr="00867445" w:rsidDel="00D42BA1">
        <w:t xml:space="preserve"> </w:t>
      </w:r>
      <w:r>
        <w:rPr>
          <w:iCs/>
        </w:rPr>
        <w:t xml:space="preserve">in </w:t>
      </w:r>
      <w:r>
        <w:t xml:space="preserve">patients with </w:t>
      </w:r>
      <w:r w:rsidR="002C1B75" w:rsidRPr="002C1B75">
        <w:t>moderately or severely calcified peripheral arterial disease (PAD) in lower limbs</w:t>
      </w:r>
      <w:r w:rsidR="002F0483">
        <w:t xml:space="preserve"> and</w:t>
      </w:r>
      <w:r w:rsidRPr="001509BB">
        <w:t xml:space="preserve"> </w:t>
      </w:r>
      <w:r>
        <w:t xml:space="preserve">who </w:t>
      </w:r>
      <w:r w:rsidRPr="001509BB">
        <w:t>are indicated for endovascular revascularisation</w:t>
      </w:r>
      <w:r>
        <w:t xml:space="preserve"> </w:t>
      </w:r>
      <w:r w:rsidRPr="009A3778">
        <w:rPr>
          <w:iCs/>
        </w:rPr>
        <w:t>was received from the</w:t>
      </w:r>
      <w:r w:rsidRPr="00EE47A1">
        <w:t xml:space="preserve"> </w:t>
      </w:r>
      <w:bookmarkStart w:id="3" w:name="_Hlk140825650"/>
      <w:r>
        <w:t>Shockwave Medical Inc (Manufacturer) and Diverse Devices Pty Ltd (Distributor)</w:t>
      </w:r>
      <w:r w:rsidRPr="009A3778">
        <w:rPr>
          <w:iCs/>
        </w:rPr>
        <w:t xml:space="preserve"> </w:t>
      </w:r>
      <w:bookmarkEnd w:id="3"/>
      <w:r w:rsidRPr="009A3778">
        <w:rPr>
          <w:iCs/>
        </w:rPr>
        <w:t>by the Department of Health</w:t>
      </w:r>
      <w:r w:rsidR="00014356">
        <w:rPr>
          <w:iCs/>
        </w:rPr>
        <w:t xml:space="preserve"> and Aged</w:t>
      </w:r>
      <w:r w:rsidR="001B4BB1">
        <w:rPr>
          <w:iCs/>
        </w:rPr>
        <w:t xml:space="preserve"> Care</w:t>
      </w:r>
      <w:r w:rsidRPr="009A3778">
        <w:rPr>
          <w:iCs/>
        </w:rPr>
        <w:t>.</w:t>
      </w:r>
    </w:p>
    <w:p w14:paraId="4E6CA5C2" w14:textId="5319CB02" w:rsidR="004041D6" w:rsidRDefault="00C36633" w:rsidP="004041D6">
      <w:pPr>
        <w:pStyle w:val="Heading2"/>
        <w:numPr>
          <w:ilvl w:val="0"/>
          <w:numId w:val="0"/>
        </w:numPr>
      </w:pPr>
      <w:bookmarkStart w:id="4" w:name="_Toc69491416"/>
      <w:bookmarkEnd w:id="2"/>
      <w:r>
        <w:t>2.</w:t>
      </w:r>
      <w:r>
        <w:tab/>
      </w:r>
      <w:r w:rsidR="004041D6">
        <w:t>MSAC’s advice to the Minister</w:t>
      </w:r>
    </w:p>
    <w:p w14:paraId="639305E4" w14:textId="73777F6F" w:rsidR="00B75B5C" w:rsidRDefault="004041D6" w:rsidP="00CD34D2">
      <w:pPr>
        <w:spacing w:after="240"/>
        <w:rPr>
          <w:rFonts w:ascii="Segoe UI" w:hAnsi="Segoe UI" w:cs="Segoe UI"/>
          <w:sz w:val="18"/>
          <w:szCs w:val="18"/>
        </w:rPr>
      </w:pPr>
      <w:r w:rsidRPr="000A352D">
        <w:rPr>
          <w:iCs/>
        </w:rPr>
        <w:t xml:space="preserve">After considering the strength of the available evidence in relation to comparative safety, clinical effectiveness, </w:t>
      </w:r>
      <w:proofErr w:type="gramStart"/>
      <w:r w:rsidRPr="000A352D">
        <w:rPr>
          <w:iCs/>
        </w:rPr>
        <w:t>cost-effectiveness</w:t>
      </w:r>
      <w:proofErr w:type="gramEnd"/>
      <w:r w:rsidRPr="000A352D">
        <w:rPr>
          <w:iCs/>
        </w:rPr>
        <w:t xml:space="preserve"> and total cost, </w:t>
      </w:r>
      <w:r w:rsidR="00B75B5C">
        <w:rPr>
          <w:rStyle w:val="normaltextrun"/>
          <w:rFonts w:cs="Segoe UI"/>
        </w:rPr>
        <w:t>MSAC deferred its advice for public funding of IVL for the treatment of moderately or severely calcified peripheral artery disease. MSAC considered there is likely superior procedural effectiveness and non-inferior safety for IVL compared to standard balloon angioplasty when used as a vessel preparation strategy for drug coated balloon or stent. MSAC considered that there was weak evidence for superior effectiveness and non-inferior safety to SBA when IVL is employed as a stand-alone therapy.</w:t>
      </w:r>
      <w:r w:rsidR="00B75B5C">
        <w:rPr>
          <w:rStyle w:val="eop"/>
          <w:rFonts w:cs="Segoe UI"/>
        </w:rPr>
        <w:t> </w:t>
      </w:r>
    </w:p>
    <w:p w14:paraId="4ED56169" w14:textId="4D4ED64A" w:rsidR="00B75B5C" w:rsidRPr="00581E29" w:rsidRDefault="00B75B5C" w:rsidP="00581E29">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sz w:val="22"/>
          <w:szCs w:val="22"/>
        </w:rPr>
        <w:t>MSAC considered the cost utility analysis for the economic model was inappropriate due to the lack of evidence demonstrating an increase in health-related quality of life (</w:t>
      </w:r>
      <w:proofErr w:type="spellStart"/>
      <w:r>
        <w:rPr>
          <w:rStyle w:val="normaltextrun"/>
          <w:rFonts w:ascii="Franklin Gothic Book" w:hAnsi="Franklin Gothic Book" w:cs="Segoe UI"/>
          <w:sz w:val="22"/>
          <w:szCs w:val="22"/>
        </w:rPr>
        <w:t>HRQoL</w:t>
      </w:r>
      <w:proofErr w:type="spellEnd"/>
      <w:r>
        <w:rPr>
          <w:rStyle w:val="normaltextrun"/>
          <w:rFonts w:ascii="Franklin Gothic Book" w:hAnsi="Franklin Gothic Book" w:cs="Segoe UI"/>
          <w:sz w:val="22"/>
          <w:szCs w:val="22"/>
        </w:rPr>
        <w:t>) or other patient related outcome gains. MSAC considered that a resubmission to address these problems would require a revised clinical care pathway to better capture the decision pathway used by proceduralists to determine use of IVL as a stand-alone or adjunct intervention</w:t>
      </w:r>
      <w:r w:rsidR="00AD3B07">
        <w:rPr>
          <w:rStyle w:val="normaltextrun"/>
          <w:rFonts w:ascii="Franklin Gothic Book" w:hAnsi="Franklin Gothic Book" w:cs="Segoe UI"/>
          <w:sz w:val="22"/>
          <w:szCs w:val="22"/>
        </w:rPr>
        <w:t>. This information should</w:t>
      </w:r>
      <w:r>
        <w:rPr>
          <w:rStyle w:val="normaltextrun"/>
          <w:rFonts w:ascii="Franklin Gothic Book" w:hAnsi="Franklin Gothic Book" w:cs="Segoe UI"/>
          <w:sz w:val="22"/>
          <w:szCs w:val="22"/>
        </w:rPr>
        <w:t xml:space="preserve"> serve as the basis for a revised economic model (inclusive of both uses) which is more appropriately a cost consequence analysis rather than a cost utility analysis. MSAC considered that a cost consequence analysis focussing on costs of the procedure, costs of changes in resource use (</w:t>
      </w:r>
      <w:proofErr w:type="spellStart"/>
      <w:r>
        <w:rPr>
          <w:rStyle w:val="normaltextrun"/>
          <w:rFonts w:ascii="Franklin Gothic Book" w:hAnsi="Franklin Gothic Book" w:cs="Segoe UI"/>
          <w:sz w:val="22"/>
          <w:szCs w:val="22"/>
        </w:rPr>
        <w:t>i.e</w:t>
      </w:r>
      <w:proofErr w:type="spellEnd"/>
      <w:r>
        <w:rPr>
          <w:rStyle w:val="normaltextrun"/>
          <w:rFonts w:ascii="Franklin Gothic Book" w:hAnsi="Franklin Gothic Book" w:cs="Segoe UI"/>
          <w:sz w:val="22"/>
          <w:szCs w:val="22"/>
        </w:rPr>
        <w:t xml:space="preserve"> stents and balloons used) with the outcomes being procedural outcomes would be useful. MSAC considered that the costs of IVL, including potential out of pocket costs, needed to be confirmed and benchmarked against relevant stents. MSAC considered the appropriate pathway for the revised application to be a direct pathway to MSAC.</w:t>
      </w:r>
      <w:r>
        <w:rPr>
          <w:rStyle w:val="eop"/>
          <w:rFonts w:ascii="Franklin Gothic Book" w:hAnsi="Franklin Gothic Book" w:cs="Segoe UI"/>
          <w:sz w:val="22"/>
          <w:szCs w:val="22"/>
        </w:rPr>
        <w:t> </w:t>
      </w:r>
    </w:p>
    <w:tbl>
      <w:tblPr>
        <w:tblStyle w:val="TableGrid"/>
        <w:tblW w:w="0" w:type="auto"/>
        <w:tblLook w:val="04A0" w:firstRow="1" w:lastRow="0" w:firstColumn="1" w:lastColumn="0" w:noHBand="0" w:noVBand="1"/>
        <w:tblDescription w:val="Consumer summary of MSAC consideration"/>
      </w:tblPr>
      <w:tblGrid>
        <w:gridCol w:w="9016"/>
      </w:tblGrid>
      <w:tr w:rsidR="004041D6" w:rsidRPr="00AF46D8" w14:paraId="05CA0BCC" w14:textId="77777777" w:rsidTr="173B7BFA">
        <w:trPr>
          <w:tblHeader/>
        </w:trPr>
        <w:tc>
          <w:tcPr>
            <w:tcW w:w="9016" w:type="dxa"/>
          </w:tcPr>
          <w:p w14:paraId="19379E8B" w14:textId="77777777" w:rsidR="004041D6" w:rsidRPr="00AF46D8" w:rsidRDefault="004041D6" w:rsidP="00230BB5">
            <w:pPr>
              <w:pStyle w:val="Heading3"/>
              <w:spacing w:before="120"/>
              <w:ind w:left="720" w:hanging="720"/>
              <w:rPr>
                <w:iCs/>
              </w:rPr>
            </w:pPr>
            <w:r w:rsidRPr="00AF46D8">
              <w:lastRenderedPageBreak/>
              <w:t>Consumer summary</w:t>
            </w:r>
          </w:p>
        </w:tc>
      </w:tr>
      <w:tr w:rsidR="004041D6" w:rsidRPr="00AF46D8" w14:paraId="7A9D9AD7" w14:textId="77777777" w:rsidTr="173B7BFA">
        <w:tc>
          <w:tcPr>
            <w:tcW w:w="9016" w:type="dxa"/>
          </w:tcPr>
          <w:p w14:paraId="6D64A518" w14:textId="77777777" w:rsidR="0009191F" w:rsidRDefault="0009191F" w:rsidP="0009191F">
            <w:r w:rsidRPr="00AF46D8">
              <w:t xml:space="preserve">This is an application from </w:t>
            </w:r>
            <w:r w:rsidRPr="00095EDC">
              <w:t>Shockwave Medical</w:t>
            </w:r>
            <w:r>
              <w:t xml:space="preserve"> </w:t>
            </w:r>
            <w:r w:rsidRPr="00AF46D8">
              <w:t>requesting Medicare Benefits Schedule (MBS) listing of</w:t>
            </w:r>
            <w:r>
              <w:t xml:space="preserve"> intravascular lithotripsy (IVL) </w:t>
            </w:r>
            <w:r w:rsidRPr="00095EDC">
              <w:t xml:space="preserve">in patients who have moderately or severely calcified peripheral arterial disease </w:t>
            </w:r>
            <w:r>
              <w:t xml:space="preserve">(PAD) </w:t>
            </w:r>
            <w:r w:rsidRPr="00095EDC">
              <w:t>in lower limbs</w:t>
            </w:r>
            <w:r>
              <w:t>.</w:t>
            </w:r>
          </w:p>
          <w:p w14:paraId="491E7085" w14:textId="3814045F" w:rsidR="0009191F" w:rsidRDefault="0009191F" w:rsidP="0009191F">
            <w:r>
              <w:t xml:space="preserve">PAD is a condition in which the build-up of fatty deposits (plaque) </w:t>
            </w:r>
            <w:r w:rsidR="00D0570D">
              <w:t xml:space="preserve">in arteries </w:t>
            </w:r>
            <w:r>
              <w:t>results in narrow</w:t>
            </w:r>
            <w:r w:rsidR="00D0570D">
              <w:t>ing</w:t>
            </w:r>
            <w:r>
              <w:t xml:space="preserve"> </w:t>
            </w:r>
            <w:r w:rsidR="00D0570D">
              <w:t xml:space="preserve">of the </w:t>
            </w:r>
            <w:r>
              <w:t xml:space="preserve">arteries in the arms or legs. This in turn reduces blood flow. The plaque build-up can </w:t>
            </w:r>
            <w:r w:rsidR="002712C3">
              <w:t xml:space="preserve">cause </w:t>
            </w:r>
            <w:r w:rsidR="009438B0">
              <w:t xml:space="preserve">arteries </w:t>
            </w:r>
            <w:r w:rsidR="002712C3">
              <w:t>to</w:t>
            </w:r>
            <w:r w:rsidR="009438B0">
              <w:t xml:space="preserve"> </w:t>
            </w:r>
            <w:proofErr w:type="gramStart"/>
            <w:r w:rsidR="009438B0">
              <w:t>stiffen</w:t>
            </w:r>
            <w:proofErr w:type="gramEnd"/>
            <w:r w:rsidR="009438B0">
              <w:t xml:space="preserve"> and </w:t>
            </w:r>
            <w:r w:rsidR="00D5726F">
              <w:t xml:space="preserve">hard </w:t>
            </w:r>
            <w:r w:rsidR="00977D90">
              <w:t>calcium crystals can form within the plaque which</w:t>
            </w:r>
            <w:r w:rsidR="009438B0">
              <w:t xml:space="preserve"> </w:t>
            </w:r>
            <w:r w:rsidR="007A3E15">
              <w:t>makes the</w:t>
            </w:r>
            <w:r w:rsidR="009438B0">
              <w:t xml:space="preserve"> stiffen</w:t>
            </w:r>
            <w:r w:rsidR="002E64FC">
              <w:t>ing</w:t>
            </w:r>
            <w:r w:rsidR="007A3E15">
              <w:t xml:space="preserve"> worse</w:t>
            </w:r>
            <w:r w:rsidR="009438B0">
              <w:t>.</w:t>
            </w:r>
            <w:r w:rsidR="00C3216C">
              <w:t xml:space="preserve"> Stiff arteries </w:t>
            </w:r>
            <w:r w:rsidR="00A23513">
              <w:t xml:space="preserve">can cause </w:t>
            </w:r>
            <w:proofErr w:type="gramStart"/>
            <w:r w:rsidR="00145C98">
              <w:t>a number of</w:t>
            </w:r>
            <w:proofErr w:type="gramEnd"/>
            <w:r w:rsidR="00145C98">
              <w:t xml:space="preserve"> problems including </w:t>
            </w:r>
            <w:r w:rsidR="003E56CA">
              <w:t>reduced blood flow to the body’s tissues and making the heart work harder.</w:t>
            </w:r>
            <w:r>
              <w:t xml:space="preserve"> </w:t>
            </w:r>
            <w:r w:rsidR="00A01087">
              <w:t xml:space="preserve">PAD </w:t>
            </w:r>
            <w:r>
              <w:t xml:space="preserve">most commonly affects the arteries </w:t>
            </w:r>
            <w:r w:rsidR="002D7C3E">
              <w:t xml:space="preserve">supplying </w:t>
            </w:r>
            <w:r>
              <w:t xml:space="preserve">the legs or feet, causing </w:t>
            </w:r>
            <w:r w:rsidR="003A26C8">
              <w:t xml:space="preserve">the circulation to be </w:t>
            </w:r>
            <w:r w:rsidR="00762670">
              <w:t xml:space="preserve">partially </w:t>
            </w:r>
            <w:r w:rsidR="003A26C8">
              <w:t>cut off which can cause</w:t>
            </w:r>
            <w:r>
              <w:t xml:space="preserve"> pain and difficulties with walking. People with PAD are at higher risk of cardiovascular disease, </w:t>
            </w:r>
            <w:proofErr w:type="gramStart"/>
            <w:r>
              <w:t>stroke</w:t>
            </w:r>
            <w:proofErr w:type="gramEnd"/>
            <w:r>
              <w:t xml:space="preserve"> and death.</w:t>
            </w:r>
          </w:p>
          <w:p w14:paraId="2FCF8040" w14:textId="25C8752A" w:rsidR="0009191F" w:rsidRDefault="0009191F" w:rsidP="0009191F">
            <w:r>
              <w:t>IVL</w:t>
            </w:r>
            <w:r w:rsidRPr="00655F94">
              <w:t xml:space="preserve"> involves</w:t>
            </w:r>
            <w:r>
              <w:t xml:space="preserve"> inserting a tiny device into the affected arteries in the lower legs. The device gives off </w:t>
            </w:r>
            <w:r w:rsidR="004D1A58">
              <w:t xml:space="preserve">high pressure </w:t>
            </w:r>
            <w:r w:rsidR="00486946">
              <w:t>shock</w:t>
            </w:r>
            <w:r w:rsidR="004D1A58">
              <w:t>waves</w:t>
            </w:r>
            <w:r>
              <w:t xml:space="preserve"> which help to break up </w:t>
            </w:r>
            <w:r w:rsidRPr="00655F94">
              <w:t>plaque</w:t>
            </w:r>
            <w:r>
              <w:t>s and improve blood flow.</w:t>
            </w:r>
          </w:p>
          <w:p w14:paraId="4677DA3C" w14:textId="01F0E35F" w:rsidR="0009191F" w:rsidRDefault="0009191F" w:rsidP="0009191F">
            <w:r>
              <w:t>The application was for two different groups of patients: 1. for people with PAD who would receive IVL and no further treatment, and 2. for people with PAD who would receive IVL plus some further treatment</w:t>
            </w:r>
            <w:r w:rsidR="007322B0">
              <w:t xml:space="preserve"> such as </w:t>
            </w:r>
            <w:r w:rsidR="00D61B09">
              <w:t xml:space="preserve">the insertion of </w:t>
            </w:r>
            <w:r w:rsidR="007322B0">
              <w:t>a stent</w:t>
            </w:r>
            <w:r w:rsidR="00D61B09">
              <w:t xml:space="preserve"> (</w:t>
            </w:r>
            <w:r w:rsidR="00896C34">
              <w:t xml:space="preserve">small </w:t>
            </w:r>
            <w:r w:rsidR="00D61B09">
              <w:t>metal tube)</w:t>
            </w:r>
            <w:r w:rsidR="007322B0">
              <w:t xml:space="preserve"> or balloon to widen the arteries</w:t>
            </w:r>
            <w:r>
              <w:t>.</w:t>
            </w:r>
          </w:p>
          <w:p w14:paraId="7EFC1878" w14:textId="654B8234" w:rsidR="0009191F" w:rsidRDefault="0009191F" w:rsidP="0009191F">
            <w:r>
              <w:t xml:space="preserve">MSAC considered that IVL appears to be safe and effective. MSAC also acknowledged the clinical need for this device for patients with moderate or severe calcification in their </w:t>
            </w:r>
            <w:r w:rsidR="00962180">
              <w:t>arteries</w:t>
            </w:r>
            <w:r>
              <w:t xml:space="preserve">. The alternative treatment, standard balloon angioplasty (SBA), can </w:t>
            </w:r>
            <w:r w:rsidR="0082510D">
              <w:t xml:space="preserve">sometimes </w:t>
            </w:r>
            <w:r>
              <w:t xml:space="preserve">be associated with damage to the arteries, which </w:t>
            </w:r>
            <w:r w:rsidR="00686331">
              <w:t xml:space="preserve">may </w:t>
            </w:r>
            <w:r>
              <w:t>require further treatment. IVL does not appear to have these same adverse events as SBA.</w:t>
            </w:r>
          </w:p>
          <w:p w14:paraId="2843AA48" w14:textId="44D7A53F" w:rsidR="0009191F" w:rsidRDefault="0009191F" w:rsidP="0009191F">
            <w:r>
              <w:t>However, MSAC had many concerns about how the application calculated the value for money for the two groups of</w:t>
            </w:r>
            <w:r w:rsidR="00C57F78">
              <w:t xml:space="preserve"> patients</w:t>
            </w:r>
            <w:r>
              <w:t>. MSAC also considered that the</w:t>
            </w:r>
            <w:r w:rsidR="001B5088">
              <w:t xml:space="preserve"> categorisation of patients into </w:t>
            </w:r>
            <w:r>
              <w:t xml:space="preserve">these two groups did not reflect what was </w:t>
            </w:r>
            <w:proofErr w:type="gramStart"/>
            <w:r>
              <w:t xml:space="preserve">actually </w:t>
            </w:r>
            <w:r w:rsidR="00D763D1">
              <w:t>undertaken</w:t>
            </w:r>
            <w:proofErr w:type="gramEnd"/>
            <w:r>
              <w:t xml:space="preserve"> in </w:t>
            </w:r>
            <w:r w:rsidR="00B61031">
              <w:t>practice</w:t>
            </w:r>
            <w:r>
              <w:t xml:space="preserve">, as it would be very difficult to determine before the treatment who would only need to receive IVL and who would require further treatment after IVL. Thus, MSAC requested that the applicant revisit the cost calculations </w:t>
            </w:r>
            <w:r w:rsidR="005D2718">
              <w:t>based on</w:t>
            </w:r>
            <w:r w:rsidR="009F44D9">
              <w:t xml:space="preserve"> combining the two groups of people</w:t>
            </w:r>
            <w:r>
              <w:t xml:space="preserve"> </w:t>
            </w:r>
            <w:r w:rsidR="009F44D9">
              <w:t>into</w:t>
            </w:r>
            <w:r>
              <w:t xml:space="preserve"> a single group (that is, people with moderate to severe PAD) to ensure that MSAC could be confident about the device’s value for money and total budget impact. MSAC would then reconsider the application.</w:t>
            </w:r>
          </w:p>
          <w:p w14:paraId="5150DADC" w14:textId="77777777" w:rsidR="004041D6" w:rsidRPr="00AF46D8" w:rsidRDefault="004041D6" w:rsidP="0009191F">
            <w:pPr>
              <w:pStyle w:val="Heading3"/>
            </w:pPr>
            <w:r w:rsidRPr="00AF46D8">
              <w:t xml:space="preserve">MSAC’s advice to the </w:t>
            </w:r>
            <w:proofErr w:type="gramStart"/>
            <w:r w:rsidRPr="00AF46D8">
              <w:t>Commonwealth Minister</w:t>
            </w:r>
            <w:proofErr w:type="gramEnd"/>
            <w:r w:rsidRPr="00AF46D8">
              <w:t xml:space="preserve"> for Health</w:t>
            </w:r>
            <w:r>
              <w:t xml:space="preserve"> and Aged Care</w:t>
            </w:r>
          </w:p>
          <w:p w14:paraId="25E91A2B" w14:textId="5AA92B1F" w:rsidR="004041D6" w:rsidRPr="00AF46D8" w:rsidRDefault="00D63F0C" w:rsidP="00230BB5">
            <w:pPr>
              <w:spacing w:after="120"/>
            </w:pPr>
            <w:r w:rsidRPr="00AF46D8">
              <w:t xml:space="preserve">MSAC deferred its </w:t>
            </w:r>
            <w:r>
              <w:t xml:space="preserve">decision to support IVL </w:t>
            </w:r>
            <w:r w:rsidRPr="00095EDC">
              <w:t xml:space="preserve">in patients who have moderately or severely calcified </w:t>
            </w:r>
            <w:r>
              <w:t xml:space="preserve">PAD </w:t>
            </w:r>
            <w:r w:rsidRPr="00095EDC">
              <w:t>in lower limbs</w:t>
            </w:r>
            <w:r>
              <w:t xml:space="preserve">. MSAC thought that IVL was likely safe and </w:t>
            </w:r>
            <w:proofErr w:type="gramStart"/>
            <w:r>
              <w:t>effective, but</w:t>
            </w:r>
            <w:proofErr w:type="gramEnd"/>
            <w:r>
              <w:t xml:space="preserve"> was very uncertain about its value for money. MSAC advised that the </w:t>
            </w:r>
            <w:r w:rsidR="00BD6D93">
              <w:t xml:space="preserve">applicant </w:t>
            </w:r>
            <w:r>
              <w:t xml:space="preserve">should resubmit </w:t>
            </w:r>
            <w:r w:rsidR="000F1D95">
              <w:t xml:space="preserve">their application </w:t>
            </w:r>
            <w:r>
              <w:t>using a different economic model so that MSAC could better determine if the device was good value for money.</w:t>
            </w:r>
          </w:p>
        </w:tc>
      </w:tr>
    </w:tbl>
    <w:p w14:paraId="36855309" w14:textId="77777777" w:rsidR="004041D6" w:rsidRDefault="004041D6" w:rsidP="004041D6">
      <w:pPr>
        <w:pStyle w:val="Heading2"/>
        <w:numPr>
          <w:ilvl w:val="0"/>
          <w:numId w:val="0"/>
        </w:numPr>
      </w:pPr>
      <w:r>
        <w:t>3.</w:t>
      </w:r>
      <w:r>
        <w:tab/>
        <w:t>Summary of consideration and rationale for MSAC’s advice</w:t>
      </w:r>
    </w:p>
    <w:p w14:paraId="18EDF223" w14:textId="77777777" w:rsidR="00CF20DA" w:rsidRDefault="00CF20DA" w:rsidP="00CF20DA">
      <w:r w:rsidRPr="00516D4E">
        <w:t>MSAC</w:t>
      </w:r>
      <w:r>
        <w:t xml:space="preserve"> noted that this application from Shockwave Medical requested Medicare Benefits Schedule (MBS) listing of</w:t>
      </w:r>
      <w:r w:rsidRPr="00422840">
        <w:t xml:space="preserve"> IVL </w:t>
      </w:r>
      <w:r>
        <w:t>for</w:t>
      </w:r>
      <w:r w:rsidRPr="00422840">
        <w:t xml:space="preserve"> patients who have moderately or severely calcified peripheral arterial disease (PAD) in lower limbs. </w:t>
      </w:r>
      <w:r>
        <w:t>This is the first time MSAC has considered this application.</w:t>
      </w:r>
    </w:p>
    <w:p w14:paraId="7B6ED764" w14:textId="6E170BE9" w:rsidR="00CF20DA" w:rsidRDefault="00CF20DA" w:rsidP="00CF20DA">
      <w:r>
        <w:t xml:space="preserve">MSAC noted that </w:t>
      </w:r>
      <w:r w:rsidRPr="0036233D">
        <w:t xml:space="preserve">PAD is a manifestation of systemic atherosclerotic disease that affects the arteries </w:t>
      </w:r>
      <w:r w:rsidR="005B6D3D">
        <w:t>supplying</w:t>
      </w:r>
      <w:r w:rsidRPr="0036233D">
        <w:t xml:space="preserve"> </w:t>
      </w:r>
      <w:r w:rsidR="000648C7">
        <w:t xml:space="preserve">blood to </w:t>
      </w:r>
      <w:r w:rsidRPr="0036233D">
        <w:t>the legs and feet</w:t>
      </w:r>
      <w:r>
        <w:t xml:space="preserve">. </w:t>
      </w:r>
      <w:r w:rsidRPr="0036233D">
        <w:t>Risk factors for PAD include tobacco smoking, diabetes, abnormal blood lipids, high blood pressure, overweight or obesity and family history</w:t>
      </w:r>
      <w:r>
        <w:t xml:space="preserve">. </w:t>
      </w:r>
      <w:r>
        <w:lastRenderedPageBreak/>
        <w:t xml:space="preserve">PAD is </w:t>
      </w:r>
      <w:r w:rsidRPr="0036233D">
        <w:t xml:space="preserve">associated with a reduction in functional capacity and </w:t>
      </w:r>
      <w:r>
        <w:t>q</w:t>
      </w:r>
      <w:r w:rsidRPr="0036233D">
        <w:t xml:space="preserve">uality of </w:t>
      </w:r>
      <w:r>
        <w:t>l</w:t>
      </w:r>
      <w:r w:rsidRPr="0036233D">
        <w:t>ife</w:t>
      </w:r>
      <w:r>
        <w:t xml:space="preserve"> (QoL).</w:t>
      </w:r>
      <w:r w:rsidRPr="0036233D">
        <w:t xml:space="preserve"> </w:t>
      </w:r>
      <w:r>
        <w:t>P</w:t>
      </w:r>
      <w:r w:rsidRPr="0036233D">
        <w:t xml:space="preserve">atients with PAD are at higher risk of cardiovascular morbidity, </w:t>
      </w:r>
      <w:proofErr w:type="gramStart"/>
      <w:r w:rsidRPr="0036233D">
        <w:t>mortality</w:t>
      </w:r>
      <w:proofErr w:type="gramEnd"/>
      <w:r w:rsidRPr="0036233D">
        <w:t xml:space="preserve"> and stroke</w:t>
      </w:r>
      <w:r>
        <w:t>.</w:t>
      </w:r>
    </w:p>
    <w:p w14:paraId="664A1DBF" w14:textId="1CEF30CC" w:rsidR="00CF20DA" w:rsidRDefault="00CF20DA" w:rsidP="00CF20DA">
      <w:r>
        <w:t xml:space="preserve">MSAC noted that IVL is delivered via a catheter and uses a vaporising fluid to create an expanding bubble. This bubble generates sonic pressure waves that cause microfractures in arterial calcification. The device uses a generator, which is reusable, and single-use catheters. MSAC noted that vascular surgeons and interventional radiologists would perform the procedure. Because IVL is balloon-based, no additional training </w:t>
      </w:r>
      <w:r w:rsidR="003A7818">
        <w:t>would be required for operators already familiar with</w:t>
      </w:r>
      <w:r w:rsidR="00160B93">
        <w:t xml:space="preserve"> standard balloon </w:t>
      </w:r>
      <w:proofErr w:type="spellStart"/>
      <w:r w:rsidR="00160B93">
        <w:t>angloplasty</w:t>
      </w:r>
      <w:proofErr w:type="spellEnd"/>
      <w:r w:rsidR="00160B93">
        <w:t xml:space="preserve"> (</w:t>
      </w:r>
      <w:r w:rsidR="00E57871">
        <w:t>SBA</w:t>
      </w:r>
      <w:r w:rsidR="00160B93">
        <w:t>)</w:t>
      </w:r>
      <w:r w:rsidR="00022FFC">
        <w:t xml:space="preserve"> procedures.</w:t>
      </w:r>
    </w:p>
    <w:p w14:paraId="4464237E" w14:textId="535BCB84" w:rsidR="00CF20DA" w:rsidRDefault="00CF20DA" w:rsidP="00CF20DA">
      <w:r>
        <w:t>MSAC noted that the device is listed on the Australian Register of Therapeutic Devices for use in limbs only.</w:t>
      </w:r>
    </w:p>
    <w:p w14:paraId="50B28352" w14:textId="77777777" w:rsidR="00CF20DA" w:rsidRDefault="00CF20DA" w:rsidP="00CF20DA">
      <w:r>
        <w:t>MSAC noted that there was no consultation feedback received for this application.</w:t>
      </w:r>
    </w:p>
    <w:p w14:paraId="6B64C5DD" w14:textId="781A89F7" w:rsidR="00CF20DA" w:rsidRPr="00422840" w:rsidRDefault="00CF20DA" w:rsidP="00CF20DA">
      <w:r>
        <w:t>MSAC noted that the applicant-developed assessment report (ADAR) proposed two populations</w:t>
      </w:r>
      <w:r w:rsidR="00D90510">
        <w:t xml:space="preserve">, namely </w:t>
      </w:r>
      <w:r w:rsidR="00D90510" w:rsidRPr="00B26BCD">
        <w:t>patients with PAD who have moderately or severely calcified lesions</w:t>
      </w:r>
      <w:r w:rsidR="00D90510" w:rsidRPr="00B26BCD" w:rsidDel="00300A2B">
        <w:t xml:space="preserve"> </w:t>
      </w:r>
      <w:r w:rsidR="00D90510" w:rsidRPr="00B26BCD">
        <w:t>in their lower limb(s) who are indicated for</w:t>
      </w:r>
      <w:r w:rsidR="009A0D89">
        <w:t xml:space="preserve"> IVL</w:t>
      </w:r>
      <w:r w:rsidR="00687B3F">
        <w:t xml:space="preserve"> in the following situations</w:t>
      </w:r>
      <w:r>
        <w:t>:</w:t>
      </w:r>
    </w:p>
    <w:p w14:paraId="1407B0C4" w14:textId="2885920F" w:rsidR="00CF20DA" w:rsidRDefault="00DB0525" w:rsidP="00CF20DA">
      <w:pPr>
        <w:pStyle w:val="ListParagraph"/>
        <w:numPr>
          <w:ilvl w:val="0"/>
          <w:numId w:val="32"/>
        </w:numPr>
        <w:spacing w:before="0" w:after="0" w:line="240" w:lineRule="auto"/>
      </w:pPr>
      <w:r>
        <w:t>IVL</w:t>
      </w:r>
      <w:r w:rsidR="00483E6B">
        <w:t xml:space="preserve"> used </w:t>
      </w:r>
      <w:r w:rsidR="00CF20DA">
        <w:t xml:space="preserve">as a </w:t>
      </w:r>
      <w:r w:rsidR="00CF20DA" w:rsidRPr="00422840">
        <w:t>standalone treatment</w:t>
      </w:r>
      <w:r w:rsidR="00CF20DA">
        <w:t>.</w:t>
      </w:r>
    </w:p>
    <w:p w14:paraId="0614FDE3" w14:textId="4D02D168" w:rsidR="00CF20DA" w:rsidRDefault="00483E6B" w:rsidP="00CF20DA">
      <w:pPr>
        <w:pStyle w:val="ListParagraph"/>
        <w:numPr>
          <w:ilvl w:val="0"/>
          <w:numId w:val="32"/>
        </w:numPr>
        <w:spacing w:before="0" w:after="0" w:line="240" w:lineRule="auto"/>
      </w:pPr>
      <w:r>
        <w:t>IVL</w:t>
      </w:r>
      <w:r w:rsidR="00CF20DA">
        <w:t xml:space="preserve"> used as a </w:t>
      </w:r>
      <w:r w:rsidR="00CF20DA" w:rsidRPr="00422840">
        <w:t xml:space="preserve">vessel preparation strategy </w:t>
      </w:r>
      <w:r w:rsidR="00CF20DA">
        <w:t>before</w:t>
      </w:r>
      <w:r w:rsidR="00CF20DA" w:rsidRPr="00422840">
        <w:t xml:space="preserve"> stent insertion or treatment with a drug-coated balloon (DCB)</w:t>
      </w:r>
      <w:r w:rsidR="00CF20DA">
        <w:t>.</w:t>
      </w:r>
    </w:p>
    <w:p w14:paraId="7385A47C" w14:textId="5E79D69C" w:rsidR="00CF20DA" w:rsidRDefault="00CF20DA" w:rsidP="00CF20DA">
      <w:r>
        <w:t xml:space="preserve">MSAC considered </w:t>
      </w:r>
      <w:r w:rsidR="00C17260">
        <w:t>the proposed popul</w:t>
      </w:r>
      <w:r w:rsidR="00890614">
        <w:t>a</w:t>
      </w:r>
      <w:r w:rsidR="00C17260">
        <w:t>tions to</w:t>
      </w:r>
      <w:r>
        <w:t xml:space="preserve"> be </w:t>
      </w:r>
      <w:proofErr w:type="gramStart"/>
      <w:r>
        <w:t>inappropriate, because</w:t>
      </w:r>
      <w:proofErr w:type="gramEnd"/>
      <w:r>
        <w:t xml:space="preserve"> </w:t>
      </w:r>
      <w:r w:rsidR="003D5BB0">
        <w:t xml:space="preserve">predetermining beforehand </w:t>
      </w:r>
      <w:r w:rsidR="000628F6">
        <w:t xml:space="preserve">which patients belong to each of the </w:t>
      </w:r>
      <w:r>
        <w:t>two separate populations is not reflective of Australian clinical practice. MSAC considered that</w:t>
      </w:r>
      <w:r w:rsidR="000628F6">
        <w:t xml:space="preserve"> the decision is made in real time and that </w:t>
      </w:r>
      <w:r>
        <w:t xml:space="preserve">before IVL, it would be unknown whether the patient would receive IVL as a standalone treatment or require further stenting. </w:t>
      </w:r>
      <w:r w:rsidR="00B70E82">
        <w:t>Additionally, MSAC noted that</w:t>
      </w:r>
      <w:r>
        <w:t xml:space="preserve"> bare metal stents are </w:t>
      </w:r>
      <w:r w:rsidR="00776D77">
        <w:t xml:space="preserve">now </w:t>
      </w:r>
      <w:r>
        <w:t>more commonly used in Australia</w:t>
      </w:r>
      <w:r w:rsidR="00776D77">
        <w:t xml:space="preserve"> as a vessel preparation strategy</w:t>
      </w:r>
      <w:r>
        <w:t xml:space="preserve"> than DCBs.</w:t>
      </w:r>
    </w:p>
    <w:p w14:paraId="69042C18" w14:textId="44287D89" w:rsidR="00CF20DA" w:rsidRDefault="00CF20DA" w:rsidP="00CF20DA">
      <w:r>
        <w:t>The clinical claim for IVL is that, when s</w:t>
      </w:r>
      <w:r w:rsidRPr="000A2CC4">
        <w:t xml:space="preserve">onic pressure waves </w:t>
      </w:r>
      <w:r>
        <w:t xml:space="preserve">are used </w:t>
      </w:r>
      <w:r w:rsidRPr="000A2CC4">
        <w:t xml:space="preserve">to disrupt and fracture calcified plaque, </w:t>
      </w:r>
      <w:r>
        <w:t xml:space="preserve">the risk of </w:t>
      </w:r>
      <w:r w:rsidRPr="000A2CC4">
        <w:t xml:space="preserve">both procedural and longer-term complications associated with high-pressure balloon angioplasty </w:t>
      </w:r>
      <w:r>
        <w:t xml:space="preserve">is reduced. </w:t>
      </w:r>
      <w:r w:rsidRPr="000A2CC4">
        <w:t>SBA</w:t>
      </w:r>
      <w:r>
        <w:t> – the comparator – </w:t>
      </w:r>
      <w:r w:rsidRPr="000A2CC4">
        <w:t xml:space="preserve">requires high balloon inflation pressure to achieve reduction in lesion diameter stenosis, and in heavily calcified lesions </w:t>
      </w:r>
      <w:r w:rsidR="000277B3">
        <w:t>can be</w:t>
      </w:r>
      <w:r w:rsidRPr="000A2CC4">
        <w:t xml:space="preserve"> associated with suboptimal vessel expansion and vascular complications. These </w:t>
      </w:r>
      <w:r w:rsidR="000D3842">
        <w:t>potential</w:t>
      </w:r>
      <w:r w:rsidRPr="000A2CC4">
        <w:t xml:space="preserve"> complication</w:t>
      </w:r>
      <w:r>
        <w:t>s</w:t>
      </w:r>
      <w:r w:rsidRPr="000A2CC4">
        <w:t>, including dissection and perforation</w:t>
      </w:r>
      <w:r>
        <w:t>,</w:t>
      </w:r>
      <w:r w:rsidRPr="000A2CC4">
        <w:t xml:space="preserve"> necessitate the use of bailout stent placement</w:t>
      </w:r>
      <w:r>
        <w:t xml:space="preserve"> </w:t>
      </w:r>
      <w:proofErr w:type="spellStart"/>
      <w:r>
        <w:t>postprocedure</w:t>
      </w:r>
      <w:proofErr w:type="spellEnd"/>
      <w:r>
        <w:t xml:space="preserve">. MSAC acknowledged that SBA can result in acute complications for PAD patients with </w:t>
      </w:r>
      <w:r w:rsidR="000D3842">
        <w:t xml:space="preserve">moderate to </w:t>
      </w:r>
      <w:r>
        <w:t>severe calcification, and thus agreed there is a clinical need for alternative treatments for people with PAD.</w:t>
      </w:r>
    </w:p>
    <w:p w14:paraId="601C8915" w14:textId="1F2FD1E9" w:rsidR="00CF20DA" w:rsidRDefault="00CF20DA" w:rsidP="00CF20DA">
      <w:r>
        <w:t>MSAC noted the clinical evidence for population 1, which comprised three </w:t>
      </w:r>
      <w:r w:rsidR="000D3842">
        <w:t xml:space="preserve">single-arm </w:t>
      </w:r>
      <w:r>
        <w:t>feasibility trials (DISRUPT PAD I, DISRUPT PAD II and DISRUPT PAD BTK) looking at patency 12 months</w:t>
      </w:r>
      <w:r w:rsidR="000D3842">
        <w:t xml:space="preserve"> after IVL</w:t>
      </w:r>
      <w:r w:rsidR="00AD0B51">
        <w:t>,</w:t>
      </w:r>
      <w:r w:rsidR="006E1077">
        <w:t xml:space="preserve"> which had been undertaken as a standalone procedure</w:t>
      </w:r>
      <w:r>
        <w:t xml:space="preserve">. For population 2, DISRUPT PAD III and DISRUPT PAD III OS provided the evidence base. DISRUPT PAD III was a randomised controlled trial (RCT; </w:t>
      </w:r>
      <w:r w:rsidRPr="173B7BFA">
        <w:rPr>
          <w:rStyle w:val="Emphasis"/>
        </w:rPr>
        <w:t>n</w:t>
      </w:r>
      <w:r>
        <w:t> = 306) comparing IVL with percutaneous transluminal angioplasty (PTA) +/– post-dilatation if stenosis &gt;30%. DISRUPT PAD III OS was a single-arm, observational study (</w:t>
      </w:r>
      <w:r w:rsidRPr="173B7BFA">
        <w:rPr>
          <w:rStyle w:val="Emphasis"/>
        </w:rPr>
        <w:t>n</w:t>
      </w:r>
      <w:r>
        <w:t> = 1,373) using IVL.</w:t>
      </w:r>
      <w:r w:rsidR="00AC4F94">
        <w:t xml:space="preserve"> MSAC noted some risk of bias concerns associated with DISRUPT PAD III RCT</w:t>
      </w:r>
      <w:r w:rsidR="009B394F">
        <w:t xml:space="preserve"> </w:t>
      </w:r>
      <w:r w:rsidR="00AC4F94">
        <w:t xml:space="preserve">due to </w:t>
      </w:r>
      <w:r w:rsidR="009B394F">
        <w:t>the</w:t>
      </w:r>
      <w:r w:rsidR="00AD0B51">
        <w:t xml:space="preserve"> single-blinded design and the fact that</w:t>
      </w:r>
      <w:r w:rsidR="00AC4F94">
        <w:t xml:space="preserve"> almost 20% of patient data </w:t>
      </w:r>
      <w:r w:rsidR="00436121">
        <w:t xml:space="preserve">was </w:t>
      </w:r>
      <w:r w:rsidR="00AC4F94">
        <w:t xml:space="preserve">missing from the analysis (due to death, </w:t>
      </w:r>
      <w:proofErr w:type="gramStart"/>
      <w:r w:rsidR="00AC4F94">
        <w:t>withdrawal</w:t>
      </w:r>
      <w:proofErr w:type="gramEnd"/>
      <w:r w:rsidR="00AC4F94">
        <w:t xml:space="preserve"> and loss of follow up)</w:t>
      </w:r>
      <w:r w:rsidR="00AD0B51">
        <w:t>.</w:t>
      </w:r>
      <w:r w:rsidR="00EF2528">
        <w:t xml:space="preserve"> </w:t>
      </w:r>
      <w:proofErr w:type="gramStart"/>
      <w:r w:rsidR="00EF2528">
        <w:t>However</w:t>
      </w:r>
      <w:proofErr w:type="gramEnd"/>
      <w:r w:rsidR="00EF2528">
        <w:t xml:space="preserve"> MSAC not</w:t>
      </w:r>
      <w:r w:rsidR="00BE3F3B">
        <w:t>ed</w:t>
      </w:r>
      <w:r w:rsidR="00EF2528">
        <w:t xml:space="preserve"> the commentary acknowledge</w:t>
      </w:r>
      <w:r w:rsidR="00BE3F3B">
        <w:t>d</w:t>
      </w:r>
      <w:r w:rsidR="00EF2528">
        <w:t xml:space="preserve"> that the missing data were balanced between the two treatment arms and is not considered likely to be due to the intervention</w:t>
      </w:r>
      <w:r w:rsidR="00BE3F3B">
        <w:t xml:space="preserve">. </w:t>
      </w:r>
      <w:r w:rsidR="00A55F74">
        <w:t>MSAC noted that the commentary also identified differences between the trial population and the Australian patient population with PAD</w:t>
      </w:r>
      <w:r w:rsidR="002717B8">
        <w:t xml:space="preserve">, which may </w:t>
      </w:r>
      <w:r w:rsidR="006F3F3B">
        <w:t xml:space="preserve">affect the generalisability </w:t>
      </w:r>
      <w:r w:rsidR="00D86FF1">
        <w:t>of the trial data</w:t>
      </w:r>
      <w:r w:rsidR="006066DF">
        <w:t xml:space="preserve"> to the Australian </w:t>
      </w:r>
      <w:r w:rsidR="00C0274A">
        <w:t xml:space="preserve">clinical </w:t>
      </w:r>
      <w:r w:rsidR="006066DF">
        <w:t>setting</w:t>
      </w:r>
      <w:r w:rsidR="00A55F74">
        <w:t>.</w:t>
      </w:r>
    </w:p>
    <w:p w14:paraId="41C3C7D7" w14:textId="53A7FBDF" w:rsidR="00CF20DA" w:rsidRDefault="00C40455" w:rsidP="00CF20DA">
      <w:r>
        <w:lastRenderedPageBreak/>
        <w:t xml:space="preserve">For population 1, MSAC reiterated ESC’s concern about the weak evidence for non-inferior safety given the lack of comparative evidence. </w:t>
      </w:r>
      <w:r w:rsidR="00C0274A">
        <w:t xml:space="preserve">For population 2, </w:t>
      </w:r>
      <w:r w:rsidR="00CF20DA">
        <w:t xml:space="preserve">MSAC noted that IVL demonstrated non-inferior short- and medium-term safety in terms of major adverse events (MAEs), with </w:t>
      </w:r>
      <w:r w:rsidR="00581E29">
        <w:br/>
      </w:r>
      <w:r w:rsidR="00CF20DA">
        <w:t>24-month follow-up in the RCT and 12-month follow-up in the single-arm study. However, MSAC considered the overall non-inferior safety claim to be uncertain because of the lack of long-term data.</w:t>
      </w:r>
      <w:r w:rsidR="001D192C">
        <w:t xml:space="preserve"> </w:t>
      </w:r>
    </w:p>
    <w:p w14:paraId="0ED65B73" w14:textId="063A7187" w:rsidR="00CF20DA" w:rsidRDefault="00CF20DA" w:rsidP="00CF20DA">
      <w:r>
        <w:t xml:space="preserve">In the DISRUPT PAD III RCT, </w:t>
      </w:r>
      <w:r w:rsidR="002A5F90">
        <w:t>which was relevant to population 2,</w:t>
      </w:r>
      <w:r>
        <w:t xml:space="preserve"> MSAC </w:t>
      </w:r>
      <w:r w:rsidR="005F7CE2">
        <w:t xml:space="preserve">considered </w:t>
      </w:r>
      <w:r>
        <w:t>that IVL appears to demonstrate superior effectiveness for procedural success (65.8% IVL v 50.4% PTA</w:t>
      </w:r>
      <w:r w:rsidR="00284D27">
        <w:t>, p=0.00</w:t>
      </w:r>
      <w:r w:rsidR="004A3239">
        <w:t>7</w:t>
      </w:r>
      <w:r>
        <w:t>)</w:t>
      </w:r>
      <w:r w:rsidR="00FD46D4">
        <w:t xml:space="preserve"> when used </w:t>
      </w:r>
      <w:r w:rsidR="009B123B">
        <w:t>for</w:t>
      </w:r>
      <w:r w:rsidR="00FD46D4">
        <w:t xml:space="preserve"> vessel preparation</w:t>
      </w:r>
      <w:r w:rsidR="009B123B">
        <w:t xml:space="preserve"> prior to stent insertion or DCB</w:t>
      </w:r>
      <w:r>
        <w:t xml:space="preserve">. Procedural success was defined as a reduction of at least 30% stenosis </w:t>
      </w:r>
      <w:r w:rsidR="0033596B">
        <w:t xml:space="preserve">without flow-limiting dissection (≥ grade D) </w:t>
      </w:r>
      <w:r>
        <w:t>before any adjunct therapy. When considering site-reported procedural success, the differences increased to 90.1% for IVL and 64.8% for PTA</w:t>
      </w:r>
      <w:r w:rsidR="00B14A8A">
        <w:t xml:space="preserve"> (p&lt;0.0001)</w:t>
      </w:r>
      <w:r>
        <w:t>. MSAC noted that primary patency was retained after 1 year (80.5% IVL and 68.0% PTA</w:t>
      </w:r>
      <w:r w:rsidR="00DB6F7B">
        <w:t>, p=0.01</w:t>
      </w:r>
      <w:r w:rsidR="00D263E4">
        <w:t>7</w:t>
      </w:r>
      <w:r>
        <w:t>). Freedom from provisional stenting after 1 year was 95.4% for IVL and 81.7% for PTA</w:t>
      </w:r>
      <w:r w:rsidR="00BE0073">
        <w:t xml:space="preserve"> (</w:t>
      </w:r>
      <w:r w:rsidR="00D01E3A">
        <w:t>p&lt;0.0001)</w:t>
      </w:r>
      <w:r>
        <w:t>. MSAC noted that primary patency was retained after 2 years (70.4% IVL and 51.3% PTA</w:t>
      </w:r>
      <w:r w:rsidR="00D01E3A">
        <w:t>, p=0.00</w:t>
      </w:r>
      <w:r w:rsidR="00A568C1">
        <w:t>3</w:t>
      </w:r>
      <w:r>
        <w:t>). Freedom from provisional stenting after 2 years was 95.4% for IVL and 81.7% for PTA</w:t>
      </w:r>
      <w:r w:rsidR="00D01E3A">
        <w:t xml:space="preserve"> (p&lt;0.0001</w:t>
      </w:r>
      <w:r w:rsidR="004A3239">
        <w:t>)</w:t>
      </w:r>
      <w:r>
        <w:t>.</w:t>
      </w:r>
      <w:r w:rsidR="004C7933" w:rsidRPr="004C7933">
        <w:t xml:space="preserve"> </w:t>
      </w:r>
    </w:p>
    <w:p w14:paraId="507F042C" w14:textId="5194E060" w:rsidR="00CF20DA" w:rsidRDefault="00CF20DA" w:rsidP="00CF20DA">
      <w:r>
        <w:t xml:space="preserve">However, MSAC noted that, when looking at the endpoints of procedural success </w:t>
      </w:r>
      <w:r w:rsidR="006E6086">
        <w:t>for population 2</w:t>
      </w:r>
      <w:r>
        <w:t xml:space="preserve"> (secondary analysis using the </w:t>
      </w:r>
      <w:r w:rsidR="007C6AC9">
        <w:t xml:space="preserve">primary </w:t>
      </w:r>
      <w:proofErr w:type="spellStart"/>
      <w:r w:rsidR="007C6AC9">
        <w:t>patency</w:t>
      </w:r>
      <w:r>
        <w:t>l</w:t>
      </w:r>
      <w:proofErr w:type="spellEnd"/>
      <w:r>
        <w:t xml:space="preserve"> population) freedom from clinically driven target lesion revascularisation (CD-TLR) and freedom from restenosis, there was no </w:t>
      </w:r>
      <w:r w:rsidR="00E7457E">
        <w:t>statistically</w:t>
      </w:r>
      <w:r>
        <w:t xml:space="preserve"> significant difference between IVL and PTA </w:t>
      </w:r>
      <w:r w:rsidR="003B711D">
        <w:t>for freedom from CD-TLR and restenosis, post</w:t>
      </w:r>
      <w:r w:rsidR="004013CF">
        <w:t>-</w:t>
      </w:r>
      <w:r w:rsidR="003B711D">
        <w:t>procedure, after 1 or 2 yea</w:t>
      </w:r>
      <w:r w:rsidR="00151D6A">
        <w:t>rs</w:t>
      </w:r>
      <w:r>
        <w:t xml:space="preserve">. MSAC noted that, overall, the treatment outcomes in the </w:t>
      </w:r>
      <w:proofErr w:type="gramStart"/>
      <w:r>
        <w:t>single-arm</w:t>
      </w:r>
      <w:proofErr w:type="gramEnd"/>
      <w:r>
        <w:t xml:space="preserve"> DISRUPT PAD III OS study showed similar outcomes to the RCT.</w:t>
      </w:r>
    </w:p>
    <w:p w14:paraId="33CFEB12" w14:textId="1D98943A" w:rsidR="00CF20DA" w:rsidRDefault="00CF20DA" w:rsidP="00CF20DA">
      <w:r>
        <w:t xml:space="preserve">Overall, for population 1, MSAC considered that </w:t>
      </w:r>
      <w:r w:rsidR="007568C1">
        <w:t>there was</w:t>
      </w:r>
      <w:r w:rsidR="004A39FA">
        <w:t xml:space="preserve"> </w:t>
      </w:r>
      <w:r w:rsidR="00C937E2">
        <w:t xml:space="preserve">very limited and </w:t>
      </w:r>
      <w:r w:rsidR="00E45D1A">
        <w:t xml:space="preserve">weak evidence for non-inferior safety </w:t>
      </w:r>
      <w:r w:rsidR="00D63C5E">
        <w:t xml:space="preserve">of IVL </w:t>
      </w:r>
      <w:r w:rsidR="00E45D1A">
        <w:t>and</w:t>
      </w:r>
      <w:r>
        <w:t xml:space="preserve"> for comparable effectiveness </w:t>
      </w:r>
      <w:r w:rsidR="00D63C5E">
        <w:t xml:space="preserve">of IVL </w:t>
      </w:r>
      <w:r>
        <w:t>to SBA, given alignment of single-arm trials with a comparative RCT. For population 2, MSAC considered that</w:t>
      </w:r>
      <w:r w:rsidR="007568C1">
        <w:t xml:space="preserve"> </w:t>
      </w:r>
      <w:r w:rsidR="00D63C5E">
        <w:t xml:space="preserve">there was evidence of </w:t>
      </w:r>
      <w:proofErr w:type="spellStart"/>
      <w:r w:rsidR="007568C1">
        <w:t>non inferior</w:t>
      </w:r>
      <w:proofErr w:type="spellEnd"/>
      <w:r w:rsidR="007568C1">
        <w:t xml:space="preserve"> safety</w:t>
      </w:r>
      <w:r w:rsidR="00D63C5E">
        <w:t xml:space="preserve"> of IVL</w:t>
      </w:r>
      <w:r w:rsidR="007568C1">
        <w:t xml:space="preserve"> in terms of absence of MAEs, thrombus and distal emboli events in all patients treated with IVL, </w:t>
      </w:r>
      <w:r w:rsidR="009B5A6C">
        <w:t xml:space="preserve">but lack of evidence on long-term safety; and </w:t>
      </w:r>
      <w:r w:rsidR="00473950">
        <w:t>evidence</w:t>
      </w:r>
      <w:r w:rsidR="00A43CBC">
        <w:t xml:space="preserve"> of </w:t>
      </w:r>
      <w:r>
        <w:t xml:space="preserve">superior effectiveness </w:t>
      </w:r>
      <w:r w:rsidR="00A43CBC">
        <w:t xml:space="preserve">of IVL </w:t>
      </w:r>
      <w:r>
        <w:t>in terms of procedural success</w:t>
      </w:r>
      <w:r w:rsidR="00E37D8A">
        <w:t xml:space="preserve"> (</w:t>
      </w:r>
      <w:r w:rsidR="00430AE0">
        <w:t>al</w:t>
      </w:r>
      <w:r w:rsidR="00E37D8A">
        <w:t>though noting</w:t>
      </w:r>
      <w:r w:rsidR="005F50B7">
        <w:t xml:space="preserve"> this was based on only one RCT and one single arm </w:t>
      </w:r>
      <w:r w:rsidR="6276DF67">
        <w:t>study</w:t>
      </w:r>
      <w:r w:rsidR="005F50B7">
        <w:t xml:space="preserve"> and there were </w:t>
      </w:r>
      <w:r w:rsidR="00E37D8A">
        <w:t xml:space="preserve">risk of bias concerns associated with the RCT evidence). </w:t>
      </w:r>
      <w:r w:rsidR="004A39FA">
        <w:t xml:space="preserve">MSAC also </w:t>
      </w:r>
      <w:r w:rsidR="00B363D7">
        <w:t>n</w:t>
      </w:r>
      <w:r w:rsidR="004A39FA">
        <w:t xml:space="preserve">oted that </w:t>
      </w:r>
      <w:r w:rsidR="00A43CBC">
        <w:t>the evidence</w:t>
      </w:r>
      <w:r w:rsidR="0088581F">
        <w:t xml:space="preserve"> </w:t>
      </w:r>
      <w:r w:rsidR="00E35ABF">
        <w:t xml:space="preserve">did not demonstrate any </w:t>
      </w:r>
      <w:r w:rsidR="00C82F49">
        <w:t>patient-reported outcomes such as QoL benefit, ankle-brachial index scores or walking improvement</w:t>
      </w:r>
      <w:r>
        <w:t xml:space="preserve"> </w:t>
      </w:r>
      <w:r w:rsidR="00E35ABF">
        <w:t xml:space="preserve">nor any survival benefit demonstrated </w:t>
      </w:r>
      <w:r w:rsidR="00BF04D9">
        <w:t xml:space="preserve">either </w:t>
      </w:r>
      <w:r w:rsidR="00DB0769">
        <w:t>directly</w:t>
      </w:r>
      <w:r w:rsidR="00EC27E8">
        <w:t>,</w:t>
      </w:r>
      <w:r w:rsidR="00DB0769">
        <w:t xml:space="preserve"> or from </w:t>
      </w:r>
      <w:r w:rsidR="00C221F0">
        <w:t xml:space="preserve">any linked evidence </w:t>
      </w:r>
      <w:r w:rsidR="00370CCE">
        <w:t>on</w:t>
      </w:r>
      <w:r w:rsidR="00C221F0">
        <w:t xml:space="preserve"> </w:t>
      </w:r>
      <w:r>
        <w:t>avoidance of stenting</w:t>
      </w:r>
      <w:r w:rsidR="00500EA8">
        <w:t>.</w:t>
      </w:r>
    </w:p>
    <w:p w14:paraId="4A79D845" w14:textId="017B33DD" w:rsidR="00CF20DA" w:rsidRDefault="00CF20DA" w:rsidP="00CF20DA">
      <w:r>
        <w:t xml:space="preserve">MSAC noted that the economic evaluation </w:t>
      </w:r>
      <w:r w:rsidR="003230E1">
        <w:t>included</w:t>
      </w:r>
      <w:r>
        <w:t xml:space="preserve"> a cost-utility analysis</w:t>
      </w:r>
      <w:r w:rsidR="009333C5">
        <w:t xml:space="preserve"> and</w:t>
      </w:r>
      <w:r>
        <w:t xml:space="preserve"> a cost-consequence analysis. The cost-utility analysis model replaced asymptomatic and intermittent claudication with patency and loss of patency</w:t>
      </w:r>
      <w:r w:rsidR="00500EA8">
        <w:t xml:space="preserve"> </w:t>
      </w:r>
      <w:proofErr w:type="gramStart"/>
      <w:r w:rsidR="00500EA8">
        <w:t>respectively</w:t>
      </w:r>
      <w:r>
        <w:t>, and</w:t>
      </w:r>
      <w:proofErr w:type="gramEnd"/>
      <w:r>
        <w:t xml:space="preserve"> assumed that patency is equivalent to asymptomatic disease and loss of patency is equivalent to intermittent claudication. MSAC </w:t>
      </w:r>
      <w:r w:rsidR="0099156E">
        <w:t>agreed with the commentary that</w:t>
      </w:r>
      <w:r>
        <w:t xml:space="preserve"> patency and loss of patency were appropriate for end of procedure or follow-up for a decision-tree analysis, but not as health states as used in the ADAR’s Markov model. MSAC noted expert opinion that highlighted the importance of patency when treating PAD patients</w:t>
      </w:r>
      <w:r w:rsidR="008D7226">
        <w:t xml:space="preserve"> </w:t>
      </w:r>
      <w:r w:rsidR="00D25C57">
        <w:t xml:space="preserve">because patency </w:t>
      </w:r>
      <w:r w:rsidR="00D53B7D">
        <w:t>is mechanically related to symptoms of PAD</w:t>
      </w:r>
      <w:r w:rsidR="008D7226">
        <w:t xml:space="preserve"> but considered </w:t>
      </w:r>
      <w:r w:rsidR="00B023FD">
        <w:t>tha</w:t>
      </w:r>
      <w:r w:rsidR="00820936">
        <w:t>t this still did not address concern</w:t>
      </w:r>
      <w:r w:rsidR="00313C71">
        <w:t>s</w:t>
      </w:r>
      <w:r w:rsidR="00820936">
        <w:t xml:space="preserve"> </w:t>
      </w:r>
      <w:r w:rsidR="00295CC3">
        <w:t>that</w:t>
      </w:r>
      <w:r w:rsidR="00820936">
        <w:t xml:space="preserve"> use of patency as a health state</w:t>
      </w:r>
      <w:r w:rsidR="000901D2">
        <w:t xml:space="preserve"> in Markov modelling</w:t>
      </w:r>
      <w:r w:rsidR="00295CC3">
        <w:t xml:space="preserve"> was methodologically inappropriate</w:t>
      </w:r>
      <w:r>
        <w:t xml:space="preserve">. MSAC also considered the extrapolation time horizon of 30 years to be implausible, because the average patient age for PAD was </w:t>
      </w:r>
      <w:r w:rsidR="00581E29">
        <w:br/>
      </w:r>
      <w:r>
        <w:t xml:space="preserve">71–72 years. </w:t>
      </w:r>
      <w:r w:rsidR="008E6238">
        <w:t>MSAC considered the</w:t>
      </w:r>
      <w:r>
        <w:t xml:space="preserve"> time horizon </w:t>
      </w:r>
      <w:r w:rsidR="00F90E1E">
        <w:t>of</w:t>
      </w:r>
      <w:r>
        <w:t xml:space="preserve"> 15 years</w:t>
      </w:r>
      <w:r w:rsidR="00F90E1E">
        <w:t xml:space="preserve"> </w:t>
      </w:r>
      <w:r w:rsidR="00C96552">
        <w:t>supplied by the applicant in the pre-ESC response to be more appropriate</w:t>
      </w:r>
      <w:r>
        <w:t>.</w:t>
      </w:r>
    </w:p>
    <w:p w14:paraId="3F6ABAE3" w14:textId="3542F32B" w:rsidR="00CF20DA" w:rsidRDefault="00CF20DA" w:rsidP="00CF20DA">
      <w:r>
        <w:t xml:space="preserve">MSAC noted further </w:t>
      </w:r>
      <w:r w:rsidR="008E3D28">
        <w:t xml:space="preserve">issues with the </w:t>
      </w:r>
      <w:r>
        <w:t>model input parameters</w:t>
      </w:r>
      <w:r w:rsidR="001229AD">
        <w:t xml:space="preserve"> </w:t>
      </w:r>
      <w:r w:rsidR="00817F3F">
        <w:t>associated with</w:t>
      </w:r>
      <w:r w:rsidR="001229AD">
        <w:t xml:space="preserve"> the base case </w:t>
      </w:r>
      <w:r w:rsidR="00187899">
        <w:t>model (which was for population 2 with a scenario analysis for population 1)</w:t>
      </w:r>
      <w:r>
        <w:t>:</w:t>
      </w:r>
    </w:p>
    <w:p w14:paraId="7C907EE9" w14:textId="68C4A017" w:rsidR="00CF20DA" w:rsidRPr="00DC567C" w:rsidRDefault="00CF20DA" w:rsidP="00CF20DA">
      <w:pPr>
        <w:pStyle w:val="Bullet"/>
        <w:numPr>
          <w:ilvl w:val="0"/>
          <w:numId w:val="24"/>
        </w:numPr>
        <w:spacing w:before="0"/>
        <w:ind w:left="720"/>
        <w:rPr>
          <w:rFonts w:ascii="Franklin Gothic Book" w:hAnsi="Franklin Gothic Book"/>
        </w:rPr>
      </w:pPr>
      <w:r w:rsidRPr="003B6C6C">
        <w:rPr>
          <w:rFonts w:ascii="Franklin Gothic Book" w:hAnsi="Franklin Gothic Book"/>
        </w:rPr>
        <w:lastRenderedPageBreak/>
        <w:t>Rate of stenting after the intervention: the ADAR used MBS data instead of trial-based data, but the MBS items were not specific enough to be used reliably</w:t>
      </w:r>
      <w:r w:rsidR="00A10AED">
        <w:rPr>
          <w:rFonts w:ascii="Franklin Gothic Book" w:hAnsi="Franklin Gothic Book"/>
        </w:rPr>
        <w:t>,</w:t>
      </w:r>
      <w:r w:rsidR="00AA0E05" w:rsidRPr="00DC567C">
        <w:rPr>
          <w:rFonts w:ascii="Franklin Gothic Book" w:hAnsi="Franklin Gothic Book"/>
        </w:rPr>
        <w:t xml:space="preserve"> </w:t>
      </w:r>
      <w:r w:rsidR="00534860" w:rsidRPr="00DC567C">
        <w:rPr>
          <w:rFonts w:ascii="Franklin Gothic Book" w:hAnsi="Franklin Gothic Book"/>
        </w:rPr>
        <w:t xml:space="preserve">but the ADAR still applied the </w:t>
      </w:r>
      <w:r w:rsidR="00AA0E05" w:rsidRPr="00DC567C">
        <w:rPr>
          <w:rFonts w:ascii="Franklin Gothic Book" w:hAnsi="Franklin Gothic Book"/>
        </w:rPr>
        <w:t>relative risk</w:t>
      </w:r>
      <w:r w:rsidR="00534860" w:rsidRPr="00DC567C">
        <w:rPr>
          <w:rFonts w:ascii="Franklin Gothic Book" w:hAnsi="Franklin Gothic Book"/>
        </w:rPr>
        <w:t xml:space="preserve"> data</w:t>
      </w:r>
      <w:r w:rsidR="00AA0E05" w:rsidRPr="00DC567C">
        <w:rPr>
          <w:rFonts w:ascii="Franklin Gothic Book" w:hAnsi="Franklin Gothic Book"/>
        </w:rPr>
        <w:t xml:space="preserve"> from the trial</w:t>
      </w:r>
      <w:r w:rsidR="00534860" w:rsidRPr="00DC567C">
        <w:rPr>
          <w:rFonts w:ascii="Franklin Gothic Book" w:hAnsi="Franklin Gothic Book"/>
        </w:rPr>
        <w:t xml:space="preserve"> which </w:t>
      </w:r>
      <w:r w:rsidR="001806CC" w:rsidRPr="00DC567C">
        <w:rPr>
          <w:rFonts w:ascii="Franklin Gothic Book" w:hAnsi="Franklin Gothic Book"/>
        </w:rPr>
        <w:t xml:space="preserve">then </w:t>
      </w:r>
      <w:r w:rsidR="00AA0E05" w:rsidRPr="00DC567C">
        <w:rPr>
          <w:rFonts w:ascii="Franklin Gothic Book" w:hAnsi="Franklin Gothic Book"/>
        </w:rPr>
        <w:t>overestimat</w:t>
      </w:r>
      <w:r w:rsidR="001806CC" w:rsidRPr="00DC567C">
        <w:rPr>
          <w:rFonts w:ascii="Franklin Gothic Book" w:hAnsi="Franklin Gothic Book"/>
        </w:rPr>
        <w:t>ed</w:t>
      </w:r>
      <w:r w:rsidR="00AA0E05" w:rsidRPr="00DC567C">
        <w:rPr>
          <w:rFonts w:ascii="Franklin Gothic Book" w:hAnsi="Franklin Gothic Book"/>
        </w:rPr>
        <w:t xml:space="preserve"> the percentage of stenting avoided with the use of IVL</w:t>
      </w:r>
      <w:r w:rsidRPr="00DC567C">
        <w:rPr>
          <w:rFonts w:ascii="Franklin Gothic Book" w:hAnsi="Franklin Gothic Book"/>
        </w:rPr>
        <w:t>. The rate of stenting was a key driver of the incremental cost-effectiveness ratio (ICER).</w:t>
      </w:r>
    </w:p>
    <w:p w14:paraId="4E61B8CA" w14:textId="1F2CDDBD" w:rsidR="00CF20DA" w:rsidRPr="00DC567C" w:rsidRDefault="00CF20DA" w:rsidP="00CF20DA">
      <w:pPr>
        <w:pStyle w:val="Bullet"/>
        <w:numPr>
          <w:ilvl w:val="0"/>
          <w:numId w:val="24"/>
        </w:numPr>
        <w:spacing w:before="0"/>
        <w:ind w:left="720"/>
        <w:rPr>
          <w:rFonts w:ascii="Franklin Gothic Book" w:hAnsi="Franklin Gothic Book"/>
        </w:rPr>
      </w:pPr>
      <w:r w:rsidRPr="00DC567C">
        <w:rPr>
          <w:rFonts w:ascii="Franklin Gothic Book" w:hAnsi="Franklin Gothic Book"/>
        </w:rPr>
        <w:t>Transition probabilities for loss of patency: the model assumed the rate after 2 years would be constant, which is not clinically plausible. Mortality was also assumed to be constant regardless of the health state, which is also not plausible.</w:t>
      </w:r>
    </w:p>
    <w:p w14:paraId="15FAF8E0" w14:textId="77777777" w:rsidR="00CF20DA" w:rsidRPr="00DC567C" w:rsidRDefault="00CF20DA" w:rsidP="00CF20DA">
      <w:pPr>
        <w:pStyle w:val="Bullet"/>
        <w:numPr>
          <w:ilvl w:val="0"/>
          <w:numId w:val="24"/>
        </w:numPr>
        <w:spacing w:before="0"/>
        <w:ind w:left="720"/>
        <w:rPr>
          <w:rFonts w:ascii="Franklin Gothic Book" w:hAnsi="Franklin Gothic Book"/>
        </w:rPr>
      </w:pPr>
      <w:r w:rsidRPr="00DC567C">
        <w:rPr>
          <w:rFonts w:ascii="Franklin Gothic Book" w:hAnsi="Franklin Gothic Book"/>
        </w:rPr>
        <w:t>Utility weights: these were based on a US value set and assumed that loss of patency is equivalent to the baseline utility value of symptomatic patients. Further, model states were angiographic and informed by trial data, but utilities were attributed to those from symptoms or health states.</w:t>
      </w:r>
    </w:p>
    <w:p w14:paraId="582A5488" w14:textId="2DE2A391" w:rsidR="00CF20DA" w:rsidRPr="00DC567C" w:rsidRDefault="00CF20DA" w:rsidP="00CF20DA">
      <w:pPr>
        <w:pStyle w:val="Bullet"/>
        <w:numPr>
          <w:ilvl w:val="0"/>
          <w:numId w:val="24"/>
        </w:numPr>
        <w:spacing w:before="0"/>
        <w:ind w:left="720"/>
        <w:rPr>
          <w:rFonts w:ascii="Franklin Gothic Book" w:hAnsi="Franklin Gothic Book"/>
        </w:rPr>
      </w:pPr>
      <w:r w:rsidRPr="00DC567C">
        <w:rPr>
          <w:rFonts w:ascii="Franklin Gothic Book" w:hAnsi="Franklin Gothic Book"/>
        </w:rPr>
        <w:t>Healthcare resource use and cost: D</w:t>
      </w:r>
      <w:r w:rsidR="009128A4" w:rsidRPr="00DC567C">
        <w:rPr>
          <w:rFonts w:ascii="Franklin Gothic Book" w:hAnsi="Franklin Gothic Book"/>
        </w:rPr>
        <w:t>rug-eluting stent</w:t>
      </w:r>
      <w:r w:rsidR="00CF6E0C">
        <w:rPr>
          <w:rFonts w:ascii="Franklin Gothic Book" w:hAnsi="Franklin Gothic Book"/>
        </w:rPr>
        <w:t xml:space="preserve"> (DES)</w:t>
      </w:r>
      <w:r w:rsidRPr="00DC567C">
        <w:rPr>
          <w:rFonts w:ascii="Franklin Gothic Book" w:hAnsi="Franklin Gothic Book"/>
        </w:rPr>
        <w:t xml:space="preserve"> costs were used, which are very expensive and not reflective of Australian practice (which uses bare metal stents).</w:t>
      </w:r>
      <w:r w:rsidR="002B1AD7" w:rsidRPr="002B1AD7">
        <w:rPr>
          <w:rFonts w:ascii="Franklin Gothic Book" w:hAnsi="Franklin Gothic Book"/>
        </w:rPr>
        <w:t xml:space="preserve"> </w:t>
      </w:r>
    </w:p>
    <w:p w14:paraId="6AF9D738" w14:textId="3B75B07D" w:rsidR="00CF20DA" w:rsidRPr="00DC567C" w:rsidRDefault="00CF20DA" w:rsidP="00CF20DA">
      <w:pPr>
        <w:pStyle w:val="Bullet"/>
        <w:numPr>
          <w:ilvl w:val="0"/>
          <w:numId w:val="24"/>
        </w:numPr>
        <w:spacing w:before="0"/>
        <w:ind w:left="720"/>
        <w:rPr>
          <w:rFonts w:ascii="Franklin Gothic Book" w:hAnsi="Franklin Gothic Book"/>
        </w:rPr>
      </w:pPr>
      <w:r w:rsidRPr="00DC567C">
        <w:rPr>
          <w:rFonts w:ascii="Franklin Gothic Book" w:hAnsi="Franklin Gothic Book"/>
        </w:rPr>
        <w:t xml:space="preserve">IVL generator costs </w:t>
      </w:r>
      <w:r w:rsidR="00F81428" w:rsidRPr="00DC567C">
        <w:rPr>
          <w:rFonts w:ascii="Franklin Gothic Book" w:hAnsi="Franklin Gothic Book"/>
        </w:rPr>
        <w:t>and fluoroscopy costs</w:t>
      </w:r>
      <w:r w:rsidRPr="00DC567C">
        <w:rPr>
          <w:rFonts w:ascii="Franklin Gothic Book" w:hAnsi="Franklin Gothic Book"/>
        </w:rPr>
        <w:t xml:space="preserve"> were not included.</w:t>
      </w:r>
    </w:p>
    <w:p w14:paraId="0DC27C2D" w14:textId="1D18DBC4" w:rsidR="00CF20DA" w:rsidRDefault="00CF20DA" w:rsidP="00CF20DA">
      <w:r>
        <w:t xml:space="preserve">MSAC noted that the base case ICER was </w:t>
      </w:r>
      <w:r w:rsidRPr="005A58CC">
        <w:t>$</w:t>
      </w:r>
      <w:r w:rsidR="0049187F" w:rsidRPr="0049187F">
        <w:rPr>
          <w:b/>
          <w:bCs/>
        </w:rPr>
        <w:t xml:space="preserve"> </w:t>
      </w:r>
      <w:r w:rsidR="0049187F" w:rsidRPr="00B73D4C">
        <w:rPr>
          <w:b/>
          <w:bCs/>
        </w:rPr>
        <w:t>redacted</w:t>
      </w:r>
      <w:r w:rsidR="0049187F" w:rsidRPr="005A58CC" w:rsidDel="0049187F">
        <w:t xml:space="preserve"> </w:t>
      </w:r>
      <w:r>
        <w:t xml:space="preserve">per quality-adjusted life year (QALY) for population 1 and </w:t>
      </w:r>
      <w:r w:rsidRPr="000E0D55">
        <w:t>$</w:t>
      </w:r>
      <w:r w:rsidR="0049187F" w:rsidRPr="0049187F">
        <w:rPr>
          <w:b/>
          <w:bCs/>
        </w:rPr>
        <w:t xml:space="preserve"> </w:t>
      </w:r>
      <w:r w:rsidR="0049187F" w:rsidRPr="00B73D4C">
        <w:rPr>
          <w:b/>
          <w:bCs/>
        </w:rPr>
        <w:t>redacted</w:t>
      </w:r>
      <w:r w:rsidR="0049187F" w:rsidRPr="000E0D55" w:rsidDel="0049187F">
        <w:t xml:space="preserve"> </w:t>
      </w:r>
      <w:r>
        <w:t xml:space="preserve">/QALY for population 2, using a 30-year time horizon. MSAC considered both ICERs to be highly uncertain; the ICER for population 1 was based </w:t>
      </w:r>
      <w:r w:rsidR="00A52E84">
        <w:t>on weak non-comparat</w:t>
      </w:r>
      <w:r w:rsidR="000363B2">
        <w:t xml:space="preserve">ive </w:t>
      </w:r>
      <w:r>
        <w:t>evidence</w:t>
      </w:r>
      <w:r w:rsidR="00C42A5F">
        <w:t xml:space="preserve"> (as previously noted)</w:t>
      </w:r>
      <w:r>
        <w:t>, the ICER for population 2 had problematic economic modelling</w:t>
      </w:r>
      <w:r w:rsidR="00250AE5">
        <w:t xml:space="preserve"> (for the reasons already discussed)</w:t>
      </w:r>
      <w:r>
        <w:t xml:space="preserve">, and both were based on an implausible time horizon. However, sensitivity analysis showed that the time horizon was not a major driver of the ICER – using 15 years only increased the ICER slightly to </w:t>
      </w:r>
      <w:r w:rsidRPr="00643E9F">
        <w:t>$</w:t>
      </w:r>
      <w:r w:rsidR="0049187F" w:rsidRPr="0049187F">
        <w:rPr>
          <w:b/>
          <w:bCs/>
        </w:rPr>
        <w:t xml:space="preserve"> </w:t>
      </w:r>
      <w:r w:rsidR="0049187F" w:rsidRPr="00B73D4C">
        <w:rPr>
          <w:b/>
          <w:bCs/>
        </w:rPr>
        <w:t>redacted</w:t>
      </w:r>
      <w:r w:rsidR="0049187F" w:rsidRPr="00643E9F" w:rsidDel="0049187F">
        <w:t xml:space="preserve"> </w:t>
      </w:r>
      <w:r>
        <w:t>/QALY for population 2.</w:t>
      </w:r>
    </w:p>
    <w:p w14:paraId="7922957F" w14:textId="5DB3B861" w:rsidR="00CF20DA" w:rsidRDefault="00CF20DA" w:rsidP="00CF20DA">
      <w:r>
        <w:t xml:space="preserve">For population 2, the ICER was very sensitive to the rate of stenting </w:t>
      </w:r>
      <w:proofErr w:type="spellStart"/>
      <w:proofErr w:type="gramStart"/>
      <w:r>
        <w:t>postprocedure</w:t>
      </w:r>
      <w:proofErr w:type="spellEnd"/>
      <w:r>
        <w:t>, and</w:t>
      </w:r>
      <w:proofErr w:type="gramEnd"/>
      <w:r>
        <w:t xml:space="preserve"> was also influenced by the cost of the stent. A stenting rate of 23.3% for IVL increased the ICER to </w:t>
      </w:r>
      <w:r w:rsidRPr="009639B7">
        <w:t>$</w:t>
      </w:r>
      <w:r w:rsidR="00012C8A" w:rsidRPr="00F5227E">
        <w:rPr>
          <w:b/>
          <w:bCs/>
        </w:rPr>
        <w:t>redacted</w:t>
      </w:r>
      <w:r>
        <w:t xml:space="preserve">. MSAC considered the rate of stenting to be a major cause of uncertainty in the economic model and ICER. MSAC noted the pre-MSAC response, which advised that the </w:t>
      </w:r>
      <w:r w:rsidRPr="002B3550">
        <w:t>Aust</w:t>
      </w:r>
      <w:r>
        <w:t>ralasian</w:t>
      </w:r>
      <w:r w:rsidRPr="002B3550">
        <w:t xml:space="preserve"> Vasc</w:t>
      </w:r>
      <w:r>
        <w:t>ular</w:t>
      </w:r>
      <w:r w:rsidRPr="002B3550">
        <w:t xml:space="preserve"> Audit suggests</w:t>
      </w:r>
      <w:r>
        <w:t xml:space="preserve"> a stenting</w:t>
      </w:r>
      <w:r w:rsidRPr="002B3550">
        <w:t xml:space="preserve"> rate</w:t>
      </w:r>
      <w:r>
        <w:t xml:space="preserve"> of</w:t>
      </w:r>
      <w:r w:rsidRPr="002B3550">
        <w:t xml:space="preserve"> </w:t>
      </w:r>
      <w:r>
        <w:t>about</w:t>
      </w:r>
      <w:r w:rsidRPr="002B3550">
        <w:t xml:space="preserve"> 36.6% (</w:t>
      </w:r>
      <w:r>
        <w:t xml:space="preserve">compared with </w:t>
      </w:r>
      <w:r w:rsidRPr="002B3550">
        <w:t>4% vs 18%</w:t>
      </w:r>
      <w:r>
        <w:t xml:space="preserve"> stenting rates used in the DISRUPT PAD III trial</w:t>
      </w:r>
      <w:r w:rsidRPr="002B3550">
        <w:t>)</w:t>
      </w:r>
      <w:r>
        <w:t>.</w:t>
      </w:r>
    </w:p>
    <w:p w14:paraId="3ECE3075" w14:textId="1265495D" w:rsidR="00CF20DA" w:rsidRDefault="00CF20DA" w:rsidP="00CF20DA">
      <w:r>
        <w:t xml:space="preserve">The ADAR used a market share approach for the financial impact, which was </w:t>
      </w:r>
      <w:r w:rsidR="007416D4">
        <w:t>$</w:t>
      </w:r>
      <w:proofErr w:type="gramStart"/>
      <w:r w:rsidR="003A6D4D" w:rsidRPr="00F5227E">
        <w:rPr>
          <w:b/>
          <w:bCs/>
        </w:rPr>
        <w:t>redacted</w:t>
      </w:r>
      <w:r w:rsidR="003A6D4D">
        <w:t xml:space="preserve"> </w:t>
      </w:r>
      <w:r>
        <w:t xml:space="preserve"> </w:t>
      </w:r>
      <w:r w:rsidR="00D233A8">
        <w:t>(</w:t>
      </w:r>
      <w:proofErr w:type="gramEnd"/>
      <w:r w:rsidR="00D233A8">
        <w:t>net costs</w:t>
      </w:r>
      <w:r w:rsidR="00DD351C">
        <w:t xml:space="preserve"> to all governments)</w:t>
      </w:r>
      <w:r w:rsidR="00D233A8">
        <w:t xml:space="preserve"> </w:t>
      </w:r>
      <w:r>
        <w:t xml:space="preserve">in year 1 to </w:t>
      </w:r>
      <w:r w:rsidR="007416D4">
        <w:t>$</w:t>
      </w:r>
      <w:r w:rsidR="003A6D4D" w:rsidRPr="00B73D4C">
        <w:rPr>
          <w:b/>
          <w:bCs/>
        </w:rPr>
        <w:t>redacted</w:t>
      </w:r>
      <w:r w:rsidR="003A6D4D" w:rsidDel="003A6D4D">
        <w:t xml:space="preserve"> </w:t>
      </w:r>
      <w:r>
        <w:t xml:space="preserve">in year 6. However, the uncertainties in the economic modelling </w:t>
      </w:r>
      <w:r w:rsidR="0003614E">
        <w:t>(such as the use of DES costs to calculate stenting costs and overestimate of stents avoided by the intervention)</w:t>
      </w:r>
      <w:r>
        <w:t xml:space="preserve"> flowed through to the financial impact. The assumed uptake of between 15% and 50% over time was not based on the evidence presented and resulted in an uncertain financial impact. MSAC noted that the pre-MSAC response stated that this was a minimal financial impact, and MSAC agreed.</w:t>
      </w:r>
    </w:p>
    <w:p w14:paraId="51518497" w14:textId="74733449" w:rsidR="00905249" w:rsidRDefault="00CF20DA" w:rsidP="00CF20DA">
      <w:r>
        <w:t xml:space="preserve">MSAC deferred its decision regarding funding IVL on the MBS. </w:t>
      </w:r>
      <w:r w:rsidR="006D06E9">
        <w:t xml:space="preserve">MSAC considered that </w:t>
      </w:r>
      <w:r w:rsidR="000938A6">
        <w:t>despite the</w:t>
      </w:r>
      <w:r w:rsidR="00540A33">
        <w:t xml:space="preserve"> weak and uncertain evidence</w:t>
      </w:r>
      <w:r w:rsidR="009E4D25">
        <w:t>, especially</w:t>
      </w:r>
      <w:r w:rsidR="00540A33">
        <w:t xml:space="preserve"> </w:t>
      </w:r>
      <w:r w:rsidR="00A45F1A">
        <w:t>for IVL as a stand-alone procedure</w:t>
      </w:r>
      <w:r w:rsidR="00BB0AC0">
        <w:t>, its</w:t>
      </w:r>
      <w:r w:rsidR="009F76FD">
        <w:t xml:space="preserve"> key concerns related to the </w:t>
      </w:r>
      <w:r w:rsidR="00615500">
        <w:t>inappropriate structure of the economic model</w:t>
      </w:r>
      <w:r w:rsidR="00BF1803">
        <w:t xml:space="preserve"> </w:t>
      </w:r>
      <w:r w:rsidR="00BF0F6F">
        <w:t>did not facilitate assessment of IVL’s cost effectiveness</w:t>
      </w:r>
      <w:r w:rsidR="00581E29">
        <w:t>.</w:t>
      </w:r>
      <w:r w:rsidR="00615500">
        <w:t xml:space="preserve"> </w:t>
      </w:r>
      <w:r>
        <w:t>However, MSAC acknowledged the clinical need for such a service, as the comparator has several related adverse events.</w:t>
      </w:r>
      <w:r w:rsidR="000D6983">
        <w:t xml:space="preserve"> </w:t>
      </w:r>
    </w:p>
    <w:p w14:paraId="0725D425" w14:textId="122CF343" w:rsidR="00CF20DA" w:rsidRDefault="00CF20DA" w:rsidP="00CF20DA">
      <w:r>
        <w:t xml:space="preserve">MSAC recommended that </w:t>
      </w:r>
      <w:r w:rsidR="00746A31">
        <w:t>any resubmission</w:t>
      </w:r>
      <w:r w:rsidR="004335C0">
        <w:t xml:space="preserve"> </w:t>
      </w:r>
      <w:r w:rsidR="001F57E3">
        <w:t>should</w:t>
      </w:r>
      <w:r w:rsidR="004335C0">
        <w:t xml:space="preserve"> </w:t>
      </w:r>
      <w:r w:rsidR="00762EC7">
        <w:t xml:space="preserve">include </w:t>
      </w:r>
      <w:r w:rsidR="001F57E3">
        <w:t>a revised</w:t>
      </w:r>
      <w:r w:rsidR="003765C5">
        <w:t xml:space="preserve"> clinical algorithm</w:t>
      </w:r>
      <w:r w:rsidR="00A60532">
        <w:t xml:space="preserve"> </w:t>
      </w:r>
      <w:r w:rsidR="003765C5">
        <w:t xml:space="preserve">that it is </w:t>
      </w:r>
      <w:r w:rsidR="00671F15">
        <w:t>not</w:t>
      </w:r>
      <w:r w:rsidR="003765C5">
        <w:t xml:space="preserve"> </w:t>
      </w:r>
      <w:r>
        <w:t>split into two populations</w:t>
      </w:r>
      <w:r w:rsidR="003765C5">
        <w:t xml:space="preserve"> since this is not reflective of clinical practice </w:t>
      </w:r>
      <w:r w:rsidR="005B5155" w:rsidRPr="393AC80F">
        <w:rPr>
          <w:rStyle w:val="normaltextrun"/>
          <w:rFonts w:cs="Segoe UI"/>
        </w:rPr>
        <w:t xml:space="preserve">where </w:t>
      </w:r>
      <w:r w:rsidR="005B5155">
        <w:t>stenting is provisional depending on the outcome of the IVL as perceived by the clinician in real time</w:t>
      </w:r>
      <w:r>
        <w:t xml:space="preserve">. Rather, the </w:t>
      </w:r>
      <w:r w:rsidR="00671F15">
        <w:t>clinical algorithm should reflect only one</w:t>
      </w:r>
      <w:r>
        <w:t xml:space="preserve"> population</w:t>
      </w:r>
      <w:r w:rsidR="00671F15">
        <w:t>, namely</w:t>
      </w:r>
      <w:r>
        <w:t xml:space="preserve"> patients with PAD</w:t>
      </w:r>
      <w:r w:rsidR="00F53E91">
        <w:t xml:space="preserve"> </w:t>
      </w:r>
      <w:r w:rsidR="00F53E91" w:rsidRPr="00B26BCD">
        <w:t>who have moderately or severely calcified lesions</w:t>
      </w:r>
      <w:r w:rsidR="00F53E91" w:rsidRPr="00B26BCD" w:rsidDel="00300A2B">
        <w:t xml:space="preserve"> </w:t>
      </w:r>
      <w:r w:rsidR="00F53E91" w:rsidRPr="00B26BCD">
        <w:t>in their lower limb(s)</w:t>
      </w:r>
      <w:r>
        <w:t>. This would result in one proposed MBS item and descriptor</w:t>
      </w:r>
      <w:r w:rsidR="00A60532">
        <w:t xml:space="preserve"> and would also </w:t>
      </w:r>
      <w:r w:rsidR="00781887">
        <w:t xml:space="preserve">serve as a basis for appropriate revisions to the structure of the economic model. </w:t>
      </w:r>
    </w:p>
    <w:p w14:paraId="4646330F" w14:textId="02A9C07F" w:rsidR="00A25F59" w:rsidRDefault="00CF20DA" w:rsidP="00A25F59">
      <w:r>
        <w:lastRenderedPageBreak/>
        <w:t xml:space="preserve">MSAC </w:t>
      </w:r>
      <w:r w:rsidR="0004622C">
        <w:t>considered that</w:t>
      </w:r>
      <w:r>
        <w:t xml:space="preserve"> since the evidence did not present any health-related QoL or other patient-related outcomes, the economic modelling should be presented as a cost-consequence analysis using a decision tree structure</w:t>
      </w:r>
      <w:r w:rsidR="005B5155">
        <w:t xml:space="preserve"> based on </w:t>
      </w:r>
      <w:r w:rsidR="002C10E3">
        <w:t>the</w:t>
      </w:r>
      <w:r w:rsidR="001966A2">
        <w:t xml:space="preserve"> proposed</w:t>
      </w:r>
      <w:r w:rsidR="005B5155">
        <w:t xml:space="preserve"> revised clinical algorithm</w:t>
      </w:r>
      <w:r w:rsidR="00671F15">
        <w:t xml:space="preserve"> with one patient population</w:t>
      </w:r>
      <w:r w:rsidR="005B5155">
        <w:t>.</w:t>
      </w:r>
      <w:r>
        <w:t xml:space="preserve"> It should focus on procedure costs and costs of changes in resource use (stents, balloons used, etc.), </w:t>
      </w:r>
      <w:r w:rsidR="00D43C4E">
        <w:t xml:space="preserve">with </w:t>
      </w:r>
      <w:r>
        <w:t xml:space="preserve">the procedural outcome (patency vs lack of patency) as the </w:t>
      </w:r>
      <w:proofErr w:type="gramStart"/>
      <w:r>
        <w:t>final outcome</w:t>
      </w:r>
      <w:proofErr w:type="gramEnd"/>
      <w:r>
        <w:t xml:space="preserve">. </w:t>
      </w:r>
      <w:r w:rsidR="009C7C0A">
        <w:t xml:space="preserve">The model should also address </w:t>
      </w:r>
      <w:r w:rsidR="0081666D">
        <w:t xml:space="preserve">and correct </w:t>
      </w:r>
      <w:r w:rsidR="009C7C0A">
        <w:t xml:space="preserve">the </w:t>
      </w:r>
      <w:r w:rsidR="007D4C4F">
        <w:t xml:space="preserve">problematic input parameters identified by MSAC such as </w:t>
      </w:r>
      <w:r w:rsidR="00912E71">
        <w:t>the omission of generator</w:t>
      </w:r>
      <w:r w:rsidR="00F70047">
        <w:t xml:space="preserve"> and fluoroscopy </w:t>
      </w:r>
      <w:r w:rsidR="00912E71">
        <w:t>costs and the use of</w:t>
      </w:r>
      <w:r w:rsidR="001966A2">
        <w:t xml:space="preserve"> bare metal stents over</w:t>
      </w:r>
      <w:r w:rsidR="00912E71">
        <w:t xml:space="preserve"> DES </w:t>
      </w:r>
      <w:r w:rsidR="0081666D">
        <w:t xml:space="preserve">for the cost of stenting. </w:t>
      </w:r>
    </w:p>
    <w:p w14:paraId="5D139958" w14:textId="2B228619" w:rsidR="00CF20DA" w:rsidRDefault="00CF20DA" w:rsidP="00CF20DA">
      <w:r>
        <w:t>MSAC requested that the sponsor clarify the cost of consumables and any</w:t>
      </w:r>
      <w:r w:rsidR="00261768">
        <w:t xml:space="preserve"> potential</w:t>
      </w:r>
      <w:r>
        <w:t xml:space="preserve"> out-of-pocket costs</w:t>
      </w:r>
      <w:r w:rsidR="00261768">
        <w:t xml:space="preserve"> for patients</w:t>
      </w:r>
      <w:r>
        <w:t xml:space="preserve"> in the resubmission.</w:t>
      </w:r>
      <w:r w:rsidR="00E035F1">
        <w:t xml:space="preserve"> The resubmission should also </w:t>
      </w:r>
      <w:r w:rsidR="00964E21">
        <w:t>produce revised financial estimates which address the issues</w:t>
      </w:r>
      <w:r w:rsidR="009A4DB1">
        <w:t xml:space="preserve"> identified by MSAC</w:t>
      </w:r>
      <w:r w:rsidR="00314831">
        <w:t xml:space="preserve">. </w:t>
      </w:r>
      <w:r w:rsidR="004A6CDA">
        <w:t xml:space="preserve">MSAC noted that </w:t>
      </w:r>
      <w:r w:rsidR="00463521">
        <w:t xml:space="preserve">there </w:t>
      </w:r>
      <w:proofErr w:type="gramStart"/>
      <w:r w:rsidR="00463521">
        <w:t>was</w:t>
      </w:r>
      <w:proofErr w:type="gramEnd"/>
      <w:r w:rsidR="00463521">
        <w:t xml:space="preserve"> upcoming updated NICE guid</w:t>
      </w:r>
      <w:r w:rsidR="0070002D">
        <w:t>elines</w:t>
      </w:r>
      <w:r w:rsidR="00463521">
        <w:t xml:space="preserve"> on IVL due </w:t>
      </w:r>
      <w:r w:rsidR="678BD2C6">
        <w:t>i</w:t>
      </w:r>
      <w:r w:rsidR="00463521">
        <w:t>n January 2024 and</w:t>
      </w:r>
      <w:r w:rsidR="00812DB6">
        <w:t xml:space="preserve"> any implications of this could also be discussed </w:t>
      </w:r>
      <w:r w:rsidR="00463521">
        <w:t xml:space="preserve">in </w:t>
      </w:r>
      <w:r w:rsidR="00812DB6">
        <w:t>a</w:t>
      </w:r>
      <w:r w:rsidR="00463521">
        <w:t xml:space="preserve"> resubmission. </w:t>
      </w:r>
    </w:p>
    <w:p w14:paraId="2B8FD81C" w14:textId="6CE223D0" w:rsidR="00A607F4" w:rsidRDefault="00A607F4" w:rsidP="00CF20DA">
      <w:r>
        <w:t xml:space="preserve">MSAC considered that </w:t>
      </w:r>
      <w:r w:rsidR="004F2206">
        <w:t xml:space="preserve">the </w:t>
      </w:r>
      <w:r w:rsidR="00870DA4">
        <w:t xml:space="preserve">re-entry </w:t>
      </w:r>
      <w:r w:rsidR="004F2206">
        <w:t xml:space="preserve">pathway for a </w:t>
      </w:r>
      <w:r w:rsidR="005671FC">
        <w:t>resubmission</w:t>
      </w:r>
      <w:r w:rsidR="00165B78">
        <w:t xml:space="preserve"> that addressed </w:t>
      </w:r>
      <w:r w:rsidR="00B87698">
        <w:t>the</w:t>
      </w:r>
      <w:r w:rsidR="000E2681">
        <w:t>se</w:t>
      </w:r>
      <w:r w:rsidR="00B87698">
        <w:t xml:space="preserve"> concerns </w:t>
      </w:r>
      <w:r w:rsidR="000E2681">
        <w:t>could be</w:t>
      </w:r>
      <w:r w:rsidR="00441E47">
        <w:t xml:space="preserve"> submitted for</w:t>
      </w:r>
      <w:r w:rsidR="000E2681">
        <w:t xml:space="preserve"> </w:t>
      </w:r>
      <w:r w:rsidR="00CD509B">
        <w:t xml:space="preserve">direct </w:t>
      </w:r>
      <w:r w:rsidR="00F456F3">
        <w:t>consider</w:t>
      </w:r>
      <w:r w:rsidR="00E63131">
        <w:t>ation</w:t>
      </w:r>
      <w:r w:rsidR="00F456F3">
        <w:t xml:space="preserve"> by </w:t>
      </w:r>
      <w:r w:rsidR="0072510C">
        <w:t>MSAC.</w:t>
      </w:r>
      <w:r w:rsidR="00D225CF">
        <w:t xml:space="preserve"> </w:t>
      </w:r>
    </w:p>
    <w:p w14:paraId="6710B69D" w14:textId="78E068FF" w:rsidR="00772829" w:rsidRPr="00CE28E3" w:rsidRDefault="004041D6" w:rsidP="004041D6">
      <w:pPr>
        <w:pStyle w:val="Heading2"/>
        <w:numPr>
          <w:ilvl w:val="1"/>
          <w:numId w:val="0"/>
        </w:numPr>
      </w:pPr>
      <w:r>
        <w:t>4.</w:t>
      </w:r>
      <w:r>
        <w:tab/>
      </w:r>
      <w:r w:rsidR="00772829" w:rsidRPr="00CE28E3">
        <w:t>Background</w:t>
      </w:r>
      <w:bookmarkEnd w:id="4"/>
    </w:p>
    <w:p w14:paraId="6646553E" w14:textId="76F39A53" w:rsidR="00EA28CA" w:rsidRDefault="00EA28CA" w:rsidP="002C1B75">
      <w:pPr>
        <w:jc w:val="both"/>
      </w:pPr>
      <w:bookmarkStart w:id="5" w:name="_Hlk69734494"/>
      <w:r>
        <w:t>MSAC has not previously considered IVL</w:t>
      </w:r>
      <w:r w:rsidR="002C1B75">
        <w:t xml:space="preserve"> for the treatment of </w:t>
      </w:r>
      <w:r w:rsidR="002C1B75" w:rsidRPr="002C1B75">
        <w:t>moderately or severely calcified PAD in lower limbs</w:t>
      </w:r>
      <w:r w:rsidR="00506DC9">
        <w:t>.</w:t>
      </w:r>
    </w:p>
    <w:p w14:paraId="3AD9DC86" w14:textId="7E5BAB3F" w:rsidR="00B97BE8" w:rsidRDefault="00B97BE8" w:rsidP="002C1B75">
      <w:pPr>
        <w:jc w:val="both"/>
      </w:pPr>
      <w:r w:rsidRPr="00B97BE8">
        <w:t>MBS items 3</w:t>
      </w:r>
      <w:r>
        <w:t xml:space="preserve">5300 and </w:t>
      </w:r>
      <w:r w:rsidRPr="00B97BE8">
        <w:t>3</w:t>
      </w:r>
      <w:r>
        <w:t xml:space="preserve">5303 for </w:t>
      </w:r>
      <w:r w:rsidRPr="00B97BE8">
        <w:t>transluminal balloon angioplasty</w:t>
      </w:r>
      <w:r>
        <w:t xml:space="preserve">, MBS items </w:t>
      </w:r>
      <w:r w:rsidRPr="00B97BE8">
        <w:t>3</w:t>
      </w:r>
      <w:r>
        <w:t>5306</w:t>
      </w:r>
      <w:r w:rsidRPr="00B97BE8">
        <w:t xml:space="preserve"> and 3</w:t>
      </w:r>
      <w:r>
        <w:t>5309</w:t>
      </w:r>
      <w:r w:rsidRPr="00B97BE8">
        <w:t xml:space="preserve"> for transluminal stent insertion</w:t>
      </w:r>
      <w:r>
        <w:t xml:space="preserve">, </w:t>
      </w:r>
      <w:r w:rsidRPr="00B97BE8">
        <w:t>including associated balloon dilatation</w:t>
      </w:r>
      <w:r>
        <w:t xml:space="preserve"> and MBS item 35312 for </w:t>
      </w:r>
      <w:r w:rsidRPr="00B97BE8">
        <w:t xml:space="preserve">peripheral arterial atherectomy were introduced on the MBS from 1 </w:t>
      </w:r>
      <w:r>
        <w:t>April</w:t>
      </w:r>
      <w:r w:rsidRPr="00B97BE8">
        <w:t xml:space="preserve"> </w:t>
      </w:r>
      <w:r>
        <w:t>1992</w:t>
      </w:r>
      <w:r w:rsidRPr="00B97BE8">
        <w:t xml:space="preserve">. </w:t>
      </w:r>
    </w:p>
    <w:p w14:paraId="6F52500A" w14:textId="0A06B937" w:rsidR="00772829" w:rsidRPr="00CE28E3" w:rsidRDefault="00C73462" w:rsidP="002A18BE">
      <w:pPr>
        <w:pStyle w:val="Heading2"/>
        <w:numPr>
          <w:ilvl w:val="0"/>
          <w:numId w:val="0"/>
        </w:numPr>
      </w:pPr>
      <w:bookmarkStart w:id="6" w:name="ColumnTitle_Table1"/>
      <w:bookmarkStart w:id="7" w:name="_Toc69491417"/>
      <w:bookmarkEnd w:id="5"/>
      <w:bookmarkEnd w:id="6"/>
      <w:r>
        <w:t>5</w:t>
      </w:r>
      <w:r w:rsidR="00C36633">
        <w:t>.</w:t>
      </w:r>
      <w:r w:rsidR="00C36633">
        <w:tab/>
      </w:r>
      <w:r w:rsidR="00772829" w:rsidRPr="00CE28E3">
        <w:t>Prerequisites to implementation of any funding advice</w:t>
      </w:r>
      <w:bookmarkEnd w:id="7"/>
    </w:p>
    <w:p w14:paraId="3FFD1281" w14:textId="2D79820E" w:rsidR="00D920B2" w:rsidRDefault="00D920B2" w:rsidP="00581E29">
      <w:r>
        <w:t xml:space="preserve">Shockwave IVL is currently registered in the </w:t>
      </w:r>
      <w:r w:rsidRPr="00CB43D7">
        <w:t>Australian Register of Therapeutic Goods (ARTG</w:t>
      </w:r>
      <w:r>
        <w:t>) under medical device class IIb</w:t>
      </w:r>
      <w:r w:rsidR="00277D8F">
        <w:t>.</w:t>
      </w:r>
    </w:p>
    <w:p w14:paraId="46F15CF6" w14:textId="2583239D" w:rsidR="0097229D" w:rsidRDefault="0097229D" w:rsidP="00581E29">
      <w:r>
        <w:t>The proposed TGA indication for the IVL is as follows</w:t>
      </w:r>
      <w:r w:rsidR="008A7925">
        <w:t>.</w:t>
      </w:r>
      <w:r>
        <w:t xml:space="preserve"> </w:t>
      </w:r>
    </w:p>
    <w:p w14:paraId="2501EF7D" w14:textId="6742FBFF" w:rsidR="0097229D" w:rsidRDefault="0097229D" w:rsidP="00581E29">
      <w:pPr>
        <w:rPr>
          <w:rFonts w:cs="Arial"/>
        </w:rPr>
      </w:pPr>
      <w:r w:rsidRPr="00E95091">
        <w:rPr>
          <w:rFonts w:cs="Arial"/>
          <w:b/>
          <w:bCs/>
        </w:rPr>
        <w:t>ARTG ID</w:t>
      </w:r>
      <w:r w:rsidRPr="00E95091">
        <w:rPr>
          <w:rFonts w:cs="Arial"/>
        </w:rPr>
        <w:t>: 320482</w:t>
      </w:r>
      <w:r w:rsidRPr="0097229D">
        <w:rPr>
          <w:rFonts w:cs="Arial"/>
        </w:rPr>
        <w:t xml:space="preserve"> </w:t>
      </w:r>
      <w:r>
        <w:rPr>
          <w:rFonts w:cs="Arial"/>
        </w:rPr>
        <w:t xml:space="preserve">- </w:t>
      </w:r>
      <w:r w:rsidR="00B97BE8">
        <w:rPr>
          <w:rFonts w:cs="Arial"/>
        </w:rPr>
        <w:t>"</w:t>
      </w:r>
      <w:r w:rsidRPr="00E95091">
        <w:rPr>
          <w:rFonts w:cs="Arial"/>
        </w:rPr>
        <w:t>The catheter is indicated for lithotripsy enhanced, low</w:t>
      </w:r>
      <w:r>
        <w:rPr>
          <w:rFonts w:cs="Arial"/>
        </w:rPr>
        <w:t>-</w:t>
      </w:r>
      <w:r w:rsidRPr="00E95091">
        <w:rPr>
          <w:rFonts w:cs="Arial"/>
        </w:rPr>
        <w:t xml:space="preserve">pressure balloon </w:t>
      </w:r>
      <w:r>
        <w:rPr>
          <w:rFonts w:cs="Arial"/>
        </w:rPr>
        <w:t xml:space="preserve">dilatation </w:t>
      </w:r>
      <w:r w:rsidRPr="00E95091">
        <w:rPr>
          <w:rFonts w:cs="Arial"/>
        </w:rPr>
        <w:t>of calcified peripheral stenotic arteries in patients who are candidates for percutaneous therapy. The catheters are not indicated for coronary or central vascular systems</w:t>
      </w:r>
      <w:r w:rsidR="00B97BE8">
        <w:rPr>
          <w:rFonts w:cs="Arial"/>
        </w:rPr>
        <w:t>"</w:t>
      </w:r>
      <w:r w:rsidR="00B97BE8" w:rsidRPr="00E95091">
        <w:rPr>
          <w:rFonts w:cs="Arial"/>
        </w:rPr>
        <w:t>.</w:t>
      </w:r>
    </w:p>
    <w:p w14:paraId="068A82C6" w14:textId="454A71DF" w:rsidR="0097229D" w:rsidRPr="00E95091" w:rsidRDefault="0097229D" w:rsidP="00581E29">
      <w:pPr>
        <w:rPr>
          <w:rFonts w:cs="Arial"/>
        </w:rPr>
      </w:pPr>
      <w:r w:rsidRPr="00E95091">
        <w:rPr>
          <w:rFonts w:cs="Arial"/>
          <w:b/>
          <w:bCs/>
        </w:rPr>
        <w:t>ARTG ID</w:t>
      </w:r>
      <w:r w:rsidRPr="00E95091">
        <w:rPr>
          <w:rFonts w:cs="Arial"/>
        </w:rPr>
        <w:t>: 388192</w:t>
      </w:r>
      <w:r w:rsidR="00581E29">
        <w:rPr>
          <w:rFonts w:cs="Arial"/>
        </w:rPr>
        <w:t xml:space="preserve"> </w:t>
      </w:r>
      <w:r>
        <w:rPr>
          <w:rFonts w:cs="Arial"/>
        </w:rPr>
        <w:t xml:space="preserve">- </w:t>
      </w:r>
      <w:r w:rsidR="00B97BE8">
        <w:rPr>
          <w:rFonts w:cs="Arial"/>
        </w:rPr>
        <w:t>"</w:t>
      </w:r>
      <w:r w:rsidRPr="00E95091">
        <w:rPr>
          <w:rFonts w:cs="Arial"/>
        </w:rPr>
        <w:t>The Shockwave S4 Peripheral IVL System is indicated for lithotripsy</w:t>
      </w:r>
      <w:r>
        <w:rPr>
          <w:rFonts w:cs="Arial"/>
        </w:rPr>
        <w:t xml:space="preserve"> </w:t>
      </w:r>
      <w:r w:rsidRPr="00E95091">
        <w:rPr>
          <w:rFonts w:cs="Arial"/>
        </w:rPr>
        <w:t xml:space="preserve">enhanced, low-pressure balloon dilatation of calcified, stenotic peripheral arteries, in patients who are candidates for percutaneous therapy. Not for use in coronary, cerebral, </w:t>
      </w:r>
      <w:proofErr w:type="gramStart"/>
      <w:r w:rsidRPr="00E95091">
        <w:rPr>
          <w:rFonts w:cs="Arial"/>
        </w:rPr>
        <w:t>aortic</w:t>
      </w:r>
      <w:proofErr w:type="gramEnd"/>
      <w:r>
        <w:rPr>
          <w:rFonts w:cs="Arial"/>
        </w:rPr>
        <w:t xml:space="preserve"> or</w:t>
      </w:r>
      <w:r w:rsidRPr="00E95091">
        <w:rPr>
          <w:rFonts w:cs="Arial"/>
        </w:rPr>
        <w:t xml:space="preserve"> common iliac vasculature</w:t>
      </w:r>
      <w:r w:rsidR="00B97BE8">
        <w:rPr>
          <w:rFonts w:cs="Arial"/>
        </w:rPr>
        <w:t>".</w:t>
      </w:r>
    </w:p>
    <w:p w14:paraId="4029560C" w14:textId="6A80E6AA" w:rsidR="0097229D" w:rsidRDefault="00CF675B" w:rsidP="00581E29">
      <w:r w:rsidRPr="00CF675B">
        <w:rPr>
          <w:rFonts w:cs="Arial"/>
        </w:rPr>
        <w:t>The</w:t>
      </w:r>
      <w:r>
        <w:rPr>
          <w:rFonts w:cs="Arial"/>
        </w:rPr>
        <w:t>re are</w:t>
      </w:r>
      <w:r w:rsidRPr="00CF675B">
        <w:rPr>
          <w:rFonts w:cs="Arial"/>
        </w:rPr>
        <w:t xml:space="preserve"> two IVL systems in series: Shockwave S4 and M5. </w:t>
      </w:r>
      <w:r>
        <w:rPr>
          <w:rFonts w:cs="Arial"/>
        </w:rPr>
        <w:t>At the pre-PASC meeting, t</w:t>
      </w:r>
      <w:r w:rsidRPr="00CF675B">
        <w:rPr>
          <w:rFonts w:cs="Arial"/>
        </w:rPr>
        <w:t xml:space="preserve">he </w:t>
      </w:r>
      <w:r w:rsidR="00265E60">
        <w:rPr>
          <w:rFonts w:cs="Arial"/>
        </w:rPr>
        <w:t>a</w:t>
      </w:r>
      <w:r w:rsidR="00265E60" w:rsidRPr="00CF675B">
        <w:rPr>
          <w:rFonts w:cs="Arial"/>
        </w:rPr>
        <w:t xml:space="preserve">pplicant </w:t>
      </w:r>
      <w:r w:rsidRPr="00CF675B">
        <w:rPr>
          <w:rFonts w:cs="Arial"/>
        </w:rPr>
        <w:t>claimed that both S4 and M5 catheters are similar in all features</w:t>
      </w:r>
      <w:r w:rsidR="00C90312">
        <w:rPr>
          <w:rFonts w:cs="Arial"/>
        </w:rPr>
        <w:t>,</w:t>
      </w:r>
      <w:r w:rsidRPr="00CF675B">
        <w:rPr>
          <w:rFonts w:cs="Arial"/>
        </w:rPr>
        <w:t xml:space="preserve"> except they are indicated for different vessel diameters.</w:t>
      </w:r>
    </w:p>
    <w:p w14:paraId="44C3B242" w14:textId="6CF70A2B" w:rsidR="00772829" w:rsidRPr="00CE28E3" w:rsidRDefault="00C73462" w:rsidP="002A18BE">
      <w:pPr>
        <w:pStyle w:val="Heading2"/>
        <w:numPr>
          <w:ilvl w:val="0"/>
          <w:numId w:val="0"/>
        </w:numPr>
      </w:pPr>
      <w:bookmarkStart w:id="8" w:name="_Toc69491418"/>
      <w:r>
        <w:t>6</w:t>
      </w:r>
      <w:r w:rsidR="00C36633">
        <w:t>.</w:t>
      </w:r>
      <w:r w:rsidR="00C36633">
        <w:tab/>
      </w:r>
      <w:r w:rsidR="00772829" w:rsidRPr="00CE28E3">
        <w:t>Proposal for public funding</w:t>
      </w:r>
      <w:bookmarkEnd w:id="8"/>
    </w:p>
    <w:p w14:paraId="6C06CF2A" w14:textId="1E3745F2" w:rsidR="00795284" w:rsidRPr="000E581C" w:rsidRDefault="00B7521C" w:rsidP="00581E29">
      <w:pPr>
        <w:rPr>
          <w:szCs w:val="20"/>
        </w:rPr>
      </w:pPr>
      <w:r>
        <w:t xml:space="preserve">The </w:t>
      </w:r>
      <w:r w:rsidR="00265E60">
        <w:t xml:space="preserve">applicant </w:t>
      </w:r>
      <w:r>
        <w:t xml:space="preserve">proposed a single new MBS item for peripheral </w:t>
      </w:r>
      <w:r w:rsidR="00EF39D0">
        <w:t>IVL</w:t>
      </w:r>
      <w:r w:rsidR="00C90312">
        <w:t>,</w:t>
      </w:r>
      <w:r>
        <w:t xml:space="preserve"> including associated balloon dilatation</w:t>
      </w:r>
      <w:r w:rsidRPr="00965DB7">
        <w:t xml:space="preserve"> of </w:t>
      </w:r>
      <w:r w:rsidRPr="009D7E2D">
        <w:t>1 peripheral artery of 1 limb</w:t>
      </w:r>
      <w:r>
        <w:t xml:space="preserve">. </w:t>
      </w:r>
      <w:r w:rsidR="004C3F41">
        <w:t xml:space="preserve">Table </w:t>
      </w:r>
      <w:r w:rsidR="00277D8F">
        <w:t>1</w:t>
      </w:r>
      <w:r w:rsidR="004C3F41">
        <w:t xml:space="preserve"> presents the </w:t>
      </w:r>
      <w:r w:rsidR="003F6E4B">
        <w:rPr>
          <w:szCs w:val="20"/>
        </w:rPr>
        <w:t>p</w:t>
      </w:r>
      <w:r w:rsidR="003F6E4B" w:rsidRPr="00AE1188">
        <w:rPr>
          <w:szCs w:val="20"/>
        </w:rPr>
        <w:t xml:space="preserve">roposed </w:t>
      </w:r>
      <w:r w:rsidRPr="00AE1188">
        <w:rPr>
          <w:szCs w:val="20"/>
        </w:rPr>
        <w:t>item descriptor</w:t>
      </w:r>
      <w:r>
        <w:rPr>
          <w:szCs w:val="20"/>
        </w:rPr>
        <w:t xml:space="preserve"> </w:t>
      </w:r>
      <w:r w:rsidR="00795284">
        <w:rPr>
          <w:szCs w:val="20"/>
        </w:rPr>
        <w:t xml:space="preserve">provided </w:t>
      </w:r>
      <w:r>
        <w:rPr>
          <w:szCs w:val="20"/>
        </w:rPr>
        <w:t xml:space="preserve">in the </w:t>
      </w:r>
      <w:r w:rsidR="00795284">
        <w:rPr>
          <w:szCs w:val="20"/>
        </w:rPr>
        <w:t xml:space="preserve">ADAR. </w:t>
      </w:r>
    </w:p>
    <w:p w14:paraId="39392CFD" w14:textId="27636DEE" w:rsidR="003328A9" w:rsidRPr="00CE28E3" w:rsidRDefault="00310C3F" w:rsidP="00310C3F">
      <w:pPr>
        <w:pStyle w:val="Caption"/>
        <w:rPr>
          <w:rFonts w:cs="Arial"/>
        </w:rPr>
      </w:pPr>
      <w:bookmarkStart w:id="9" w:name="_Ref69481033"/>
      <w:r>
        <w:lastRenderedPageBreak/>
        <w:t>Table</w:t>
      </w:r>
      <w:r w:rsidR="004A4FDF">
        <w:t> </w:t>
      </w:r>
      <w:r w:rsidR="00340D39">
        <w:fldChar w:fldCharType="begin"/>
      </w:r>
      <w:r w:rsidR="00340D39">
        <w:instrText xml:space="preserve"> SEQ Table \* ARABIC </w:instrText>
      </w:r>
      <w:r w:rsidR="00340D39">
        <w:fldChar w:fldCharType="separate"/>
      </w:r>
      <w:r w:rsidR="009A5224">
        <w:rPr>
          <w:noProof/>
        </w:rPr>
        <w:t>1</w:t>
      </w:r>
      <w:r w:rsidR="00340D39">
        <w:rPr>
          <w:noProof/>
        </w:rPr>
        <w:fldChar w:fldCharType="end"/>
      </w:r>
      <w:bookmarkEnd w:id="9"/>
      <w:r w:rsidR="00E95537">
        <w:rPr>
          <w:noProof/>
        </w:rPr>
        <w:t>:</w:t>
      </w:r>
      <w:r w:rsidR="003328A9" w:rsidRPr="00CE28E3">
        <w:rPr>
          <w:rFonts w:cs="Arial"/>
        </w:rPr>
        <w:tab/>
      </w:r>
      <w:r w:rsidR="00B26622" w:rsidRPr="00CE28E3">
        <w:rPr>
          <w:rFonts w:cs="Arial"/>
        </w:rPr>
        <w:t xml:space="preserve">Presentation of an existing, amended or newly proposed MBS </w:t>
      </w:r>
      <w:proofErr w:type="gramStart"/>
      <w:r w:rsidR="00B26622" w:rsidRPr="00CE28E3">
        <w:rPr>
          <w:rFonts w:cs="Arial"/>
        </w:rPr>
        <w:t>item</w:t>
      </w:r>
      <w:proofErr w:type="gramEnd"/>
      <w:r w:rsidR="003328A9" w:rsidRPr="00CE28E3">
        <w:rPr>
          <w:rFonts w:cs="Arial"/>
        </w:rPr>
        <w:t xml:space="preserve"> </w:t>
      </w:r>
    </w:p>
    <w:tbl>
      <w:tblPr>
        <w:tblStyle w:val="MS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328A9" w:rsidRPr="00CE28E3" w14:paraId="7A70B700" w14:textId="77777777" w:rsidTr="13553A36">
        <w:trPr>
          <w:cnfStyle w:val="100000000000" w:firstRow="1" w:lastRow="0" w:firstColumn="0" w:lastColumn="0" w:oddVBand="0" w:evenVBand="0" w:oddHBand="0" w:evenHBand="0" w:firstRowFirstColumn="0" w:firstRowLastColumn="0" w:lastRowFirstColumn="0" w:lastRowLastColumn="0"/>
          <w:trHeight w:val="35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FAF30" w14:textId="4F96E4B6" w:rsidR="003328A9" w:rsidRPr="00CE28E3" w:rsidRDefault="003A406D" w:rsidP="00824458">
            <w:pPr>
              <w:pStyle w:val="TableText"/>
              <w:rPr>
                <w:sz w:val="24"/>
              </w:rPr>
            </w:pPr>
            <w:r w:rsidRPr="003A406D">
              <w:t>Category 3 – Therapeutic Procedures</w:t>
            </w:r>
            <w:r w:rsidRPr="003A406D" w:rsidDel="00453DE6">
              <w:t xml:space="preserve"> </w:t>
            </w:r>
          </w:p>
        </w:tc>
      </w:tr>
      <w:tr w:rsidR="003328A9" w:rsidRPr="00CE28E3" w14:paraId="05A9B76F" w14:textId="77777777" w:rsidTr="13553A36">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DD428" w14:textId="1AA3D6B4" w:rsidR="00E3330E" w:rsidRPr="00170D5B" w:rsidRDefault="00E3330E" w:rsidP="00170D5B">
            <w:pPr>
              <w:spacing w:after="120"/>
              <w:rPr>
                <w:rFonts w:ascii="Arial Narrow" w:hAnsi="Arial Narrow"/>
                <w:lang w:val="en-US" w:eastAsia="ja-JP"/>
              </w:rPr>
            </w:pPr>
            <w:r w:rsidRPr="00170D5B">
              <w:rPr>
                <w:rFonts w:ascii="Arial Narrow" w:hAnsi="Arial Narrow"/>
                <w:lang w:val="en-US" w:eastAsia="ja-JP"/>
              </w:rPr>
              <w:t>MBS item *XXXX</w:t>
            </w:r>
          </w:p>
          <w:p w14:paraId="4832CAA8" w14:textId="70B3FB06" w:rsidR="005B4AFB" w:rsidRDefault="005B4AFB" w:rsidP="00170D5B">
            <w:pPr>
              <w:spacing w:after="120"/>
              <w:rPr>
                <w:rFonts w:ascii="Arial Narrow" w:hAnsi="Arial Narrow"/>
                <w:lang w:val="en-US" w:eastAsia="ja-JP"/>
              </w:rPr>
            </w:pPr>
            <w:r w:rsidRPr="37E8FF0C">
              <w:rPr>
                <w:rFonts w:ascii="Arial Narrow" w:hAnsi="Arial Narrow"/>
                <w:lang w:val="en-US" w:eastAsia="ja-JP"/>
              </w:rPr>
              <w:t>PERIPHERAL INTRAVASCULAR LITHOTRIPSY</w:t>
            </w:r>
            <w:r w:rsidR="00C90312" w:rsidRPr="37E8FF0C">
              <w:rPr>
                <w:rFonts w:ascii="Arial Narrow" w:hAnsi="Arial Narrow"/>
                <w:lang w:val="en-US" w:eastAsia="ja-JP"/>
              </w:rPr>
              <w:t>,</w:t>
            </w:r>
            <w:r w:rsidRPr="37E8FF0C">
              <w:rPr>
                <w:rFonts w:ascii="Arial Narrow" w:hAnsi="Arial Narrow"/>
                <w:lang w:val="en-US" w:eastAsia="ja-JP"/>
              </w:rPr>
              <w:t xml:space="preserve"> including associated balloon dilatation of 1 limb, percutaneous or by open exposure, in patients who have moderately or severely calcified lesions, excluding associated radiological services or preparation, and excluding </w:t>
            </w:r>
            <w:proofErr w:type="gramStart"/>
            <w:r w:rsidRPr="37E8FF0C">
              <w:rPr>
                <w:rFonts w:ascii="Arial Narrow" w:hAnsi="Arial Narrow"/>
                <w:lang w:val="en-US" w:eastAsia="ja-JP"/>
              </w:rPr>
              <w:t>aftercare</w:t>
            </w:r>
            <w:proofErr w:type="gramEnd"/>
          </w:p>
          <w:p w14:paraId="44EF3E4D" w14:textId="77777777" w:rsidR="00A35797" w:rsidRDefault="00A35797" w:rsidP="00EB2853">
            <w:pPr>
              <w:spacing w:before="0" w:after="0"/>
              <w:rPr>
                <w:rFonts w:ascii="Arial Narrow" w:hAnsi="Arial Narrow"/>
                <w:lang w:val="en-US" w:eastAsia="ja-JP"/>
              </w:rPr>
            </w:pPr>
            <w:r w:rsidRPr="00A35797">
              <w:rPr>
                <w:rFonts w:ascii="Arial Narrow" w:hAnsi="Arial Narrow"/>
                <w:lang w:val="en-US" w:eastAsia="ja-JP"/>
              </w:rPr>
              <w:t>Multiple Operation Rule</w:t>
            </w:r>
          </w:p>
          <w:p w14:paraId="3EEC2DE6" w14:textId="0AC48206" w:rsidR="003328A9" w:rsidRPr="00170D5B" w:rsidRDefault="00A35797" w:rsidP="00EB2853">
            <w:pPr>
              <w:spacing w:before="0" w:after="0"/>
              <w:rPr>
                <w:rFonts w:ascii="Arial Narrow" w:hAnsi="Arial Narrow"/>
                <w:lang w:val="en-US" w:eastAsia="ja-JP"/>
              </w:rPr>
            </w:pPr>
            <w:r w:rsidRPr="00A35797">
              <w:rPr>
                <w:rFonts w:ascii="Arial Narrow" w:hAnsi="Arial Narrow"/>
                <w:lang w:val="en-US" w:eastAsia="ja-JP"/>
              </w:rPr>
              <w:t>(</w:t>
            </w:r>
            <w:proofErr w:type="spellStart"/>
            <w:r w:rsidRPr="00A35797">
              <w:rPr>
                <w:rFonts w:ascii="Arial Narrow" w:hAnsi="Arial Narrow"/>
                <w:lang w:val="en-US" w:eastAsia="ja-JP"/>
              </w:rPr>
              <w:t>Anaes</w:t>
            </w:r>
            <w:proofErr w:type="spellEnd"/>
            <w:r w:rsidRPr="00A35797">
              <w:rPr>
                <w:rFonts w:ascii="Arial Narrow" w:hAnsi="Arial Narrow"/>
                <w:lang w:val="en-US" w:eastAsia="ja-JP"/>
              </w:rPr>
              <w:t>.) (Assist.)</w:t>
            </w:r>
          </w:p>
        </w:tc>
      </w:tr>
      <w:tr w:rsidR="003328A9" w:rsidRPr="005D749D" w14:paraId="190EE027" w14:textId="77777777" w:rsidTr="13553A36">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EDFDC" w14:textId="1AEEB409" w:rsidR="003328A9" w:rsidRPr="005D749D" w:rsidRDefault="003328A9" w:rsidP="00170D5B">
            <w:pPr>
              <w:pStyle w:val="TableText"/>
            </w:pPr>
            <w:r>
              <w:t xml:space="preserve">Fee: </w:t>
            </w:r>
            <w:r w:rsidR="755165AE">
              <w:t>$736.25 Benefit: 75% = $552.18 85% = $625.81</w:t>
            </w:r>
          </w:p>
        </w:tc>
      </w:tr>
    </w:tbl>
    <w:p w14:paraId="042F1F62" w14:textId="05F3D55D" w:rsidR="00577DB3" w:rsidRDefault="00577DB3" w:rsidP="00581E29">
      <w:r>
        <w:t>The proposed MBS descriptor of "1 limb" is consistent with the ratified PICO</w:t>
      </w:r>
      <w:r w:rsidR="00036B27">
        <w:t xml:space="preserve"> and the MBS descriptors of other relevant MBS items (35300 and 35303)</w:t>
      </w:r>
      <w:r w:rsidR="00E6609A">
        <w:t>.</w:t>
      </w:r>
      <w:r>
        <w:t xml:space="preserve"> However, the </w:t>
      </w:r>
      <w:r w:rsidR="00207B90">
        <w:t>d</w:t>
      </w:r>
      <w:r>
        <w:t xml:space="preserve">epartment </w:t>
      </w:r>
      <w:r w:rsidR="00341B5E">
        <w:t>s</w:t>
      </w:r>
      <w:r w:rsidR="00612BEF">
        <w:t>ought</w:t>
      </w:r>
      <w:r>
        <w:t xml:space="preserve"> MSAC advi</w:t>
      </w:r>
      <w:r w:rsidR="00FE77E3">
        <w:t>c</w:t>
      </w:r>
      <w:r>
        <w:t xml:space="preserve">e </w:t>
      </w:r>
      <w:r w:rsidR="00036B27">
        <w:t xml:space="preserve">on </w:t>
      </w:r>
      <w:r>
        <w:t xml:space="preserve">whether the </w:t>
      </w:r>
      <w:r w:rsidR="00036B27">
        <w:t xml:space="preserve">proposed new </w:t>
      </w:r>
      <w:r>
        <w:t xml:space="preserve">item descriptor </w:t>
      </w:r>
      <w:r w:rsidR="00036B27">
        <w:t xml:space="preserve">for IVL </w:t>
      </w:r>
      <w:r>
        <w:t>should be amended to "1 lower limb" to be more consistent wit</w:t>
      </w:r>
      <w:r w:rsidR="008A7925">
        <w:t>h</w:t>
      </w:r>
      <w:r>
        <w:t xml:space="preserve"> the evidence presented in the assessment report</w:t>
      </w:r>
      <w:r w:rsidR="13A0CC01">
        <w:t xml:space="preserve"> and advice from PASC.</w:t>
      </w:r>
    </w:p>
    <w:p w14:paraId="6D2DA55D" w14:textId="00037CE8" w:rsidR="00B7521C" w:rsidRPr="00AA1C95" w:rsidRDefault="00B7521C" w:rsidP="00581E29">
      <w:pPr>
        <w:rPr>
          <w:i/>
          <w:iCs/>
        </w:rPr>
      </w:pPr>
      <w:r>
        <w:t xml:space="preserve">The </w:t>
      </w:r>
      <w:r w:rsidR="00265E60">
        <w:t xml:space="preserve">applicant </w:t>
      </w:r>
      <w:r>
        <w:t xml:space="preserve">has proposed a fee </w:t>
      </w:r>
      <w:r w:rsidR="00C90312">
        <w:t xml:space="preserve">of </w:t>
      </w:r>
      <w:r>
        <w:t xml:space="preserve">$736.25 for IVL based on the current fee for standard balloon angioplasty </w:t>
      </w:r>
      <w:r w:rsidR="001A7ACB">
        <w:t xml:space="preserve">(SBA) of 1 vessel of 1 limb (MBS item 35300) and the time difference reported in the </w:t>
      </w:r>
      <w:r w:rsidR="00482BE5">
        <w:t>DISRUPT</w:t>
      </w:r>
      <w:r w:rsidR="001A7ACB">
        <w:t xml:space="preserve"> PAD III RCT between the IVL and SBA arms.</w:t>
      </w:r>
      <w:r w:rsidR="006C5979">
        <w:rPr>
          <w:rStyle w:val="FootnoteReference"/>
        </w:rPr>
        <w:footnoteReference w:id="2"/>
      </w:r>
      <w:r w:rsidR="001A7ACB">
        <w:t xml:space="preserve"> </w:t>
      </w:r>
      <w:r w:rsidR="00EF39D0">
        <w:t xml:space="preserve">That </w:t>
      </w:r>
      <w:r w:rsidR="001A7ACB">
        <w:t>RCT reported 89.9 mins for IVL vs</w:t>
      </w:r>
      <w:r w:rsidR="00C90312">
        <w:t>.</w:t>
      </w:r>
      <w:r w:rsidR="001A7ACB">
        <w:t xml:space="preserve"> 66.5 mins for balloon angioplasty. Considering an approximately 35% longer duration for IVL compared to balloon angioplasty, the application proposed a fee of $736.25 for IVL</w:t>
      </w:r>
      <w:r w:rsidR="00B97BE8">
        <w:t>.</w:t>
      </w:r>
      <w:r w:rsidR="00B85814">
        <w:t xml:space="preserve"> </w:t>
      </w:r>
    </w:p>
    <w:p w14:paraId="2FAC2D2E" w14:textId="4C14F8AC" w:rsidR="00AE112E" w:rsidRDefault="00AE112E" w:rsidP="00581E29">
      <w:r>
        <w:t xml:space="preserve">In addition to the MBS fee for </w:t>
      </w:r>
      <w:r w:rsidR="00C90312">
        <w:t>service provision, the proposed therapeutic intervention involves using</w:t>
      </w:r>
      <w:r>
        <w:t xml:space="preserve"> consumables. The Shockwave S4 or M5 catheter are the single-use consumables required for this service</w:t>
      </w:r>
      <w:r w:rsidR="00C90312">
        <w:t>,</w:t>
      </w:r>
      <w:r>
        <w:t xml:space="preserve"> with the cost of these being currently covered via hospital funding</w:t>
      </w:r>
      <w:r w:rsidR="3F4DECBA">
        <w:t xml:space="preserve"> (at the hospital</w:t>
      </w:r>
      <w:r w:rsidR="00612BEF">
        <w:t>’</w:t>
      </w:r>
      <w:r w:rsidR="3F4DECBA">
        <w:t>s discretion)</w:t>
      </w:r>
      <w:r>
        <w:t>. The IVL generator and connector cable are multi-use.</w:t>
      </w:r>
    </w:p>
    <w:p w14:paraId="4C148B6A" w14:textId="2405C2D8" w:rsidR="00B97BE8" w:rsidRDefault="00494174" w:rsidP="00581E29">
      <w:pPr>
        <w:rPr>
          <w:color w:val="222222"/>
          <w:szCs w:val="20"/>
          <w:lang w:eastAsia="en-AU"/>
        </w:rPr>
      </w:pPr>
      <w:r w:rsidRPr="00494174">
        <w:rPr>
          <w:color w:val="222222"/>
          <w:szCs w:val="20"/>
          <w:lang w:eastAsia="en-AU"/>
        </w:rPr>
        <w:t xml:space="preserve">The </w:t>
      </w:r>
      <w:r>
        <w:rPr>
          <w:color w:val="222222"/>
          <w:szCs w:val="20"/>
          <w:lang w:eastAsia="en-AU"/>
        </w:rPr>
        <w:t>IVL</w:t>
      </w:r>
      <w:r w:rsidRPr="00494174">
        <w:rPr>
          <w:color w:val="222222"/>
          <w:szCs w:val="20"/>
          <w:lang w:eastAsia="en-AU"/>
        </w:rPr>
        <w:t xml:space="preserve"> is designed to be used in hospitals as an inpatient procedure</w:t>
      </w:r>
      <w:r>
        <w:rPr>
          <w:color w:val="222222"/>
          <w:szCs w:val="20"/>
          <w:lang w:eastAsia="en-AU"/>
        </w:rPr>
        <w:t xml:space="preserve"> and </w:t>
      </w:r>
      <w:r w:rsidR="00894F0C">
        <w:rPr>
          <w:color w:val="222222"/>
          <w:szCs w:val="20"/>
          <w:lang w:eastAsia="en-AU"/>
        </w:rPr>
        <w:t xml:space="preserve">is </w:t>
      </w:r>
      <w:r w:rsidRPr="00494174">
        <w:rPr>
          <w:color w:val="222222"/>
          <w:szCs w:val="20"/>
          <w:lang w:eastAsia="en-AU"/>
        </w:rPr>
        <w:t xml:space="preserve">intended to be performed by vascular surgeons or interventional radiologists trained in endovascular techniques. Clinicians who are currently </w:t>
      </w:r>
      <w:r w:rsidR="00F613D4">
        <w:rPr>
          <w:color w:val="222222"/>
          <w:szCs w:val="20"/>
          <w:lang w:eastAsia="en-AU"/>
        </w:rPr>
        <w:t>performing</w:t>
      </w:r>
      <w:r w:rsidRPr="00494174">
        <w:rPr>
          <w:color w:val="222222"/>
          <w:szCs w:val="20"/>
          <w:lang w:eastAsia="en-AU"/>
        </w:rPr>
        <w:t xml:space="preserve"> SBA will be able to provide IVL without any specialised training. Hence</w:t>
      </w:r>
      <w:r w:rsidR="00894F0C">
        <w:rPr>
          <w:color w:val="222222"/>
          <w:szCs w:val="20"/>
          <w:lang w:eastAsia="en-AU"/>
        </w:rPr>
        <w:t>,</w:t>
      </w:r>
      <w:r w:rsidRPr="00494174">
        <w:rPr>
          <w:color w:val="222222"/>
          <w:szCs w:val="20"/>
          <w:lang w:eastAsia="en-AU"/>
        </w:rPr>
        <w:t xml:space="preserve"> specific additional training or qualifications related to IVL are not required to deliver the proposed service. </w:t>
      </w:r>
      <w:r w:rsidR="00F613D4" w:rsidRPr="00494174">
        <w:rPr>
          <w:color w:val="222222"/>
          <w:szCs w:val="20"/>
          <w:lang w:eastAsia="en-AU"/>
        </w:rPr>
        <w:t>Therefore,</w:t>
      </w:r>
      <w:r>
        <w:rPr>
          <w:color w:val="222222"/>
          <w:szCs w:val="20"/>
          <w:lang w:eastAsia="en-AU"/>
        </w:rPr>
        <w:t xml:space="preserve"> </w:t>
      </w:r>
      <w:r w:rsidRPr="00494174">
        <w:rPr>
          <w:color w:val="222222"/>
          <w:szCs w:val="20"/>
          <w:lang w:eastAsia="en-AU"/>
        </w:rPr>
        <w:t>the proposed health technology does not require additional infrastructure changes.</w:t>
      </w:r>
    </w:p>
    <w:p w14:paraId="779818C0" w14:textId="4BC65005" w:rsidR="00B97BE8" w:rsidRDefault="00B97BE8" w:rsidP="00581E29">
      <w:pPr>
        <w:rPr>
          <w:color w:val="222222"/>
          <w:szCs w:val="20"/>
          <w:lang w:eastAsia="en-AU"/>
        </w:rPr>
      </w:pPr>
      <w:r w:rsidRPr="00B97BE8">
        <w:rPr>
          <w:color w:val="222222"/>
          <w:szCs w:val="20"/>
          <w:lang w:eastAsia="en-AU"/>
        </w:rPr>
        <w:t xml:space="preserve">There are differences between the proposed descriptor and </w:t>
      </w:r>
      <w:r>
        <w:rPr>
          <w:color w:val="222222"/>
          <w:szCs w:val="20"/>
          <w:lang w:eastAsia="en-AU"/>
        </w:rPr>
        <w:t xml:space="preserve">both the TGA indication and the </w:t>
      </w:r>
      <w:r w:rsidR="00482BE5">
        <w:rPr>
          <w:color w:val="222222"/>
          <w:szCs w:val="20"/>
          <w:lang w:eastAsia="en-AU"/>
        </w:rPr>
        <w:t>DISRUPT</w:t>
      </w:r>
      <w:r>
        <w:rPr>
          <w:color w:val="222222"/>
          <w:szCs w:val="20"/>
          <w:lang w:eastAsia="en-AU"/>
        </w:rPr>
        <w:t xml:space="preserve"> III RCT</w:t>
      </w:r>
      <w:r>
        <w:rPr>
          <w:rStyle w:val="FootnoteReference"/>
          <w:color w:val="222222"/>
          <w:szCs w:val="20"/>
          <w:lang w:eastAsia="en-AU"/>
        </w:rPr>
        <w:t>1</w:t>
      </w:r>
      <w:r>
        <w:rPr>
          <w:color w:val="222222"/>
          <w:szCs w:val="20"/>
          <w:lang w:eastAsia="en-AU"/>
        </w:rPr>
        <w:t xml:space="preserve">, the main clinical trial included in the ADAR. </w:t>
      </w:r>
      <w:r w:rsidRPr="00B97BE8">
        <w:rPr>
          <w:color w:val="222222"/>
          <w:szCs w:val="20"/>
          <w:lang w:eastAsia="en-AU"/>
        </w:rPr>
        <w:t>TGA did not specify symptom or calcification severity</w:t>
      </w:r>
      <w:r>
        <w:rPr>
          <w:color w:val="222222"/>
          <w:szCs w:val="20"/>
          <w:lang w:eastAsia="en-AU"/>
        </w:rPr>
        <w:t xml:space="preserve">. The </w:t>
      </w:r>
      <w:r w:rsidR="00482BE5">
        <w:rPr>
          <w:color w:val="222222"/>
          <w:szCs w:val="20"/>
          <w:lang w:eastAsia="en-AU"/>
        </w:rPr>
        <w:t>DISRUPT</w:t>
      </w:r>
      <w:r w:rsidRPr="00B97BE8">
        <w:rPr>
          <w:color w:val="222222"/>
          <w:szCs w:val="20"/>
          <w:lang w:eastAsia="en-AU"/>
        </w:rPr>
        <w:t xml:space="preserve"> III </w:t>
      </w:r>
      <w:r>
        <w:rPr>
          <w:color w:val="222222"/>
          <w:szCs w:val="20"/>
          <w:lang w:eastAsia="en-AU"/>
        </w:rPr>
        <w:t xml:space="preserve">RCT </w:t>
      </w:r>
      <w:r w:rsidRPr="00B97BE8">
        <w:rPr>
          <w:color w:val="222222"/>
          <w:szCs w:val="20"/>
          <w:lang w:eastAsia="en-AU"/>
        </w:rPr>
        <w:t>included patients with symptomatic leg</w:t>
      </w:r>
      <w:r>
        <w:rPr>
          <w:color w:val="222222"/>
          <w:szCs w:val="20"/>
          <w:lang w:eastAsia="en-AU"/>
        </w:rPr>
        <w:t xml:space="preserve"> </w:t>
      </w:r>
      <w:r w:rsidRPr="00B97BE8">
        <w:rPr>
          <w:color w:val="222222"/>
          <w:szCs w:val="20"/>
          <w:lang w:eastAsia="en-AU"/>
        </w:rPr>
        <w:t>claudication and/or rest pain (Rutherford class 2-4)</w:t>
      </w:r>
      <w:r>
        <w:rPr>
          <w:color w:val="222222"/>
          <w:szCs w:val="20"/>
          <w:lang w:eastAsia="en-AU"/>
        </w:rPr>
        <w:t xml:space="preserve"> </w:t>
      </w:r>
      <w:r w:rsidRPr="00B97BE8">
        <w:rPr>
          <w:color w:val="222222"/>
          <w:szCs w:val="20"/>
          <w:lang w:eastAsia="en-AU"/>
        </w:rPr>
        <w:t>and moderate or</w:t>
      </w:r>
      <w:r>
        <w:rPr>
          <w:color w:val="222222"/>
          <w:szCs w:val="20"/>
          <w:lang w:eastAsia="en-AU"/>
        </w:rPr>
        <w:t xml:space="preserve"> </w:t>
      </w:r>
      <w:r w:rsidRPr="00B97BE8">
        <w:rPr>
          <w:color w:val="222222"/>
          <w:szCs w:val="20"/>
          <w:lang w:eastAsia="en-AU"/>
        </w:rPr>
        <w:t>severe calcification</w:t>
      </w:r>
      <w:r>
        <w:rPr>
          <w:color w:val="222222"/>
          <w:szCs w:val="20"/>
          <w:lang w:eastAsia="en-AU"/>
        </w:rPr>
        <w:t xml:space="preserve"> (based </w:t>
      </w:r>
      <w:r w:rsidR="00F613D4">
        <w:rPr>
          <w:color w:val="222222"/>
          <w:szCs w:val="20"/>
          <w:lang w:eastAsia="en-AU"/>
        </w:rPr>
        <w:t>on Peripheral</w:t>
      </w:r>
      <w:r w:rsidRPr="00B97BE8">
        <w:rPr>
          <w:color w:val="222222"/>
          <w:szCs w:val="20"/>
          <w:lang w:eastAsia="en-AU"/>
        </w:rPr>
        <w:t xml:space="preserve"> Academic Research Consortium</w:t>
      </w:r>
      <w:r>
        <w:rPr>
          <w:color w:val="222222"/>
          <w:szCs w:val="20"/>
          <w:lang w:eastAsia="en-AU"/>
        </w:rPr>
        <w:t xml:space="preserve"> </w:t>
      </w:r>
      <w:r w:rsidR="00482BE5">
        <w:rPr>
          <w:color w:val="222222"/>
          <w:szCs w:val="20"/>
          <w:lang w:eastAsia="en-AU"/>
        </w:rPr>
        <w:t xml:space="preserve">(PARC) </w:t>
      </w:r>
      <w:r>
        <w:rPr>
          <w:color w:val="222222"/>
          <w:szCs w:val="20"/>
          <w:lang w:eastAsia="en-AU"/>
        </w:rPr>
        <w:t>criteria).</w:t>
      </w:r>
    </w:p>
    <w:p w14:paraId="139AA123" w14:textId="44E54CC8" w:rsidR="00B97BE8" w:rsidRPr="00EB2853" w:rsidRDefault="00B97BE8" w:rsidP="00581E29">
      <w:pPr>
        <w:rPr>
          <w:color w:val="222222"/>
          <w:szCs w:val="20"/>
          <w:lang w:eastAsia="en-AU"/>
        </w:rPr>
      </w:pPr>
      <w:r>
        <w:rPr>
          <w:color w:val="222222"/>
          <w:szCs w:val="20"/>
          <w:lang w:eastAsia="en-AU"/>
        </w:rPr>
        <w:t xml:space="preserve">At the </w:t>
      </w:r>
      <w:r w:rsidRPr="00B97BE8">
        <w:rPr>
          <w:color w:val="222222"/>
          <w:szCs w:val="20"/>
          <w:lang w:eastAsia="en-AU"/>
        </w:rPr>
        <w:t xml:space="preserve">PASC </w:t>
      </w:r>
      <w:r>
        <w:rPr>
          <w:color w:val="222222"/>
          <w:szCs w:val="20"/>
          <w:lang w:eastAsia="en-AU"/>
        </w:rPr>
        <w:t xml:space="preserve">meeting, </w:t>
      </w:r>
      <w:r w:rsidR="00F64716">
        <w:rPr>
          <w:color w:val="222222"/>
          <w:szCs w:val="20"/>
          <w:lang w:eastAsia="en-AU"/>
        </w:rPr>
        <w:t xml:space="preserve">whether the </w:t>
      </w:r>
      <w:r w:rsidR="00F64716" w:rsidRPr="00B97BE8">
        <w:rPr>
          <w:color w:val="222222"/>
          <w:szCs w:val="20"/>
          <w:lang w:eastAsia="en-AU"/>
        </w:rPr>
        <w:t xml:space="preserve">Rutherford classification system </w:t>
      </w:r>
      <w:r w:rsidR="00F64716">
        <w:rPr>
          <w:color w:val="222222"/>
          <w:szCs w:val="20"/>
          <w:lang w:eastAsia="en-AU"/>
        </w:rPr>
        <w:t xml:space="preserve">should be included in </w:t>
      </w:r>
      <w:r w:rsidRPr="00B97BE8">
        <w:rPr>
          <w:color w:val="222222"/>
          <w:szCs w:val="20"/>
          <w:lang w:eastAsia="en-AU"/>
        </w:rPr>
        <w:t xml:space="preserve">the proposed </w:t>
      </w:r>
      <w:r>
        <w:rPr>
          <w:color w:val="222222"/>
          <w:szCs w:val="20"/>
          <w:lang w:eastAsia="en-AU"/>
        </w:rPr>
        <w:t xml:space="preserve">MBS </w:t>
      </w:r>
      <w:r w:rsidRPr="00B97BE8">
        <w:rPr>
          <w:color w:val="222222"/>
          <w:szCs w:val="20"/>
          <w:lang w:eastAsia="en-AU"/>
        </w:rPr>
        <w:t xml:space="preserve">item descriptor to define the patient population </w:t>
      </w:r>
      <w:r>
        <w:rPr>
          <w:color w:val="222222"/>
          <w:szCs w:val="20"/>
          <w:lang w:eastAsia="en-AU"/>
        </w:rPr>
        <w:t>was discussed</w:t>
      </w:r>
      <w:r w:rsidRPr="00B97BE8">
        <w:rPr>
          <w:color w:val="222222"/>
          <w:szCs w:val="20"/>
          <w:lang w:eastAsia="en-AU"/>
        </w:rPr>
        <w:t xml:space="preserve">. The </w:t>
      </w:r>
      <w:r w:rsidR="00265E60">
        <w:rPr>
          <w:color w:val="222222"/>
          <w:szCs w:val="20"/>
          <w:lang w:eastAsia="en-AU"/>
        </w:rPr>
        <w:t>a</w:t>
      </w:r>
      <w:r w:rsidR="00265E60" w:rsidRPr="00B97BE8">
        <w:rPr>
          <w:color w:val="222222"/>
          <w:szCs w:val="20"/>
          <w:lang w:eastAsia="en-AU"/>
        </w:rPr>
        <w:t xml:space="preserve">pplicant's </w:t>
      </w:r>
      <w:r w:rsidRPr="00B97BE8">
        <w:rPr>
          <w:color w:val="222222"/>
          <w:szCs w:val="20"/>
          <w:lang w:eastAsia="en-AU"/>
        </w:rPr>
        <w:t xml:space="preserve">clinical expert </w:t>
      </w:r>
      <w:r w:rsidR="0041612D">
        <w:rPr>
          <w:color w:val="222222"/>
          <w:szCs w:val="20"/>
          <w:lang w:eastAsia="en-AU"/>
        </w:rPr>
        <w:t>stated</w:t>
      </w:r>
      <w:r w:rsidR="0041612D" w:rsidRPr="00B97BE8">
        <w:rPr>
          <w:color w:val="222222"/>
          <w:szCs w:val="20"/>
          <w:lang w:eastAsia="en-AU"/>
        </w:rPr>
        <w:t xml:space="preserve"> </w:t>
      </w:r>
      <w:r w:rsidRPr="00B97BE8">
        <w:rPr>
          <w:color w:val="222222"/>
          <w:szCs w:val="20"/>
          <w:lang w:eastAsia="en-AU"/>
        </w:rPr>
        <w:t xml:space="preserve">that the Rutherford classification system is not currently used in clinical practice to define patient eligibility for endovascular procedures. </w:t>
      </w:r>
      <w:r>
        <w:rPr>
          <w:color w:val="222222"/>
          <w:szCs w:val="20"/>
          <w:lang w:eastAsia="en-AU"/>
        </w:rPr>
        <w:t>Furthermore,</w:t>
      </w:r>
      <w:r w:rsidRPr="00B97BE8">
        <w:rPr>
          <w:color w:val="222222"/>
          <w:szCs w:val="20"/>
          <w:lang w:eastAsia="en-AU"/>
        </w:rPr>
        <w:t xml:space="preserve"> the MBS items relevant for the comparator do not include any wording related to classification systems for PAD. Therefore, PASC considered that defining the population with PAD in terms of </w:t>
      </w:r>
      <w:r>
        <w:rPr>
          <w:color w:val="222222"/>
          <w:szCs w:val="20"/>
          <w:lang w:eastAsia="en-AU"/>
        </w:rPr>
        <w:t>'</w:t>
      </w:r>
      <w:r w:rsidRPr="00B97BE8">
        <w:rPr>
          <w:color w:val="222222"/>
          <w:szCs w:val="20"/>
          <w:lang w:eastAsia="en-AU"/>
        </w:rPr>
        <w:t xml:space="preserve">moderate or severely calcified lesions' without reference to a classification system acceptable, given that </w:t>
      </w:r>
      <w:r w:rsidRPr="00B97BE8">
        <w:rPr>
          <w:color w:val="222222"/>
          <w:szCs w:val="20"/>
          <w:lang w:eastAsia="en-AU"/>
        </w:rPr>
        <w:lastRenderedPageBreak/>
        <w:t>there is no specific classification system to decide on the patient's eligibility for IVL treatment in clinical settings</w:t>
      </w:r>
      <w:r w:rsidR="00E54C38">
        <w:rPr>
          <w:color w:val="222222"/>
          <w:szCs w:val="20"/>
          <w:lang w:eastAsia="en-AU"/>
        </w:rPr>
        <w:t>.</w:t>
      </w:r>
      <w:r w:rsidRPr="00B97BE8">
        <w:rPr>
          <w:color w:val="222222"/>
          <w:szCs w:val="20"/>
          <w:lang w:eastAsia="en-AU"/>
        </w:rPr>
        <w:t xml:space="preserve"> </w:t>
      </w:r>
    </w:p>
    <w:p w14:paraId="34E0B08F" w14:textId="3ABD1301" w:rsidR="00772829" w:rsidRPr="00CE28E3" w:rsidRDefault="00C73462" w:rsidP="002A18BE">
      <w:pPr>
        <w:pStyle w:val="Heading2"/>
        <w:numPr>
          <w:ilvl w:val="0"/>
          <w:numId w:val="0"/>
        </w:numPr>
      </w:pPr>
      <w:bookmarkStart w:id="10" w:name="_Toc69491419"/>
      <w:r>
        <w:t>7</w:t>
      </w:r>
      <w:r w:rsidR="00C36633">
        <w:t>.</w:t>
      </w:r>
      <w:r w:rsidR="00C36633">
        <w:tab/>
      </w:r>
      <w:r w:rsidR="00772829" w:rsidRPr="00CE28E3">
        <w:t>Population</w:t>
      </w:r>
      <w:bookmarkEnd w:id="10"/>
      <w:r w:rsidR="00772829" w:rsidRPr="00CE28E3">
        <w:t xml:space="preserve"> </w:t>
      </w:r>
    </w:p>
    <w:p w14:paraId="4D378C2C" w14:textId="6517161E" w:rsidR="00A84915" w:rsidRDefault="004205C9" w:rsidP="00581E29">
      <w:r>
        <w:t xml:space="preserve">The proposed population </w:t>
      </w:r>
      <w:r w:rsidR="00A84915">
        <w:t>is p</w:t>
      </w:r>
      <w:r w:rsidR="00A84915" w:rsidRPr="00A84915">
        <w:t>atients with PAD in lower limbs,</w:t>
      </w:r>
      <w:r w:rsidR="00B26BCD">
        <w:t xml:space="preserve"> </w:t>
      </w:r>
      <w:r w:rsidR="00A84915" w:rsidRPr="00A84915">
        <w:t>moderate or severe calcification</w:t>
      </w:r>
      <w:r w:rsidR="00B26BCD">
        <w:t xml:space="preserve"> and</w:t>
      </w:r>
      <w:r w:rsidR="00A84915" w:rsidRPr="00A84915">
        <w:t xml:space="preserve"> who are indicated for endovascular revascularisation</w:t>
      </w:r>
      <w:r w:rsidR="00B26BCD">
        <w:t>.</w:t>
      </w:r>
      <w:r w:rsidR="00A84915" w:rsidRPr="00A84915">
        <w:t xml:space="preserve"> </w:t>
      </w:r>
    </w:p>
    <w:p w14:paraId="6E42C38F" w14:textId="1E9EC9D7" w:rsidR="00A84915" w:rsidRDefault="00A84915" w:rsidP="00581E29">
      <w:r>
        <w:t xml:space="preserve">There are two PICO sets available for this application. </w:t>
      </w:r>
    </w:p>
    <w:p w14:paraId="7C383B48" w14:textId="77777777" w:rsidR="005623AC" w:rsidRDefault="004205C9" w:rsidP="00581E29">
      <w:r w:rsidRPr="00B26BCD">
        <w:t>The population relevant for PICO set 1 is patients with PAD</w:t>
      </w:r>
      <w:r w:rsidR="00B26BCD" w:rsidRPr="00B26BCD">
        <w:t>,</w:t>
      </w:r>
      <w:r w:rsidRPr="00B26BCD">
        <w:t xml:space="preserve"> who have moderately or severely calcified lesions</w:t>
      </w:r>
      <w:r w:rsidRPr="00B26BCD">
        <w:rPr>
          <w:i/>
          <w:iCs/>
        </w:rPr>
        <w:t xml:space="preserve"> </w:t>
      </w:r>
      <w:r w:rsidRPr="00B26BCD">
        <w:t>in their lower limb(s), who are indicated for endovascular revascularisation</w:t>
      </w:r>
      <w:r w:rsidR="00B26BCD" w:rsidRPr="00B26BCD">
        <w:t xml:space="preserve"> and do not require subsequent treatment</w:t>
      </w:r>
      <w:r w:rsidRPr="00B26BCD">
        <w:t xml:space="preserve"> </w:t>
      </w:r>
      <w:r w:rsidR="00B26BCD" w:rsidRPr="00B26BCD">
        <w:t xml:space="preserve">following balloon dilation. </w:t>
      </w:r>
    </w:p>
    <w:p w14:paraId="09212828" w14:textId="23407E41" w:rsidR="004205C9" w:rsidRPr="00B26BCD" w:rsidRDefault="004205C9" w:rsidP="00581E29">
      <w:pPr>
        <w:rPr>
          <w:w w:val="105"/>
        </w:rPr>
      </w:pPr>
      <w:r w:rsidRPr="00B26BCD">
        <w:t xml:space="preserve">The population relevant for PICO set 2 is </w:t>
      </w:r>
      <w:bookmarkStart w:id="11" w:name="_Hlk129085104"/>
      <w:r w:rsidRPr="00B26BCD">
        <w:t>patients with PAD who have moderately or severely calcified lesions</w:t>
      </w:r>
      <w:r w:rsidRPr="00B26BCD" w:rsidDel="00300A2B">
        <w:t xml:space="preserve"> </w:t>
      </w:r>
      <w:r w:rsidRPr="00B26BCD">
        <w:t>in their lower limb(s) who are indicated for endovascular revascularisation and require subsequent treatment following balloon dilation</w:t>
      </w:r>
      <w:bookmarkEnd w:id="11"/>
      <w:r w:rsidRPr="00B26BCD">
        <w:t>.</w:t>
      </w:r>
    </w:p>
    <w:p w14:paraId="29F863D8" w14:textId="7843AF92" w:rsidR="00A2504E" w:rsidRDefault="00A2504E" w:rsidP="00581E29">
      <w:pPr>
        <w:rPr>
          <w:rFonts w:cstheme="minorHAnsi"/>
          <w:w w:val="105"/>
        </w:rPr>
      </w:pPr>
      <w:r w:rsidRPr="006C6506">
        <w:t xml:space="preserve">The </w:t>
      </w:r>
      <w:r w:rsidR="00B26BCD">
        <w:t>ADAR</w:t>
      </w:r>
      <w:r w:rsidRPr="006C6506">
        <w:t xml:space="preserve"> stated that if the anatomic assessment reveals at least moderate calcification, the patient would be eligible for treatment with IVL in place of </w:t>
      </w:r>
      <w:r w:rsidR="005623AC">
        <w:t>SBA</w:t>
      </w:r>
      <w:r w:rsidRPr="006C6506">
        <w:t xml:space="preserve">. </w:t>
      </w:r>
      <w:r w:rsidR="00491325">
        <w:rPr>
          <w:rFonts w:cstheme="minorHAnsi"/>
          <w:w w:val="105"/>
        </w:rPr>
        <w:t>T</w:t>
      </w:r>
      <w:r w:rsidRPr="006C6506">
        <w:rPr>
          <w:rFonts w:cstheme="minorHAnsi"/>
          <w:w w:val="105"/>
        </w:rPr>
        <w:t xml:space="preserve">he proposed algorithm includes two pathways for patients with PAD in lower limbs based on </w:t>
      </w:r>
      <w:r w:rsidR="00C90312">
        <w:rPr>
          <w:rFonts w:cstheme="minorHAnsi"/>
          <w:w w:val="105"/>
        </w:rPr>
        <w:t xml:space="preserve">the </w:t>
      </w:r>
      <w:r w:rsidRPr="006C6506">
        <w:rPr>
          <w:rFonts w:cstheme="minorHAnsi"/>
          <w:w w:val="105"/>
        </w:rPr>
        <w:t>degree of calcification of the PAD lesions. PAD patients with no or mildly calcified lesions in lower limbs would follow the existing pathway (i.e.,</w:t>
      </w:r>
      <w:r w:rsidR="00BC20AE">
        <w:rPr>
          <w:rFonts w:cstheme="minorHAnsi"/>
          <w:w w:val="105"/>
        </w:rPr>
        <w:t xml:space="preserve"> </w:t>
      </w:r>
      <w:r w:rsidRPr="006C6506">
        <w:rPr>
          <w:rFonts w:cstheme="minorHAnsi"/>
          <w:w w:val="105"/>
        </w:rPr>
        <w:t>treatment with SBA as stand</w:t>
      </w:r>
      <w:r w:rsidR="00C90312">
        <w:rPr>
          <w:rFonts w:cstheme="minorHAnsi"/>
          <w:w w:val="105"/>
        </w:rPr>
        <w:t>-</w:t>
      </w:r>
      <w:r w:rsidRPr="006C6506">
        <w:rPr>
          <w:rFonts w:cstheme="minorHAnsi"/>
          <w:w w:val="105"/>
        </w:rPr>
        <w:t xml:space="preserve">alone or </w:t>
      </w:r>
      <w:r w:rsidR="00C90312">
        <w:rPr>
          <w:rFonts w:cstheme="minorHAnsi"/>
          <w:w w:val="105"/>
        </w:rPr>
        <w:t>combined</w:t>
      </w:r>
      <w:r w:rsidRPr="006C6506">
        <w:rPr>
          <w:rFonts w:cstheme="minorHAnsi"/>
          <w:w w:val="105"/>
        </w:rPr>
        <w:t xml:space="preserve"> with DCB/stent/</w:t>
      </w:r>
      <w:r w:rsidR="00BC20AE">
        <w:rPr>
          <w:rFonts w:cstheme="minorHAnsi"/>
          <w:w w:val="105"/>
        </w:rPr>
        <w:t xml:space="preserve"> </w:t>
      </w:r>
      <w:r w:rsidRPr="006C6506">
        <w:rPr>
          <w:rFonts w:cstheme="minorHAnsi"/>
          <w:w w:val="105"/>
        </w:rPr>
        <w:t>atherectomy). Patients with moderately or</w:t>
      </w:r>
      <w:r w:rsidRPr="006C6506">
        <w:rPr>
          <w:rFonts w:cstheme="minorHAnsi"/>
          <w:spacing w:val="-1"/>
          <w:w w:val="105"/>
        </w:rPr>
        <w:t xml:space="preserve"> </w:t>
      </w:r>
      <w:r w:rsidRPr="006C6506">
        <w:rPr>
          <w:rFonts w:cstheme="minorHAnsi"/>
          <w:w w:val="105"/>
        </w:rPr>
        <w:t>severely calcified PAD</w:t>
      </w:r>
      <w:r w:rsidRPr="006C6506">
        <w:rPr>
          <w:rFonts w:cstheme="minorHAnsi"/>
          <w:spacing w:val="-6"/>
          <w:w w:val="105"/>
        </w:rPr>
        <w:t xml:space="preserve"> </w:t>
      </w:r>
      <w:r w:rsidRPr="006C6506">
        <w:rPr>
          <w:rFonts w:cstheme="minorHAnsi"/>
          <w:w w:val="105"/>
        </w:rPr>
        <w:t>in lower limbs would follow the proposed clinical management algorithm (i.e., treatment with SBA or IVL as stand</w:t>
      </w:r>
      <w:r w:rsidR="00C90312">
        <w:rPr>
          <w:rFonts w:cstheme="minorHAnsi"/>
          <w:w w:val="105"/>
        </w:rPr>
        <w:t>-</w:t>
      </w:r>
      <w:r w:rsidRPr="006C6506">
        <w:rPr>
          <w:rFonts w:cstheme="minorHAnsi"/>
          <w:w w:val="105"/>
        </w:rPr>
        <w:t xml:space="preserve">alone or </w:t>
      </w:r>
      <w:r w:rsidR="00C90312">
        <w:rPr>
          <w:rFonts w:cstheme="minorHAnsi"/>
          <w:w w:val="105"/>
        </w:rPr>
        <w:t>combined</w:t>
      </w:r>
      <w:r w:rsidRPr="006C6506">
        <w:rPr>
          <w:rFonts w:cstheme="minorHAnsi"/>
          <w:w w:val="105"/>
        </w:rPr>
        <w:t xml:space="preserve"> with DCB/stent/atherectomy)</w:t>
      </w:r>
      <w:r w:rsidR="00A1435F">
        <w:rPr>
          <w:rFonts w:cstheme="minorHAnsi"/>
          <w:w w:val="105"/>
        </w:rPr>
        <w:t>. Therefore, the patient population relevant for the PICO set 1 (IVL as stand</w:t>
      </w:r>
      <w:r w:rsidR="00C90312">
        <w:rPr>
          <w:rFonts w:cstheme="minorHAnsi"/>
          <w:w w:val="105"/>
        </w:rPr>
        <w:t>-</w:t>
      </w:r>
      <w:r w:rsidR="00A1435F">
        <w:rPr>
          <w:rFonts w:cstheme="minorHAnsi"/>
          <w:w w:val="105"/>
        </w:rPr>
        <w:t xml:space="preserve">alone treatment) </w:t>
      </w:r>
      <w:r w:rsidR="00667684">
        <w:rPr>
          <w:rFonts w:cstheme="minorHAnsi"/>
          <w:w w:val="105"/>
        </w:rPr>
        <w:t>will</w:t>
      </w:r>
      <w:r w:rsidR="00A1435F">
        <w:rPr>
          <w:rFonts w:cstheme="minorHAnsi"/>
          <w:w w:val="105"/>
        </w:rPr>
        <w:t xml:space="preserve"> receive IVL </w:t>
      </w:r>
      <w:r w:rsidR="00A1435F" w:rsidRPr="00A1435F">
        <w:rPr>
          <w:rFonts w:cstheme="minorHAnsi"/>
          <w:w w:val="105"/>
        </w:rPr>
        <w:t>in place of current technology (as an alternative or as a replacement)</w:t>
      </w:r>
      <w:r w:rsidR="00A1435F">
        <w:rPr>
          <w:rFonts w:cstheme="minorHAnsi"/>
          <w:w w:val="105"/>
        </w:rPr>
        <w:t>. The patient population relevant for the PICO set 2 (IVL in</w:t>
      </w:r>
      <w:r w:rsidR="00667684">
        <w:rPr>
          <w:rFonts w:cstheme="minorHAnsi"/>
          <w:w w:val="105"/>
        </w:rPr>
        <w:t xml:space="preserve"> </w:t>
      </w:r>
      <w:r w:rsidR="00A1435F">
        <w:rPr>
          <w:rFonts w:cstheme="minorHAnsi"/>
          <w:w w:val="105"/>
        </w:rPr>
        <w:t xml:space="preserve">combination with other </w:t>
      </w:r>
      <w:r w:rsidR="00667684">
        <w:rPr>
          <w:rFonts w:cstheme="minorHAnsi"/>
          <w:w w:val="105"/>
        </w:rPr>
        <w:t>therapy) will receive IVL</w:t>
      </w:r>
      <w:r w:rsidR="00667684" w:rsidRPr="00667684">
        <w:rPr>
          <w:rFonts w:cstheme="minorHAnsi"/>
          <w:w w:val="105"/>
        </w:rPr>
        <w:t xml:space="preserve"> </w:t>
      </w:r>
      <w:r w:rsidR="00667684" w:rsidRPr="00A1435F">
        <w:rPr>
          <w:rFonts w:cstheme="minorHAnsi"/>
          <w:w w:val="105"/>
        </w:rPr>
        <w:t>in addition to current technology</w:t>
      </w:r>
      <w:r w:rsidR="00667684">
        <w:rPr>
          <w:rFonts w:cstheme="minorHAnsi"/>
          <w:w w:val="105"/>
        </w:rPr>
        <w:t>.</w:t>
      </w:r>
    </w:p>
    <w:p w14:paraId="6DAEDB50" w14:textId="168F1D6E" w:rsidR="004769B5" w:rsidRPr="00996E36" w:rsidRDefault="00A2504E" w:rsidP="00581E29">
      <w:pPr>
        <w:rPr>
          <w:rFonts w:cstheme="minorHAnsi"/>
          <w:w w:val="105"/>
        </w:rPr>
      </w:pPr>
      <w:r w:rsidRPr="00996E36">
        <w:t>This ADAR of IVL addresses all the PICO elements that were prespecified in the Ratified PICO.</w:t>
      </w:r>
    </w:p>
    <w:p w14:paraId="66BDFCC1" w14:textId="3C828782" w:rsidR="00772829" w:rsidRPr="00CE28E3" w:rsidRDefault="00C73462" w:rsidP="002A18BE">
      <w:pPr>
        <w:pStyle w:val="Heading2"/>
        <w:numPr>
          <w:ilvl w:val="0"/>
          <w:numId w:val="0"/>
        </w:numPr>
      </w:pPr>
      <w:bookmarkStart w:id="12" w:name="_Toc69491420"/>
      <w:r>
        <w:t>8</w:t>
      </w:r>
      <w:r w:rsidR="00C36633">
        <w:t>.</w:t>
      </w:r>
      <w:r w:rsidR="00C36633">
        <w:tab/>
      </w:r>
      <w:r w:rsidR="00772829" w:rsidRPr="00CE28E3">
        <w:t>Comparator</w:t>
      </w:r>
      <w:bookmarkEnd w:id="12"/>
    </w:p>
    <w:p w14:paraId="2F2F77FD" w14:textId="05B0DEEC" w:rsidR="00D37D52" w:rsidRDefault="00066501" w:rsidP="00581E29">
      <w:r>
        <w:t xml:space="preserve">The </w:t>
      </w:r>
      <w:r w:rsidR="0039323F">
        <w:t>ADAR</w:t>
      </w:r>
      <w:r>
        <w:t xml:space="preserve"> proposed SBA </w:t>
      </w:r>
      <w:r w:rsidR="00D37D52">
        <w:t xml:space="preserve">alone as the comparator for PICO set 1 </w:t>
      </w:r>
      <w:r>
        <w:t xml:space="preserve">and </w:t>
      </w:r>
      <w:r w:rsidR="00D37D52">
        <w:t xml:space="preserve">SBA </w:t>
      </w:r>
      <w:r w:rsidR="00D37D52" w:rsidRPr="00D37D52">
        <w:t xml:space="preserve">followed by drug-coated balloon </w:t>
      </w:r>
      <w:r w:rsidR="003238AB">
        <w:t xml:space="preserve">(DCB) </w:t>
      </w:r>
      <w:r w:rsidR="00D37D52" w:rsidRPr="00D37D52">
        <w:t>and/or stent</w:t>
      </w:r>
      <w:r>
        <w:t xml:space="preserve"> </w:t>
      </w:r>
      <w:r w:rsidR="00D37D52">
        <w:t xml:space="preserve">as </w:t>
      </w:r>
      <w:r>
        <w:t xml:space="preserve">the comparator for </w:t>
      </w:r>
      <w:r w:rsidR="00D37D52">
        <w:t>PICO set 2</w:t>
      </w:r>
      <w:r>
        <w:t xml:space="preserve">. </w:t>
      </w:r>
      <w:r w:rsidR="003238AB" w:rsidRPr="00996E36">
        <w:t xml:space="preserve">This is consistent with the </w:t>
      </w:r>
      <w:r w:rsidR="00F613D4" w:rsidRPr="00996E36">
        <w:t>Ratified PICO</w:t>
      </w:r>
      <w:r w:rsidR="003238AB" w:rsidRPr="00996E36">
        <w:t>.</w:t>
      </w:r>
    </w:p>
    <w:p w14:paraId="4C33D5DC" w14:textId="637A5998" w:rsidR="00066501" w:rsidRDefault="00066501" w:rsidP="00581E29">
      <w:r>
        <w:t>The application stated that balloon angioplasty</w:t>
      </w:r>
      <w:r>
        <w:rPr>
          <w:spacing w:val="33"/>
        </w:rPr>
        <w:t xml:space="preserve"> </w:t>
      </w:r>
      <w:r>
        <w:t>is the most common</w:t>
      </w:r>
      <w:r>
        <w:rPr>
          <w:spacing w:val="24"/>
        </w:rPr>
        <w:t xml:space="preserve"> </w:t>
      </w:r>
      <w:r>
        <w:t>revascularisation strategy</w:t>
      </w:r>
      <w:r>
        <w:rPr>
          <w:spacing w:val="25"/>
        </w:rPr>
        <w:t xml:space="preserve"> </w:t>
      </w:r>
      <w:r>
        <w:t>in Australia,</w:t>
      </w:r>
      <w:r>
        <w:rPr>
          <w:spacing w:val="22"/>
        </w:rPr>
        <w:t xml:space="preserve"> </w:t>
      </w:r>
      <w:r>
        <w:t>accounting</w:t>
      </w:r>
      <w:r>
        <w:rPr>
          <w:spacing w:val="24"/>
        </w:rPr>
        <w:t xml:space="preserve"> </w:t>
      </w:r>
      <w:r>
        <w:t>for</w:t>
      </w:r>
      <w:r>
        <w:rPr>
          <w:spacing w:val="19"/>
        </w:rPr>
        <w:t xml:space="preserve"> </w:t>
      </w:r>
      <w:r>
        <w:t>approximately</w:t>
      </w:r>
      <w:r>
        <w:rPr>
          <w:spacing w:val="35"/>
        </w:rPr>
        <w:t xml:space="preserve"> </w:t>
      </w:r>
      <w:r>
        <w:t>58% of services for PAD</w:t>
      </w:r>
      <w:r w:rsidRPr="00CE50C8">
        <w:t xml:space="preserve"> </w:t>
      </w:r>
      <w:r>
        <w:t>based on MBS utilisation data from 2019-2021</w:t>
      </w:r>
      <w:r w:rsidR="00D37D52">
        <w:t xml:space="preserve"> for items </w:t>
      </w:r>
      <w:r w:rsidR="003238AB">
        <w:t>35300, 35303, 35306 and 35309</w:t>
      </w:r>
      <w:r>
        <w:t>.</w:t>
      </w:r>
      <w:r w:rsidR="0039323F">
        <w:t xml:space="preserve"> </w:t>
      </w:r>
      <w:r>
        <w:t>The remaining patients predominantly</w:t>
      </w:r>
      <w:r>
        <w:rPr>
          <w:spacing w:val="25"/>
        </w:rPr>
        <w:t xml:space="preserve"> </w:t>
      </w:r>
      <w:r>
        <w:t xml:space="preserve">receive stent insertion (32%), atherectomy (5%), or bypass surgery (4%). </w:t>
      </w:r>
      <w:r w:rsidR="007F1DDC">
        <w:t>ESC</w:t>
      </w:r>
      <w:r w:rsidR="00C55DA5" w:rsidRPr="00996E36">
        <w:t xml:space="preserve"> consider</w:t>
      </w:r>
      <w:r w:rsidR="007F1DDC">
        <w:t>ed</w:t>
      </w:r>
      <w:r w:rsidR="00C55DA5" w:rsidRPr="00996E36">
        <w:t xml:space="preserve"> that</w:t>
      </w:r>
      <w:r w:rsidR="00F613D4" w:rsidRPr="00996E36">
        <w:t>, except</w:t>
      </w:r>
      <w:r w:rsidRPr="00996E36">
        <w:t xml:space="preserve"> for MBS item 35312 (atherectomy), the procedures covered by these MBS items are not confined to the peripheral arteries. Furthermore, MBS item numbers for stents (35306 and 35309) </w:t>
      </w:r>
      <w:r w:rsidR="00C90312" w:rsidRPr="00996E36">
        <w:t>also include associated balloon dilatation</w:t>
      </w:r>
      <w:r w:rsidRPr="00AA1C95">
        <w:rPr>
          <w:i/>
          <w:iCs/>
        </w:rPr>
        <w:t>.</w:t>
      </w:r>
      <w:r w:rsidR="0039323F">
        <w:t xml:space="preserve"> </w:t>
      </w:r>
      <w:r w:rsidRPr="0062054F">
        <w:t xml:space="preserve">However, it has been reported that in Australia, 70% of peripheral artery surgeries were endovascular procedures in 2015, and </w:t>
      </w:r>
      <w:r w:rsidR="00C90312">
        <w:t>this proportion is estimated to</w:t>
      </w:r>
      <w:r w:rsidR="00C10320">
        <w:t xml:space="preserve"> </w:t>
      </w:r>
      <w:r w:rsidR="00C10320" w:rsidRPr="0062054F">
        <w:t>increase</w:t>
      </w:r>
      <w:r w:rsidRPr="0062054F">
        <w:t xml:space="preserve"> over the years.</w:t>
      </w:r>
      <w:r w:rsidR="00C10320">
        <w:rPr>
          <w:rStyle w:val="FootnoteReference"/>
        </w:rPr>
        <w:footnoteReference w:id="3"/>
      </w:r>
      <w:r>
        <w:rPr>
          <w:rFonts w:ascii="Roboto" w:hAnsi="Roboto"/>
          <w:color w:val="222222"/>
        </w:rPr>
        <w:t xml:space="preserve"> </w:t>
      </w:r>
      <w:r w:rsidRPr="00996E36">
        <w:t>Therefore,</w:t>
      </w:r>
      <w:r w:rsidR="00C55DA5" w:rsidRPr="00996E36">
        <w:t xml:space="preserve"> </w:t>
      </w:r>
      <w:r w:rsidR="007F1DDC">
        <w:t>ESC</w:t>
      </w:r>
      <w:r w:rsidR="00C55DA5" w:rsidRPr="00996E36">
        <w:t xml:space="preserve"> consider</w:t>
      </w:r>
      <w:r w:rsidR="002847D5">
        <w:t>ed</w:t>
      </w:r>
      <w:r w:rsidR="00C55DA5" w:rsidRPr="00996E36">
        <w:t xml:space="preserve"> </w:t>
      </w:r>
      <w:r w:rsidR="007A53A0" w:rsidRPr="00996E36">
        <w:lastRenderedPageBreak/>
        <w:t>that</w:t>
      </w:r>
      <w:r w:rsidRPr="00996E36">
        <w:t xml:space="preserve"> SBA and SBA</w:t>
      </w:r>
      <w:r w:rsidR="00D2022D">
        <w:t>,</w:t>
      </w:r>
      <w:r w:rsidRPr="00996E36">
        <w:t xml:space="preserve"> followed by DCB and/or stent</w:t>
      </w:r>
      <w:r w:rsidR="00810EF2">
        <w:t xml:space="preserve"> are</w:t>
      </w:r>
      <w:r w:rsidRPr="00996E36">
        <w:t xml:space="preserve"> the relevant comparators for the PICO set 1 and 2</w:t>
      </w:r>
      <w:r w:rsidR="00C90312" w:rsidRPr="00996E36">
        <w:t>,</w:t>
      </w:r>
      <w:r w:rsidRPr="00996E36">
        <w:t xml:space="preserve"> respectively.</w:t>
      </w:r>
      <w:r w:rsidRPr="007A53A0">
        <w:t xml:space="preserve"> </w:t>
      </w:r>
    </w:p>
    <w:p w14:paraId="2BF9DB12" w14:textId="57B37F54" w:rsidR="00066501" w:rsidRPr="00871120" w:rsidRDefault="00066501" w:rsidP="00581E29">
      <w:r w:rsidRPr="00871120">
        <w:t xml:space="preserve">There are four existing item numbers related to the comparator </w:t>
      </w:r>
      <w:r w:rsidR="006B244D">
        <w:t>SBA</w:t>
      </w:r>
      <w:r w:rsidRPr="00871120">
        <w:t xml:space="preserve"> (</w:t>
      </w:r>
      <w:r w:rsidR="006B244D">
        <w:t>also</w:t>
      </w:r>
      <w:r w:rsidR="006B244D">
        <w:rPr>
          <w:spacing w:val="-1"/>
        </w:rPr>
        <w:t xml:space="preserve"> </w:t>
      </w:r>
      <w:r w:rsidR="006B244D">
        <w:t>referred</w:t>
      </w:r>
      <w:r w:rsidR="006B244D">
        <w:rPr>
          <w:spacing w:val="-9"/>
        </w:rPr>
        <w:t xml:space="preserve"> to </w:t>
      </w:r>
      <w:r w:rsidR="006B244D">
        <w:t>as</w:t>
      </w:r>
      <w:r w:rsidR="006B244D">
        <w:rPr>
          <w:spacing w:val="-14"/>
        </w:rPr>
        <w:t xml:space="preserve"> </w:t>
      </w:r>
      <w:r w:rsidR="006B244D">
        <w:t>percutaneous transluminal angioplasty (PTA)</w:t>
      </w:r>
      <w:r w:rsidR="006B244D" w:rsidRPr="00871120">
        <w:t xml:space="preserve">) </w:t>
      </w:r>
      <w:r w:rsidR="006B244D">
        <w:t xml:space="preserve">or </w:t>
      </w:r>
      <w:r w:rsidRPr="00871120">
        <w:t>transluminal balloon angioplasty</w:t>
      </w:r>
      <w:r w:rsidR="006B244D">
        <w:t xml:space="preserve"> (TBA)) </w:t>
      </w:r>
      <w:r w:rsidRPr="00871120">
        <w:t>under category 3 therapeutic procedures</w:t>
      </w:r>
      <w:r w:rsidR="00BC20AE">
        <w:t>:</w:t>
      </w:r>
    </w:p>
    <w:p w14:paraId="2B56117D" w14:textId="5F7B4EC2" w:rsidR="00066501" w:rsidRPr="00C94D6B" w:rsidRDefault="00066501" w:rsidP="00581E29">
      <w:pPr>
        <w:pStyle w:val="ListParagraph"/>
        <w:numPr>
          <w:ilvl w:val="0"/>
          <w:numId w:val="10"/>
        </w:numPr>
        <w:spacing w:before="0" w:after="200" w:line="276" w:lineRule="auto"/>
      </w:pPr>
      <w:r w:rsidRPr="00871120">
        <w:t>MBS item number 35300: TRANSLUMINAL BALLOON ANGIOPLASTY of 1 peripheral artery or vein of 1 limb, percutaneous or by open exposure, excluding associated radiological services or preparation, and excluding aftercare.</w:t>
      </w:r>
    </w:p>
    <w:p w14:paraId="1FE9BAFC" w14:textId="77777777" w:rsidR="00066501" w:rsidRPr="00D3340D" w:rsidRDefault="00066501" w:rsidP="00581E29">
      <w:pPr>
        <w:pStyle w:val="ListParagraph"/>
        <w:numPr>
          <w:ilvl w:val="0"/>
          <w:numId w:val="10"/>
        </w:numPr>
        <w:spacing w:before="0" w:after="200" w:line="276" w:lineRule="auto"/>
      </w:pPr>
      <w:r w:rsidRPr="00871120">
        <w:t>MBS item number 35303: TRANSLUMINAL BALLOON ANGIOPLASTY of aortic arch branches, aortic visceral branches, or more than 1 peripheral artery or vein of 1 limb, percutaneous or by open exposure, excluding associated radiological services or preparation, and excluding aftercare.</w:t>
      </w:r>
    </w:p>
    <w:p w14:paraId="64B70F77" w14:textId="77777777" w:rsidR="00066501" w:rsidRPr="00D3340D" w:rsidRDefault="00066501" w:rsidP="00581E29">
      <w:pPr>
        <w:pStyle w:val="ListParagraph"/>
        <w:numPr>
          <w:ilvl w:val="0"/>
          <w:numId w:val="10"/>
        </w:numPr>
        <w:spacing w:before="0" w:after="200" w:line="276" w:lineRule="auto"/>
      </w:pPr>
      <w:r w:rsidRPr="00871120">
        <w:t>MBS item number 35306: TRANSLUMINAL STENT INSERTION, 1 or more stents, including associated balloon dilatation for 1 peripheral artery or vein of 1 limb, percutaneous or by open exposure, excluding associated radiological services or preparation, and excluding aftercare.</w:t>
      </w:r>
    </w:p>
    <w:p w14:paraId="5DD931BA" w14:textId="77777777" w:rsidR="00066501" w:rsidRPr="00065A9A" w:rsidRDefault="00066501" w:rsidP="00581E29">
      <w:pPr>
        <w:pStyle w:val="ListParagraph"/>
        <w:numPr>
          <w:ilvl w:val="0"/>
          <w:numId w:val="10"/>
        </w:numPr>
        <w:spacing w:before="0" w:after="200" w:line="276" w:lineRule="auto"/>
      </w:pPr>
      <w:r w:rsidRPr="00871120">
        <w:t>MBS item number 35309: TRANSLUMINAL STENT INSERTION, 1 or more stents, including associated balloon dilatation for visceral arteries or veins, or more than 1 peripheral artery or vein of 1 limb, percutaneous or by open exposure, excluding associated radiological services or preparation, and excluding aftercare.</w:t>
      </w:r>
    </w:p>
    <w:p w14:paraId="045BCF94" w14:textId="0AB21220" w:rsidR="004769B5" w:rsidRPr="00330A0A" w:rsidRDefault="00894F0C" w:rsidP="00581E29">
      <w:r>
        <w:t>Due to their low use rates, atherectomy and bypass surgery are not considered relevant comparator</w:t>
      </w:r>
      <w:r w:rsidR="00C90312">
        <w:t>s</w:t>
      </w:r>
      <w:r w:rsidR="0039323F" w:rsidRPr="0039323F">
        <w:t>.</w:t>
      </w:r>
    </w:p>
    <w:p w14:paraId="47BC3A84" w14:textId="58D31489" w:rsidR="00772829" w:rsidRPr="00CE28E3" w:rsidRDefault="00C73462" w:rsidP="002A18BE">
      <w:pPr>
        <w:pStyle w:val="Heading2"/>
        <w:numPr>
          <w:ilvl w:val="0"/>
          <w:numId w:val="0"/>
        </w:numPr>
      </w:pPr>
      <w:bookmarkStart w:id="13" w:name="_Toc69491421"/>
      <w:r>
        <w:t>9</w:t>
      </w:r>
      <w:r w:rsidR="00C36633">
        <w:t>.</w:t>
      </w:r>
      <w:r w:rsidR="00C36633">
        <w:tab/>
      </w:r>
      <w:r w:rsidR="00772829" w:rsidRPr="00CE28E3">
        <w:t xml:space="preserve">Summary of public consultation </w:t>
      </w:r>
      <w:r w:rsidR="0052575D">
        <w:t>input</w:t>
      </w:r>
      <w:bookmarkEnd w:id="13"/>
    </w:p>
    <w:p w14:paraId="1180720C" w14:textId="67CC1693" w:rsidR="00B7521C" w:rsidRPr="006C5979" w:rsidRDefault="00B7521C" w:rsidP="004C3F41">
      <w:pPr>
        <w:jc w:val="both"/>
      </w:pPr>
      <w:r w:rsidRPr="00C10320">
        <w:t xml:space="preserve">No consultation feedback was received by the </w:t>
      </w:r>
      <w:r w:rsidR="00207B90">
        <w:t>d</w:t>
      </w:r>
      <w:r w:rsidRPr="00C10320">
        <w:t>epartment</w:t>
      </w:r>
      <w:r w:rsidR="000C71F5">
        <w:t>.</w:t>
      </w:r>
    </w:p>
    <w:p w14:paraId="03C7A1F1" w14:textId="4924A46C" w:rsidR="00772829" w:rsidRPr="00CE28E3" w:rsidRDefault="00C73462" w:rsidP="002A18BE">
      <w:pPr>
        <w:pStyle w:val="Heading2"/>
        <w:numPr>
          <w:ilvl w:val="0"/>
          <w:numId w:val="0"/>
        </w:numPr>
      </w:pPr>
      <w:bookmarkStart w:id="14" w:name="_Toc69491422"/>
      <w:r>
        <w:t>10</w:t>
      </w:r>
      <w:r w:rsidR="00C36633">
        <w:t>.</w:t>
      </w:r>
      <w:r w:rsidR="00C36633">
        <w:tab/>
      </w:r>
      <w:r w:rsidR="00772829" w:rsidRPr="00CE28E3">
        <w:t>Characteristics of the evidence base</w:t>
      </w:r>
      <w:bookmarkEnd w:id="14"/>
    </w:p>
    <w:p w14:paraId="206AAF67" w14:textId="1788FB4B" w:rsidR="004A0F97" w:rsidRDefault="00C1450D" w:rsidP="00581E29">
      <w:pPr>
        <w:rPr>
          <w:rFonts w:cstheme="minorHAnsi"/>
        </w:rPr>
      </w:pPr>
      <w:r>
        <w:t xml:space="preserve">The ADAR </w:t>
      </w:r>
      <w:r w:rsidR="004221DB">
        <w:t xml:space="preserve">provided evidence </w:t>
      </w:r>
      <w:r w:rsidR="004221DB" w:rsidRPr="004221DB">
        <w:t xml:space="preserve">for </w:t>
      </w:r>
      <w:r w:rsidR="00C90312">
        <w:t>using IVL to treat</w:t>
      </w:r>
      <w:r w:rsidR="004221DB" w:rsidRPr="004221DB">
        <w:t xml:space="preserve"> moderate or severely calcified </w:t>
      </w:r>
      <w:r w:rsidR="004A0F97">
        <w:t>PAD</w:t>
      </w:r>
      <w:r w:rsidR="004221DB">
        <w:t xml:space="preserve"> based on </w:t>
      </w:r>
      <w:r w:rsidR="004A0F97">
        <w:t>f</w:t>
      </w:r>
      <w:r w:rsidR="004A0F97" w:rsidRPr="00334542">
        <w:rPr>
          <w:rFonts w:cstheme="minorHAnsi"/>
        </w:rPr>
        <w:t>ive relevant trials</w:t>
      </w:r>
      <w:r w:rsidR="004A0F97">
        <w:rPr>
          <w:rFonts w:cstheme="minorHAnsi"/>
        </w:rPr>
        <w:t xml:space="preserve"> </w:t>
      </w:r>
      <w:r w:rsidR="004A0F97" w:rsidRPr="00334542">
        <w:rPr>
          <w:rFonts w:cstheme="minorHAnsi"/>
        </w:rPr>
        <w:t>identified through a systematic literature search</w:t>
      </w:r>
      <w:r w:rsidR="004A0F97">
        <w:rPr>
          <w:rFonts w:cstheme="minorHAnsi"/>
        </w:rPr>
        <w:t>. Of the</w:t>
      </w:r>
      <w:r w:rsidR="006E2D5E">
        <w:rPr>
          <w:rFonts w:cstheme="minorHAnsi"/>
        </w:rPr>
        <w:t>se</w:t>
      </w:r>
      <w:r w:rsidR="004A0F97">
        <w:rPr>
          <w:rFonts w:cstheme="minorHAnsi"/>
        </w:rPr>
        <w:t xml:space="preserve">, </w:t>
      </w:r>
      <w:r w:rsidR="004A0F97" w:rsidRPr="00334542">
        <w:rPr>
          <w:rFonts w:cstheme="minorHAnsi"/>
        </w:rPr>
        <w:t>three were applicable to IVL as a stand</w:t>
      </w:r>
      <w:r w:rsidR="004A0F97">
        <w:rPr>
          <w:rFonts w:cstheme="minorHAnsi"/>
        </w:rPr>
        <w:t>-alone</w:t>
      </w:r>
      <w:r w:rsidR="004A0F97" w:rsidRPr="00334542">
        <w:rPr>
          <w:rFonts w:cstheme="minorHAnsi"/>
        </w:rPr>
        <w:t xml:space="preserve"> treatment (DISRUPT PAD I, DISRUPT PAD II</w:t>
      </w:r>
      <w:r w:rsidR="00482BE5">
        <w:rPr>
          <w:rFonts w:cstheme="minorHAnsi"/>
        </w:rPr>
        <w:t xml:space="preserve"> and</w:t>
      </w:r>
      <w:r w:rsidR="00482BE5" w:rsidRPr="00334542">
        <w:rPr>
          <w:rFonts w:cstheme="minorHAnsi"/>
        </w:rPr>
        <w:t xml:space="preserve"> </w:t>
      </w:r>
      <w:r w:rsidR="004A0F97" w:rsidRPr="00334542">
        <w:rPr>
          <w:rFonts w:cstheme="minorHAnsi"/>
        </w:rPr>
        <w:t xml:space="preserve">DISRUPT BTK), and two were applicable to IVL as a vessel preparation strategy followed by a </w:t>
      </w:r>
      <w:r w:rsidR="003238AB">
        <w:rPr>
          <w:rFonts w:cstheme="minorHAnsi"/>
        </w:rPr>
        <w:t>DCB</w:t>
      </w:r>
      <w:r w:rsidR="004A0F97" w:rsidRPr="00334542">
        <w:rPr>
          <w:rFonts w:cstheme="minorHAnsi"/>
        </w:rPr>
        <w:t xml:space="preserve"> </w:t>
      </w:r>
      <w:r w:rsidR="00AA1C95">
        <w:rPr>
          <w:rFonts w:cstheme="minorHAnsi"/>
        </w:rPr>
        <w:t>and/</w:t>
      </w:r>
      <w:r w:rsidR="004A0F97" w:rsidRPr="00334542">
        <w:rPr>
          <w:rFonts w:cstheme="minorHAnsi"/>
        </w:rPr>
        <w:t>or stent insertion (D</w:t>
      </w:r>
      <w:r w:rsidR="004A0F97">
        <w:rPr>
          <w:rFonts w:cstheme="minorHAnsi"/>
        </w:rPr>
        <w:t>ISRUP</w:t>
      </w:r>
      <w:r w:rsidR="004A0F97" w:rsidRPr="00334542">
        <w:rPr>
          <w:rFonts w:cstheme="minorHAnsi"/>
        </w:rPr>
        <w:t>T PAD III</w:t>
      </w:r>
      <w:r w:rsidR="00482BE5">
        <w:rPr>
          <w:rFonts w:cstheme="minorHAnsi"/>
        </w:rPr>
        <w:t xml:space="preserve"> RCT and </w:t>
      </w:r>
      <w:r w:rsidR="004A0F97" w:rsidRPr="00334542">
        <w:rPr>
          <w:rFonts w:cstheme="minorHAnsi"/>
        </w:rPr>
        <w:t xml:space="preserve">DISRUPT PAD III OS). </w:t>
      </w:r>
    </w:p>
    <w:p w14:paraId="2AC8C469" w14:textId="7EF1273F" w:rsidR="001E1192" w:rsidRDefault="001E1192" w:rsidP="00581E29">
      <w:pPr>
        <w:rPr>
          <w:lang w:val="en-US"/>
        </w:rPr>
      </w:pPr>
      <w:r>
        <w:rPr>
          <w:lang w:val="en-US"/>
        </w:rPr>
        <w:t xml:space="preserve">The </w:t>
      </w:r>
      <w:r w:rsidRPr="00334542">
        <w:rPr>
          <w:rFonts w:cstheme="minorHAnsi"/>
        </w:rPr>
        <w:t>DISRUPT PAD I, DISRUPT PAD II</w:t>
      </w:r>
      <w:r>
        <w:rPr>
          <w:rFonts w:cstheme="minorHAnsi"/>
        </w:rPr>
        <w:t xml:space="preserve"> and</w:t>
      </w:r>
      <w:r w:rsidRPr="00334542">
        <w:rPr>
          <w:rFonts w:cstheme="minorHAnsi"/>
        </w:rPr>
        <w:t xml:space="preserve"> DISRUPT BTK</w:t>
      </w:r>
      <w:r>
        <w:rPr>
          <w:lang w:val="en-US"/>
        </w:rPr>
        <w:t xml:space="preserve"> are p</w:t>
      </w:r>
      <w:r w:rsidRPr="009E6016">
        <w:rPr>
          <w:lang w:val="en-US"/>
        </w:rPr>
        <w:t xml:space="preserve">rospective, </w:t>
      </w:r>
      <w:r w:rsidR="00AA1C95" w:rsidRPr="00334542">
        <w:rPr>
          <w:rFonts w:cstheme="minorHAnsi"/>
        </w:rPr>
        <w:t>multi</w:t>
      </w:r>
      <w:r w:rsidR="00AA1C95">
        <w:rPr>
          <w:rFonts w:cstheme="minorHAnsi"/>
        </w:rPr>
        <w:t>centre (</w:t>
      </w:r>
      <w:r>
        <w:rPr>
          <w:lang w:val="en-US"/>
        </w:rPr>
        <w:t>MC</w:t>
      </w:r>
      <w:r w:rsidR="00AA1C95">
        <w:rPr>
          <w:lang w:val="en-US"/>
        </w:rPr>
        <w:t>)</w:t>
      </w:r>
      <w:r>
        <w:rPr>
          <w:lang w:val="en-US"/>
        </w:rPr>
        <w:t>, single-arm clinical trials that evaluate the safety and feasibility of IVL as a stand-alone treatment in PAD.</w:t>
      </w:r>
    </w:p>
    <w:p w14:paraId="0279CB9C" w14:textId="6C6E0CD8" w:rsidR="004221DB" w:rsidRPr="00104B2B" w:rsidRDefault="004A0F97" w:rsidP="00581E29">
      <w:pPr>
        <w:rPr>
          <w:rFonts w:cstheme="minorHAnsi"/>
        </w:rPr>
      </w:pPr>
      <w:r w:rsidRPr="00334542">
        <w:rPr>
          <w:rFonts w:cstheme="minorHAnsi"/>
        </w:rPr>
        <w:t xml:space="preserve">DISRUPT PAD III RCT is a prospective, </w:t>
      </w:r>
      <w:r>
        <w:rPr>
          <w:rFonts w:cstheme="minorHAnsi"/>
        </w:rPr>
        <w:t>MC</w:t>
      </w:r>
      <w:r w:rsidRPr="00334542">
        <w:rPr>
          <w:rFonts w:cstheme="minorHAnsi"/>
        </w:rPr>
        <w:t xml:space="preserve">, single-blind, randomised (1:1) study of IVL </w:t>
      </w:r>
      <w:r w:rsidR="001E1192">
        <w:rPr>
          <w:rFonts w:cstheme="minorHAnsi"/>
        </w:rPr>
        <w:t xml:space="preserve">versus SBA for vessel preparation prior </w:t>
      </w:r>
      <w:r w:rsidR="00894F0C">
        <w:rPr>
          <w:rFonts w:cstheme="minorHAnsi"/>
        </w:rPr>
        <w:t xml:space="preserve">to </w:t>
      </w:r>
      <w:r w:rsidR="001E1192">
        <w:rPr>
          <w:rFonts w:cstheme="minorHAnsi"/>
        </w:rPr>
        <w:t>DCB treatment or stenting in</w:t>
      </w:r>
      <w:r w:rsidR="00AA1C95">
        <w:rPr>
          <w:rFonts w:cstheme="minorHAnsi"/>
        </w:rPr>
        <w:t xml:space="preserve"> </w:t>
      </w:r>
      <w:r w:rsidRPr="00334542">
        <w:rPr>
          <w:rFonts w:cstheme="minorHAnsi"/>
        </w:rPr>
        <w:t xml:space="preserve">moderate </w:t>
      </w:r>
      <w:r w:rsidR="00482BE5">
        <w:rPr>
          <w:rFonts w:cstheme="minorHAnsi"/>
        </w:rPr>
        <w:t>or</w:t>
      </w:r>
      <w:r w:rsidR="00482BE5" w:rsidRPr="00334542">
        <w:rPr>
          <w:rFonts w:cstheme="minorHAnsi"/>
        </w:rPr>
        <w:t xml:space="preserve"> </w:t>
      </w:r>
      <w:r w:rsidRPr="00334542">
        <w:rPr>
          <w:rFonts w:cstheme="minorHAnsi"/>
        </w:rPr>
        <w:t>severely calcified femoropopliteal arteries.</w:t>
      </w:r>
      <w:r>
        <w:rPr>
          <w:rFonts w:cstheme="minorHAnsi"/>
        </w:rPr>
        <w:t xml:space="preserve"> </w:t>
      </w:r>
      <w:r w:rsidRPr="00334542">
        <w:rPr>
          <w:rFonts w:cstheme="minorHAnsi"/>
        </w:rPr>
        <w:t xml:space="preserve">The DISRUPT PAD III OS is a prospective, </w:t>
      </w:r>
      <w:r>
        <w:rPr>
          <w:rFonts w:cstheme="minorHAnsi"/>
        </w:rPr>
        <w:t>MC</w:t>
      </w:r>
      <w:r w:rsidRPr="00334542">
        <w:rPr>
          <w:rFonts w:cstheme="minorHAnsi"/>
        </w:rPr>
        <w:t xml:space="preserve">, single-arm </w:t>
      </w:r>
      <w:r>
        <w:rPr>
          <w:rFonts w:cstheme="minorHAnsi"/>
        </w:rPr>
        <w:t>clinical trial</w:t>
      </w:r>
      <w:r w:rsidRPr="00334542">
        <w:rPr>
          <w:rFonts w:cstheme="minorHAnsi"/>
        </w:rPr>
        <w:t xml:space="preserve"> for subjects who did not meet the inclusion/exclusion criteria of the PAD III RCT or for subjects recruited after enrolment </w:t>
      </w:r>
      <w:r w:rsidR="00976BE8">
        <w:rPr>
          <w:rFonts w:cstheme="minorHAnsi"/>
        </w:rPr>
        <w:t xml:space="preserve">once </w:t>
      </w:r>
      <w:r w:rsidRPr="00334542">
        <w:rPr>
          <w:rFonts w:cstheme="minorHAnsi"/>
        </w:rPr>
        <w:t>the randomised portion of the study was complete</w:t>
      </w:r>
      <w:r w:rsidR="00976BE8">
        <w:rPr>
          <w:rFonts w:cstheme="minorHAnsi"/>
        </w:rPr>
        <w:t>d</w:t>
      </w:r>
      <w:r w:rsidRPr="00334542">
        <w:rPr>
          <w:rFonts w:cstheme="minorHAnsi"/>
        </w:rPr>
        <w:t>.</w:t>
      </w:r>
      <w:r w:rsidR="00C90312">
        <w:rPr>
          <w:rFonts w:cstheme="minorHAnsi"/>
        </w:rPr>
        <w:t xml:space="preserve"> </w:t>
      </w:r>
    </w:p>
    <w:p w14:paraId="7145FE84" w14:textId="5F86AF3E" w:rsidR="00D87D69" w:rsidRDefault="00D87D69" w:rsidP="00581E29">
      <w:pPr>
        <w:keepNext/>
        <w:keepLines/>
      </w:pPr>
      <w:r>
        <w:lastRenderedPageBreak/>
        <w:t>The ADAR presented</w:t>
      </w:r>
      <w:r w:rsidR="00BC20AE">
        <w:t>:</w:t>
      </w:r>
    </w:p>
    <w:p w14:paraId="2E9C7368" w14:textId="77777777" w:rsidR="001A2992" w:rsidRDefault="001A2992" w:rsidP="00581E29">
      <w:pPr>
        <w:pStyle w:val="ListParagraph"/>
        <w:keepNext/>
        <w:keepLines/>
        <w:numPr>
          <w:ilvl w:val="0"/>
          <w:numId w:val="11"/>
        </w:numPr>
      </w:pPr>
      <w:r w:rsidRPr="001A2992">
        <w:t xml:space="preserve">Direct, randomised comparative </w:t>
      </w:r>
      <w:proofErr w:type="gramStart"/>
      <w:r w:rsidRPr="001A2992">
        <w:t>evidence</w:t>
      </w:r>
      <w:proofErr w:type="gramEnd"/>
      <w:r w:rsidRPr="001A2992">
        <w:t xml:space="preserve"> </w:t>
      </w:r>
    </w:p>
    <w:p w14:paraId="0BFD303D" w14:textId="4A8FA0A8" w:rsidR="001A2992" w:rsidRDefault="00AE668F" w:rsidP="00581E29">
      <w:pPr>
        <w:pStyle w:val="ListParagraph"/>
        <w:keepNext/>
        <w:keepLines/>
        <w:numPr>
          <w:ilvl w:val="0"/>
          <w:numId w:val="14"/>
        </w:numPr>
      </w:pPr>
      <w:r>
        <w:t>E</w:t>
      </w:r>
      <w:r w:rsidR="001A2992">
        <w:t xml:space="preserve">vidence based on </w:t>
      </w:r>
      <w:r>
        <w:t xml:space="preserve">the </w:t>
      </w:r>
      <w:r w:rsidR="001A2992" w:rsidRPr="001A2992">
        <w:rPr>
          <w:rFonts w:cstheme="minorHAnsi"/>
        </w:rPr>
        <w:t xml:space="preserve">DISRUPT PAD III RCT for the PICO set 2. </w:t>
      </w:r>
      <w:r w:rsidR="001A2992">
        <w:t xml:space="preserve">The ADAR was mainly based on the direct RCT. </w:t>
      </w:r>
    </w:p>
    <w:p w14:paraId="36FCFD41" w14:textId="77777777" w:rsidR="001A2992" w:rsidRDefault="001A2992" w:rsidP="00581E29">
      <w:pPr>
        <w:pStyle w:val="ListParagraph"/>
        <w:numPr>
          <w:ilvl w:val="0"/>
          <w:numId w:val="11"/>
        </w:numPr>
      </w:pPr>
      <w:r w:rsidRPr="001A2992">
        <w:t>Direct, single-arm studies</w:t>
      </w:r>
    </w:p>
    <w:p w14:paraId="4CAD3778" w14:textId="08E99BBF" w:rsidR="0061749F" w:rsidRDefault="001A2992" w:rsidP="00581E29">
      <w:pPr>
        <w:pStyle w:val="ListParagraph"/>
        <w:numPr>
          <w:ilvl w:val="0"/>
          <w:numId w:val="13"/>
        </w:numPr>
      </w:pPr>
      <w:r>
        <w:t>E</w:t>
      </w:r>
      <w:r w:rsidR="0061749F">
        <w:t>vidence</w:t>
      </w:r>
      <w:r w:rsidR="00C90312">
        <w:t>-</w:t>
      </w:r>
      <w:r w:rsidR="0061749F">
        <w:t xml:space="preserve">based on </w:t>
      </w:r>
      <w:r w:rsidR="0061749F" w:rsidRPr="001A2992">
        <w:rPr>
          <w:rFonts w:cstheme="minorHAnsi"/>
        </w:rPr>
        <w:t>the DISRUPT PAD III OS</w:t>
      </w:r>
      <w:r w:rsidR="0061749F">
        <w:t xml:space="preserve"> for the PICO set </w:t>
      </w:r>
      <w:proofErr w:type="gramStart"/>
      <w:r w:rsidR="0061749F">
        <w:t>2</w:t>
      </w:r>
      <w:proofErr w:type="gramEnd"/>
      <w:r w:rsidR="0061749F" w:rsidRPr="0061749F">
        <w:t xml:space="preserve"> </w:t>
      </w:r>
    </w:p>
    <w:p w14:paraId="5C2A14F1" w14:textId="278DD780" w:rsidR="001A2992" w:rsidRDefault="001A2992" w:rsidP="00581E29">
      <w:pPr>
        <w:pStyle w:val="ListParagraph"/>
        <w:numPr>
          <w:ilvl w:val="0"/>
          <w:numId w:val="13"/>
        </w:numPr>
      </w:pPr>
      <w:r>
        <w:t>Evidence</w:t>
      </w:r>
      <w:r w:rsidR="00C90312">
        <w:t>-</w:t>
      </w:r>
      <w:r>
        <w:t xml:space="preserve">based on </w:t>
      </w:r>
      <w:r>
        <w:rPr>
          <w:rFonts w:cstheme="minorHAnsi"/>
        </w:rPr>
        <w:t>t</w:t>
      </w:r>
      <w:r w:rsidRPr="00334542">
        <w:rPr>
          <w:rFonts w:cstheme="minorHAnsi"/>
        </w:rPr>
        <w:t>he</w:t>
      </w:r>
      <w:r>
        <w:t xml:space="preserve"> </w:t>
      </w:r>
      <w:r w:rsidRPr="00334542">
        <w:rPr>
          <w:rFonts w:cstheme="minorHAnsi"/>
        </w:rPr>
        <w:t>DISRUPT PAD I, DISRUPT PAD II</w:t>
      </w:r>
      <w:r>
        <w:rPr>
          <w:rFonts w:cstheme="minorHAnsi"/>
        </w:rPr>
        <w:t xml:space="preserve"> and</w:t>
      </w:r>
      <w:r w:rsidRPr="00334542">
        <w:rPr>
          <w:rFonts w:cstheme="minorHAnsi"/>
        </w:rPr>
        <w:t xml:space="preserve"> DISRUPT BTK</w:t>
      </w:r>
      <w:r>
        <w:t xml:space="preserve"> single</w:t>
      </w:r>
      <w:r w:rsidR="00C90312">
        <w:t>-</w:t>
      </w:r>
      <w:r>
        <w:t xml:space="preserve">arm clinical trials for the PICO set </w:t>
      </w:r>
      <w:proofErr w:type="gramStart"/>
      <w:r>
        <w:t>1</w:t>
      </w:r>
      <w:proofErr w:type="gramEnd"/>
    </w:p>
    <w:p w14:paraId="56B28061" w14:textId="3CA3FA21" w:rsidR="00494174" w:rsidRDefault="00D87D69" w:rsidP="00581E29">
      <w:r>
        <w:t>Table 2 summarise</w:t>
      </w:r>
      <w:r w:rsidR="00C90312">
        <w:t>s</w:t>
      </w:r>
      <w:r>
        <w:t xml:space="preserve"> the key features of the included evidence. </w:t>
      </w:r>
    </w:p>
    <w:p w14:paraId="0BC8B364" w14:textId="77777777" w:rsidR="00494174" w:rsidRDefault="00494174" w:rsidP="00581E29">
      <w:pPr>
        <w:sectPr w:rsidR="00494174" w:rsidSect="0044051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692BCA4B" w14:textId="36FB1940" w:rsidR="00956ACE" w:rsidRPr="00330A0A" w:rsidRDefault="00956ACE" w:rsidP="009A06F4">
      <w:pPr>
        <w:pStyle w:val="Caption"/>
        <w:rPr>
          <w:color w:val="538135" w:themeColor="accent6" w:themeShade="BF"/>
          <w:sz w:val="16"/>
          <w:szCs w:val="16"/>
        </w:rPr>
      </w:pPr>
      <w:bookmarkStart w:id="15" w:name="_Ref69725651"/>
      <w:r w:rsidRPr="00CE28E3">
        <w:lastRenderedPageBreak/>
        <w:t>Table</w:t>
      </w:r>
      <w:r w:rsidR="004A4FDF">
        <w:t> </w:t>
      </w:r>
      <w:r w:rsidR="00340D39">
        <w:fldChar w:fldCharType="begin"/>
      </w:r>
      <w:r w:rsidR="00340D39">
        <w:instrText xml:space="preserve"> SEQ Table \* ARABIC </w:instrText>
      </w:r>
      <w:r w:rsidR="00340D39">
        <w:fldChar w:fldCharType="separate"/>
      </w:r>
      <w:r w:rsidR="009A5224">
        <w:rPr>
          <w:noProof/>
        </w:rPr>
        <w:t>2</w:t>
      </w:r>
      <w:r w:rsidR="00340D39">
        <w:rPr>
          <w:noProof/>
        </w:rPr>
        <w:fldChar w:fldCharType="end"/>
      </w:r>
      <w:bookmarkEnd w:id="15"/>
      <w:r w:rsidR="00BC20AE">
        <w:rPr>
          <w:noProof/>
        </w:rPr>
        <w:t>:</w:t>
      </w:r>
      <w:r w:rsidR="00BC20AE">
        <w:t xml:space="preserve"> </w:t>
      </w:r>
      <w:r w:rsidRPr="00CE28E3">
        <w:t>Key features of the included evidence</w:t>
      </w:r>
      <w:r w:rsidRPr="00330A0A">
        <w:rPr>
          <w:color w:val="538135" w:themeColor="accent6" w:themeShade="BF"/>
        </w:rPr>
        <w:t xml:space="preserve"> </w:t>
      </w:r>
    </w:p>
    <w:tbl>
      <w:tblPr>
        <w:tblStyle w:val="MSAC"/>
        <w:tblW w:w="5003" w:type="pct"/>
        <w:tblLayout w:type="fixed"/>
        <w:tblCellMar>
          <w:left w:w="28" w:type="dxa"/>
          <w:right w:w="28" w:type="dxa"/>
        </w:tblCellMar>
        <w:tblLook w:val="04A0" w:firstRow="1" w:lastRow="0" w:firstColumn="1" w:lastColumn="0" w:noHBand="0" w:noVBand="1"/>
      </w:tblPr>
      <w:tblGrid>
        <w:gridCol w:w="1746"/>
        <w:gridCol w:w="941"/>
        <w:gridCol w:w="994"/>
        <w:gridCol w:w="1276"/>
        <w:gridCol w:w="2841"/>
        <w:gridCol w:w="4483"/>
        <w:gridCol w:w="1675"/>
      </w:tblGrid>
      <w:tr w:rsidR="00011EB3" w:rsidRPr="00CE28E3" w14:paraId="475D8C60" w14:textId="77777777" w:rsidTr="00A333F1">
        <w:trPr>
          <w:cnfStyle w:val="100000000000" w:firstRow="1" w:lastRow="0" w:firstColumn="0" w:lastColumn="0" w:oddVBand="0" w:evenVBand="0" w:oddHBand="0" w:evenHBand="0" w:firstRowFirstColumn="0" w:firstRowLastColumn="0" w:lastRowFirstColumn="0" w:lastRowLastColumn="0"/>
          <w:cantSplit/>
        </w:trPr>
        <w:tc>
          <w:tcPr>
            <w:tcW w:w="626" w:type="pct"/>
            <w:shd w:val="clear" w:color="auto" w:fill="auto"/>
          </w:tcPr>
          <w:p w14:paraId="4FFC981B" w14:textId="77777777" w:rsidR="00956ACE" w:rsidRPr="00A333F1" w:rsidRDefault="00956ACE" w:rsidP="00A333F1">
            <w:pPr>
              <w:pStyle w:val="TableText"/>
              <w:rPr>
                <w:b w:val="0"/>
                <w:bCs/>
              </w:rPr>
            </w:pPr>
            <w:bookmarkStart w:id="16" w:name="ColumnTitle_Table3"/>
            <w:bookmarkStart w:id="17" w:name="_Hlk68276112"/>
            <w:bookmarkEnd w:id="16"/>
            <w:r w:rsidRPr="00A333F1">
              <w:rPr>
                <w:bCs/>
              </w:rPr>
              <w:t>References</w:t>
            </w:r>
          </w:p>
        </w:tc>
        <w:tc>
          <w:tcPr>
            <w:tcW w:w="337" w:type="pct"/>
            <w:shd w:val="clear" w:color="auto" w:fill="auto"/>
          </w:tcPr>
          <w:p w14:paraId="28641D20" w14:textId="77777777" w:rsidR="00956ACE" w:rsidRPr="00A333F1" w:rsidRDefault="00956ACE" w:rsidP="00A333F1">
            <w:pPr>
              <w:pStyle w:val="TableText"/>
              <w:rPr>
                <w:b w:val="0"/>
                <w:bCs/>
              </w:rPr>
            </w:pPr>
            <w:r w:rsidRPr="00A333F1">
              <w:rPr>
                <w:bCs/>
              </w:rPr>
              <w:t>N</w:t>
            </w:r>
          </w:p>
        </w:tc>
        <w:tc>
          <w:tcPr>
            <w:tcW w:w="356" w:type="pct"/>
            <w:shd w:val="clear" w:color="auto" w:fill="auto"/>
          </w:tcPr>
          <w:p w14:paraId="055701BB" w14:textId="77777777" w:rsidR="000C3A5A" w:rsidRPr="00A333F1" w:rsidRDefault="00956ACE" w:rsidP="00A333F1">
            <w:pPr>
              <w:pStyle w:val="TableText"/>
              <w:rPr>
                <w:b w:val="0"/>
                <w:bCs/>
              </w:rPr>
            </w:pPr>
            <w:r w:rsidRPr="00A333F1">
              <w:rPr>
                <w:bCs/>
              </w:rPr>
              <w:t>Design/</w:t>
            </w:r>
          </w:p>
          <w:p w14:paraId="23BE1BE2" w14:textId="59B4BA2C" w:rsidR="00956ACE" w:rsidRPr="00A333F1" w:rsidRDefault="00956ACE" w:rsidP="00A333F1">
            <w:pPr>
              <w:pStyle w:val="TableText"/>
              <w:rPr>
                <w:b w:val="0"/>
                <w:bCs/>
              </w:rPr>
            </w:pPr>
            <w:r w:rsidRPr="00A333F1">
              <w:rPr>
                <w:bCs/>
              </w:rPr>
              <w:t>duration</w:t>
            </w:r>
          </w:p>
        </w:tc>
        <w:tc>
          <w:tcPr>
            <w:tcW w:w="457" w:type="pct"/>
            <w:shd w:val="clear" w:color="auto" w:fill="auto"/>
          </w:tcPr>
          <w:p w14:paraId="4F407CF9" w14:textId="1E17452B" w:rsidR="00956ACE" w:rsidRPr="00A333F1" w:rsidRDefault="00956ACE" w:rsidP="00A333F1">
            <w:pPr>
              <w:pStyle w:val="TableText"/>
              <w:rPr>
                <w:b w:val="0"/>
                <w:bCs/>
              </w:rPr>
            </w:pPr>
            <w:r w:rsidRPr="00A333F1">
              <w:rPr>
                <w:bCs/>
              </w:rPr>
              <w:t xml:space="preserve">Risk of </w:t>
            </w:r>
            <w:proofErr w:type="spellStart"/>
            <w:r w:rsidRPr="00A333F1">
              <w:rPr>
                <w:bCs/>
              </w:rPr>
              <w:t>bias</w:t>
            </w:r>
            <w:r w:rsidR="00B9255B" w:rsidRPr="00A333F1">
              <w:rPr>
                <w:bCs/>
                <w:vertAlign w:val="superscript"/>
              </w:rPr>
              <w:t>a</w:t>
            </w:r>
            <w:proofErr w:type="spellEnd"/>
          </w:p>
        </w:tc>
        <w:tc>
          <w:tcPr>
            <w:tcW w:w="1018" w:type="pct"/>
            <w:shd w:val="clear" w:color="auto" w:fill="auto"/>
          </w:tcPr>
          <w:p w14:paraId="78074E6B" w14:textId="77777777" w:rsidR="00956ACE" w:rsidRPr="00A333F1" w:rsidRDefault="00956ACE" w:rsidP="00A333F1">
            <w:pPr>
              <w:pStyle w:val="TableText"/>
              <w:rPr>
                <w:b w:val="0"/>
                <w:bCs/>
              </w:rPr>
            </w:pPr>
            <w:r w:rsidRPr="00A333F1">
              <w:rPr>
                <w:bCs/>
              </w:rPr>
              <w:t>Patient population</w:t>
            </w:r>
          </w:p>
        </w:tc>
        <w:tc>
          <w:tcPr>
            <w:tcW w:w="1606" w:type="pct"/>
            <w:shd w:val="clear" w:color="auto" w:fill="auto"/>
          </w:tcPr>
          <w:p w14:paraId="4B5869A3" w14:textId="77777777" w:rsidR="00956ACE" w:rsidRPr="00A333F1" w:rsidRDefault="00956ACE" w:rsidP="00A333F1">
            <w:pPr>
              <w:pStyle w:val="TableText"/>
              <w:rPr>
                <w:b w:val="0"/>
                <w:bCs/>
              </w:rPr>
            </w:pPr>
            <w:r w:rsidRPr="00A333F1">
              <w:rPr>
                <w:bCs/>
              </w:rPr>
              <w:t>Outcome(s)</w:t>
            </w:r>
          </w:p>
        </w:tc>
        <w:tc>
          <w:tcPr>
            <w:tcW w:w="599" w:type="pct"/>
            <w:shd w:val="clear" w:color="auto" w:fill="auto"/>
          </w:tcPr>
          <w:p w14:paraId="19D97B58" w14:textId="77777777" w:rsidR="00956ACE" w:rsidRPr="00A333F1" w:rsidRDefault="00956ACE" w:rsidP="00A333F1">
            <w:pPr>
              <w:pStyle w:val="TableText"/>
              <w:rPr>
                <w:b w:val="0"/>
                <w:bCs/>
              </w:rPr>
            </w:pPr>
            <w:r w:rsidRPr="00A333F1">
              <w:rPr>
                <w:bCs/>
              </w:rPr>
              <w:t>Use in modelled evaluation</w:t>
            </w:r>
          </w:p>
        </w:tc>
      </w:tr>
      <w:tr w:rsidR="00956ACE" w:rsidRPr="00CE28E3" w14:paraId="0C31313E" w14:textId="77777777" w:rsidTr="00A333F1">
        <w:trPr>
          <w:cantSplit/>
        </w:trPr>
        <w:tc>
          <w:tcPr>
            <w:tcW w:w="5000" w:type="pct"/>
            <w:gridSpan w:val="7"/>
            <w:shd w:val="clear" w:color="auto" w:fill="auto"/>
          </w:tcPr>
          <w:p w14:paraId="6ADF1B8F" w14:textId="4A515472" w:rsidR="00956ACE" w:rsidRPr="00A333F1" w:rsidRDefault="00AE668F" w:rsidP="00A333F1">
            <w:pPr>
              <w:pStyle w:val="TableText"/>
              <w:rPr>
                <w:b/>
                <w:bCs/>
              </w:rPr>
            </w:pPr>
            <w:r w:rsidRPr="00A333F1">
              <w:rPr>
                <w:b/>
                <w:bCs/>
              </w:rPr>
              <w:t>Direct, randomised comparative evidence</w:t>
            </w:r>
          </w:p>
        </w:tc>
      </w:tr>
      <w:bookmarkEnd w:id="17"/>
      <w:tr w:rsidR="00A73F5B" w:rsidRPr="00CE28E3" w14:paraId="14C1A588" w14:textId="77777777" w:rsidTr="00A333F1">
        <w:trPr>
          <w:cantSplit/>
        </w:trPr>
        <w:tc>
          <w:tcPr>
            <w:tcW w:w="626" w:type="pct"/>
            <w:shd w:val="clear" w:color="auto" w:fill="auto"/>
          </w:tcPr>
          <w:p w14:paraId="0E80D148" w14:textId="32A9FD16" w:rsidR="00A73F5B" w:rsidRPr="006C3090" w:rsidRDefault="00A73F5B" w:rsidP="00A333F1">
            <w:pPr>
              <w:pStyle w:val="TableText"/>
              <w:rPr>
                <w:lang w:val="en-US"/>
              </w:rPr>
            </w:pPr>
            <w:r w:rsidRPr="00011EB3">
              <w:rPr>
                <w:lang w:val="en-US"/>
              </w:rPr>
              <w:t>DISRUPT PAD III (</w:t>
            </w:r>
            <w:proofErr w:type="spellStart"/>
            <w:r w:rsidRPr="00011EB3">
              <w:rPr>
                <w:lang w:val="en-US"/>
              </w:rPr>
              <w:t>Tepe</w:t>
            </w:r>
            <w:proofErr w:type="spellEnd"/>
            <w:r w:rsidRPr="00011EB3">
              <w:rPr>
                <w:lang w:val="en-US"/>
              </w:rPr>
              <w:t xml:space="preserve"> 2022)</w:t>
            </w:r>
          </w:p>
        </w:tc>
        <w:tc>
          <w:tcPr>
            <w:tcW w:w="337" w:type="pct"/>
            <w:shd w:val="clear" w:color="auto" w:fill="auto"/>
          </w:tcPr>
          <w:p w14:paraId="7EE97E2F" w14:textId="3E5EFF65" w:rsidR="00A73F5B" w:rsidRDefault="00A73F5B" w:rsidP="00A333F1">
            <w:pPr>
              <w:pStyle w:val="TableText"/>
              <w:rPr>
                <w:lang w:val="en-US"/>
              </w:rPr>
            </w:pPr>
            <w:r>
              <w:rPr>
                <w:lang w:val="en-US"/>
              </w:rPr>
              <w:t>306</w:t>
            </w:r>
          </w:p>
        </w:tc>
        <w:tc>
          <w:tcPr>
            <w:tcW w:w="356" w:type="pct"/>
            <w:shd w:val="clear" w:color="auto" w:fill="auto"/>
          </w:tcPr>
          <w:p w14:paraId="5E9AD8C5" w14:textId="5D78ADB1" w:rsidR="00A73F5B" w:rsidRDefault="00A73F5B" w:rsidP="00A333F1">
            <w:pPr>
              <w:pStyle w:val="TableText"/>
              <w:rPr>
                <w:lang w:val="en-US"/>
              </w:rPr>
            </w:pPr>
            <w:r>
              <w:rPr>
                <w:lang w:val="en-US"/>
              </w:rPr>
              <w:t>MC, R, SB</w:t>
            </w:r>
          </w:p>
        </w:tc>
        <w:tc>
          <w:tcPr>
            <w:tcW w:w="457" w:type="pct"/>
            <w:shd w:val="clear" w:color="auto" w:fill="auto"/>
          </w:tcPr>
          <w:p w14:paraId="757AD59B" w14:textId="176C057E" w:rsidR="00A73F5B" w:rsidRPr="00497477" w:rsidRDefault="00494174" w:rsidP="00A333F1">
            <w:pPr>
              <w:pStyle w:val="TableText"/>
              <w:rPr>
                <w:iCs/>
                <w:lang w:val="en-US"/>
              </w:rPr>
            </w:pPr>
            <w:r>
              <w:rPr>
                <w:iCs/>
                <w:lang w:val="en-US"/>
              </w:rPr>
              <w:t>Moderate</w:t>
            </w:r>
          </w:p>
        </w:tc>
        <w:tc>
          <w:tcPr>
            <w:tcW w:w="1018" w:type="pct"/>
            <w:shd w:val="clear" w:color="auto" w:fill="auto"/>
          </w:tcPr>
          <w:p w14:paraId="04618590" w14:textId="72B49E28" w:rsidR="00A73F5B" w:rsidRPr="00090305" w:rsidRDefault="00494174" w:rsidP="00A333F1">
            <w:pPr>
              <w:pStyle w:val="TableText"/>
            </w:pPr>
            <w:r>
              <w:rPr>
                <w:lang w:val="en-US"/>
              </w:rPr>
              <w:t xml:space="preserve">PAD patients with </w:t>
            </w:r>
            <w:r w:rsidRPr="00494174">
              <w:rPr>
                <w:lang w:val="en-US"/>
              </w:rPr>
              <w:t>Rutherford class 2-4, and angiographic evidence of ≥70% stenosis within the superficial femoral and/or popliteal artery, lesion length up to 180 mm, reference vessel diameter 4-7 mm, and moderate or severe calcification. (</w:t>
            </w:r>
            <w:proofErr w:type="gramStart"/>
            <w:r w:rsidRPr="00494174">
              <w:rPr>
                <w:lang w:val="en-US"/>
              </w:rPr>
              <w:t>calcification</w:t>
            </w:r>
            <w:proofErr w:type="gramEnd"/>
            <w:r w:rsidRPr="00494174">
              <w:rPr>
                <w:lang w:val="en-US"/>
              </w:rPr>
              <w:t xml:space="preserve"> graded </w:t>
            </w:r>
            <w:r w:rsidR="00F613D4" w:rsidRPr="00494174">
              <w:rPr>
                <w:lang w:val="en-US"/>
              </w:rPr>
              <w:t>using PARC</w:t>
            </w:r>
            <w:r w:rsidRPr="00494174">
              <w:rPr>
                <w:lang w:val="en-US"/>
              </w:rPr>
              <w:t xml:space="preserve"> criteria)</w:t>
            </w:r>
          </w:p>
        </w:tc>
        <w:tc>
          <w:tcPr>
            <w:tcW w:w="1606" w:type="pct"/>
            <w:shd w:val="clear" w:color="auto" w:fill="auto"/>
          </w:tcPr>
          <w:p w14:paraId="3299CFBB" w14:textId="77777777" w:rsidR="00A73F5B" w:rsidRPr="000C3A5A" w:rsidRDefault="00A73F5B" w:rsidP="00A333F1">
            <w:pPr>
              <w:pStyle w:val="TableText"/>
              <w:rPr>
                <w:lang w:val="en-US"/>
              </w:rPr>
            </w:pPr>
            <w:r w:rsidRPr="000C3A5A">
              <w:rPr>
                <w:lang w:val="en-US"/>
              </w:rPr>
              <w:t xml:space="preserve">Efficacy: Procedural </w:t>
            </w:r>
            <w:proofErr w:type="spellStart"/>
            <w:r w:rsidRPr="000C3A5A">
              <w:rPr>
                <w:lang w:val="en-US"/>
              </w:rPr>
              <w:t>success</w:t>
            </w:r>
            <w:r w:rsidRPr="00134741">
              <w:rPr>
                <w:vertAlign w:val="superscript"/>
                <w:lang w:val="en-US"/>
              </w:rPr>
              <w:t>b</w:t>
            </w:r>
            <w:proofErr w:type="spellEnd"/>
            <w:r w:rsidRPr="000C3A5A">
              <w:rPr>
                <w:lang w:val="en-US"/>
              </w:rPr>
              <w:t>, change in ABI at 30 days, change in WIQ at 30 days, change in EQ-5D at 30 days, change in EQ-5D VAS at 30 days, change in Rutherford class at 30 days</w:t>
            </w:r>
          </w:p>
          <w:p w14:paraId="51C30536" w14:textId="77777777" w:rsidR="00A73F5B" w:rsidRDefault="00A73F5B" w:rsidP="00A333F1">
            <w:pPr>
              <w:pStyle w:val="TableText"/>
              <w:rPr>
                <w:lang w:val="en-US"/>
              </w:rPr>
            </w:pPr>
            <w:r w:rsidRPr="000C3A5A">
              <w:rPr>
                <w:lang w:val="en-US"/>
              </w:rPr>
              <w:t xml:space="preserve">Efficacy at 1 year: primary patency at 1 </w:t>
            </w:r>
            <w:proofErr w:type="spellStart"/>
            <w:r w:rsidRPr="000C3A5A">
              <w:rPr>
                <w:lang w:val="en-US"/>
              </w:rPr>
              <w:t>year</w:t>
            </w:r>
            <w:r w:rsidRPr="00134741">
              <w:rPr>
                <w:vertAlign w:val="superscript"/>
                <w:lang w:val="en-US"/>
              </w:rPr>
              <w:t>c</w:t>
            </w:r>
            <w:proofErr w:type="spellEnd"/>
            <w:r w:rsidRPr="000C3A5A">
              <w:rPr>
                <w:lang w:val="en-US"/>
              </w:rPr>
              <w:t xml:space="preserve">, change in ABI at 1 year, change in WIQ at 1 year, change in EQ-5D at 1 year, Change in Rutherford class at 1 </w:t>
            </w:r>
            <w:proofErr w:type="gramStart"/>
            <w:r w:rsidRPr="000C3A5A">
              <w:rPr>
                <w:lang w:val="en-US"/>
              </w:rPr>
              <w:t>year</w:t>
            </w:r>
            <w:proofErr w:type="gramEnd"/>
          </w:p>
          <w:p w14:paraId="7FDE10F6" w14:textId="487A45EE" w:rsidR="00494174" w:rsidRDefault="00494174" w:rsidP="00A333F1">
            <w:pPr>
              <w:pStyle w:val="TableText"/>
              <w:rPr>
                <w:lang w:val="en-US"/>
              </w:rPr>
            </w:pPr>
            <w:r w:rsidRPr="000C3A5A">
              <w:rPr>
                <w:lang w:val="en-US"/>
              </w:rPr>
              <w:t xml:space="preserve">Efficacy at </w:t>
            </w:r>
            <w:r>
              <w:rPr>
                <w:lang w:val="en-US"/>
              </w:rPr>
              <w:t>2</w:t>
            </w:r>
            <w:r w:rsidRPr="000C3A5A">
              <w:rPr>
                <w:lang w:val="en-US"/>
              </w:rPr>
              <w:t xml:space="preserve"> </w:t>
            </w:r>
            <w:proofErr w:type="gramStart"/>
            <w:r w:rsidRPr="000C3A5A">
              <w:rPr>
                <w:lang w:val="en-US"/>
              </w:rPr>
              <w:t>year</w:t>
            </w:r>
            <w:proofErr w:type="gramEnd"/>
            <w:r w:rsidRPr="000C3A5A">
              <w:rPr>
                <w:lang w:val="en-US"/>
              </w:rPr>
              <w:t xml:space="preserve">: primary patency at </w:t>
            </w:r>
            <w:r>
              <w:rPr>
                <w:lang w:val="en-US"/>
              </w:rPr>
              <w:t>2</w:t>
            </w:r>
            <w:r w:rsidRPr="000C3A5A">
              <w:rPr>
                <w:lang w:val="en-US"/>
              </w:rPr>
              <w:t xml:space="preserve"> </w:t>
            </w:r>
            <w:proofErr w:type="spellStart"/>
            <w:r w:rsidRPr="000C3A5A">
              <w:rPr>
                <w:lang w:val="en-US"/>
              </w:rPr>
              <w:t>year</w:t>
            </w:r>
            <w:r w:rsidRPr="00134741">
              <w:rPr>
                <w:vertAlign w:val="superscript"/>
                <w:lang w:val="en-US"/>
              </w:rPr>
              <w:t>c</w:t>
            </w:r>
            <w:proofErr w:type="spellEnd"/>
          </w:p>
          <w:p w14:paraId="2C4D884E" w14:textId="41ABBF02" w:rsidR="00A73F5B" w:rsidRPr="00CA3451" w:rsidRDefault="00A73F5B" w:rsidP="00A333F1">
            <w:pPr>
              <w:pStyle w:val="TableText"/>
              <w:rPr>
                <w:lang w:val="en-US"/>
              </w:rPr>
            </w:pPr>
            <w:r w:rsidRPr="000C3A5A">
              <w:rPr>
                <w:lang w:val="en-US"/>
              </w:rPr>
              <w:t xml:space="preserve">Safety: Rates of </w:t>
            </w:r>
            <w:proofErr w:type="spellStart"/>
            <w:r w:rsidRPr="000C3A5A">
              <w:rPr>
                <w:lang w:val="en-US"/>
              </w:rPr>
              <w:t>MAE</w:t>
            </w:r>
            <w:r>
              <w:rPr>
                <w:vertAlign w:val="superscript"/>
                <w:lang w:val="en-US"/>
              </w:rPr>
              <w:t>d</w:t>
            </w:r>
            <w:proofErr w:type="spellEnd"/>
            <w:r w:rsidRPr="000C3A5A">
              <w:rPr>
                <w:lang w:val="en-US"/>
              </w:rPr>
              <w:t xml:space="preserve">, TLR rates at 30 days, </w:t>
            </w:r>
            <w:proofErr w:type="gramStart"/>
            <w:r w:rsidRPr="000C3A5A">
              <w:rPr>
                <w:lang w:val="en-US"/>
              </w:rPr>
              <w:t>Post-dilation</w:t>
            </w:r>
            <w:proofErr w:type="gramEnd"/>
            <w:r w:rsidRPr="000C3A5A">
              <w:rPr>
                <w:lang w:val="en-US"/>
              </w:rPr>
              <w:t xml:space="preserve"> rates at 30 days, stent placement at 30 days, flow-limiting dissection rates at 30 days</w:t>
            </w:r>
          </w:p>
        </w:tc>
        <w:tc>
          <w:tcPr>
            <w:tcW w:w="599" w:type="pct"/>
            <w:shd w:val="clear" w:color="auto" w:fill="auto"/>
          </w:tcPr>
          <w:p w14:paraId="3572EB82" w14:textId="2ED67550" w:rsidR="00A73F5B" w:rsidRDefault="00A73F5B" w:rsidP="00A333F1">
            <w:pPr>
              <w:pStyle w:val="TableText"/>
              <w:rPr>
                <w:lang w:val="en-US"/>
              </w:rPr>
            </w:pPr>
            <w:r>
              <w:rPr>
                <w:lang w:val="en-US"/>
              </w:rPr>
              <w:t xml:space="preserve">TP for patency to loss of patency, HS utility for loss of patency, Annual probability of mortality, RR for rate of stent in intervention arm, MAE rate, flow limiting dissection rate and CD-TLR rate </w:t>
            </w:r>
          </w:p>
        </w:tc>
      </w:tr>
      <w:tr w:rsidR="00494174" w:rsidRPr="00CE28E3" w14:paraId="0F9BE44E" w14:textId="77777777" w:rsidTr="00A333F1">
        <w:trPr>
          <w:cantSplit/>
        </w:trPr>
        <w:tc>
          <w:tcPr>
            <w:tcW w:w="5000" w:type="pct"/>
            <w:gridSpan w:val="7"/>
            <w:shd w:val="clear" w:color="auto" w:fill="auto"/>
          </w:tcPr>
          <w:p w14:paraId="40120D7A" w14:textId="7D70C83E" w:rsidR="00494174" w:rsidRDefault="00494174" w:rsidP="00A333F1">
            <w:pPr>
              <w:pStyle w:val="TableText"/>
              <w:rPr>
                <w:lang w:val="en-US"/>
              </w:rPr>
            </w:pPr>
            <w:r w:rsidRPr="00A73F5B">
              <w:rPr>
                <w:b/>
                <w:bCs/>
                <w:lang w:val="en-US"/>
              </w:rPr>
              <w:t>Direct, single-arm studies</w:t>
            </w:r>
          </w:p>
        </w:tc>
      </w:tr>
      <w:tr w:rsidR="00A73F5B" w:rsidRPr="00CE28E3" w14:paraId="692C78F6" w14:textId="77777777" w:rsidTr="00A333F1">
        <w:trPr>
          <w:cantSplit/>
        </w:trPr>
        <w:tc>
          <w:tcPr>
            <w:tcW w:w="626" w:type="pct"/>
            <w:shd w:val="clear" w:color="auto" w:fill="auto"/>
          </w:tcPr>
          <w:p w14:paraId="4E128000" w14:textId="7B622CDE" w:rsidR="00A73F5B" w:rsidRDefault="00A73F5B" w:rsidP="00A333F1">
            <w:pPr>
              <w:pStyle w:val="TableText"/>
              <w:rPr>
                <w:lang w:val="en-US"/>
              </w:rPr>
            </w:pPr>
            <w:bookmarkStart w:id="18" w:name="_Hlk141359071"/>
            <w:r w:rsidRPr="00CB6EA8">
              <w:rPr>
                <w:lang w:val="en-US"/>
              </w:rPr>
              <w:t xml:space="preserve">DISRUPT PAD III OS </w:t>
            </w:r>
            <w:bookmarkEnd w:id="18"/>
            <w:r>
              <w:rPr>
                <w:lang w:val="en-US"/>
              </w:rPr>
              <w:t xml:space="preserve">Attachment 2.4 of the </w:t>
            </w:r>
            <w:r w:rsidR="00EB6499">
              <w:rPr>
                <w:lang w:val="en-US"/>
              </w:rPr>
              <w:t>ADAR</w:t>
            </w:r>
            <w:r>
              <w:rPr>
                <w:lang w:val="en-US"/>
              </w:rPr>
              <w:t xml:space="preserve">, Study </w:t>
            </w:r>
            <w:proofErr w:type="spellStart"/>
            <w:r>
              <w:rPr>
                <w:lang w:val="en-US"/>
              </w:rPr>
              <w:t>CSR</w:t>
            </w:r>
            <w:r>
              <w:rPr>
                <w:vertAlign w:val="superscript"/>
                <w:lang w:val="en-US"/>
              </w:rPr>
              <w:t>e</w:t>
            </w:r>
            <w:proofErr w:type="spellEnd"/>
          </w:p>
          <w:p w14:paraId="5EECD422" w14:textId="77777777" w:rsidR="00A73F5B" w:rsidRPr="006C3090" w:rsidRDefault="00A73F5B" w:rsidP="00A333F1">
            <w:pPr>
              <w:pStyle w:val="TableText"/>
              <w:rPr>
                <w:lang w:val="en-US"/>
              </w:rPr>
            </w:pPr>
          </w:p>
        </w:tc>
        <w:tc>
          <w:tcPr>
            <w:tcW w:w="337" w:type="pct"/>
            <w:shd w:val="clear" w:color="auto" w:fill="auto"/>
          </w:tcPr>
          <w:p w14:paraId="3E9300D5" w14:textId="36C561DB" w:rsidR="00A73F5B" w:rsidRDefault="00A73F5B" w:rsidP="00A333F1">
            <w:pPr>
              <w:pStyle w:val="TableText"/>
              <w:rPr>
                <w:lang w:val="en-US"/>
              </w:rPr>
            </w:pPr>
            <w:r>
              <w:rPr>
                <w:lang w:val="en-US"/>
              </w:rPr>
              <w:t>1,373</w:t>
            </w:r>
          </w:p>
        </w:tc>
        <w:tc>
          <w:tcPr>
            <w:tcW w:w="356" w:type="pct"/>
            <w:shd w:val="clear" w:color="auto" w:fill="auto"/>
          </w:tcPr>
          <w:p w14:paraId="2893B51C" w14:textId="4D47F0F0" w:rsidR="00A73F5B" w:rsidRDefault="00A73F5B" w:rsidP="00A333F1">
            <w:pPr>
              <w:pStyle w:val="TableText"/>
              <w:rPr>
                <w:lang w:val="en-US"/>
              </w:rPr>
            </w:pPr>
            <w:r w:rsidRPr="009E6016">
              <w:rPr>
                <w:lang w:val="en-US"/>
              </w:rPr>
              <w:t>Prospective, single arm</w:t>
            </w:r>
            <w:r>
              <w:rPr>
                <w:lang w:val="en-US"/>
              </w:rPr>
              <w:t>,</w:t>
            </w:r>
            <w:r w:rsidRPr="009E6016">
              <w:rPr>
                <w:lang w:val="en-US"/>
              </w:rPr>
              <w:t xml:space="preserve"> </w:t>
            </w:r>
            <w:r>
              <w:rPr>
                <w:lang w:val="en-US"/>
              </w:rPr>
              <w:t>MC</w:t>
            </w:r>
            <w:r w:rsidRPr="009E6016">
              <w:rPr>
                <w:lang w:val="en-US"/>
              </w:rPr>
              <w:t>, observational study</w:t>
            </w:r>
          </w:p>
        </w:tc>
        <w:tc>
          <w:tcPr>
            <w:tcW w:w="457" w:type="pct"/>
            <w:shd w:val="clear" w:color="auto" w:fill="auto"/>
          </w:tcPr>
          <w:p w14:paraId="4597C2D2" w14:textId="41747ECB" w:rsidR="00A73F5B" w:rsidRPr="00497477" w:rsidRDefault="00494174" w:rsidP="00A333F1">
            <w:pPr>
              <w:pStyle w:val="TableText"/>
              <w:rPr>
                <w:iCs/>
                <w:lang w:val="en-US"/>
              </w:rPr>
            </w:pPr>
            <w:r>
              <w:rPr>
                <w:iCs/>
                <w:lang w:val="en-US"/>
              </w:rPr>
              <w:t>M</w:t>
            </w:r>
            <w:r w:rsidRPr="00497477">
              <w:rPr>
                <w:iCs/>
                <w:lang w:val="en-US"/>
              </w:rPr>
              <w:t>oderate</w:t>
            </w:r>
          </w:p>
        </w:tc>
        <w:tc>
          <w:tcPr>
            <w:tcW w:w="1018" w:type="pct"/>
            <w:shd w:val="clear" w:color="auto" w:fill="auto"/>
          </w:tcPr>
          <w:p w14:paraId="6A19CF59" w14:textId="34CB9569" w:rsidR="00A73F5B" w:rsidRPr="00090305" w:rsidRDefault="00494174" w:rsidP="00A333F1">
            <w:pPr>
              <w:pStyle w:val="TableText"/>
            </w:pPr>
            <w:r w:rsidRPr="00494174">
              <w:rPr>
                <w:lang w:val="en-US"/>
              </w:rPr>
              <w:t>PAD patients with claudication or CLI by Rutherford class 2-6</w:t>
            </w:r>
            <w:r>
              <w:rPr>
                <w:lang w:val="en-US"/>
              </w:rPr>
              <w:t xml:space="preserve"> </w:t>
            </w:r>
            <w:r w:rsidR="00F613D4">
              <w:rPr>
                <w:lang w:val="en-US"/>
              </w:rPr>
              <w:t>and</w:t>
            </w:r>
            <w:r w:rsidR="00F613D4" w:rsidRPr="00494174">
              <w:rPr>
                <w:lang w:val="en-US"/>
              </w:rPr>
              <w:t xml:space="preserve"> at</w:t>
            </w:r>
            <w:r w:rsidRPr="00494174">
              <w:rPr>
                <w:lang w:val="en-US"/>
              </w:rPr>
              <w:t xml:space="preserve"> least moderate calcification defined as presence of fluoroscopic evidence of calcification</w:t>
            </w:r>
            <w:r w:rsidR="00A73F5B" w:rsidRPr="00590DFD">
              <w:rPr>
                <w:lang w:val="en-US"/>
              </w:rPr>
              <w:t xml:space="preserve"> in the iliofemoral, femoropopliteal or </w:t>
            </w:r>
            <w:proofErr w:type="spellStart"/>
            <w:r w:rsidR="00A73F5B" w:rsidRPr="00590DFD">
              <w:rPr>
                <w:lang w:val="en-US"/>
              </w:rPr>
              <w:t>infrapopliteal</w:t>
            </w:r>
            <w:proofErr w:type="spellEnd"/>
            <w:r w:rsidR="00A73F5B" w:rsidRPr="00590DFD">
              <w:rPr>
                <w:lang w:val="en-US"/>
              </w:rPr>
              <w:t xml:space="preserve"> arteries</w:t>
            </w:r>
          </w:p>
        </w:tc>
        <w:tc>
          <w:tcPr>
            <w:tcW w:w="1606" w:type="pct"/>
            <w:shd w:val="clear" w:color="auto" w:fill="auto"/>
          </w:tcPr>
          <w:p w14:paraId="52322CB5" w14:textId="77777777" w:rsidR="00A73F5B" w:rsidRDefault="00A73F5B" w:rsidP="00A333F1">
            <w:pPr>
              <w:pStyle w:val="TableText"/>
              <w:rPr>
                <w:lang w:val="en-US"/>
              </w:rPr>
            </w:pPr>
            <w:r w:rsidRPr="00C55D5D">
              <w:rPr>
                <w:lang w:val="en-US"/>
              </w:rPr>
              <w:t>Efficacy: Procedural success</w:t>
            </w:r>
          </w:p>
          <w:p w14:paraId="7B347A19" w14:textId="69E9FC09" w:rsidR="00A73F5B" w:rsidRPr="00CA3451" w:rsidRDefault="00A73F5B" w:rsidP="00A333F1">
            <w:pPr>
              <w:pStyle w:val="TableText"/>
              <w:rPr>
                <w:lang w:val="en-US"/>
              </w:rPr>
            </w:pPr>
            <w:r w:rsidRPr="00C55D5D">
              <w:rPr>
                <w:lang w:val="en-US"/>
              </w:rPr>
              <w:t>Safety: Adverse events – site</w:t>
            </w:r>
            <w:r>
              <w:rPr>
                <w:lang w:val="en-US"/>
              </w:rPr>
              <w:t>-r</w:t>
            </w:r>
            <w:r w:rsidRPr="00C55D5D">
              <w:rPr>
                <w:lang w:val="en-US"/>
              </w:rPr>
              <w:t>eported, Serious adverse events – site-reported</w:t>
            </w:r>
          </w:p>
        </w:tc>
        <w:tc>
          <w:tcPr>
            <w:tcW w:w="599" w:type="pct"/>
            <w:shd w:val="clear" w:color="auto" w:fill="auto"/>
          </w:tcPr>
          <w:p w14:paraId="273CF916" w14:textId="65143196" w:rsidR="00A73F5B" w:rsidRDefault="00494174" w:rsidP="00A333F1">
            <w:pPr>
              <w:pStyle w:val="TableText"/>
              <w:rPr>
                <w:lang w:val="en-US"/>
              </w:rPr>
            </w:pPr>
            <w:r>
              <w:rPr>
                <w:lang w:val="en-US"/>
              </w:rPr>
              <w:t>Not used</w:t>
            </w:r>
          </w:p>
        </w:tc>
      </w:tr>
      <w:tr w:rsidR="00A73F5B" w:rsidRPr="00CE28E3" w14:paraId="7E776818" w14:textId="77777777" w:rsidTr="00A333F1">
        <w:trPr>
          <w:cantSplit/>
        </w:trPr>
        <w:tc>
          <w:tcPr>
            <w:tcW w:w="626" w:type="pct"/>
            <w:shd w:val="clear" w:color="auto" w:fill="auto"/>
          </w:tcPr>
          <w:p w14:paraId="563AC767" w14:textId="4484F943" w:rsidR="00A73F5B" w:rsidRPr="00CE28E3" w:rsidRDefault="00A73F5B" w:rsidP="00A333F1">
            <w:pPr>
              <w:pStyle w:val="TableText"/>
              <w:rPr>
                <w:lang w:val="en-US"/>
              </w:rPr>
            </w:pPr>
            <w:r w:rsidRPr="006C3090">
              <w:rPr>
                <w:lang w:val="en-US"/>
              </w:rPr>
              <w:t>DISRUPT PAD II (Brodmann 2018a)</w:t>
            </w:r>
          </w:p>
        </w:tc>
        <w:tc>
          <w:tcPr>
            <w:tcW w:w="337" w:type="pct"/>
            <w:shd w:val="clear" w:color="auto" w:fill="auto"/>
          </w:tcPr>
          <w:p w14:paraId="280096E2" w14:textId="3C5B5608" w:rsidR="00A73F5B" w:rsidRPr="00CE28E3" w:rsidRDefault="00A73F5B" w:rsidP="00A333F1">
            <w:pPr>
              <w:pStyle w:val="TableText"/>
              <w:rPr>
                <w:lang w:val="en-US"/>
              </w:rPr>
            </w:pPr>
            <w:r>
              <w:rPr>
                <w:lang w:val="en-US"/>
              </w:rPr>
              <w:t>60</w:t>
            </w:r>
          </w:p>
        </w:tc>
        <w:tc>
          <w:tcPr>
            <w:tcW w:w="356" w:type="pct"/>
            <w:shd w:val="clear" w:color="auto" w:fill="auto"/>
          </w:tcPr>
          <w:p w14:paraId="39A9151F" w14:textId="5FB8C227" w:rsidR="00A73F5B" w:rsidRPr="00CE28E3" w:rsidRDefault="00A73F5B" w:rsidP="00A333F1">
            <w:pPr>
              <w:pStyle w:val="TableText"/>
              <w:rPr>
                <w:lang w:val="en-US"/>
              </w:rPr>
            </w:pPr>
            <w:r>
              <w:rPr>
                <w:lang w:val="en-US"/>
              </w:rPr>
              <w:t>P</w:t>
            </w:r>
            <w:r w:rsidRPr="009E6016">
              <w:rPr>
                <w:lang w:val="en-US"/>
              </w:rPr>
              <w:t>rospective, single-arm, non-</w:t>
            </w:r>
            <w:proofErr w:type="spellStart"/>
            <w:r w:rsidRPr="009E6016">
              <w:rPr>
                <w:lang w:val="en-US"/>
              </w:rPr>
              <w:t>randomi</w:t>
            </w:r>
            <w:r w:rsidR="00C90312">
              <w:rPr>
                <w:lang w:val="en-US"/>
              </w:rPr>
              <w:t>s</w:t>
            </w:r>
            <w:r w:rsidRPr="009E6016">
              <w:rPr>
                <w:lang w:val="en-US"/>
              </w:rPr>
              <w:t>ed</w:t>
            </w:r>
            <w:proofErr w:type="spellEnd"/>
            <w:r w:rsidRPr="009E6016">
              <w:rPr>
                <w:lang w:val="en-US"/>
              </w:rPr>
              <w:t xml:space="preserve">, </w:t>
            </w:r>
            <w:r>
              <w:rPr>
                <w:lang w:val="en-US"/>
              </w:rPr>
              <w:t>MC trial</w:t>
            </w:r>
          </w:p>
        </w:tc>
        <w:tc>
          <w:tcPr>
            <w:tcW w:w="457" w:type="pct"/>
            <w:shd w:val="clear" w:color="auto" w:fill="auto"/>
          </w:tcPr>
          <w:p w14:paraId="269C28DF" w14:textId="02292896" w:rsidR="00A73F5B" w:rsidRPr="00497477" w:rsidRDefault="00A73F5B" w:rsidP="00A333F1">
            <w:pPr>
              <w:pStyle w:val="TableText"/>
              <w:rPr>
                <w:iCs/>
                <w:lang w:val="en-US"/>
              </w:rPr>
            </w:pPr>
            <w:r w:rsidRPr="00497477">
              <w:rPr>
                <w:iCs/>
                <w:lang w:val="en-US"/>
              </w:rPr>
              <w:t>Low to moderate</w:t>
            </w:r>
          </w:p>
        </w:tc>
        <w:tc>
          <w:tcPr>
            <w:tcW w:w="1018" w:type="pct"/>
            <w:shd w:val="clear" w:color="auto" w:fill="auto"/>
          </w:tcPr>
          <w:p w14:paraId="4FD8A7FC" w14:textId="012FA874" w:rsidR="00A73F5B" w:rsidRPr="00CE28E3" w:rsidRDefault="00494174" w:rsidP="00A333F1">
            <w:pPr>
              <w:pStyle w:val="TableText"/>
              <w:rPr>
                <w:lang w:val="en-US"/>
              </w:rPr>
            </w:pPr>
            <w:r w:rsidRPr="00494174">
              <w:t>PAD patients with claudication or CLI by Rutherford class 2-</w:t>
            </w:r>
            <w:r>
              <w:t>4</w:t>
            </w:r>
            <w:r w:rsidRPr="00494174">
              <w:t xml:space="preserve"> </w:t>
            </w:r>
            <w:r w:rsidR="00F613D4" w:rsidRPr="00494174">
              <w:t>and at</w:t>
            </w:r>
            <w:r w:rsidRPr="00494174">
              <w:t xml:space="preserve"> least moderate calcification defined as presence of fluoroscopic evidence of calcification</w:t>
            </w:r>
          </w:p>
        </w:tc>
        <w:tc>
          <w:tcPr>
            <w:tcW w:w="1606" w:type="pct"/>
            <w:shd w:val="clear" w:color="auto" w:fill="auto"/>
          </w:tcPr>
          <w:p w14:paraId="1E2649C2" w14:textId="77777777" w:rsidR="00A73F5B" w:rsidRPr="00CA3451" w:rsidRDefault="00A73F5B" w:rsidP="00A333F1">
            <w:pPr>
              <w:pStyle w:val="TableText"/>
              <w:rPr>
                <w:lang w:val="en-US"/>
              </w:rPr>
            </w:pPr>
            <w:r w:rsidRPr="00CA3451">
              <w:rPr>
                <w:lang w:val="en-US"/>
              </w:rPr>
              <w:t>Efficacy: Target lesion patency at 12 months, primary patency at 12 months, acute procedural success</w:t>
            </w:r>
          </w:p>
          <w:p w14:paraId="3DE86985" w14:textId="77777777" w:rsidR="00A73F5B" w:rsidRPr="00CA3451" w:rsidRDefault="00A73F5B" w:rsidP="00A333F1">
            <w:pPr>
              <w:pStyle w:val="TableText"/>
              <w:rPr>
                <w:lang w:val="en-US"/>
              </w:rPr>
            </w:pPr>
            <w:r w:rsidRPr="00CA3451">
              <w:rPr>
                <w:lang w:val="en-US"/>
              </w:rPr>
              <w:t>Safety: MAE through 30 days, secondary safety endpoint</w:t>
            </w:r>
          </w:p>
          <w:p w14:paraId="45B1587F" w14:textId="1824D837" w:rsidR="00A73F5B" w:rsidRPr="00CE28E3" w:rsidRDefault="00A73F5B" w:rsidP="00A333F1">
            <w:pPr>
              <w:pStyle w:val="TableText"/>
              <w:rPr>
                <w:lang w:val="en-US"/>
              </w:rPr>
            </w:pPr>
            <w:r w:rsidRPr="00CA3451">
              <w:rPr>
                <w:lang w:val="en-US"/>
              </w:rPr>
              <w:t xml:space="preserve">Functional outcomes: Improvement in ABI at 30 days, 6 months and 12 months and improvement in Rutherford Classification at 30 days, 6 </w:t>
            </w:r>
            <w:proofErr w:type="gramStart"/>
            <w:r w:rsidRPr="00CA3451">
              <w:rPr>
                <w:lang w:val="en-US"/>
              </w:rPr>
              <w:t>months</w:t>
            </w:r>
            <w:proofErr w:type="gramEnd"/>
            <w:r w:rsidRPr="00CA3451">
              <w:rPr>
                <w:lang w:val="en-US"/>
              </w:rPr>
              <w:t xml:space="preserve"> and 12 months</w:t>
            </w:r>
          </w:p>
        </w:tc>
        <w:tc>
          <w:tcPr>
            <w:tcW w:w="599" w:type="pct"/>
            <w:shd w:val="clear" w:color="auto" w:fill="auto"/>
          </w:tcPr>
          <w:p w14:paraId="3F9CD3D5" w14:textId="10A22CDC" w:rsidR="00A73F5B" w:rsidRPr="00CE28E3" w:rsidRDefault="00A73F5B" w:rsidP="00A333F1">
            <w:pPr>
              <w:pStyle w:val="TableText"/>
              <w:rPr>
                <w:lang w:val="en-US"/>
              </w:rPr>
            </w:pPr>
            <w:r>
              <w:rPr>
                <w:lang w:val="en-US"/>
              </w:rPr>
              <w:t xml:space="preserve">Scenario analysis - </w:t>
            </w:r>
            <w:r w:rsidR="00C90312">
              <w:rPr>
                <w:lang w:val="en-US"/>
              </w:rPr>
              <w:t>r</w:t>
            </w:r>
            <w:r>
              <w:rPr>
                <w:lang w:val="en-US"/>
              </w:rPr>
              <w:t>ate of flow</w:t>
            </w:r>
            <w:r w:rsidR="00C90312">
              <w:rPr>
                <w:lang w:val="en-US"/>
              </w:rPr>
              <w:t>-</w:t>
            </w:r>
            <w:r>
              <w:rPr>
                <w:lang w:val="en-US"/>
              </w:rPr>
              <w:t xml:space="preserve">limiting dissections, CD-TRL in 1-year, </w:t>
            </w:r>
            <w:r w:rsidR="00C90312">
              <w:rPr>
                <w:lang w:val="en-US"/>
              </w:rPr>
              <w:t>r</w:t>
            </w:r>
            <w:r>
              <w:rPr>
                <w:lang w:val="en-US"/>
              </w:rPr>
              <w:t xml:space="preserve">estenosis at 1-year </w:t>
            </w:r>
          </w:p>
        </w:tc>
      </w:tr>
      <w:tr w:rsidR="00A73F5B" w:rsidRPr="00CE28E3" w14:paraId="78637DF1" w14:textId="77777777" w:rsidTr="00A333F1">
        <w:trPr>
          <w:cantSplit/>
        </w:trPr>
        <w:tc>
          <w:tcPr>
            <w:tcW w:w="626" w:type="pct"/>
            <w:shd w:val="clear" w:color="auto" w:fill="auto"/>
          </w:tcPr>
          <w:p w14:paraId="214B56CF" w14:textId="16152528" w:rsidR="00A73F5B" w:rsidRPr="00CE28E3" w:rsidRDefault="00A73F5B" w:rsidP="00A333F1">
            <w:pPr>
              <w:pStyle w:val="TableText"/>
              <w:rPr>
                <w:lang w:val="en-US"/>
              </w:rPr>
            </w:pPr>
            <w:r w:rsidRPr="007A0E68">
              <w:rPr>
                <w:lang w:val="en-US"/>
              </w:rPr>
              <w:t>DISRUPT PAD I (Brodmann 2017)</w:t>
            </w:r>
          </w:p>
        </w:tc>
        <w:tc>
          <w:tcPr>
            <w:tcW w:w="337" w:type="pct"/>
            <w:shd w:val="clear" w:color="auto" w:fill="auto"/>
          </w:tcPr>
          <w:p w14:paraId="624E0895" w14:textId="443F269B" w:rsidR="00A73F5B" w:rsidRPr="00CE28E3" w:rsidRDefault="00A73F5B" w:rsidP="00A333F1">
            <w:pPr>
              <w:pStyle w:val="TableText"/>
              <w:rPr>
                <w:lang w:val="en-US"/>
              </w:rPr>
            </w:pPr>
            <w:r>
              <w:rPr>
                <w:lang w:val="en-US"/>
              </w:rPr>
              <w:t>35</w:t>
            </w:r>
          </w:p>
        </w:tc>
        <w:tc>
          <w:tcPr>
            <w:tcW w:w="356" w:type="pct"/>
            <w:shd w:val="clear" w:color="auto" w:fill="auto"/>
          </w:tcPr>
          <w:p w14:paraId="66AC1D9C" w14:textId="084E2F35" w:rsidR="00A73F5B" w:rsidRPr="00CE28E3" w:rsidRDefault="00A73F5B" w:rsidP="00A333F1">
            <w:pPr>
              <w:pStyle w:val="TableText"/>
              <w:rPr>
                <w:lang w:val="en-US"/>
              </w:rPr>
            </w:pPr>
            <w:r>
              <w:rPr>
                <w:lang w:val="en-US"/>
              </w:rPr>
              <w:t>P</w:t>
            </w:r>
            <w:r w:rsidRPr="009E6016">
              <w:rPr>
                <w:lang w:val="en-US"/>
              </w:rPr>
              <w:t xml:space="preserve">rospective, </w:t>
            </w:r>
            <w:r>
              <w:rPr>
                <w:lang w:val="en-US"/>
              </w:rPr>
              <w:t xml:space="preserve">single-arm, </w:t>
            </w:r>
            <w:r w:rsidRPr="009E6016">
              <w:rPr>
                <w:lang w:val="en-US"/>
              </w:rPr>
              <w:t>non-</w:t>
            </w:r>
            <w:proofErr w:type="spellStart"/>
            <w:r w:rsidRPr="009E6016">
              <w:rPr>
                <w:lang w:val="en-US"/>
              </w:rPr>
              <w:t>randomi</w:t>
            </w:r>
            <w:r w:rsidR="00C90312">
              <w:rPr>
                <w:lang w:val="en-US"/>
              </w:rPr>
              <w:t>s</w:t>
            </w:r>
            <w:r w:rsidRPr="009E6016">
              <w:rPr>
                <w:lang w:val="en-US"/>
              </w:rPr>
              <w:t>ed</w:t>
            </w:r>
            <w:proofErr w:type="spellEnd"/>
            <w:r w:rsidRPr="009E6016">
              <w:rPr>
                <w:lang w:val="en-US"/>
              </w:rPr>
              <w:t xml:space="preserve">, </w:t>
            </w:r>
            <w:r>
              <w:rPr>
                <w:lang w:val="en-US"/>
              </w:rPr>
              <w:t>MC</w:t>
            </w:r>
            <w:r w:rsidRPr="009E6016">
              <w:rPr>
                <w:lang w:val="en-US"/>
              </w:rPr>
              <w:t xml:space="preserve"> trial</w:t>
            </w:r>
          </w:p>
        </w:tc>
        <w:tc>
          <w:tcPr>
            <w:tcW w:w="457" w:type="pct"/>
            <w:shd w:val="clear" w:color="auto" w:fill="auto"/>
          </w:tcPr>
          <w:p w14:paraId="73F8CF92" w14:textId="5DF15E32" w:rsidR="00A73F5B" w:rsidRPr="00497477" w:rsidRDefault="00A73F5B" w:rsidP="00A333F1">
            <w:pPr>
              <w:pStyle w:val="TableText"/>
              <w:rPr>
                <w:iCs/>
                <w:lang w:val="en-US"/>
              </w:rPr>
            </w:pPr>
            <w:r w:rsidRPr="00497477">
              <w:rPr>
                <w:iCs/>
                <w:lang w:val="en-US"/>
              </w:rPr>
              <w:t>Low to moderate</w:t>
            </w:r>
          </w:p>
        </w:tc>
        <w:tc>
          <w:tcPr>
            <w:tcW w:w="1018" w:type="pct"/>
            <w:shd w:val="clear" w:color="auto" w:fill="auto"/>
          </w:tcPr>
          <w:p w14:paraId="2B401571" w14:textId="783FC66F" w:rsidR="00A73F5B" w:rsidRPr="00CE28E3" w:rsidRDefault="00494174" w:rsidP="00A333F1">
            <w:pPr>
              <w:pStyle w:val="TableText"/>
              <w:rPr>
                <w:lang w:val="en-US"/>
              </w:rPr>
            </w:pPr>
            <w:r w:rsidRPr="00494174">
              <w:t>PAD patients with Rutherford class 2-4 and moderate to severe calcification of target lesion(s) per pre-procedure CT scan</w:t>
            </w:r>
            <w:r>
              <w:t xml:space="preserve"> </w:t>
            </w:r>
          </w:p>
        </w:tc>
        <w:tc>
          <w:tcPr>
            <w:tcW w:w="1606" w:type="pct"/>
            <w:shd w:val="clear" w:color="auto" w:fill="auto"/>
          </w:tcPr>
          <w:p w14:paraId="0E5E130C" w14:textId="77777777" w:rsidR="00A73F5B" w:rsidRPr="001605FA" w:rsidRDefault="00A73F5B" w:rsidP="00A333F1">
            <w:pPr>
              <w:pStyle w:val="TableText"/>
              <w:rPr>
                <w:lang w:val="en-US"/>
              </w:rPr>
            </w:pPr>
            <w:r w:rsidRPr="001605FA">
              <w:rPr>
                <w:lang w:val="en-US"/>
              </w:rPr>
              <w:t>Efficacy: Procedural success, loss of vessel patency</w:t>
            </w:r>
          </w:p>
          <w:p w14:paraId="4A0D615D" w14:textId="77777777" w:rsidR="00A73F5B" w:rsidRPr="001605FA" w:rsidRDefault="00A73F5B" w:rsidP="00A333F1">
            <w:pPr>
              <w:pStyle w:val="TableText"/>
              <w:rPr>
                <w:lang w:val="en-US"/>
              </w:rPr>
            </w:pPr>
            <w:r w:rsidRPr="001605FA">
              <w:rPr>
                <w:lang w:val="en-US"/>
              </w:rPr>
              <w:t>Safety: MAEs at 30 days and 6 months</w:t>
            </w:r>
          </w:p>
          <w:p w14:paraId="54835E33" w14:textId="7E5D1ADA" w:rsidR="00A73F5B" w:rsidRPr="00CE28E3" w:rsidRDefault="00A73F5B" w:rsidP="00A333F1">
            <w:pPr>
              <w:pStyle w:val="TableText"/>
              <w:rPr>
                <w:lang w:val="en-US"/>
              </w:rPr>
            </w:pPr>
            <w:r w:rsidRPr="001605FA">
              <w:rPr>
                <w:lang w:val="en-US"/>
              </w:rPr>
              <w:t>Functional outcomes: Improvement in ABI, improvement in Rutherford Classification</w:t>
            </w:r>
          </w:p>
        </w:tc>
        <w:tc>
          <w:tcPr>
            <w:tcW w:w="599" w:type="pct"/>
            <w:shd w:val="clear" w:color="auto" w:fill="auto"/>
          </w:tcPr>
          <w:p w14:paraId="4EC1B5AD" w14:textId="54DC16E1" w:rsidR="00A73F5B" w:rsidRPr="00CE28E3" w:rsidRDefault="00A73F5B" w:rsidP="00A333F1">
            <w:pPr>
              <w:pStyle w:val="TableText"/>
              <w:rPr>
                <w:lang w:val="en-US"/>
              </w:rPr>
            </w:pPr>
            <w:r w:rsidRPr="00467563">
              <w:rPr>
                <w:lang w:val="en-US"/>
              </w:rPr>
              <w:t>Not used</w:t>
            </w:r>
          </w:p>
        </w:tc>
      </w:tr>
      <w:tr w:rsidR="00A73F5B" w:rsidRPr="00CE28E3" w14:paraId="4C8E17F0" w14:textId="77777777" w:rsidTr="00A333F1">
        <w:trPr>
          <w:cantSplit/>
        </w:trPr>
        <w:tc>
          <w:tcPr>
            <w:tcW w:w="626" w:type="pct"/>
            <w:shd w:val="clear" w:color="auto" w:fill="auto"/>
          </w:tcPr>
          <w:p w14:paraId="3F7E6A71" w14:textId="1A668EFB" w:rsidR="00A73F5B" w:rsidRPr="00CE28E3" w:rsidRDefault="00A73F5B" w:rsidP="00A333F1">
            <w:pPr>
              <w:pStyle w:val="TableText"/>
              <w:rPr>
                <w:lang w:val="en-US"/>
              </w:rPr>
            </w:pPr>
            <w:r w:rsidRPr="00B12AE6">
              <w:rPr>
                <w:lang w:val="en-US"/>
              </w:rPr>
              <w:lastRenderedPageBreak/>
              <w:t>DISRUPT PAD BTK (Brodmann 2018b)</w:t>
            </w:r>
          </w:p>
        </w:tc>
        <w:tc>
          <w:tcPr>
            <w:tcW w:w="337" w:type="pct"/>
            <w:shd w:val="clear" w:color="auto" w:fill="auto"/>
          </w:tcPr>
          <w:p w14:paraId="6FC63F46" w14:textId="6B87F378" w:rsidR="00A73F5B" w:rsidRPr="00CE28E3" w:rsidRDefault="00A73F5B" w:rsidP="00A333F1">
            <w:pPr>
              <w:pStyle w:val="TableText"/>
              <w:rPr>
                <w:lang w:val="en-US"/>
              </w:rPr>
            </w:pPr>
            <w:r>
              <w:rPr>
                <w:lang w:val="en-US"/>
              </w:rPr>
              <w:t>20</w:t>
            </w:r>
          </w:p>
        </w:tc>
        <w:tc>
          <w:tcPr>
            <w:tcW w:w="356" w:type="pct"/>
            <w:shd w:val="clear" w:color="auto" w:fill="auto"/>
          </w:tcPr>
          <w:p w14:paraId="2376528C" w14:textId="51B74B5D" w:rsidR="00A73F5B" w:rsidRPr="00CE28E3" w:rsidRDefault="00A73F5B" w:rsidP="00A333F1">
            <w:pPr>
              <w:pStyle w:val="TableText"/>
              <w:rPr>
                <w:lang w:val="en-US"/>
              </w:rPr>
            </w:pPr>
            <w:r>
              <w:rPr>
                <w:lang w:val="en-US"/>
              </w:rPr>
              <w:t>P</w:t>
            </w:r>
            <w:r w:rsidRPr="009E6016">
              <w:rPr>
                <w:lang w:val="en-US"/>
              </w:rPr>
              <w:t xml:space="preserve">rospective, </w:t>
            </w:r>
            <w:r>
              <w:rPr>
                <w:lang w:val="en-US"/>
              </w:rPr>
              <w:t xml:space="preserve">single-arm, </w:t>
            </w:r>
            <w:r w:rsidRPr="009E6016">
              <w:rPr>
                <w:lang w:val="en-US"/>
              </w:rPr>
              <w:t>non-</w:t>
            </w:r>
            <w:proofErr w:type="spellStart"/>
            <w:r w:rsidRPr="009E6016">
              <w:rPr>
                <w:lang w:val="en-US"/>
              </w:rPr>
              <w:t>randomi</w:t>
            </w:r>
            <w:r w:rsidR="00C90312">
              <w:rPr>
                <w:lang w:val="en-US"/>
              </w:rPr>
              <w:t>s</w:t>
            </w:r>
            <w:r w:rsidRPr="009E6016">
              <w:rPr>
                <w:lang w:val="en-US"/>
              </w:rPr>
              <w:t>ed</w:t>
            </w:r>
            <w:proofErr w:type="spellEnd"/>
            <w:r w:rsidRPr="009E6016">
              <w:rPr>
                <w:lang w:val="en-US"/>
              </w:rPr>
              <w:t xml:space="preserve">, </w:t>
            </w:r>
            <w:r>
              <w:rPr>
                <w:lang w:val="en-US"/>
              </w:rPr>
              <w:t>MC</w:t>
            </w:r>
            <w:r w:rsidRPr="009E6016">
              <w:rPr>
                <w:lang w:val="en-US"/>
              </w:rPr>
              <w:t xml:space="preserve"> trial</w:t>
            </w:r>
          </w:p>
        </w:tc>
        <w:tc>
          <w:tcPr>
            <w:tcW w:w="457" w:type="pct"/>
            <w:shd w:val="clear" w:color="auto" w:fill="auto"/>
          </w:tcPr>
          <w:p w14:paraId="0D4990EA" w14:textId="36198E86" w:rsidR="00A73F5B" w:rsidRPr="00497477" w:rsidRDefault="00A73F5B" w:rsidP="00A333F1">
            <w:pPr>
              <w:pStyle w:val="TableText"/>
              <w:rPr>
                <w:iCs/>
                <w:lang w:val="en-US"/>
              </w:rPr>
            </w:pPr>
            <w:r w:rsidRPr="00497477">
              <w:rPr>
                <w:iCs/>
                <w:lang w:val="en-US"/>
              </w:rPr>
              <w:t>Low to moderate</w:t>
            </w:r>
          </w:p>
        </w:tc>
        <w:tc>
          <w:tcPr>
            <w:tcW w:w="1018" w:type="pct"/>
            <w:shd w:val="clear" w:color="auto" w:fill="auto"/>
          </w:tcPr>
          <w:p w14:paraId="2A8C3389" w14:textId="6F5F610A" w:rsidR="00494174" w:rsidRDefault="00494174" w:rsidP="00A333F1">
            <w:pPr>
              <w:pStyle w:val="TableText"/>
            </w:pPr>
            <w:r w:rsidRPr="00494174">
              <w:t xml:space="preserve">PAD patients with Rutherford class </w:t>
            </w:r>
            <w:r>
              <w:t>1</w:t>
            </w:r>
            <w:r w:rsidRPr="00494174">
              <w:t>-</w:t>
            </w:r>
            <w:r>
              <w:t>5</w:t>
            </w:r>
            <w:r w:rsidRPr="00494174">
              <w:t xml:space="preserve"> and</w:t>
            </w:r>
            <w:r>
              <w:t xml:space="preserve"> </w:t>
            </w:r>
            <w:r w:rsidRPr="00494174">
              <w:t xml:space="preserve">moderate to severe calcification </w:t>
            </w:r>
            <w:r>
              <w:t xml:space="preserve">in </w:t>
            </w:r>
            <w:r w:rsidRPr="00090305">
              <w:t>BTK arteries</w:t>
            </w:r>
          </w:p>
          <w:p w14:paraId="5A49227E" w14:textId="295F4EB5" w:rsidR="00A73F5B" w:rsidRPr="00CE28E3" w:rsidRDefault="00A73F5B" w:rsidP="00A333F1">
            <w:pPr>
              <w:pStyle w:val="TableText"/>
              <w:rPr>
                <w:lang w:val="en-US"/>
              </w:rPr>
            </w:pPr>
          </w:p>
        </w:tc>
        <w:tc>
          <w:tcPr>
            <w:tcW w:w="1606" w:type="pct"/>
            <w:shd w:val="clear" w:color="auto" w:fill="auto"/>
          </w:tcPr>
          <w:p w14:paraId="756BE3A8" w14:textId="77777777" w:rsidR="00A73F5B" w:rsidRPr="0013560B" w:rsidRDefault="00A73F5B" w:rsidP="00A333F1">
            <w:pPr>
              <w:pStyle w:val="TableText"/>
              <w:rPr>
                <w:lang w:val="en-US"/>
              </w:rPr>
            </w:pPr>
            <w:r w:rsidRPr="0013560B">
              <w:rPr>
                <w:lang w:val="en-US"/>
              </w:rPr>
              <w:t>Efficacy: Acute reduction in percent diameter stenosis of the target lesion, procedural success</w:t>
            </w:r>
          </w:p>
          <w:p w14:paraId="42BD3289" w14:textId="47099CAA" w:rsidR="00A73F5B" w:rsidRPr="00CE28E3" w:rsidRDefault="00A73F5B" w:rsidP="00A333F1">
            <w:pPr>
              <w:pStyle w:val="TableText"/>
              <w:rPr>
                <w:lang w:val="en-US"/>
              </w:rPr>
            </w:pPr>
            <w:r w:rsidRPr="0013560B">
              <w:rPr>
                <w:lang w:val="en-US"/>
              </w:rPr>
              <w:t>Safety: Composite of</w:t>
            </w:r>
            <w:r>
              <w:rPr>
                <w:lang w:val="en-US"/>
              </w:rPr>
              <w:t xml:space="preserve"> </w:t>
            </w:r>
            <w:r w:rsidRPr="0013560B">
              <w:rPr>
                <w:lang w:val="en-US"/>
              </w:rPr>
              <w:t>MAE through 30 days</w:t>
            </w:r>
          </w:p>
        </w:tc>
        <w:tc>
          <w:tcPr>
            <w:tcW w:w="599" w:type="pct"/>
            <w:shd w:val="clear" w:color="auto" w:fill="auto"/>
          </w:tcPr>
          <w:p w14:paraId="6F4887C9" w14:textId="69049EB7" w:rsidR="00A73F5B" w:rsidRPr="00CE28E3" w:rsidRDefault="00A73F5B" w:rsidP="00A333F1">
            <w:pPr>
              <w:pStyle w:val="TableText"/>
              <w:rPr>
                <w:lang w:val="en-US"/>
              </w:rPr>
            </w:pPr>
            <w:r>
              <w:rPr>
                <w:lang w:val="en-US"/>
              </w:rPr>
              <w:t xml:space="preserve"> Not used</w:t>
            </w:r>
          </w:p>
        </w:tc>
      </w:tr>
    </w:tbl>
    <w:p w14:paraId="554E8023" w14:textId="630B0543" w:rsidR="00190692" w:rsidRDefault="00A73F5B" w:rsidP="00A73F5B">
      <w:pPr>
        <w:pStyle w:val="Tablenotes0"/>
      </w:pPr>
      <w:bookmarkStart w:id="19" w:name="_Hlk68276176"/>
      <w:r>
        <w:t xml:space="preserve">Abbreviations: </w:t>
      </w:r>
      <w:r w:rsidR="00FE2DB4">
        <w:t>ABI = ankle-brachial index</w:t>
      </w:r>
      <w:r w:rsidR="00B524BF">
        <w:t>;</w:t>
      </w:r>
      <w:r w:rsidR="00FE2DB4">
        <w:t xml:space="preserve"> </w:t>
      </w:r>
      <w:r w:rsidR="00134741">
        <w:t xml:space="preserve">BTK = below-the-knee; </w:t>
      </w:r>
      <w:r w:rsidR="00B9255B">
        <w:t xml:space="preserve">CD-TLR= </w:t>
      </w:r>
      <w:r w:rsidR="00B9255B" w:rsidRPr="00190692">
        <w:t>clinically driven target lesion revascularisation</w:t>
      </w:r>
      <w:r w:rsidR="00B9255B">
        <w:t xml:space="preserve">; </w:t>
      </w:r>
      <w:r w:rsidR="00EB6499" w:rsidRPr="00EB6499">
        <w:t>CLI = critical limb ischemia; CT = computed tomography;</w:t>
      </w:r>
      <w:r w:rsidR="00EB6499">
        <w:t xml:space="preserve"> </w:t>
      </w:r>
      <w:r w:rsidR="00F1016C">
        <w:t>DCB</w:t>
      </w:r>
      <w:r w:rsidR="009F3696">
        <w:t>=</w:t>
      </w:r>
      <w:r w:rsidR="009F3696" w:rsidRPr="009F3696">
        <w:t xml:space="preserve"> drug-coated balloon</w:t>
      </w:r>
      <w:r w:rsidR="009F3696">
        <w:t xml:space="preserve">; </w:t>
      </w:r>
      <w:r w:rsidR="00FE2DB4">
        <w:t xml:space="preserve">EQ-5D = </w:t>
      </w:r>
      <w:r w:rsidR="00B524BF" w:rsidRPr="00B524BF">
        <w:t>EuroQoL-5 Dimension questionnaire</w:t>
      </w:r>
      <w:r w:rsidR="00B524BF">
        <w:t>;</w:t>
      </w:r>
      <w:r w:rsidR="00B524BF" w:rsidRPr="00B524BF" w:rsidDel="00FE2DB4">
        <w:t xml:space="preserve"> </w:t>
      </w:r>
      <w:r w:rsidR="0079028E">
        <w:t xml:space="preserve">HS= Health state; </w:t>
      </w:r>
      <w:r w:rsidR="00CF4C67">
        <w:t>IVL =</w:t>
      </w:r>
      <w:r w:rsidR="00347ACE">
        <w:t xml:space="preserve"> </w:t>
      </w:r>
      <w:r w:rsidR="00CF4C67">
        <w:t>i</w:t>
      </w:r>
      <w:r w:rsidR="00CF4C67" w:rsidRPr="00CF4C67">
        <w:t>ntravascular lithotripsy</w:t>
      </w:r>
      <w:r w:rsidR="00956ACE" w:rsidRPr="00CE28E3">
        <w:t xml:space="preserve">; </w:t>
      </w:r>
      <w:r w:rsidR="00B569DF" w:rsidRPr="00B569DF">
        <w:t>MAE</w:t>
      </w:r>
      <w:r w:rsidR="00B569DF">
        <w:t xml:space="preserve"> =</w:t>
      </w:r>
      <w:r w:rsidR="00B569DF" w:rsidRPr="00B569DF">
        <w:t xml:space="preserve"> major adverse events; </w:t>
      </w:r>
      <w:r w:rsidR="00956ACE" w:rsidRPr="00CE28E3">
        <w:t>MC = multicentre;</w:t>
      </w:r>
      <w:r w:rsidR="00B2258A" w:rsidRPr="00B2258A">
        <w:t xml:space="preserve"> </w:t>
      </w:r>
      <w:r w:rsidR="00B2258A">
        <w:t xml:space="preserve">OS = overall survival; </w:t>
      </w:r>
      <w:r w:rsidR="00B2258A" w:rsidRPr="00B2258A">
        <w:t>PAD</w:t>
      </w:r>
      <w:r w:rsidR="00B2258A">
        <w:t xml:space="preserve"> =</w:t>
      </w:r>
      <w:r w:rsidR="00B2258A" w:rsidRPr="00B2258A">
        <w:t xml:space="preserve"> Peripheral Artery Disease</w:t>
      </w:r>
      <w:r w:rsidR="00B2258A">
        <w:t>;</w:t>
      </w:r>
      <w:r w:rsidR="00956ACE" w:rsidRPr="00CE28E3">
        <w:t xml:space="preserve"> </w:t>
      </w:r>
      <w:r w:rsidR="00EB6499" w:rsidRPr="00EB6499">
        <w:t xml:space="preserve">; PARC = Peripheral Academic Research Consortium; </w:t>
      </w:r>
      <w:r w:rsidR="00956ACE" w:rsidRPr="00CE28E3">
        <w:t>R = randomised</w:t>
      </w:r>
      <w:r w:rsidR="00937F56">
        <w:t xml:space="preserve">; </w:t>
      </w:r>
      <w:r w:rsidR="00B9255B">
        <w:t xml:space="preserve">RR = Relative Risk; </w:t>
      </w:r>
      <w:r w:rsidR="00CF4C67">
        <w:t>S</w:t>
      </w:r>
      <w:r w:rsidR="00CF4C67" w:rsidRPr="00CE28E3">
        <w:t xml:space="preserve">B = </w:t>
      </w:r>
      <w:r w:rsidR="00CF4C67">
        <w:t>single</w:t>
      </w:r>
      <w:r w:rsidR="00C90312">
        <w:t>-</w:t>
      </w:r>
      <w:r w:rsidR="00CF4C67" w:rsidRPr="00CE28E3">
        <w:t>blind</w:t>
      </w:r>
      <w:r w:rsidR="00CF4C67">
        <w:t xml:space="preserve">; </w:t>
      </w:r>
      <w:r w:rsidR="0079028E">
        <w:t>TP</w:t>
      </w:r>
      <w:r w:rsidR="00347ACE">
        <w:t xml:space="preserve"> </w:t>
      </w:r>
      <w:r w:rsidR="0079028E">
        <w:t>=</w:t>
      </w:r>
      <w:r w:rsidR="00347ACE">
        <w:t xml:space="preserve"> </w:t>
      </w:r>
      <w:r w:rsidR="0079028E">
        <w:t xml:space="preserve">Transition probability; </w:t>
      </w:r>
      <w:r w:rsidR="00937F56" w:rsidRPr="00937F56">
        <w:t>TLR</w:t>
      </w:r>
      <w:r w:rsidR="00937F56">
        <w:t xml:space="preserve"> =</w:t>
      </w:r>
      <w:r w:rsidR="00937F56" w:rsidRPr="00937F56">
        <w:t xml:space="preserve"> Target lesion revascularisation; VAS</w:t>
      </w:r>
      <w:r w:rsidR="00937F56">
        <w:t xml:space="preserve"> =</w:t>
      </w:r>
      <w:r w:rsidR="00937F56" w:rsidRPr="00937F56">
        <w:t xml:space="preserve"> Visual analogue scale; WIQ</w:t>
      </w:r>
      <w:r w:rsidR="00347ACE">
        <w:t xml:space="preserve"> </w:t>
      </w:r>
      <w:r w:rsidR="00937F56">
        <w:t>=</w:t>
      </w:r>
      <w:r w:rsidR="00937F56" w:rsidRPr="00937F56">
        <w:t xml:space="preserve"> Walking Impairment Questionnaire</w:t>
      </w:r>
      <w:r w:rsidR="00937F56">
        <w:t>.</w:t>
      </w:r>
      <w:r w:rsidR="00190692" w:rsidRPr="00190692">
        <w:t xml:space="preserve"> </w:t>
      </w:r>
    </w:p>
    <w:p w14:paraId="5CB82107" w14:textId="77777777" w:rsidR="00A73F5B" w:rsidRDefault="00A73F5B" w:rsidP="00A73F5B">
      <w:pPr>
        <w:pStyle w:val="Tablenotes0"/>
      </w:pPr>
      <w:r>
        <w:t>Notes:</w:t>
      </w:r>
    </w:p>
    <w:p w14:paraId="4F3C3E84" w14:textId="54EFB5A6" w:rsidR="00B9255B" w:rsidRDefault="00B9255B" w:rsidP="00A73F5B">
      <w:pPr>
        <w:pStyle w:val="Tablenotes0"/>
      </w:pPr>
      <w:r w:rsidRPr="00996E36">
        <w:rPr>
          <w:vertAlign w:val="superscript"/>
        </w:rPr>
        <w:t>a</w:t>
      </w:r>
      <w:r w:rsidRPr="00B9255B">
        <w:t xml:space="preserve"> </w:t>
      </w:r>
      <w:r>
        <w:t>Single</w:t>
      </w:r>
      <w:r w:rsidR="00C90312">
        <w:t>-</w:t>
      </w:r>
      <w:r>
        <w:t>arm clinical trials</w:t>
      </w:r>
      <w:r w:rsidRPr="00B9255B">
        <w:t xml:space="preserve"> used </w:t>
      </w:r>
      <w:r w:rsidR="00C90312">
        <w:t xml:space="preserve">the </w:t>
      </w:r>
      <w:r w:rsidRPr="00B9255B">
        <w:t>ROBINS-1 Risk of Bias Tool</w:t>
      </w:r>
      <w:r w:rsidR="00C90312">
        <w:t>,</w:t>
      </w:r>
      <w:r>
        <w:t xml:space="preserve"> and RCT </w:t>
      </w:r>
      <w:r w:rsidRPr="00B9255B">
        <w:t xml:space="preserve">used the Cochrane Risk of Bias </w:t>
      </w:r>
      <w:proofErr w:type="gramStart"/>
      <w:r w:rsidRPr="00B9255B">
        <w:t>Tool</w:t>
      </w:r>
      <w:r w:rsidR="00347ACE">
        <w:t>;</w:t>
      </w:r>
      <w:proofErr w:type="gramEnd"/>
      <w:r w:rsidRPr="00B9255B">
        <w:t xml:space="preserve"> </w:t>
      </w:r>
    </w:p>
    <w:p w14:paraId="1A323787" w14:textId="03A69F4B" w:rsidR="00D40985" w:rsidRDefault="00B9255B" w:rsidP="00A73F5B">
      <w:pPr>
        <w:pStyle w:val="Tablenotes0"/>
      </w:pPr>
      <w:r w:rsidRPr="00996E36">
        <w:rPr>
          <w:vertAlign w:val="superscript"/>
        </w:rPr>
        <w:t>b</w:t>
      </w:r>
      <w:r w:rsidR="00190692" w:rsidRPr="00190692">
        <w:t xml:space="preserve"> Determined by the angiographic core laboratory as residual stenosis ≤30% without flow-limiting dissection (≥type D) following the randomised treatment and prior to DCB treatment and/or provisional stent </w:t>
      </w:r>
      <w:proofErr w:type="gramStart"/>
      <w:r w:rsidR="00190692" w:rsidRPr="00190692">
        <w:t>placement;</w:t>
      </w:r>
      <w:proofErr w:type="gramEnd"/>
      <w:r w:rsidR="00190692" w:rsidRPr="00190692">
        <w:t xml:space="preserve"> </w:t>
      </w:r>
    </w:p>
    <w:p w14:paraId="7C4CCFE0" w14:textId="4B29074B" w:rsidR="00D40985" w:rsidRDefault="00761925" w:rsidP="00A73F5B">
      <w:pPr>
        <w:pStyle w:val="Tablenotes0"/>
      </w:pPr>
      <w:r w:rsidRPr="00996E36">
        <w:rPr>
          <w:vertAlign w:val="superscript"/>
        </w:rPr>
        <w:t>c</w:t>
      </w:r>
      <w:r w:rsidR="00190692" w:rsidRPr="00190692">
        <w:t xml:space="preserve"> Defined as freedom from</w:t>
      </w:r>
      <w:r w:rsidR="00B9255B">
        <w:t xml:space="preserve"> CD-TLR </w:t>
      </w:r>
      <w:r w:rsidR="00190692" w:rsidRPr="00190692">
        <w:t xml:space="preserve">and freedom from restenosis as determined by duplex ultrasound (DUS) or angiogram ≥50% </w:t>
      </w:r>
      <w:proofErr w:type="gramStart"/>
      <w:r w:rsidR="00190692" w:rsidRPr="00190692">
        <w:t>stenosis;</w:t>
      </w:r>
      <w:proofErr w:type="gramEnd"/>
      <w:r w:rsidR="00190692" w:rsidRPr="00190692">
        <w:t xml:space="preserve"> </w:t>
      </w:r>
    </w:p>
    <w:p w14:paraId="77F184CE" w14:textId="407C19A5" w:rsidR="00956ACE" w:rsidRDefault="00B9255B" w:rsidP="00A73F5B">
      <w:pPr>
        <w:pStyle w:val="Tablenotes0"/>
      </w:pPr>
      <w:r w:rsidRPr="00996E36">
        <w:rPr>
          <w:vertAlign w:val="superscript"/>
        </w:rPr>
        <w:t>d</w:t>
      </w:r>
      <w:r w:rsidR="00190692" w:rsidRPr="00190692">
        <w:t xml:space="preserve"> Unplanned surgical revascularisation or major (above ankle) amputation of the target limb, symptomatic thrombus or embolus requiring treatment, and perforations requiring provisional stent placement or other </w:t>
      </w:r>
      <w:proofErr w:type="gramStart"/>
      <w:r w:rsidR="00190692" w:rsidRPr="00190692">
        <w:t>treatment</w:t>
      </w:r>
      <w:r w:rsidR="00347ACE">
        <w:t>;</w:t>
      </w:r>
      <w:proofErr w:type="gramEnd"/>
    </w:p>
    <w:p w14:paraId="0EAC6288" w14:textId="4B394E32" w:rsidR="00B9255B" w:rsidRDefault="00761925" w:rsidP="00A73F5B">
      <w:pPr>
        <w:pStyle w:val="Tablenotes0"/>
      </w:pPr>
      <w:r w:rsidRPr="00996E36">
        <w:rPr>
          <w:vertAlign w:val="superscript"/>
        </w:rPr>
        <w:t>e</w:t>
      </w:r>
      <w:r w:rsidR="00B9255B" w:rsidRPr="00B9255B">
        <w:t xml:space="preserve"> </w:t>
      </w:r>
      <w:r w:rsidR="00A73F5B">
        <w:t>P</w:t>
      </w:r>
      <w:r w:rsidR="00B9255B">
        <w:t>ublished studies of DISRUPT PAD III OS (Adams et al., 2020</w:t>
      </w:r>
      <w:r w:rsidR="00C90312">
        <w:t>;</w:t>
      </w:r>
      <w:r w:rsidR="00B9255B">
        <w:t xml:space="preserve"> Armstrong et al., 2020</w:t>
      </w:r>
      <w:r w:rsidR="00C90312">
        <w:t>;</w:t>
      </w:r>
      <w:r w:rsidR="00B9255B">
        <w:t xml:space="preserve"> and Adams et al., 2021 provided only the subgroup analysis of DISRUPT PAD III OS study.  </w:t>
      </w:r>
    </w:p>
    <w:p w14:paraId="49A6C5B3" w14:textId="77777777" w:rsidR="00B9255B" w:rsidRDefault="00B9255B" w:rsidP="00A73F5B">
      <w:pPr>
        <w:pStyle w:val="Tablenotes0"/>
      </w:pPr>
    </w:p>
    <w:p w14:paraId="30B44B1B" w14:textId="487E7E0C" w:rsidR="00B9255B" w:rsidRPr="00B9255B" w:rsidRDefault="00B9255B" w:rsidP="00134741">
      <w:pPr>
        <w:pStyle w:val="TableFigureFooter"/>
        <w:spacing w:after="0"/>
        <w:sectPr w:rsidR="00B9255B" w:rsidRPr="00B9255B" w:rsidSect="00440511">
          <w:pgSz w:w="16838" w:h="11906" w:orient="landscape"/>
          <w:pgMar w:top="1440" w:right="1440" w:bottom="1440" w:left="1440" w:header="708" w:footer="708" w:gutter="0"/>
          <w:cols w:space="708"/>
          <w:docGrid w:linePitch="360"/>
        </w:sectPr>
      </w:pPr>
    </w:p>
    <w:p w14:paraId="267CB4FB" w14:textId="7D1D1C89" w:rsidR="00494174" w:rsidRPr="00494174" w:rsidRDefault="00494174" w:rsidP="00581E29">
      <w:pPr>
        <w:rPr>
          <w:rFonts w:cs="AdvTTe692faf0"/>
        </w:rPr>
      </w:pPr>
      <w:r w:rsidRPr="00494174">
        <w:rPr>
          <w:rFonts w:cs="AdvTTe692faf0"/>
        </w:rPr>
        <w:lastRenderedPageBreak/>
        <w:t>Patients in the DISRUPT PAD clinical trials were predominantly male</w:t>
      </w:r>
      <w:r w:rsidR="00894F0C">
        <w:rPr>
          <w:rFonts w:cs="AdvTTe692faf0"/>
        </w:rPr>
        <w:t>,</w:t>
      </w:r>
      <w:r w:rsidRPr="00494174">
        <w:rPr>
          <w:rFonts w:cs="AdvTTe692faf0"/>
        </w:rPr>
        <w:t xml:space="preserve"> with a mean age between 72 to 73 years. The </w:t>
      </w:r>
      <w:r w:rsidR="000D66BA" w:rsidRPr="00494174">
        <w:rPr>
          <w:rFonts w:cs="AdvTTe692faf0"/>
        </w:rPr>
        <w:t>Australian</w:t>
      </w:r>
      <w:r w:rsidRPr="00494174">
        <w:rPr>
          <w:rFonts w:cs="AdvTTe692faf0"/>
        </w:rPr>
        <w:t xml:space="preserve"> </w:t>
      </w:r>
      <w:r w:rsidR="00894F0C">
        <w:rPr>
          <w:rFonts w:cs="AdvTTe692faf0"/>
        </w:rPr>
        <w:t>I</w:t>
      </w:r>
      <w:r w:rsidR="00894F0C" w:rsidRPr="00494174">
        <w:rPr>
          <w:rFonts w:cs="AdvTTe692faf0"/>
        </w:rPr>
        <w:t xml:space="preserve">nstitute </w:t>
      </w:r>
      <w:r w:rsidRPr="00494174">
        <w:rPr>
          <w:rFonts w:cs="AdvTTe692faf0"/>
        </w:rPr>
        <w:t xml:space="preserve">of </w:t>
      </w:r>
      <w:r w:rsidR="00894F0C">
        <w:rPr>
          <w:rFonts w:cs="AdvTTe692faf0"/>
        </w:rPr>
        <w:t>Health and Welfare (AIHW) reported a lack of epidemiological data for the</w:t>
      </w:r>
      <w:r w:rsidRPr="00494174">
        <w:rPr>
          <w:rFonts w:cs="AdvTTe692faf0"/>
        </w:rPr>
        <w:t xml:space="preserve"> PAD population. However, i20% prevalence of PAD </w:t>
      </w:r>
      <w:r w:rsidR="00694F36">
        <w:rPr>
          <w:rFonts w:cs="AdvTTe692faf0"/>
        </w:rPr>
        <w:t xml:space="preserve">is estimated </w:t>
      </w:r>
      <w:r w:rsidR="00592008">
        <w:rPr>
          <w:rFonts w:cs="AdvTTe692faf0"/>
        </w:rPr>
        <w:t xml:space="preserve">in the population </w:t>
      </w:r>
      <w:r w:rsidRPr="00494174">
        <w:rPr>
          <w:rFonts w:cs="AdvTTe692faf0"/>
        </w:rPr>
        <w:t xml:space="preserve">over 75 years of age. </w:t>
      </w:r>
      <w:r w:rsidR="000D66BA">
        <w:rPr>
          <w:rFonts w:cs="AdvTTe692faf0"/>
        </w:rPr>
        <w:t xml:space="preserve">According to the </w:t>
      </w:r>
      <w:r>
        <w:rPr>
          <w:rFonts w:cs="AdvTTe692faf0"/>
        </w:rPr>
        <w:t>AIHW</w:t>
      </w:r>
      <w:r w:rsidR="000D66BA">
        <w:rPr>
          <w:rFonts w:cs="AdvTTe692faf0"/>
        </w:rPr>
        <w:t>,</w:t>
      </w:r>
      <w:r>
        <w:rPr>
          <w:rFonts w:cs="AdvTTe692faf0"/>
        </w:rPr>
        <w:t xml:space="preserve"> </w:t>
      </w:r>
      <w:r w:rsidR="00032F48">
        <w:rPr>
          <w:rFonts w:cs="AdvTTe692faf0"/>
        </w:rPr>
        <w:t>PAD</w:t>
      </w:r>
      <w:r w:rsidR="00036B27">
        <w:rPr>
          <w:rFonts w:cs="AdvTTe692faf0"/>
        </w:rPr>
        <w:t>-</w:t>
      </w:r>
      <w:r w:rsidR="00032F48">
        <w:rPr>
          <w:rFonts w:cs="AdvTTe692faf0"/>
        </w:rPr>
        <w:t xml:space="preserve">related </w:t>
      </w:r>
      <w:r w:rsidRPr="00494174">
        <w:rPr>
          <w:rFonts w:cs="AdvTTe692faf0"/>
        </w:rPr>
        <w:t xml:space="preserve">hospitalisations </w:t>
      </w:r>
      <w:r w:rsidR="000D66BA">
        <w:rPr>
          <w:rFonts w:cs="AdvTTe692faf0"/>
        </w:rPr>
        <w:t>w</w:t>
      </w:r>
      <w:r w:rsidR="00894F0C">
        <w:rPr>
          <w:rFonts w:cs="AdvTTe692faf0"/>
        </w:rPr>
        <w:t>ere twice as high for males as</w:t>
      </w:r>
      <w:r w:rsidR="000D66BA" w:rsidRPr="00494174">
        <w:rPr>
          <w:rFonts w:cs="AdvTTe692faf0"/>
        </w:rPr>
        <w:t xml:space="preserve"> </w:t>
      </w:r>
      <w:r w:rsidRPr="00494174">
        <w:rPr>
          <w:rFonts w:cs="AdvTTe692faf0"/>
        </w:rPr>
        <w:t>females in 2020–21.</w:t>
      </w:r>
      <w:r w:rsidR="00482BE5">
        <w:rPr>
          <w:rStyle w:val="FootnoteReference"/>
          <w:rFonts w:cs="AdvTTe692faf0"/>
        </w:rPr>
        <w:footnoteReference w:id="4"/>
      </w:r>
    </w:p>
    <w:p w14:paraId="7DB70D27" w14:textId="208903BD" w:rsidR="00894F0C" w:rsidRDefault="00C9406E" w:rsidP="00581E29">
      <w:r w:rsidRPr="00996E36">
        <w:t>The commentary identi</w:t>
      </w:r>
      <w:r w:rsidR="00EB6499" w:rsidRPr="00996E36">
        <w:t>f</w:t>
      </w:r>
      <w:r w:rsidR="00036B27">
        <w:t>i</w:t>
      </w:r>
      <w:r w:rsidRPr="00996E36">
        <w:t>ed</w:t>
      </w:r>
      <w:r w:rsidR="00894F0C" w:rsidRPr="00996E36">
        <w:t xml:space="preserve"> differences between the trial population and the</w:t>
      </w:r>
      <w:r w:rsidR="00051FF9" w:rsidRPr="00051FF9">
        <w:t xml:space="preserve"> Australian patient population with PAD and/or other vascular diseases</w:t>
      </w:r>
      <w:r w:rsidR="00894F0C" w:rsidRPr="00996E36">
        <w:t xml:space="preserve">. For instance, diabetes, </w:t>
      </w:r>
      <w:proofErr w:type="gramStart"/>
      <w:r w:rsidR="00894F0C" w:rsidRPr="00996E36">
        <w:t>hypertension</w:t>
      </w:r>
      <w:proofErr w:type="gramEnd"/>
      <w:r w:rsidR="00894F0C" w:rsidRPr="00996E36">
        <w:t xml:space="preserve"> and current smokers were reported in 44.8%, 94.4% and 24.2% in the DISRUPT PAD III RC</w:t>
      </w:r>
      <w:r w:rsidR="00BC20AE" w:rsidRPr="00996E36">
        <w:t>T</w:t>
      </w:r>
      <w:r w:rsidR="00894F0C" w:rsidRPr="00996E36">
        <w:t xml:space="preserve"> compared to 16.3%, 52.7% and 22.80% in </w:t>
      </w:r>
      <w:r w:rsidR="00836041">
        <w:t xml:space="preserve">Australians with </w:t>
      </w:r>
      <w:r w:rsidR="00836041" w:rsidRPr="004D0849">
        <w:t>cardiac, stroke, or vascular diseases</w:t>
      </w:r>
      <w:r w:rsidR="00894F0C" w:rsidRPr="00996E36">
        <w:t xml:space="preserve"> based on AIHW data.</w:t>
      </w:r>
      <w:r w:rsidR="00F27920" w:rsidRPr="00996E36">
        <w:t xml:space="preserve"> A study conducted among men aged 65-83 </w:t>
      </w:r>
      <w:r w:rsidR="005F1FA3">
        <w:t xml:space="preserve">years </w:t>
      </w:r>
      <w:r w:rsidR="00F27920" w:rsidRPr="00996E36">
        <w:t>with PAD living in Perth reported 16.4%</w:t>
      </w:r>
      <w:r w:rsidR="00480964">
        <w:t xml:space="preserve"> diabetes</w:t>
      </w:r>
      <w:r w:rsidR="00F27920" w:rsidRPr="00996E36">
        <w:t>, 50.5%</w:t>
      </w:r>
      <w:r w:rsidR="00480964">
        <w:t xml:space="preserve"> hypertension</w:t>
      </w:r>
      <w:r w:rsidR="00F27920" w:rsidRPr="00996E36">
        <w:t xml:space="preserve"> and </w:t>
      </w:r>
      <w:r w:rsidR="00480964" w:rsidRPr="00E62AEA">
        <w:t xml:space="preserve">18.4% </w:t>
      </w:r>
      <w:r w:rsidR="00F27920" w:rsidRPr="00996E36">
        <w:t>current smokers</w:t>
      </w:r>
      <w:r w:rsidR="00F27920">
        <w:t xml:space="preserve"> </w:t>
      </w:r>
      <w:r w:rsidR="00F27920" w:rsidRPr="00996E36">
        <w:t>in the study population.</w:t>
      </w:r>
      <w:r w:rsidR="00F27920" w:rsidRPr="00996E36">
        <w:rPr>
          <w:rStyle w:val="FootnoteReference"/>
        </w:rPr>
        <w:footnoteReference w:id="5"/>
      </w:r>
      <w:r w:rsidR="00F27920" w:rsidRPr="00996E36">
        <w:t xml:space="preserve"> A study conducted in Townsville </w:t>
      </w:r>
      <w:r w:rsidR="00347ACE" w:rsidRPr="00996E36">
        <w:t>reported</w:t>
      </w:r>
      <w:r w:rsidR="00F27920" w:rsidRPr="00996E36">
        <w:t xml:space="preserve"> 43.8%, 93.8%</w:t>
      </w:r>
      <w:r w:rsidR="00036B27">
        <w:t>,</w:t>
      </w:r>
      <w:r w:rsidR="00F27920" w:rsidRPr="00996E36">
        <w:t xml:space="preserve"> </w:t>
      </w:r>
      <w:r w:rsidR="00ED2C4A" w:rsidRPr="00996E36">
        <w:t xml:space="preserve">and 56.3% diabetes, </w:t>
      </w:r>
      <w:proofErr w:type="gramStart"/>
      <w:r w:rsidR="00ED2C4A" w:rsidRPr="00996E36">
        <w:t>hypertension</w:t>
      </w:r>
      <w:proofErr w:type="gramEnd"/>
      <w:r w:rsidR="00ED2C4A" w:rsidRPr="00996E36">
        <w:t xml:space="preserve"> and</w:t>
      </w:r>
      <w:r w:rsidR="00ED2C4A">
        <w:t xml:space="preserve"> </w:t>
      </w:r>
      <w:r w:rsidR="00ED2C4A" w:rsidRPr="00996E36">
        <w:t>current smokers</w:t>
      </w:r>
      <w:r w:rsidR="00036B27">
        <w:t>,</w:t>
      </w:r>
      <w:r w:rsidR="00ED2C4A">
        <w:t xml:space="preserve"> </w:t>
      </w:r>
      <w:r w:rsidR="005A47BA">
        <w:t>respectively</w:t>
      </w:r>
      <w:r w:rsidR="00036B27">
        <w:t>,</w:t>
      </w:r>
      <w:r w:rsidR="00ED2C4A" w:rsidRPr="00996E36">
        <w:t xml:space="preserve"> among </w:t>
      </w:r>
      <w:r w:rsidR="00363706">
        <w:t>I</w:t>
      </w:r>
      <w:r w:rsidR="00347ACE" w:rsidRPr="00996E36">
        <w:t>ndigenous</w:t>
      </w:r>
      <w:r w:rsidR="00ED2C4A" w:rsidRPr="00996E36">
        <w:t xml:space="preserve"> </w:t>
      </w:r>
      <w:r w:rsidR="00363706">
        <w:t xml:space="preserve">patients with PAD </w:t>
      </w:r>
      <w:r w:rsidR="00ED2C4A" w:rsidRPr="00996E36">
        <w:t xml:space="preserve">compared to 26.8%, 75.3% and 31.4% among </w:t>
      </w:r>
      <w:r w:rsidR="005A47BA">
        <w:t xml:space="preserve">the </w:t>
      </w:r>
      <w:r w:rsidR="00ED2C4A" w:rsidRPr="00996E36">
        <w:t>non-</w:t>
      </w:r>
      <w:r w:rsidR="005A47BA">
        <w:t>I</w:t>
      </w:r>
      <w:r w:rsidR="00347ACE" w:rsidRPr="00996E36">
        <w:t>ndigenous</w:t>
      </w:r>
      <w:r w:rsidR="003D0DFA">
        <w:t xml:space="preserve"> patients with PAD</w:t>
      </w:r>
      <w:r w:rsidR="00ED2C4A" w:rsidRPr="00996E36">
        <w:t>.</w:t>
      </w:r>
      <w:r w:rsidR="00ED2C4A" w:rsidRPr="00996E36">
        <w:rPr>
          <w:rStyle w:val="FootnoteReference"/>
        </w:rPr>
        <w:footnoteReference w:id="6"/>
      </w:r>
    </w:p>
    <w:p w14:paraId="19DA7891" w14:textId="3944272C" w:rsidR="00E74732" w:rsidRPr="00996E36" w:rsidRDefault="00494174" w:rsidP="00581E29">
      <w:pPr>
        <w:rPr>
          <w:rFonts w:cs="AdvTTe692faf0"/>
        </w:rPr>
      </w:pPr>
      <w:r w:rsidRPr="00996E36">
        <w:rPr>
          <w:rFonts w:cs="AdvTTe692faf0"/>
        </w:rPr>
        <w:t xml:space="preserve">Furthermore, the </w:t>
      </w:r>
      <w:r w:rsidR="00C9406E" w:rsidRPr="00996E36">
        <w:rPr>
          <w:rFonts w:cs="AdvTTe692faf0"/>
        </w:rPr>
        <w:t xml:space="preserve">commentary noted that the </w:t>
      </w:r>
      <w:r w:rsidRPr="00996E36">
        <w:rPr>
          <w:rFonts w:cs="AdvTTe692faf0"/>
        </w:rPr>
        <w:t xml:space="preserve">DISRUPT PAD studies included patients based on </w:t>
      </w:r>
      <w:r w:rsidR="00894F0C" w:rsidRPr="00996E36">
        <w:rPr>
          <w:rFonts w:cs="AdvTTe692faf0"/>
        </w:rPr>
        <w:t xml:space="preserve">the </w:t>
      </w:r>
      <w:r w:rsidRPr="00996E36">
        <w:rPr>
          <w:rFonts w:cs="AdvTTe692faf0"/>
        </w:rPr>
        <w:t xml:space="preserve">Rutherford classification. However, </w:t>
      </w:r>
      <w:r w:rsidR="00894F0C" w:rsidRPr="00996E36">
        <w:rPr>
          <w:rFonts w:cs="AdvTTe692faf0"/>
        </w:rPr>
        <w:t xml:space="preserve">the </w:t>
      </w:r>
      <w:r w:rsidRPr="00996E36">
        <w:rPr>
          <w:rFonts w:cs="AdvTTe692faf0"/>
        </w:rPr>
        <w:t>Rutherford classification system is not currently used in clinical practice to define patient eligibility for endovascular procedures.</w:t>
      </w:r>
      <w:r w:rsidR="00C9406E" w:rsidRPr="00996E36">
        <w:rPr>
          <w:rFonts w:cs="AdvTTe692faf0"/>
        </w:rPr>
        <w:t xml:space="preserve"> </w:t>
      </w:r>
      <w:r w:rsidRPr="00996E36">
        <w:rPr>
          <w:rFonts w:cs="AdvTTe692faf0"/>
        </w:rPr>
        <w:t xml:space="preserve">Hence, </w:t>
      </w:r>
      <w:r w:rsidR="00894F0C" w:rsidRPr="00996E36">
        <w:rPr>
          <w:rFonts w:cs="AdvTTe692faf0"/>
        </w:rPr>
        <w:t xml:space="preserve">the </w:t>
      </w:r>
      <w:r w:rsidR="00FB774F" w:rsidRPr="00996E36">
        <w:rPr>
          <w:rFonts w:cs="AdvTTe692faf0"/>
        </w:rPr>
        <w:t>Australian</w:t>
      </w:r>
      <w:r w:rsidRPr="00996E36">
        <w:rPr>
          <w:rFonts w:cs="AdvTTe692faf0"/>
        </w:rPr>
        <w:t xml:space="preserve"> clinical setting could </w:t>
      </w:r>
      <w:r w:rsidR="00482BE5" w:rsidRPr="00996E36">
        <w:rPr>
          <w:rFonts w:cs="AdvTTe692faf0"/>
        </w:rPr>
        <w:t>differ</w:t>
      </w:r>
      <w:r w:rsidRPr="00996E36">
        <w:rPr>
          <w:rFonts w:cs="AdvTTe692faf0"/>
        </w:rPr>
        <w:t xml:space="preserve"> </w:t>
      </w:r>
      <w:r w:rsidR="00894F0C" w:rsidRPr="00996E36">
        <w:rPr>
          <w:rFonts w:cs="AdvTTe692faf0"/>
        </w:rPr>
        <w:t xml:space="preserve">from </w:t>
      </w:r>
      <w:r w:rsidRPr="00996E36">
        <w:rPr>
          <w:rFonts w:cs="AdvTTe692faf0"/>
        </w:rPr>
        <w:t>the included patient population in the DISRUPT PAD trials</w:t>
      </w:r>
      <w:r w:rsidR="00482BE5" w:rsidRPr="00996E36">
        <w:rPr>
          <w:rFonts w:cs="AdvTTe692faf0"/>
        </w:rPr>
        <w:t xml:space="preserve">. Therefore, </w:t>
      </w:r>
      <w:r w:rsidR="00894F0C" w:rsidRPr="00996E36">
        <w:rPr>
          <w:rFonts w:cs="AdvTTe692faf0"/>
        </w:rPr>
        <w:t xml:space="preserve">the </w:t>
      </w:r>
      <w:r w:rsidRPr="00996E36">
        <w:rPr>
          <w:rFonts w:cs="AdvTTe692faf0"/>
        </w:rPr>
        <w:t>applicability of the trial population to the Australi</w:t>
      </w:r>
      <w:r w:rsidR="00894F0C" w:rsidRPr="00996E36">
        <w:rPr>
          <w:rFonts w:cs="AdvTTe692faf0"/>
        </w:rPr>
        <w:t>a</w:t>
      </w:r>
      <w:r w:rsidRPr="00996E36">
        <w:rPr>
          <w:rFonts w:cs="AdvTTe692faf0"/>
        </w:rPr>
        <w:t>n clinical setting is uncertain</w:t>
      </w:r>
      <w:r w:rsidR="00971E34">
        <w:rPr>
          <w:rFonts w:cs="AdvTTe692faf0"/>
        </w:rPr>
        <w:t xml:space="preserve"> however,</w:t>
      </w:r>
      <w:r w:rsidR="00E86E2E">
        <w:rPr>
          <w:rFonts w:cs="AdvTTe692faf0"/>
        </w:rPr>
        <w:t xml:space="preserve"> PASC</w:t>
      </w:r>
      <w:r w:rsidR="002476A2">
        <w:rPr>
          <w:rFonts w:cs="AdvTTe692faf0"/>
        </w:rPr>
        <w:t xml:space="preserve"> </w:t>
      </w:r>
      <w:r w:rsidR="00E74732" w:rsidRPr="00E74732">
        <w:rPr>
          <w:rFonts w:cs="AdvTTe692faf0"/>
        </w:rPr>
        <w:t>noted that though it may not be appropriate to specify a Rutherford class in the item descriptor, it may be reasonable to include it as a criterion in the ADAR.</w:t>
      </w:r>
      <w:r w:rsidR="00036B27">
        <w:rPr>
          <w:rFonts w:cs="AdvTTe692faf0"/>
        </w:rPr>
        <w:t xml:space="preserve"> </w:t>
      </w:r>
      <w:r w:rsidR="00E74732" w:rsidRPr="00E74732">
        <w:rPr>
          <w:rFonts w:cs="AdvTTe692faf0"/>
        </w:rPr>
        <w:t>Several studies have included the Rutherford classification system in their inclusion criteria for participants</w:t>
      </w:r>
      <w:r w:rsidR="00036B27">
        <w:rPr>
          <w:rFonts w:cs="AdvTTe692faf0"/>
        </w:rPr>
        <w:t>,</w:t>
      </w:r>
      <w:r w:rsidR="00E74732" w:rsidRPr="00E74732">
        <w:rPr>
          <w:rFonts w:cs="AdvTTe692faf0"/>
        </w:rPr>
        <w:t xml:space="preserve"> including the pivotal trial </w:t>
      </w:r>
      <w:r w:rsidR="00E74732">
        <w:rPr>
          <w:rFonts w:cs="AdvTTe692faf0"/>
        </w:rPr>
        <w:t>DISRUPT PAD III</w:t>
      </w:r>
      <w:r w:rsidR="00D77DB5">
        <w:rPr>
          <w:rStyle w:val="FootnoteReference"/>
          <w:rFonts w:cs="AdvTTe692faf0"/>
        </w:rPr>
        <w:footnoteReference w:id="7"/>
      </w:r>
      <w:r w:rsidR="00E74732">
        <w:rPr>
          <w:rFonts w:cs="AdvTTe692faf0"/>
        </w:rPr>
        <w:t xml:space="preserve"> </w:t>
      </w:r>
      <w:r w:rsidR="00E74732" w:rsidRPr="00E74732">
        <w:rPr>
          <w:rFonts w:cs="AdvTTe692faf0"/>
        </w:rPr>
        <w:t>and a recent trial</w:t>
      </w:r>
      <w:r w:rsidR="00D77DB5">
        <w:rPr>
          <w:rFonts w:cs="AdvTTe692faf0"/>
        </w:rPr>
        <w:t>.</w:t>
      </w:r>
      <w:r w:rsidR="00D77DB5">
        <w:rPr>
          <w:rStyle w:val="FootnoteReference"/>
          <w:rFonts w:cs="AdvTTe692faf0"/>
        </w:rPr>
        <w:footnoteReference w:id="8"/>
      </w:r>
      <w:r w:rsidR="00E74732" w:rsidRPr="00E74732">
        <w:rPr>
          <w:rFonts w:cs="AdvTTe692faf0"/>
        </w:rPr>
        <w:t xml:space="preserve"> </w:t>
      </w:r>
    </w:p>
    <w:p w14:paraId="25BB28C7" w14:textId="5C9D18E1" w:rsidR="00894F0C" w:rsidRPr="00C9406E" w:rsidRDefault="00494174" w:rsidP="00581E29">
      <w:pPr>
        <w:rPr>
          <w:bCs/>
          <w:i/>
          <w:iCs/>
        </w:rPr>
      </w:pPr>
      <w:r>
        <w:t>The ADAR was mainly based on the DISRUPT PAD III RCT</w:t>
      </w:r>
      <w:r w:rsidR="002803B8">
        <w:t>, which provided evidence for PICO set 2</w:t>
      </w:r>
      <w:r>
        <w:t xml:space="preserve">. </w:t>
      </w:r>
      <w:r w:rsidR="002C6F40">
        <w:t>The risk of bias for the DISRUPT PAD III RCT was assessed using the Cochrane Risk of Bias tool v2.0. The risk of bias analysis revealed that this study has some concern</w:t>
      </w:r>
      <w:r w:rsidR="00C90312">
        <w:t>s,</w:t>
      </w:r>
      <w:r w:rsidR="002C6F40">
        <w:t xml:space="preserve"> particularly the bias due to missing data</w:t>
      </w:r>
      <w:r>
        <w:t xml:space="preserve"> and single blinding</w:t>
      </w:r>
      <w:r w:rsidR="002C6F40">
        <w:t xml:space="preserve">. </w:t>
      </w:r>
      <w:r w:rsidR="002C6F40">
        <w:rPr>
          <w:bCs/>
        </w:rPr>
        <w:t>At 24 months, almost 20% of patient data was missing from the analysis due to death (28%), withdrawal (49%) and loss to follow</w:t>
      </w:r>
      <w:r w:rsidR="00C90312">
        <w:rPr>
          <w:bCs/>
        </w:rPr>
        <w:t>-</w:t>
      </w:r>
      <w:r w:rsidR="002C6F40">
        <w:rPr>
          <w:bCs/>
        </w:rPr>
        <w:t xml:space="preserve">up (22%). </w:t>
      </w:r>
      <w:r w:rsidR="002C6F40" w:rsidRPr="00996E36">
        <w:t xml:space="preserve">However, the </w:t>
      </w:r>
      <w:r w:rsidR="00C9406E" w:rsidRPr="00996E36">
        <w:t xml:space="preserve">commentary acknowledges that the </w:t>
      </w:r>
      <w:r w:rsidR="002C6F40" w:rsidRPr="00996E36">
        <w:t>missing data were balanced between the two treatment arms and is not considered likely to be due to the intervention.</w:t>
      </w:r>
      <w:r w:rsidR="00894F0C" w:rsidRPr="00996E36">
        <w:rPr>
          <w:rStyle w:val="CommentReference"/>
          <w:rFonts w:ascii="Calibri" w:eastAsia="Times New Roman" w:hAnsi="Calibri" w:cs="Times New Roman"/>
          <w:color w:val="000000"/>
          <w:lang w:eastAsia="en-AU"/>
        </w:rPr>
        <w:t xml:space="preserve"> </w:t>
      </w:r>
      <w:r w:rsidR="00894F0C" w:rsidRPr="00996E36">
        <w:t xml:space="preserve">The </w:t>
      </w:r>
      <w:r w:rsidR="00C9406E" w:rsidRPr="00996E36">
        <w:t>commentary noted</w:t>
      </w:r>
      <w:r w:rsidR="009F1561">
        <w:t xml:space="preserve"> </w:t>
      </w:r>
      <w:r w:rsidR="00C9406E" w:rsidRPr="00996E36">
        <w:t xml:space="preserve">that the </w:t>
      </w:r>
      <w:r w:rsidR="00894F0C" w:rsidRPr="00996E36">
        <w:t>follow-up duration of this study was short, and outcomes were mainly procedure-based rather than patient-relevant outcomes.</w:t>
      </w:r>
      <w:r w:rsidR="00894F0C" w:rsidRPr="00C9406E">
        <w:rPr>
          <w:bCs/>
          <w:i/>
          <w:iCs/>
        </w:rPr>
        <w:t xml:space="preserve"> </w:t>
      </w:r>
    </w:p>
    <w:p w14:paraId="3B9FC2AD" w14:textId="32383F0F" w:rsidR="00772829" w:rsidRPr="00CE28E3" w:rsidRDefault="00C73462" w:rsidP="002A18BE">
      <w:pPr>
        <w:pStyle w:val="Heading2"/>
        <w:numPr>
          <w:ilvl w:val="0"/>
          <w:numId w:val="0"/>
        </w:numPr>
      </w:pPr>
      <w:bookmarkStart w:id="20" w:name="ColumnTitle_Table4"/>
      <w:bookmarkStart w:id="21" w:name="_Toc69491423"/>
      <w:bookmarkEnd w:id="19"/>
      <w:bookmarkEnd w:id="20"/>
      <w:r>
        <w:lastRenderedPageBreak/>
        <w:t>11</w:t>
      </w:r>
      <w:r w:rsidR="00C36633">
        <w:t>.</w:t>
      </w:r>
      <w:r w:rsidR="00C36633">
        <w:tab/>
      </w:r>
      <w:r w:rsidR="00772829" w:rsidRPr="00CE28E3">
        <w:t>Comparative safety</w:t>
      </w:r>
      <w:bookmarkEnd w:id="21"/>
    </w:p>
    <w:p w14:paraId="4DBA258E" w14:textId="2107E653" w:rsidR="00BA76A1" w:rsidRDefault="001724DE" w:rsidP="00581E29">
      <w:bookmarkStart w:id="22" w:name="_Hlk141445593"/>
      <w:r>
        <w:t xml:space="preserve">The </w:t>
      </w:r>
      <w:r w:rsidR="00BA76A1">
        <w:t xml:space="preserve">ADAR provided </w:t>
      </w:r>
      <w:r w:rsidR="00C90312">
        <w:t>evidence of</w:t>
      </w:r>
      <w:r w:rsidR="00BA76A1">
        <w:t xml:space="preserve"> safety outcomes based on </w:t>
      </w:r>
      <w:r w:rsidR="0012321A">
        <w:t xml:space="preserve">one </w:t>
      </w:r>
      <w:r w:rsidR="00BA76A1">
        <w:t xml:space="preserve">RCT and </w:t>
      </w:r>
      <w:r w:rsidR="0012321A">
        <w:t xml:space="preserve">four </w:t>
      </w:r>
      <w:r w:rsidR="00BA76A1">
        <w:t>single</w:t>
      </w:r>
      <w:r w:rsidR="00C90312">
        <w:t>-</w:t>
      </w:r>
      <w:r w:rsidR="00BA76A1">
        <w:t>arm clinical trial</w:t>
      </w:r>
      <w:r w:rsidR="0012321A">
        <w:t>s.</w:t>
      </w:r>
      <w:r w:rsidR="00282813">
        <w:t xml:space="preserve"> The main safety outcomes presented in the ADAR w</w:t>
      </w:r>
      <w:r w:rsidR="001109CD">
        <w:t>ere</w:t>
      </w:r>
      <w:r w:rsidR="00BC20AE">
        <w:t>:</w:t>
      </w:r>
    </w:p>
    <w:p w14:paraId="2DE71020" w14:textId="77777777" w:rsidR="00282813" w:rsidRPr="0041741C" w:rsidRDefault="00282813" w:rsidP="00581E29">
      <w:pPr>
        <w:pStyle w:val="ListParagraph"/>
        <w:numPr>
          <w:ilvl w:val="0"/>
          <w:numId w:val="14"/>
        </w:numPr>
      </w:pPr>
      <w:r>
        <w:t>U</w:t>
      </w:r>
      <w:r w:rsidRPr="0041741C">
        <w:t>nplanned surgical revascularisation of the target limb</w:t>
      </w:r>
    </w:p>
    <w:p w14:paraId="1462759E" w14:textId="77777777" w:rsidR="00282813" w:rsidRPr="0041741C" w:rsidRDefault="00282813" w:rsidP="00581E29">
      <w:pPr>
        <w:pStyle w:val="ListParagraph"/>
        <w:numPr>
          <w:ilvl w:val="0"/>
          <w:numId w:val="14"/>
        </w:numPr>
      </w:pPr>
      <w:r>
        <w:t>M</w:t>
      </w:r>
      <w:r w:rsidRPr="0041741C">
        <w:t>ajor (above ankle) amputation of the target limb</w:t>
      </w:r>
    </w:p>
    <w:p w14:paraId="2046E7A5" w14:textId="77777777" w:rsidR="00282813" w:rsidRPr="0041741C" w:rsidRDefault="00282813" w:rsidP="00581E29">
      <w:pPr>
        <w:pStyle w:val="ListParagraph"/>
        <w:numPr>
          <w:ilvl w:val="0"/>
          <w:numId w:val="14"/>
        </w:numPr>
      </w:pPr>
      <w:r>
        <w:t>S</w:t>
      </w:r>
      <w:r w:rsidRPr="0041741C">
        <w:t xml:space="preserve">ymptomatic thrombus or embolus requiring </w:t>
      </w:r>
      <w:proofErr w:type="gramStart"/>
      <w:r w:rsidRPr="0041741C">
        <w:t>treatment</w:t>
      </w:r>
      <w:proofErr w:type="gramEnd"/>
    </w:p>
    <w:p w14:paraId="5B317616" w14:textId="77777777" w:rsidR="00282813" w:rsidRPr="0041741C" w:rsidRDefault="00282813" w:rsidP="00581E29">
      <w:pPr>
        <w:pStyle w:val="ListParagraph"/>
        <w:numPr>
          <w:ilvl w:val="0"/>
          <w:numId w:val="14"/>
        </w:numPr>
      </w:pPr>
      <w:r>
        <w:t>P</w:t>
      </w:r>
      <w:r w:rsidRPr="0041741C">
        <w:t xml:space="preserve">erforations requiring provisional stent placement or other </w:t>
      </w:r>
      <w:proofErr w:type="gramStart"/>
      <w:r w:rsidRPr="0041741C">
        <w:t>treatment</w:t>
      </w:r>
      <w:proofErr w:type="gramEnd"/>
    </w:p>
    <w:p w14:paraId="0C0B707D" w14:textId="386055E0" w:rsidR="00282813" w:rsidRDefault="00282813" w:rsidP="00581E29">
      <w:pPr>
        <w:pStyle w:val="ListParagraph"/>
        <w:numPr>
          <w:ilvl w:val="0"/>
          <w:numId w:val="14"/>
        </w:numPr>
      </w:pPr>
      <w:r>
        <w:t>M</w:t>
      </w:r>
      <w:r w:rsidRPr="0041741C">
        <w:t>ortality</w:t>
      </w:r>
    </w:p>
    <w:p w14:paraId="2C34CBC8" w14:textId="65A6A325" w:rsidR="001109CD" w:rsidRPr="001109CD" w:rsidRDefault="001109CD" w:rsidP="00581E29">
      <w:r w:rsidRPr="001109CD">
        <w:t xml:space="preserve">These safety outcomes are presented as single or composite </w:t>
      </w:r>
      <w:r w:rsidR="00C90312">
        <w:t xml:space="preserve">outcome </w:t>
      </w:r>
      <w:r w:rsidRPr="001109CD">
        <w:t>measures (e.g., Major adverse events).</w:t>
      </w:r>
    </w:p>
    <w:p w14:paraId="723A604E" w14:textId="3F5F9CAB" w:rsidR="00BA76A1" w:rsidRPr="00BA76A1" w:rsidRDefault="00BA76A1" w:rsidP="00581E29">
      <w:pPr>
        <w:rPr>
          <w:b/>
          <w:bCs/>
        </w:rPr>
      </w:pPr>
      <w:r w:rsidRPr="00BA76A1">
        <w:rPr>
          <w:b/>
          <w:bCs/>
        </w:rPr>
        <w:t>Evidence</w:t>
      </w:r>
      <w:r w:rsidR="00C90312">
        <w:rPr>
          <w:b/>
          <w:bCs/>
        </w:rPr>
        <w:t xml:space="preserve"> </w:t>
      </w:r>
      <w:r w:rsidRPr="00BA76A1">
        <w:rPr>
          <w:b/>
          <w:bCs/>
        </w:rPr>
        <w:t xml:space="preserve">based on direct </w:t>
      </w:r>
      <w:proofErr w:type="gramStart"/>
      <w:r w:rsidRPr="00BA76A1">
        <w:rPr>
          <w:b/>
          <w:bCs/>
        </w:rPr>
        <w:t>RCT</w:t>
      </w:r>
      <w:proofErr w:type="gramEnd"/>
    </w:p>
    <w:p w14:paraId="15483534" w14:textId="14AE8559" w:rsidR="00D20D91" w:rsidRDefault="00761925" w:rsidP="00581E29">
      <w:r w:rsidRPr="00761925">
        <w:t xml:space="preserve">Table </w:t>
      </w:r>
      <w:r w:rsidR="00EB6499">
        <w:t>3</w:t>
      </w:r>
      <w:r w:rsidR="00EB6499" w:rsidRPr="00761925">
        <w:t xml:space="preserve"> </w:t>
      </w:r>
      <w:r w:rsidRPr="00761925">
        <w:t>summarise</w:t>
      </w:r>
      <w:r w:rsidR="00C90312">
        <w:t>s</w:t>
      </w:r>
      <w:r w:rsidRPr="00761925">
        <w:t xml:space="preserve"> the main safety results based on the DISRUPT PAD III RCT for the proposed technology and the main comparator</w:t>
      </w:r>
      <w:r w:rsidR="00282813">
        <w:t xml:space="preserve"> relevant </w:t>
      </w:r>
      <w:r w:rsidR="00C90312">
        <w:t>to</w:t>
      </w:r>
      <w:r w:rsidR="00282813">
        <w:t xml:space="preserve"> the PICO set 2</w:t>
      </w:r>
      <w:r w:rsidRPr="00761925">
        <w:t>.</w:t>
      </w:r>
    </w:p>
    <w:bookmarkEnd w:id="22"/>
    <w:p w14:paraId="6750782B" w14:textId="3359B252" w:rsidR="00761925" w:rsidRPr="00761925" w:rsidRDefault="00761925" w:rsidP="00581E29">
      <w:r>
        <w:t>In DISRUPT PAD III RCT</w:t>
      </w:r>
      <w:r w:rsidR="00C90312">
        <w:t>,</w:t>
      </w:r>
      <w:r>
        <w:t xml:space="preserve"> major adverse events (MAE</w:t>
      </w:r>
      <w:r w:rsidR="00C57EC1">
        <w:t>s</w:t>
      </w:r>
      <w:r>
        <w:t>) w</w:t>
      </w:r>
      <w:r w:rsidR="00C90312">
        <w:t>ere</w:t>
      </w:r>
      <w:r>
        <w:t xml:space="preserve"> defined as </w:t>
      </w:r>
      <w:r w:rsidRPr="00761925">
        <w:t>need for emergency surgical revasculari</w:t>
      </w:r>
      <w:r w:rsidR="00C90312">
        <w:t>s</w:t>
      </w:r>
      <w:r w:rsidRPr="00761925">
        <w:t xml:space="preserve">ation of target limb, unplanned target limb major amputation (above the ankle), symptomatic thrombus or distal emboli </w:t>
      </w:r>
      <w:r w:rsidR="00282813">
        <w:t>(</w:t>
      </w:r>
      <w:r w:rsidRPr="00761925">
        <w:t>that require surgical, mechanical, or pharmacologic means to improve flow and extend hospitali</w:t>
      </w:r>
      <w:r w:rsidR="00C90312">
        <w:t>s</w:t>
      </w:r>
      <w:r w:rsidRPr="00761925">
        <w:t>ation</w:t>
      </w:r>
      <w:r w:rsidR="00282813">
        <w:t>)</w:t>
      </w:r>
      <w:r>
        <w:t xml:space="preserve"> and</w:t>
      </w:r>
      <w:r w:rsidRPr="00761925">
        <w:t xml:space="preserve"> perforations that require an intervention, including bail-out stenting. </w:t>
      </w:r>
    </w:p>
    <w:p w14:paraId="6B40F6FF" w14:textId="20A7A246" w:rsidR="00753234" w:rsidRPr="00B26AAE" w:rsidRDefault="00753234" w:rsidP="00D20D91">
      <w:pPr>
        <w:pStyle w:val="TableHeading0"/>
      </w:pPr>
      <w:r w:rsidRPr="00B26AAE">
        <w:t xml:space="preserve">Table </w:t>
      </w:r>
      <w:r w:rsidR="00340D39">
        <w:fldChar w:fldCharType="begin"/>
      </w:r>
      <w:r w:rsidR="00340D39">
        <w:instrText xml:space="preserve"> SEQ Table \* ARABIC </w:instrText>
      </w:r>
      <w:r w:rsidR="00340D39">
        <w:fldChar w:fldCharType="separate"/>
      </w:r>
      <w:r w:rsidR="009A5224">
        <w:rPr>
          <w:noProof/>
        </w:rPr>
        <w:t>3</w:t>
      </w:r>
      <w:r w:rsidR="00340D39">
        <w:rPr>
          <w:noProof/>
        </w:rPr>
        <w:fldChar w:fldCharType="end"/>
      </w:r>
      <w:r w:rsidRPr="00B26AAE">
        <w:t xml:space="preserve">: Summary of safety results from direct, randomised comparative evidence </w:t>
      </w:r>
      <w:proofErr w:type="gramStart"/>
      <w:r w:rsidRPr="00B26AAE">
        <w:t>base</w:t>
      </w:r>
      <w:proofErr w:type="gramEnd"/>
    </w:p>
    <w:tbl>
      <w:tblPr>
        <w:tblStyle w:val="MSAC"/>
        <w:tblW w:w="0" w:type="auto"/>
        <w:tblLook w:val="04A0" w:firstRow="1" w:lastRow="0" w:firstColumn="1" w:lastColumn="0" w:noHBand="0" w:noVBand="1"/>
        <w:tblCaption w:val="Summary of safety results from direct, randomised comparative evidence base "/>
        <w:tblDescription w:val="Table outlines the summary of safety results from direct, randomised comparative evidence base "/>
      </w:tblPr>
      <w:tblGrid>
        <w:gridCol w:w="3256"/>
        <w:gridCol w:w="1701"/>
        <w:gridCol w:w="1917"/>
        <w:gridCol w:w="2052"/>
      </w:tblGrid>
      <w:tr w:rsidR="00DB2F86" w:rsidRPr="00872524" w14:paraId="3FCE1749" w14:textId="07293712" w:rsidTr="00BA76A1">
        <w:trPr>
          <w:cnfStyle w:val="100000000000" w:firstRow="1" w:lastRow="0" w:firstColumn="0" w:lastColumn="0" w:oddVBand="0" w:evenVBand="0" w:oddHBand="0" w:evenHBand="0" w:firstRowFirstColumn="0" w:firstRowLastColumn="0" w:lastRowFirstColumn="0" w:lastRowLastColumn="0"/>
        </w:trPr>
        <w:tc>
          <w:tcPr>
            <w:tcW w:w="3256" w:type="dxa"/>
          </w:tcPr>
          <w:p w14:paraId="1FAF416B" w14:textId="77777777" w:rsidR="00DB2F86" w:rsidRPr="00DC02CE" w:rsidRDefault="00DB2F86">
            <w:pPr>
              <w:pStyle w:val="TableText"/>
            </w:pPr>
          </w:p>
        </w:tc>
        <w:tc>
          <w:tcPr>
            <w:tcW w:w="1701" w:type="dxa"/>
          </w:tcPr>
          <w:p w14:paraId="216D5D18" w14:textId="77777777" w:rsidR="00DB2F86" w:rsidRPr="00DC02CE" w:rsidRDefault="00DB2F86" w:rsidP="00261574">
            <w:pPr>
              <w:pStyle w:val="TableText"/>
              <w:jc w:val="center"/>
            </w:pPr>
            <w:r w:rsidRPr="00DC02CE">
              <w:t>IVL (n = 153)</w:t>
            </w:r>
          </w:p>
        </w:tc>
        <w:tc>
          <w:tcPr>
            <w:tcW w:w="1917" w:type="dxa"/>
          </w:tcPr>
          <w:p w14:paraId="7B993689" w14:textId="77777777" w:rsidR="00DB2F86" w:rsidRPr="00DC02CE" w:rsidRDefault="00DB2F86" w:rsidP="00261574">
            <w:pPr>
              <w:pStyle w:val="TableText"/>
              <w:jc w:val="center"/>
            </w:pPr>
            <w:r w:rsidRPr="00DC02CE">
              <w:t>PTA (n = 153)</w:t>
            </w:r>
          </w:p>
        </w:tc>
        <w:tc>
          <w:tcPr>
            <w:tcW w:w="2052" w:type="dxa"/>
          </w:tcPr>
          <w:p w14:paraId="53326210" w14:textId="12709295" w:rsidR="00DB2F86" w:rsidRPr="00DC02CE" w:rsidRDefault="00DB2F86" w:rsidP="00261574">
            <w:pPr>
              <w:pStyle w:val="TableText"/>
              <w:jc w:val="center"/>
            </w:pPr>
            <w:r>
              <w:t>P value</w:t>
            </w:r>
          </w:p>
        </w:tc>
      </w:tr>
      <w:tr w:rsidR="00DB2F86" w:rsidRPr="00872524" w14:paraId="6499FFAD" w14:textId="4EE8E650" w:rsidTr="00DB2F86">
        <w:tc>
          <w:tcPr>
            <w:tcW w:w="6874" w:type="dxa"/>
            <w:gridSpan w:val="3"/>
          </w:tcPr>
          <w:p w14:paraId="60602C8D" w14:textId="77777777" w:rsidR="00DB2F86" w:rsidRPr="006F58F9" w:rsidRDefault="00DB2F86">
            <w:pPr>
              <w:pStyle w:val="TableText"/>
              <w:rPr>
                <w:bCs/>
              </w:rPr>
            </w:pPr>
            <w:r w:rsidRPr="006F58F9">
              <w:rPr>
                <w:bCs/>
              </w:rPr>
              <w:t xml:space="preserve">Final angiographic thrombus and distal emboli events from </w:t>
            </w:r>
            <w:r w:rsidRPr="009B481A">
              <w:rPr>
                <w:bCs/>
              </w:rPr>
              <w:t>DISRUPT PAD III RCT</w:t>
            </w:r>
          </w:p>
        </w:tc>
        <w:tc>
          <w:tcPr>
            <w:tcW w:w="2052" w:type="dxa"/>
          </w:tcPr>
          <w:p w14:paraId="57D8777C" w14:textId="77777777" w:rsidR="00DB2F86" w:rsidRPr="006F58F9" w:rsidRDefault="00DB2F86">
            <w:pPr>
              <w:pStyle w:val="TableText"/>
              <w:rPr>
                <w:bCs/>
              </w:rPr>
            </w:pPr>
          </w:p>
        </w:tc>
      </w:tr>
      <w:tr w:rsidR="00DB2F86" w14:paraId="2CAFE9DD" w14:textId="266CA385" w:rsidTr="00DB2F86">
        <w:tc>
          <w:tcPr>
            <w:tcW w:w="6874" w:type="dxa"/>
            <w:gridSpan w:val="3"/>
          </w:tcPr>
          <w:p w14:paraId="02F2839E" w14:textId="77777777" w:rsidR="00DB2F86" w:rsidRDefault="00DB2F86">
            <w:pPr>
              <w:pStyle w:val="TableText"/>
            </w:pPr>
            <w:r>
              <w:t>Thrombus</w:t>
            </w:r>
          </w:p>
        </w:tc>
        <w:tc>
          <w:tcPr>
            <w:tcW w:w="2052" w:type="dxa"/>
          </w:tcPr>
          <w:p w14:paraId="30C9E621" w14:textId="77777777" w:rsidR="00DB2F86" w:rsidRDefault="00DB2F86">
            <w:pPr>
              <w:pStyle w:val="TableText"/>
            </w:pPr>
          </w:p>
        </w:tc>
      </w:tr>
      <w:tr w:rsidR="00DB2F86" w14:paraId="3BAF56E0" w14:textId="4C8E5E66" w:rsidTr="00BA76A1">
        <w:tc>
          <w:tcPr>
            <w:tcW w:w="3256" w:type="dxa"/>
          </w:tcPr>
          <w:p w14:paraId="73AB963B" w14:textId="77777777" w:rsidR="00DB2F86" w:rsidRDefault="00DB2F86">
            <w:pPr>
              <w:pStyle w:val="TableText"/>
            </w:pPr>
            <w:r>
              <w:t>Number of available patient data</w:t>
            </w:r>
          </w:p>
        </w:tc>
        <w:tc>
          <w:tcPr>
            <w:tcW w:w="1701" w:type="dxa"/>
          </w:tcPr>
          <w:p w14:paraId="18AF4933" w14:textId="77777777" w:rsidR="00DB2F86" w:rsidRDefault="00DB2F86" w:rsidP="00261574">
            <w:pPr>
              <w:pStyle w:val="TableText"/>
              <w:jc w:val="center"/>
            </w:pPr>
            <w:r>
              <w:t>146</w:t>
            </w:r>
          </w:p>
        </w:tc>
        <w:tc>
          <w:tcPr>
            <w:tcW w:w="1917" w:type="dxa"/>
          </w:tcPr>
          <w:p w14:paraId="1797F56F" w14:textId="77777777" w:rsidR="00DB2F86" w:rsidRDefault="00DB2F86" w:rsidP="00261574">
            <w:pPr>
              <w:pStyle w:val="TableText"/>
              <w:jc w:val="center"/>
            </w:pPr>
            <w:r>
              <w:t>133</w:t>
            </w:r>
          </w:p>
        </w:tc>
        <w:tc>
          <w:tcPr>
            <w:tcW w:w="2052" w:type="dxa"/>
          </w:tcPr>
          <w:p w14:paraId="0CC843CD" w14:textId="77777777" w:rsidR="00DB2F86" w:rsidRDefault="00DB2F86">
            <w:pPr>
              <w:pStyle w:val="TableText"/>
            </w:pPr>
          </w:p>
        </w:tc>
      </w:tr>
      <w:tr w:rsidR="00DB2F86" w14:paraId="65277E6E" w14:textId="79DDD3A7" w:rsidTr="00BA76A1">
        <w:tc>
          <w:tcPr>
            <w:tcW w:w="3256" w:type="dxa"/>
          </w:tcPr>
          <w:p w14:paraId="50A4A804" w14:textId="77777777" w:rsidR="00DB2F86" w:rsidRDefault="00DB2F86">
            <w:pPr>
              <w:pStyle w:val="TableText"/>
            </w:pPr>
            <w:r>
              <w:t>Events (%)</w:t>
            </w:r>
          </w:p>
        </w:tc>
        <w:tc>
          <w:tcPr>
            <w:tcW w:w="1701" w:type="dxa"/>
          </w:tcPr>
          <w:p w14:paraId="57CE76B8" w14:textId="77777777" w:rsidR="00DB2F86" w:rsidRDefault="00DB2F86" w:rsidP="00261574">
            <w:pPr>
              <w:pStyle w:val="TableText"/>
              <w:jc w:val="center"/>
            </w:pPr>
            <w:r>
              <w:t>0 (0.0)</w:t>
            </w:r>
          </w:p>
        </w:tc>
        <w:tc>
          <w:tcPr>
            <w:tcW w:w="1917" w:type="dxa"/>
          </w:tcPr>
          <w:p w14:paraId="26AD65CF" w14:textId="77777777" w:rsidR="00DB2F86" w:rsidRDefault="00DB2F86" w:rsidP="00261574">
            <w:pPr>
              <w:pStyle w:val="TableText"/>
              <w:jc w:val="center"/>
            </w:pPr>
            <w:r>
              <w:t>0 (0.0)</w:t>
            </w:r>
          </w:p>
        </w:tc>
        <w:tc>
          <w:tcPr>
            <w:tcW w:w="2052" w:type="dxa"/>
          </w:tcPr>
          <w:p w14:paraId="4E0DB91C" w14:textId="77777777" w:rsidR="00DB2F86" w:rsidRDefault="00DB2F86">
            <w:pPr>
              <w:pStyle w:val="TableText"/>
            </w:pPr>
          </w:p>
        </w:tc>
      </w:tr>
      <w:tr w:rsidR="00DB2F86" w14:paraId="660ED26B" w14:textId="7F83425B" w:rsidTr="00DB2F86">
        <w:tc>
          <w:tcPr>
            <w:tcW w:w="6874" w:type="dxa"/>
            <w:gridSpan w:val="3"/>
          </w:tcPr>
          <w:p w14:paraId="372A1FB2" w14:textId="77777777" w:rsidR="00DB2F86" w:rsidRDefault="00DB2F86">
            <w:pPr>
              <w:pStyle w:val="TableText"/>
            </w:pPr>
            <w:r>
              <w:t>Distal emboli</w:t>
            </w:r>
          </w:p>
        </w:tc>
        <w:tc>
          <w:tcPr>
            <w:tcW w:w="2052" w:type="dxa"/>
          </w:tcPr>
          <w:p w14:paraId="69959F6E" w14:textId="77777777" w:rsidR="00DB2F86" w:rsidRDefault="00DB2F86">
            <w:pPr>
              <w:pStyle w:val="TableText"/>
            </w:pPr>
          </w:p>
        </w:tc>
      </w:tr>
      <w:tr w:rsidR="00DB2F86" w14:paraId="02DDD4EE" w14:textId="2C124143" w:rsidTr="00BA76A1">
        <w:tc>
          <w:tcPr>
            <w:tcW w:w="3256" w:type="dxa"/>
          </w:tcPr>
          <w:p w14:paraId="61AB3C25" w14:textId="77777777" w:rsidR="00DB2F86" w:rsidRDefault="00DB2F86">
            <w:pPr>
              <w:pStyle w:val="TableText"/>
            </w:pPr>
            <w:r>
              <w:t>Number of available patient data</w:t>
            </w:r>
          </w:p>
        </w:tc>
        <w:tc>
          <w:tcPr>
            <w:tcW w:w="1701" w:type="dxa"/>
          </w:tcPr>
          <w:p w14:paraId="012F3927" w14:textId="77777777" w:rsidR="00DB2F86" w:rsidRDefault="00DB2F86" w:rsidP="00261574">
            <w:pPr>
              <w:pStyle w:val="TableText"/>
              <w:jc w:val="center"/>
            </w:pPr>
            <w:r>
              <w:t>145</w:t>
            </w:r>
          </w:p>
        </w:tc>
        <w:tc>
          <w:tcPr>
            <w:tcW w:w="1917" w:type="dxa"/>
          </w:tcPr>
          <w:p w14:paraId="0BB03B41" w14:textId="77777777" w:rsidR="00DB2F86" w:rsidRDefault="00DB2F86" w:rsidP="00261574">
            <w:pPr>
              <w:pStyle w:val="TableText"/>
              <w:jc w:val="center"/>
            </w:pPr>
            <w:r>
              <w:t>133</w:t>
            </w:r>
          </w:p>
        </w:tc>
        <w:tc>
          <w:tcPr>
            <w:tcW w:w="2052" w:type="dxa"/>
          </w:tcPr>
          <w:p w14:paraId="535E7C4F" w14:textId="77777777" w:rsidR="00DB2F86" w:rsidRDefault="00DB2F86">
            <w:pPr>
              <w:pStyle w:val="TableText"/>
            </w:pPr>
          </w:p>
        </w:tc>
      </w:tr>
      <w:tr w:rsidR="00DB2F86" w14:paraId="5518B7E1" w14:textId="6AD3BBC9" w:rsidTr="00BA76A1">
        <w:trPr>
          <w:trHeight w:val="143"/>
        </w:trPr>
        <w:tc>
          <w:tcPr>
            <w:tcW w:w="3256" w:type="dxa"/>
          </w:tcPr>
          <w:p w14:paraId="133E62CD" w14:textId="77777777" w:rsidR="00DB2F86" w:rsidRDefault="00DB2F86">
            <w:pPr>
              <w:pStyle w:val="TableText"/>
            </w:pPr>
            <w:r>
              <w:t>Events (%)</w:t>
            </w:r>
          </w:p>
        </w:tc>
        <w:tc>
          <w:tcPr>
            <w:tcW w:w="1701" w:type="dxa"/>
          </w:tcPr>
          <w:p w14:paraId="5B611460" w14:textId="77777777" w:rsidR="00DB2F86" w:rsidRDefault="00DB2F86" w:rsidP="00261574">
            <w:pPr>
              <w:pStyle w:val="TableText"/>
              <w:jc w:val="center"/>
            </w:pPr>
            <w:r>
              <w:t>0 (0.0)</w:t>
            </w:r>
          </w:p>
        </w:tc>
        <w:tc>
          <w:tcPr>
            <w:tcW w:w="1917" w:type="dxa"/>
          </w:tcPr>
          <w:p w14:paraId="36577B0F" w14:textId="77777777" w:rsidR="00DB2F86" w:rsidRDefault="00DB2F86" w:rsidP="00261574">
            <w:pPr>
              <w:pStyle w:val="TableText"/>
              <w:jc w:val="center"/>
            </w:pPr>
            <w:r>
              <w:t>0 (0.0)</w:t>
            </w:r>
          </w:p>
        </w:tc>
        <w:tc>
          <w:tcPr>
            <w:tcW w:w="2052" w:type="dxa"/>
          </w:tcPr>
          <w:p w14:paraId="57D80D19" w14:textId="77777777" w:rsidR="00DB2F86" w:rsidRDefault="00DB2F86">
            <w:pPr>
              <w:pStyle w:val="TableText"/>
            </w:pPr>
          </w:p>
        </w:tc>
      </w:tr>
      <w:tr w:rsidR="00DB2F86" w14:paraId="7D21DAEB" w14:textId="167B5452" w:rsidTr="00DB2F86">
        <w:trPr>
          <w:trHeight w:val="143"/>
        </w:trPr>
        <w:tc>
          <w:tcPr>
            <w:tcW w:w="6874" w:type="dxa"/>
            <w:gridSpan w:val="3"/>
          </w:tcPr>
          <w:p w14:paraId="30530CE1" w14:textId="77777777" w:rsidR="00DB2F86" w:rsidRPr="00483D13" w:rsidRDefault="00DB2F86">
            <w:pPr>
              <w:pStyle w:val="TableText"/>
              <w:rPr>
                <w:bCs/>
              </w:rPr>
            </w:pPr>
            <w:r w:rsidRPr="00483D13">
              <w:rPr>
                <w:bCs/>
              </w:rPr>
              <w:t>Results of MAE rates from DISRUPT PAD III RCT</w:t>
            </w:r>
          </w:p>
        </w:tc>
        <w:tc>
          <w:tcPr>
            <w:tcW w:w="2052" w:type="dxa"/>
          </w:tcPr>
          <w:p w14:paraId="145E9845" w14:textId="77777777" w:rsidR="00DB2F86" w:rsidRPr="00483D13" w:rsidRDefault="00DB2F86">
            <w:pPr>
              <w:pStyle w:val="TableText"/>
              <w:rPr>
                <w:bCs/>
              </w:rPr>
            </w:pPr>
          </w:p>
        </w:tc>
      </w:tr>
      <w:tr w:rsidR="00DB2F86" w14:paraId="47F2BF89" w14:textId="0C0457AD" w:rsidTr="00BA76A1">
        <w:trPr>
          <w:trHeight w:val="143"/>
        </w:trPr>
        <w:tc>
          <w:tcPr>
            <w:tcW w:w="3256" w:type="dxa"/>
          </w:tcPr>
          <w:p w14:paraId="16D858A4" w14:textId="77777777" w:rsidR="00DB2F86" w:rsidRDefault="00DB2F86" w:rsidP="00DB2F86">
            <w:pPr>
              <w:pStyle w:val="TableText"/>
            </w:pPr>
            <w:r w:rsidRPr="0069451D">
              <w:t>MAEs at 30 days</w:t>
            </w:r>
          </w:p>
        </w:tc>
        <w:tc>
          <w:tcPr>
            <w:tcW w:w="1701" w:type="dxa"/>
          </w:tcPr>
          <w:p w14:paraId="04CD5B61" w14:textId="77777777" w:rsidR="00DB2F86" w:rsidRDefault="00DB2F86" w:rsidP="00261574">
            <w:pPr>
              <w:pStyle w:val="TableText"/>
              <w:jc w:val="center"/>
            </w:pPr>
            <w:r w:rsidRPr="0069451D">
              <w:t>0/152 (0.0)</w:t>
            </w:r>
          </w:p>
        </w:tc>
        <w:tc>
          <w:tcPr>
            <w:tcW w:w="1917" w:type="dxa"/>
          </w:tcPr>
          <w:p w14:paraId="55375CDF" w14:textId="77777777" w:rsidR="00DB2F86" w:rsidRDefault="00DB2F86" w:rsidP="00261574">
            <w:pPr>
              <w:pStyle w:val="TableText"/>
              <w:jc w:val="center"/>
            </w:pPr>
            <w:r w:rsidRPr="0069451D">
              <w:t>2/153 (1.3)</w:t>
            </w:r>
          </w:p>
        </w:tc>
        <w:tc>
          <w:tcPr>
            <w:tcW w:w="2052" w:type="dxa"/>
          </w:tcPr>
          <w:p w14:paraId="1DA43BB3" w14:textId="4DB564ED" w:rsidR="00DB2F86" w:rsidRPr="0069451D" w:rsidRDefault="00DB2F86" w:rsidP="00261574">
            <w:pPr>
              <w:pStyle w:val="TableText"/>
              <w:jc w:val="center"/>
            </w:pPr>
            <w:r w:rsidRPr="0069451D">
              <w:t>0.1573</w:t>
            </w:r>
          </w:p>
        </w:tc>
      </w:tr>
      <w:tr w:rsidR="00DB2F86" w14:paraId="0E034B00" w14:textId="4093102E" w:rsidTr="00BA76A1">
        <w:trPr>
          <w:trHeight w:val="143"/>
        </w:trPr>
        <w:tc>
          <w:tcPr>
            <w:tcW w:w="3256" w:type="dxa"/>
          </w:tcPr>
          <w:p w14:paraId="46AAD385" w14:textId="77777777" w:rsidR="00DB2F86" w:rsidRDefault="00DB2F86" w:rsidP="00DB2F86">
            <w:pPr>
              <w:pStyle w:val="TableText"/>
            </w:pPr>
            <w:r w:rsidRPr="0069451D">
              <w:t>MAEs at 6 months</w:t>
            </w:r>
          </w:p>
        </w:tc>
        <w:tc>
          <w:tcPr>
            <w:tcW w:w="1701" w:type="dxa"/>
          </w:tcPr>
          <w:p w14:paraId="22816C9C" w14:textId="77777777" w:rsidR="00DB2F86" w:rsidRDefault="00DB2F86" w:rsidP="00261574">
            <w:pPr>
              <w:pStyle w:val="TableText"/>
              <w:jc w:val="center"/>
            </w:pPr>
            <w:r w:rsidRPr="0069451D">
              <w:t>0/147 (0.0)</w:t>
            </w:r>
          </w:p>
        </w:tc>
        <w:tc>
          <w:tcPr>
            <w:tcW w:w="1917" w:type="dxa"/>
          </w:tcPr>
          <w:p w14:paraId="5A306799" w14:textId="77777777" w:rsidR="00DB2F86" w:rsidRDefault="00DB2F86" w:rsidP="00261574">
            <w:pPr>
              <w:pStyle w:val="TableText"/>
              <w:jc w:val="center"/>
            </w:pPr>
            <w:r w:rsidRPr="0069451D">
              <w:t>2/147 (1.4)</w:t>
            </w:r>
          </w:p>
        </w:tc>
        <w:tc>
          <w:tcPr>
            <w:tcW w:w="2052" w:type="dxa"/>
          </w:tcPr>
          <w:p w14:paraId="64E0797E" w14:textId="42EDB3BC" w:rsidR="00DB2F86" w:rsidRPr="0069451D" w:rsidRDefault="00DB2F86" w:rsidP="00261574">
            <w:pPr>
              <w:pStyle w:val="TableText"/>
              <w:jc w:val="center"/>
            </w:pPr>
            <w:r w:rsidRPr="0069451D">
              <w:t>0.1559</w:t>
            </w:r>
          </w:p>
        </w:tc>
      </w:tr>
      <w:tr w:rsidR="00DB2F86" w14:paraId="7BCDDDE6" w14:textId="12A1CD3D" w:rsidTr="00BA76A1">
        <w:trPr>
          <w:trHeight w:val="143"/>
        </w:trPr>
        <w:tc>
          <w:tcPr>
            <w:tcW w:w="3256" w:type="dxa"/>
          </w:tcPr>
          <w:p w14:paraId="2F61007D" w14:textId="77777777" w:rsidR="00DB2F86" w:rsidRDefault="00DB2F86" w:rsidP="00DB2F86">
            <w:pPr>
              <w:pStyle w:val="TableText"/>
            </w:pPr>
            <w:r w:rsidRPr="0069451D">
              <w:t xml:space="preserve">MAEs at 12 months </w:t>
            </w:r>
          </w:p>
        </w:tc>
        <w:tc>
          <w:tcPr>
            <w:tcW w:w="1701" w:type="dxa"/>
          </w:tcPr>
          <w:p w14:paraId="375C8BCF" w14:textId="77777777" w:rsidR="00DB2F86" w:rsidRDefault="00DB2F86" w:rsidP="00261574">
            <w:pPr>
              <w:pStyle w:val="TableText"/>
              <w:jc w:val="center"/>
            </w:pPr>
            <w:r w:rsidRPr="0069451D">
              <w:t>0/143 (0.0)</w:t>
            </w:r>
          </w:p>
        </w:tc>
        <w:tc>
          <w:tcPr>
            <w:tcW w:w="1917" w:type="dxa"/>
          </w:tcPr>
          <w:p w14:paraId="746C5A37" w14:textId="77777777" w:rsidR="00DB2F86" w:rsidRDefault="00DB2F86" w:rsidP="00261574">
            <w:pPr>
              <w:pStyle w:val="TableText"/>
              <w:jc w:val="center"/>
            </w:pPr>
            <w:r w:rsidRPr="0069451D">
              <w:t>2/140 (1.4)</w:t>
            </w:r>
          </w:p>
        </w:tc>
        <w:tc>
          <w:tcPr>
            <w:tcW w:w="2052" w:type="dxa"/>
          </w:tcPr>
          <w:p w14:paraId="644B574D" w14:textId="341512C2" w:rsidR="00DB2F86" w:rsidRPr="0069451D" w:rsidRDefault="00DB2F86" w:rsidP="00261574">
            <w:pPr>
              <w:pStyle w:val="TableText"/>
              <w:jc w:val="center"/>
            </w:pPr>
            <w:r w:rsidRPr="0069451D">
              <w:t>0.1515</w:t>
            </w:r>
          </w:p>
        </w:tc>
      </w:tr>
      <w:tr w:rsidR="00DB2F86" w14:paraId="34BDC221" w14:textId="39612361" w:rsidTr="00BA76A1">
        <w:trPr>
          <w:trHeight w:val="143"/>
        </w:trPr>
        <w:tc>
          <w:tcPr>
            <w:tcW w:w="3256" w:type="dxa"/>
          </w:tcPr>
          <w:p w14:paraId="23C6AC61" w14:textId="77777777" w:rsidR="00DB2F86" w:rsidRDefault="00DB2F86" w:rsidP="00DB2F86">
            <w:pPr>
              <w:pStyle w:val="TableText"/>
            </w:pPr>
            <w:r>
              <w:t>MAEs at 24 months</w:t>
            </w:r>
          </w:p>
        </w:tc>
        <w:tc>
          <w:tcPr>
            <w:tcW w:w="1701" w:type="dxa"/>
          </w:tcPr>
          <w:p w14:paraId="17CFC767" w14:textId="77777777" w:rsidR="00DB2F86" w:rsidRDefault="00DB2F86" w:rsidP="00261574">
            <w:pPr>
              <w:pStyle w:val="TableText"/>
              <w:jc w:val="center"/>
            </w:pPr>
            <w:r>
              <w:t>0/119 (0.0)</w:t>
            </w:r>
          </w:p>
        </w:tc>
        <w:tc>
          <w:tcPr>
            <w:tcW w:w="1917" w:type="dxa"/>
          </w:tcPr>
          <w:p w14:paraId="19217CCF" w14:textId="77777777" w:rsidR="00DB2F86" w:rsidRDefault="00DB2F86" w:rsidP="00261574">
            <w:pPr>
              <w:pStyle w:val="TableText"/>
              <w:jc w:val="center"/>
            </w:pPr>
            <w:r>
              <w:t>2/118 (1.7)</w:t>
            </w:r>
          </w:p>
        </w:tc>
        <w:tc>
          <w:tcPr>
            <w:tcW w:w="2052" w:type="dxa"/>
          </w:tcPr>
          <w:p w14:paraId="5E97041F" w14:textId="277D5FB0" w:rsidR="00DB2F86" w:rsidRDefault="00DB2F86" w:rsidP="00261574">
            <w:pPr>
              <w:pStyle w:val="TableText"/>
              <w:jc w:val="center"/>
            </w:pPr>
            <w:r>
              <w:t>0.1573</w:t>
            </w:r>
          </w:p>
        </w:tc>
      </w:tr>
    </w:tbl>
    <w:p w14:paraId="65FD9428" w14:textId="247D89B9" w:rsidR="00753234" w:rsidRDefault="00753234" w:rsidP="00D20D91">
      <w:pPr>
        <w:pStyle w:val="TableFooter"/>
      </w:pPr>
      <w:r>
        <w:t>Abbreviations: IVL</w:t>
      </w:r>
      <w:r w:rsidR="00716E11">
        <w:t xml:space="preserve"> =</w:t>
      </w:r>
      <w:r>
        <w:t xml:space="preserve"> Intravascular lithotripsy; MAE</w:t>
      </w:r>
      <w:r w:rsidR="00716E11">
        <w:t xml:space="preserve"> =</w:t>
      </w:r>
      <w:r>
        <w:t xml:space="preserve"> major adverse event; PTA</w:t>
      </w:r>
      <w:r w:rsidR="00716E11">
        <w:t xml:space="preserve"> =</w:t>
      </w:r>
      <w:r>
        <w:t xml:space="preserve"> Percutaneous transluminal angioplasty</w:t>
      </w:r>
    </w:p>
    <w:p w14:paraId="6C6B22E6" w14:textId="131AB9C6" w:rsidR="007B62E6" w:rsidRDefault="007B62E6" w:rsidP="00581E29">
      <w:r>
        <w:t>The incidence of 30-day MAE was not significantly different between the IVL arm (0.0%) and the PTA arm (1.3%, p=0.</w:t>
      </w:r>
      <w:r w:rsidR="00482BE5">
        <w:t>1573</w:t>
      </w:r>
      <w:r>
        <w:t>).</w:t>
      </w:r>
      <w:r w:rsidR="00036B27">
        <w:t xml:space="preserve"> </w:t>
      </w:r>
      <w:r>
        <w:t xml:space="preserve">During the 6-month follow-up period, no MAEs occurred in the IVL arm, and no new MAEs occurred in the PTA arm. The incidence of 6-month MAE was also not significantly different between the IVL arm (0.0%) and PTA arm (1.4%, p=0.1559). </w:t>
      </w:r>
    </w:p>
    <w:p w14:paraId="66942D72" w14:textId="0355AD6F" w:rsidR="00761925" w:rsidRDefault="00536B93" w:rsidP="00581E29">
      <w:r>
        <w:t>The</w:t>
      </w:r>
      <w:r w:rsidR="00DF464B" w:rsidRPr="00E22E1C">
        <w:t xml:space="preserve"> DISRUPT PAD III study reported 17 deaths (10 deaths in the IVL arm </w:t>
      </w:r>
      <w:r w:rsidR="001109CD" w:rsidRPr="00E22E1C">
        <w:t>and</w:t>
      </w:r>
      <w:r w:rsidR="00DF464B" w:rsidRPr="00E22E1C">
        <w:t xml:space="preserve"> 7 in the SBA arm) over the two-year trial period. However, the reason</w:t>
      </w:r>
      <w:r w:rsidR="00C90312" w:rsidRPr="00E22E1C">
        <w:t>s</w:t>
      </w:r>
      <w:r w:rsidR="00DF464B" w:rsidRPr="00E22E1C">
        <w:t xml:space="preserve"> for </w:t>
      </w:r>
      <w:r w:rsidR="00C90312" w:rsidRPr="00E22E1C">
        <w:t xml:space="preserve">the </w:t>
      </w:r>
      <w:r w:rsidR="00DF464B" w:rsidRPr="00E22E1C">
        <w:t xml:space="preserve">deaths were not reported. </w:t>
      </w:r>
      <w:r w:rsidR="002D28EC" w:rsidRPr="00996E36">
        <w:t>The commentary considers that g</w:t>
      </w:r>
      <w:r w:rsidR="00174D8B" w:rsidRPr="00996E36">
        <w:t xml:space="preserve">iven the relatively short </w:t>
      </w:r>
      <w:r w:rsidR="00AA1C95" w:rsidRPr="00996E36">
        <w:t>follow-</w:t>
      </w:r>
      <w:r w:rsidR="00174D8B" w:rsidRPr="00996E36">
        <w:t>up duration of 2 years, the long-term safety of IVL in this population is uncertain.</w:t>
      </w:r>
    </w:p>
    <w:p w14:paraId="6EAC55F9" w14:textId="46124355" w:rsidR="00761925" w:rsidRPr="00BA76A1" w:rsidRDefault="001109CD" w:rsidP="002A4982">
      <w:pPr>
        <w:keepNext/>
        <w:keepLines/>
        <w:rPr>
          <w:b/>
          <w:bCs/>
        </w:rPr>
      </w:pPr>
      <w:r>
        <w:rPr>
          <w:b/>
          <w:bCs/>
        </w:rPr>
        <w:lastRenderedPageBreak/>
        <w:t>Evidence</w:t>
      </w:r>
      <w:r w:rsidR="00C90312">
        <w:rPr>
          <w:b/>
          <w:bCs/>
        </w:rPr>
        <w:t xml:space="preserve"> </w:t>
      </w:r>
      <w:r>
        <w:rPr>
          <w:b/>
          <w:bCs/>
        </w:rPr>
        <w:t>based on s</w:t>
      </w:r>
      <w:r w:rsidR="00BA76A1" w:rsidRPr="00BA76A1">
        <w:rPr>
          <w:b/>
          <w:bCs/>
        </w:rPr>
        <w:t>ingle</w:t>
      </w:r>
      <w:r w:rsidR="00C90312">
        <w:rPr>
          <w:b/>
          <w:bCs/>
        </w:rPr>
        <w:t>-</w:t>
      </w:r>
      <w:r w:rsidR="00BA76A1" w:rsidRPr="00BA76A1">
        <w:rPr>
          <w:b/>
          <w:bCs/>
        </w:rPr>
        <w:t xml:space="preserve">arm clinical </w:t>
      </w:r>
      <w:proofErr w:type="gramStart"/>
      <w:r w:rsidR="00BA76A1" w:rsidRPr="00BA76A1">
        <w:rPr>
          <w:b/>
          <w:bCs/>
        </w:rPr>
        <w:t>trials</w:t>
      </w:r>
      <w:proofErr w:type="gramEnd"/>
    </w:p>
    <w:p w14:paraId="598E6949" w14:textId="4116A18E" w:rsidR="001109CD" w:rsidRDefault="001109CD" w:rsidP="002A4982">
      <w:pPr>
        <w:keepNext/>
        <w:keepLines/>
      </w:pPr>
      <w:r>
        <w:t xml:space="preserve">The DISRUPT PAD III OS study reported </w:t>
      </w:r>
      <w:r w:rsidR="00E22E1C">
        <w:t xml:space="preserve">that </w:t>
      </w:r>
      <w:r>
        <w:t>55.3% of the patients received adjunct therapies. However, it did not report the safety outcomes separately for the IVL as stand</w:t>
      </w:r>
      <w:r w:rsidR="00C90312">
        <w:t>-</w:t>
      </w:r>
      <w:r>
        <w:t>alone (PICO set 1) and IVL along with adjunct therapies (PICO set 2). The DISRUPT PAD I, II and BTK studies provided safety evidence related to the PICO set 1.</w:t>
      </w:r>
    </w:p>
    <w:p w14:paraId="7DDEA36A" w14:textId="2FDF9A6E" w:rsidR="00761925" w:rsidRDefault="00BA76A1" w:rsidP="00581E29">
      <w:r>
        <w:t xml:space="preserve">Table </w:t>
      </w:r>
      <w:r w:rsidR="00EB6499">
        <w:t xml:space="preserve">4 </w:t>
      </w:r>
      <w:r>
        <w:t>summarise</w:t>
      </w:r>
      <w:r w:rsidR="00C877AA">
        <w:t>s</w:t>
      </w:r>
      <w:r>
        <w:t xml:space="preserve"> the safety results from </w:t>
      </w:r>
      <w:proofErr w:type="gramStart"/>
      <w:r w:rsidR="00E22E1C">
        <w:t>single-</w:t>
      </w:r>
      <w:r>
        <w:t>arm</w:t>
      </w:r>
      <w:proofErr w:type="gramEnd"/>
      <w:r>
        <w:t xml:space="preserve"> </w:t>
      </w:r>
      <w:r w:rsidR="00174D8B">
        <w:t>studies</w:t>
      </w:r>
    </w:p>
    <w:p w14:paraId="7903C9E5" w14:textId="3B7CED49" w:rsidR="00B26AAE" w:rsidRDefault="00B26AAE" w:rsidP="00D20D91">
      <w:pPr>
        <w:pStyle w:val="TableHeading0"/>
      </w:pPr>
      <w:r>
        <w:t xml:space="preserve">Table </w:t>
      </w:r>
      <w:r w:rsidR="00340D39">
        <w:fldChar w:fldCharType="begin"/>
      </w:r>
      <w:r w:rsidR="00340D39">
        <w:instrText xml:space="preserve"> SEQ Table \* ARABIC </w:instrText>
      </w:r>
      <w:r w:rsidR="00340D39">
        <w:fldChar w:fldCharType="separate"/>
      </w:r>
      <w:r w:rsidR="009A5224">
        <w:rPr>
          <w:noProof/>
        </w:rPr>
        <w:t>4</w:t>
      </w:r>
      <w:r w:rsidR="00340D39">
        <w:rPr>
          <w:noProof/>
        </w:rPr>
        <w:fldChar w:fldCharType="end"/>
      </w:r>
      <w:r>
        <w:t xml:space="preserve">: </w:t>
      </w:r>
      <w:r w:rsidRPr="00EA0B30">
        <w:t>Summary of safety outcomes for single-arm study evidence base</w:t>
      </w:r>
    </w:p>
    <w:tbl>
      <w:tblPr>
        <w:tblStyle w:val="MSAC"/>
        <w:tblW w:w="0" w:type="auto"/>
        <w:tblLayout w:type="fixed"/>
        <w:tblLook w:val="04A0" w:firstRow="1" w:lastRow="0" w:firstColumn="1" w:lastColumn="0" w:noHBand="0" w:noVBand="1"/>
        <w:tblCaption w:val="Summary of safety outcomes for single-arm study evidence base"/>
        <w:tblDescription w:val="Table outlines Summary of safety outcomes for single-arm study evidence base"/>
      </w:tblPr>
      <w:tblGrid>
        <w:gridCol w:w="4106"/>
        <w:gridCol w:w="1701"/>
        <w:gridCol w:w="1525"/>
        <w:gridCol w:w="1684"/>
      </w:tblGrid>
      <w:tr w:rsidR="00753234" w14:paraId="78C19C3C" w14:textId="77777777">
        <w:trPr>
          <w:cnfStyle w:val="100000000000" w:firstRow="1" w:lastRow="0" w:firstColumn="0" w:lastColumn="0" w:oddVBand="0" w:evenVBand="0" w:oddHBand="0" w:evenHBand="0" w:firstRowFirstColumn="0" w:firstRowLastColumn="0" w:lastRowFirstColumn="0" w:lastRowLastColumn="0"/>
        </w:trPr>
        <w:tc>
          <w:tcPr>
            <w:tcW w:w="9016" w:type="dxa"/>
            <w:gridSpan w:val="4"/>
          </w:tcPr>
          <w:p w14:paraId="4C29C043" w14:textId="77777777" w:rsidR="00753234" w:rsidRPr="00D20D91" w:rsidRDefault="00753234">
            <w:pPr>
              <w:pStyle w:val="TableText"/>
              <w:rPr>
                <w:b w:val="0"/>
                <w:bCs/>
              </w:rPr>
            </w:pPr>
            <w:r w:rsidRPr="0058288C">
              <w:rPr>
                <w:bCs/>
              </w:rPr>
              <w:t>DISRUPT PAD III OS</w:t>
            </w:r>
          </w:p>
        </w:tc>
      </w:tr>
      <w:tr w:rsidR="00753234" w14:paraId="168A2B02" w14:textId="77777777" w:rsidTr="00261574">
        <w:tc>
          <w:tcPr>
            <w:tcW w:w="4106" w:type="dxa"/>
          </w:tcPr>
          <w:p w14:paraId="36939818" w14:textId="77777777" w:rsidR="00753234" w:rsidRPr="00872524" w:rsidRDefault="00753234">
            <w:pPr>
              <w:pStyle w:val="TableText"/>
            </w:pPr>
            <w:r w:rsidRPr="00872524">
              <w:t>Major adverse event</w:t>
            </w:r>
          </w:p>
        </w:tc>
        <w:tc>
          <w:tcPr>
            <w:tcW w:w="4910" w:type="dxa"/>
            <w:gridSpan w:val="3"/>
          </w:tcPr>
          <w:p w14:paraId="573E9294" w14:textId="77777777" w:rsidR="00753234" w:rsidRPr="00872524" w:rsidRDefault="00753234" w:rsidP="00261574">
            <w:pPr>
              <w:pStyle w:val="TableText"/>
              <w:jc w:val="center"/>
            </w:pPr>
            <w:r w:rsidRPr="00872524">
              <w:t>n/N with events (%)</w:t>
            </w:r>
          </w:p>
        </w:tc>
      </w:tr>
      <w:tr w:rsidR="00753234" w14:paraId="496FE05D" w14:textId="77777777" w:rsidTr="00261574">
        <w:tc>
          <w:tcPr>
            <w:tcW w:w="4106" w:type="dxa"/>
          </w:tcPr>
          <w:p w14:paraId="4DA0AD23" w14:textId="77777777" w:rsidR="00753234" w:rsidRPr="0069451D" w:rsidRDefault="00753234">
            <w:pPr>
              <w:pStyle w:val="TableText"/>
            </w:pPr>
            <w:r w:rsidRPr="0069451D">
              <w:t xml:space="preserve">Post-IVL perforation </w:t>
            </w:r>
          </w:p>
        </w:tc>
        <w:tc>
          <w:tcPr>
            <w:tcW w:w="4910" w:type="dxa"/>
            <w:gridSpan w:val="3"/>
          </w:tcPr>
          <w:p w14:paraId="281F0782" w14:textId="77777777" w:rsidR="00753234" w:rsidRPr="0069451D" w:rsidRDefault="00753234">
            <w:pPr>
              <w:pStyle w:val="TableText"/>
            </w:pPr>
          </w:p>
        </w:tc>
      </w:tr>
      <w:tr w:rsidR="00753234" w14:paraId="339E24BF" w14:textId="77777777" w:rsidTr="00261574">
        <w:tc>
          <w:tcPr>
            <w:tcW w:w="4106" w:type="dxa"/>
          </w:tcPr>
          <w:p w14:paraId="63FF3D54" w14:textId="77777777" w:rsidR="00753234" w:rsidRPr="0069451D" w:rsidRDefault="00753234">
            <w:pPr>
              <w:pStyle w:val="TableText"/>
            </w:pPr>
            <w:r w:rsidRPr="0069451D">
              <w:t xml:space="preserve">Grade I </w:t>
            </w:r>
          </w:p>
        </w:tc>
        <w:tc>
          <w:tcPr>
            <w:tcW w:w="4910" w:type="dxa"/>
            <w:gridSpan w:val="3"/>
          </w:tcPr>
          <w:p w14:paraId="51E0AEC9" w14:textId="77777777" w:rsidR="00753234" w:rsidRPr="0069451D" w:rsidRDefault="00753234" w:rsidP="00261574">
            <w:pPr>
              <w:pStyle w:val="TableText"/>
              <w:jc w:val="center"/>
            </w:pPr>
            <w:r w:rsidRPr="0069451D">
              <w:t>1/1118 (0.1)</w:t>
            </w:r>
          </w:p>
        </w:tc>
      </w:tr>
      <w:tr w:rsidR="00753234" w14:paraId="1EF5BA87" w14:textId="77777777" w:rsidTr="00261574">
        <w:tc>
          <w:tcPr>
            <w:tcW w:w="4106" w:type="dxa"/>
          </w:tcPr>
          <w:p w14:paraId="54F4710D" w14:textId="77777777" w:rsidR="00753234" w:rsidRPr="0069451D" w:rsidRDefault="00753234">
            <w:pPr>
              <w:pStyle w:val="TableText"/>
            </w:pPr>
            <w:r w:rsidRPr="0069451D">
              <w:t>Grade II</w:t>
            </w:r>
          </w:p>
        </w:tc>
        <w:tc>
          <w:tcPr>
            <w:tcW w:w="4910" w:type="dxa"/>
            <w:gridSpan w:val="3"/>
          </w:tcPr>
          <w:p w14:paraId="40A1EC5E" w14:textId="77777777" w:rsidR="00753234" w:rsidRPr="0069451D" w:rsidRDefault="00753234" w:rsidP="00261574">
            <w:pPr>
              <w:pStyle w:val="TableText"/>
              <w:jc w:val="center"/>
            </w:pPr>
            <w:r w:rsidRPr="0069451D">
              <w:t>1/1118 (0.1)</w:t>
            </w:r>
          </w:p>
        </w:tc>
      </w:tr>
      <w:tr w:rsidR="00753234" w14:paraId="7CB306E0" w14:textId="77777777" w:rsidTr="00261574">
        <w:tc>
          <w:tcPr>
            <w:tcW w:w="4106" w:type="dxa"/>
          </w:tcPr>
          <w:p w14:paraId="5401817E" w14:textId="77777777" w:rsidR="00753234" w:rsidRPr="0069451D" w:rsidRDefault="00753234">
            <w:pPr>
              <w:pStyle w:val="TableText"/>
            </w:pPr>
            <w:r w:rsidRPr="0069451D">
              <w:t>Grade III</w:t>
            </w:r>
          </w:p>
        </w:tc>
        <w:tc>
          <w:tcPr>
            <w:tcW w:w="4910" w:type="dxa"/>
            <w:gridSpan w:val="3"/>
          </w:tcPr>
          <w:p w14:paraId="58D19E4E" w14:textId="77777777" w:rsidR="00753234" w:rsidRPr="0069451D" w:rsidRDefault="00753234" w:rsidP="00261574">
            <w:pPr>
              <w:pStyle w:val="TableText"/>
              <w:jc w:val="center"/>
            </w:pPr>
            <w:r w:rsidRPr="0069451D">
              <w:t>2/1118 (0.2)</w:t>
            </w:r>
          </w:p>
        </w:tc>
      </w:tr>
      <w:tr w:rsidR="00753234" w14:paraId="09BBE1DE" w14:textId="77777777" w:rsidTr="00261574">
        <w:tc>
          <w:tcPr>
            <w:tcW w:w="4106" w:type="dxa"/>
          </w:tcPr>
          <w:p w14:paraId="7B1BB8D5" w14:textId="77777777" w:rsidR="00753234" w:rsidRPr="0069451D" w:rsidRDefault="00753234">
            <w:pPr>
              <w:pStyle w:val="TableText"/>
            </w:pPr>
            <w:r w:rsidRPr="0069451D">
              <w:t>Post-IVL distal emboli</w:t>
            </w:r>
          </w:p>
        </w:tc>
        <w:tc>
          <w:tcPr>
            <w:tcW w:w="4910" w:type="dxa"/>
            <w:gridSpan w:val="3"/>
          </w:tcPr>
          <w:p w14:paraId="718EAE26" w14:textId="77777777" w:rsidR="00753234" w:rsidRPr="0069451D" w:rsidRDefault="00753234" w:rsidP="00261574">
            <w:pPr>
              <w:pStyle w:val="TableText"/>
              <w:jc w:val="center"/>
            </w:pPr>
            <w:r w:rsidRPr="0069451D">
              <w:t>1/1118 (0.1)</w:t>
            </w:r>
          </w:p>
        </w:tc>
      </w:tr>
      <w:tr w:rsidR="00753234" w14:paraId="05950CE8" w14:textId="77777777" w:rsidTr="00261574">
        <w:tc>
          <w:tcPr>
            <w:tcW w:w="4106" w:type="dxa"/>
          </w:tcPr>
          <w:p w14:paraId="07D4B115" w14:textId="77777777" w:rsidR="00753234" w:rsidRPr="0069451D" w:rsidRDefault="00753234">
            <w:pPr>
              <w:pStyle w:val="TableText"/>
            </w:pPr>
            <w:r w:rsidRPr="0069451D">
              <w:t>Post-IVL thrombus</w:t>
            </w:r>
          </w:p>
        </w:tc>
        <w:tc>
          <w:tcPr>
            <w:tcW w:w="4910" w:type="dxa"/>
            <w:gridSpan w:val="3"/>
          </w:tcPr>
          <w:p w14:paraId="059A2549" w14:textId="77777777" w:rsidR="00753234" w:rsidRPr="0069451D" w:rsidRDefault="00753234" w:rsidP="00261574">
            <w:pPr>
              <w:pStyle w:val="TableText"/>
              <w:jc w:val="center"/>
            </w:pPr>
            <w:r w:rsidRPr="0069451D">
              <w:t>1/1118 (0.1)</w:t>
            </w:r>
          </w:p>
        </w:tc>
      </w:tr>
      <w:tr w:rsidR="00753234" w14:paraId="487906AF" w14:textId="77777777" w:rsidTr="00261574">
        <w:tc>
          <w:tcPr>
            <w:tcW w:w="4106" w:type="dxa"/>
          </w:tcPr>
          <w:p w14:paraId="421CDA47" w14:textId="77777777" w:rsidR="00753234" w:rsidRPr="0069451D" w:rsidRDefault="00753234">
            <w:pPr>
              <w:pStyle w:val="TableText"/>
            </w:pPr>
            <w:r>
              <w:t>Revascularisation</w:t>
            </w:r>
          </w:p>
        </w:tc>
        <w:tc>
          <w:tcPr>
            <w:tcW w:w="4910" w:type="dxa"/>
            <w:gridSpan w:val="3"/>
          </w:tcPr>
          <w:p w14:paraId="67EE9FE5" w14:textId="77777777" w:rsidR="00753234" w:rsidRPr="0069451D" w:rsidRDefault="00753234" w:rsidP="00261574">
            <w:pPr>
              <w:pStyle w:val="TableText"/>
              <w:jc w:val="center"/>
            </w:pPr>
            <w:r>
              <w:t>0/1118 (0.0)</w:t>
            </w:r>
          </w:p>
        </w:tc>
      </w:tr>
      <w:tr w:rsidR="00753234" w14:paraId="082B3478" w14:textId="77777777" w:rsidTr="00261574">
        <w:tc>
          <w:tcPr>
            <w:tcW w:w="4106" w:type="dxa"/>
          </w:tcPr>
          <w:p w14:paraId="66023007" w14:textId="77777777" w:rsidR="00753234" w:rsidRDefault="00753234">
            <w:pPr>
              <w:pStyle w:val="TableText"/>
            </w:pPr>
            <w:r>
              <w:t>Major amputation (above the ankle)</w:t>
            </w:r>
          </w:p>
        </w:tc>
        <w:tc>
          <w:tcPr>
            <w:tcW w:w="4910" w:type="dxa"/>
            <w:gridSpan w:val="3"/>
          </w:tcPr>
          <w:p w14:paraId="7CF96F2E" w14:textId="77777777" w:rsidR="00753234" w:rsidRPr="0069451D" w:rsidRDefault="00753234" w:rsidP="00261574">
            <w:pPr>
              <w:pStyle w:val="TableText"/>
              <w:jc w:val="center"/>
            </w:pPr>
            <w:r>
              <w:t>0/1118 (0.0)</w:t>
            </w:r>
          </w:p>
        </w:tc>
      </w:tr>
      <w:tr w:rsidR="00753234" w14:paraId="272223BC" w14:textId="77777777" w:rsidTr="00261574">
        <w:tc>
          <w:tcPr>
            <w:tcW w:w="4106" w:type="dxa"/>
          </w:tcPr>
          <w:p w14:paraId="7C88A3B3" w14:textId="77777777" w:rsidR="00753234" w:rsidRDefault="00753234">
            <w:pPr>
              <w:pStyle w:val="TableText"/>
            </w:pPr>
            <w:r>
              <w:t xml:space="preserve">Provisional stenting </w:t>
            </w:r>
          </w:p>
        </w:tc>
        <w:tc>
          <w:tcPr>
            <w:tcW w:w="4910" w:type="dxa"/>
            <w:gridSpan w:val="3"/>
          </w:tcPr>
          <w:p w14:paraId="20FD0E81" w14:textId="77777777" w:rsidR="00753234" w:rsidRPr="0069451D" w:rsidRDefault="00753234" w:rsidP="00261574">
            <w:pPr>
              <w:pStyle w:val="TableText"/>
              <w:jc w:val="center"/>
            </w:pPr>
            <w:r>
              <w:t>0/1118 (0.0)</w:t>
            </w:r>
          </w:p>
        </w:tc>
      </w:tr>
      <w:tr w:rsidR="00753234" w14:paraId="44B759E6" w14:textId="77777777" w:rsidTr="00261574">
        <w:tc>
          <w:tcPr>
            <w:tcW w:w="4106" w:type="dxa"/>
          </w:tcPr>
          <w:p w14:paraId="63C1B7F7" w14:textId="77777777" w:rsidR="00753234" w:rsidRDefault="00753234">
            <w:pPr>
              <w:pStyle w:val="TableText"/>
            </w:pPr>
            <w:r>
              <w:t>Mortality</w:t>
            </w:r>
          </w:p>
        </w:tc>
        <w:tc>
          <w:tcPr>
            <w:tcW w:w="4910" w:type="dxa"/>
            <w:gridSpan w:val="3"/>
          </w:tcPr>
          <w:p w14:paraId="19BB6250" w14:textId="682B4B73" w:rsidR="00753234" w:rsidRPr="0069451D" w:rsidRDefault="00753234" w:rsidP="00261574">
            <w:pPr>
              <w:pStyle w:val="TableText"/>
              <w:jc w:val="center"/>
            </w:pPr>
            <w:r>
              <w:t>5/1118 (0.04)</w:t>
            </w:r>
          </w:p>
        </w:tc>
      </w:tr>
      <w:tr w:rsidR="00753234" w14:paraId="391EC0D0" w14:textId="77777777">
        <w:tc>
          <w:tcPr>
            <w:tcW w:w="9016" w:type="dxa"/>
            <w:gridSpan w:val="4"/>
          </w:tcPr>
          <w:p w14:paraId="4900A74B" w14:textId="77777777" w:rsidR="00753234" w:rsidRPr="00D20D91" w:rsidRDefault="00753234">
            <w:pPr>
              <w:pStyle w:val="TableText"/>
              <w:rPr>
                <w:b/>
              </w:rPr>
            </w:pPr>
            <w:r w:rsidRPr="00D20D91">
              <w:rPr>
                <w:b/>
              </w:rPr>
              <w:t xml:space="preserve">DISRUPT PAD II </w:t>
            </w:r>
          </w:p>
        </w:tc>
      </w:tr>
      <w:tr w:rsidR="00753234" w14:paraId="078759F7" w14:textId="77777777" w:rsidTr="00261574">
        <w:tc>
          <w:tcPr>
            <w:tcW w:w="4106" w:type="dxa"/>
          </w:tcPr>
          <w:p w14:paraId="6BD7B9DC" w14:textId="77777777" w:rsidR="00753234" w:rsidRPr="00926D92" w:rsidRDefault="00753234">
            <w:pPr>
              <w:pStyle w:val="TableText"/>
              <w:rPr>
                <w:bCs/>
              </w:rPr>
            </w:pPr>
            <w:r w:rsidRPr="00926D92">
              <w:rPr>
                <w:bCs/>
              </w:rPr>
              <w:t>Major adverse events</w:t>
            </w:r>
          </w:p>
        </w:tc>
        <w:tc>
          <w:tcPr>
            <w:tcW w:w="1701" w:type="dxa"/>
          </w:tcPr>
          <w:p w14:paraId="4E022601" w14:textId="77777777" w:rsidR="00753234" w:rsidRPr="00926D92" w:rsidRDefault="00753234" w:rsidP="00261574">
            <w:pPr>
              <w:pStyle w:val="TableText"/>
              <w:jc w:val="center"/>
              <w:rPr>
                <w:bCs/>
              </w:rPr>
            </w:pPr>
            <w:r w:rsidRPr="00926D92">
              <w:rPr>
                <w:bCs/>
              </w:rPr>
              <w:t>30 days</w:t>
            </w:r>
          </w:p>
        </w:tc>
        <w:tc>
          <w:tcPr>
            <w:tcW w:w="1525" w:type="dxa"/>
          </w:tcPr>
          <w:p w14:paraId="4378E295" w14:textId="77777777" w:rsidR="00753234" w:rsidRPr="00926D92" w:rsidRDefault="00753234" w:rsidP="00261574">
            <w:pPr>
              <w:pStyle w:val="TableText"/>
              <w:jc w:val="center"/>
              <w:rPr>
                <w:bCs/>
              </w:rPr>
            </w:pPr>
            <w:r w:rsidRPr="00926D92">
              <w:rPr>
                <w:bCs/>
              </w:rPr>
              <w:t>6 months</w:t>
            </w:r>
          </w:p>
        </w:tc>
        <w:tc>
          <w:tcPr>
            <w:tcW w:w="1684" w:type="dxa"/>
          </w:tcPr>
          <w:p w14:paraId="0F994F64" w14:textId="77777777" w:rsidR="00753234" w:rsidRPr="00926D92" w:rsidRDefault="00753234" w:rsidP="00261574">
            <w:pPr>
              <w:pStyle w:val="TableText"/>
              <w:jc w:val="center"/>
              <w:rPr>
                <w:bCs/>
              </w:rPr>
            </w:pPr>
            <w:r w:rsidRPr="00926D92">
              <w:rPr>
                <w:bCs/>
              </w:rPr>
              <w:t>12 months</w:t>
            </w:r>
          </w:p>
        </w:tc>
      </w:tr>
      <w:tr w:rsidR="00753234" w14:paraId="476948A5" w14:textId="77777777" w:rsidTr="00261574">
        <w:tc>
          <w:tcPr>
            <w:tcW w:w="4106" w:type="dxa"/>
          </w:tcPr>
          <w:p w14:paraId="6E9319C4" w14:textId="77777777" w:rsidR="00753234" w:rsidRDefault="00753234">
            <w:pPr>
              <w:pStyle w:val="TableText"/>
            </w:pPr>
            <w:r w:rsidRPr="00364C53">
              <w:t>Emergency surgical revasculari</w:t>
            </w:r>
            <w:r>
              <w:t>s</w:t>
            </w:r>
            <w:r w:rsidRPr="00364C53">
              <w:t>ation of target limb</w:t>
            </w:r>
          </w:p>
        </w:tc>
        <w:tc>
          <w:tcPr>
            <w:tcW w:w="1701" w:type="dxa"/>
            <w:vAlign w:val="top"/>
          </w:tcPr>
          <w:p w14:paraId="1C506785" w14:textId="0B4265B9" w:rsidR="00753234" w:rsidRDefault="00753234" w:rsidP="00261574">
            <w:pPr>
              <w:pStyle w:val="TableText"/>
              <w:jc w:val="center"/>
            </w:pPr>
            <w:r>
              <w:t>0/59 (0.0)</w:t>
            </w:r>
          </w:p>
        </w:tc>
        <w:tc>
          <w:tcPr>
            <w:tcW w:w="1525" w:type="dxa"/>
            <w:vAlign w:val="top"/>
          </w:tcPr>
          <w:p w14:paraId="53A021C5" w14:textId="0D45227B" w:rsidR="00753234" w:rsidRDefault="00753234" w:rsidP="00261574">
            <w:pPr>
              <w:pStyle w:val="TableText"/>
              <w:jc w:val="center"/>
            </w:pPr>
            <w:r>
              <w:t>0/58 (0.0)</w:t>
            </w:r>
          </w:p>
        </w:tc>
        <w:tc>
          <w:tcPr>
            <w:tcW w:w="1684" w:type="dxa"/>
            <w:vAlign w:val="top"/>
          </w:tcPr>
          <w:p w14:paraId="413C7535" w14:textId="77777777" w:rsidR="00753234" w:rsidRDefault="00753234" w:rsidP="00261574">
            <w:pPr>
              <w:pStyle w:val="TableText"/>
              <w:jc w:val="center"/>
            </w:pPr>
            <w:r>
              <w:t>0/57 (0.0)</w:t>
            </w:r>
          </w:p>
        </w:tc>
      </w:tr>
      <w:tr w:rsidR="00753234" w14:paraId="1BA90188" w14:textId="77777777" w:rsidTr="00261574">
        <w:tc>
          <w:tcPr>
            <w:tcW w:w="4106" w:type="dxa"/>
          </w:tcPr>
          <w:p w14:paraId="2D14CC57" w14:textId="77777777" w:rsidR="00753234" w:rsidRDefault="00753234">
            <w:pPr>
              <w:pStyle w:val="TableText"/>
            </w:pPr>
            <w:r w:rsidRPr="00364C53">
              <w:t>Unplanned target limb amputation</w:t>
            </w:r>
          </w:p>
        </w:tc>
        <w:tc>
          <w:tcPr>
            <w:tcW w:w="1701" w:type="dxa"/>
          </w:tcPr>
          <w:p w14:paraId="11EFFCC0" w14:textId="77777777" w:rsidR="00753234" w:rsidRDefault="00753234" w:rsidP="00261574">
            <w:pPr>
              <w:pStyle w:val="TableText"/>
              <w:jc w:val="center"/>
            </w:pPr>
            <w:r>
              <w:t>0/59 (0.0)</w:t>
            </w:r>
          </w:p>
        </w:tc>
        <w:tc>
          <w:tcPr>
            <w:tcW w:w="1525" w:type="dxa"/>
          </w:tcPr>
          <w:p w14:paraId="3EC00EBE" w14:textId="77777777" w:rsidR="00753234" w:rsidRDefault="00753234" w:rsidP="00261574">
            <w:pPr>
              <w:pStyle w:val="TableText"/>
              <w:jc w:val="center"/>
            </w:pPr>
            <w:r>
              <w:t>0/58 (0.0)</w:t>
            </w:r>
          </w:p>
        </w:tc>
        <w:tc>
          <w:tcPr>
            <w:tcW w:w="1684" w:type="dxa"/>
          </w:tcPr>
          <w:p w14:paraId="69026351" w14:textId="77777777" w:rsidR="00753234" w:rsidRDefault="00753234" w:rsidP="00261574">
            <w:pPr>
              <w:pStyle w:val="TableText"/>
              <w:jc w:val="center"/>
            </w:pPr>
            <w:r>
              <w:t>0/57 (0.0)</w:t>
            </w:r>
          </w:p>
        </w:tc>
      </w:tr>
      <w:tr w:rsidR="00753234" w14:paraId="65144A65" w14:textId="77777777" w:rsidTr="00261574">
        <w:tc>
          <w:tcPr>
            <w:tcW w:w="4106" w:type="dxa"/>
          </w:tcPr>
          <w:p w14:paraId="3DAC6F7C" w14:textId="77777777" w:rsidR="00753234" w:rsidRDefault="00753234">
            <w:pPr>
              <w:pStyle w:val="TableText"/>
            </w:pPr>
            <w:r w:rsidRPr="00364C53">
              <w:t>Symptomatic thrombus or emboli</w:t>
            </w:r>
          </w:p>
        </w:tc>
        <w:tc>
          <w:tcPr>
            <w:tcW w:w="1701" w:type="dxa"/>
          </w:tcPr>
          <w:p w14:paraId="1B3DC0EA" w14:textId="77777777" w:rsidR="00753234" w:rsidRDefault="00753234" w:rsidP="00261574">
            <w:pPr>
              <w:pStyle w:val="TableText"/>
              <w:jc w:val="center"/>
            </w:pPr>
            <w:r>
              <w:t>0/59 (0.0)</w:t>
            </w:r>
          </w:p>
        </w:tc>
        <w:tc>
          <w:tcPr>
            <w:tcW w:w="1525" w:type="dxa"/>
          </w:tcPr>
          <w:p w14:paraId="2B1E94D2" w14:textId="77777777" w:rsidR="00753234" w:rsidRDefault="00753234" w:rsidP="00261574">
            <w:pPr>
              <w:pStyle w:val="TableText"/>
              <w:jc w:val="center"/>
            </w:pPr>
            <w:r>
              <w:t>0/58 (0.0)</w:t>
            </w:r>
          </w:p>
        </w:tc>
        <w:tc>
          <w:tcPr>
            <w:tcW w:w="1684" w:type="dxa"/>
          </w:tcPr>
          <w:p w14:paraId="4F3FFE86" w14:textId="77777777" w:rsidR="00753234" w:rsidRDefault="00753234" w:rsidP="00261574">
            <w:pPr>
              <w:pStyle w:val="TableText"/>
              <w:jc w:val="center"/>
            </w:pPr>
            <w:r>
              <w:t>0/57 (0.0)</w:t>
            </w:r>
          </w:p>
        </w:tc>
      </w:tr>
      <w:tr w:rsidR="00753234" w14:paraId="53AC90D0" w14:textId="77777777" w:rsidTr="00261574">
        <w:tc>
          <w:tcPr>
            <w:tcW w:w="4106" w:type="dxa"/>
          </w:tcPr>
          <w:p w14:paraId="5676FE39" w14:textId="77777777" w:rsidR="00753234" w:rsidRDefault="00753234">
            <w:pPr>
              <w:pStyle w:val="TableText"/>
            </w:pPr>
            <w:r w:rsidRPr="00DB7AEC">
              <w:t>Perforations or Gr</w:t>
            </w:r>
            <w:r>
              <w:t>ade</w:t>
            </w:r>
            <w:r w:rsidRPr="00DB7AEC">
              <w:t xml:space="preserve"> D dissections w/ interventions</w:t>
            </w:r>
          </w:p>
        </w:tc>
        <w:tc>
          <w:tcPr>
            <w:tcW w:w="1701" w:type="dxa"/>
          </w:tcPr>
          <w:p w14:paraId="2E03C260" w14:textId="77777777" w:rsidR="00753234" w:rsidRDefault="00753234" w:rsidP="00261574">
            <w:pPr>
              <w:pStyle w:val="TableText"/>
              <w:jc w:val="center"/>
            </w:pPr>
            <w:r>
              <w:t>1/59 (1.7)</w:t>
            </w:r>
          </w:p>
        </w:tc>
        <w:tc>
          <w:tcPr>
            <w:tcW w:w="1525" w:type="dxa"/>
          </w:tcPr>
          <w:p w14:paraId="6144A567" w14:textId="77777777" w:rsidR="00753234" w:rsidRDefault="00753234" w:rsidP="00261574">
            <w:pPr>
              <w:pStyle w:val="TableText"/>
              <w:jc w:val="center"/>
            </w:pPr>
            <w:r>
              <w:t>1/58 (1.7)</w:t>
            </w:r>
          </w:p>
        </w:tc>
        <w:tc>
          <w:tcPr>
            <w:tcW w:w="1684" w:type="dxa"/>
          </w:tcPr>
          <w:p w14:paraId="218A5A07" w14:textId="77777777" w:rsidR="00753234" w:rsidRDefault="00753234" w:rsidP="00261574">
            <w:pPr>
              <w:pStyle w:val="TableText"/>
              <w:jc w:val="center"/>
            </w:pPr>
            <w:r>
              <w:t>1/57 (1.8)</w:t>
            </w:r>
          </w:p>
        </w:tc>
      </w:tr>
      <w:tr w:rsidR="00753234" w14:paraId="0E2EC4DE" w14:textId="77777777">
        <w:tc>
          <w:tcPr>
            <w:tcW w:w="9016" w:type="dxa"/>
            <w:gridSpan w:val="4"/>
          </w:tcPr>
          <w:p w14:paraId="1E3C6656" w14:textId="77777777" w:rsidR="00753234" w:rsidRPr="00D20D91" w:rsidRDefault="00753234">
            <w:pPr>
              <w:pStyle w:val="TableText"/>
              <w:rPr>
                <w:b/>
              </w:rPr>
            </w:pPr>
            <w:r w:rsidRPr="00D20D91">
              <w:rPr>
                <w:b/>
              </w:rPr>
              <w:t>DISRUPT PAD I</w:t>
            </w:r>
          </w:p>
        </w:tc>
      </w:tr>
      <w:tr w:rsidR="00753234" w14:paraId="3FEFB236" w14:textId="77777777" w:rsidTr="00261574">
        <w:tc>
          <w:tcPr>
            <w:tcW w:w="4106" w:type="dxa"/>
          </w:tcPr>
          <w:p w14:paraId="33432109" w14:textId="77777777" w:rsidR="00753234" w:rsidRPr="00A42BCD" w:rsidRDefault="00753234">
            <w:pPr>
              <w:pStyle w:val="TableText"/>
              <w:rPr>
                <w:bCs/>
              </w:rPr>
            </w:pPr>
            <w:r w:rsidRPr="00A42BCD">
              <w:rPr>
                <w:bCs/>
              </w:rPr>
              <w:t xml:space="preserve">Major adverse events </w:t>
            </w:r>
          </w:p>
        </w:tc>
        <w:tc>
          <w:tcPr>
            <w:tcW w:w="1701" w:type="dxa"/>
          </w:tcPr>
          <w:p w14:paraId="31572C70" w14:textId="77777777" w:rsidR="00753234" w:rsidRPr="00A42BCD" w:rsidRDefault="00753234" w:rsidP="00261574">
            <w:pPr>
              <w:pStyle w:val="TableText"/>
              <w:jc w:val="center"/>
              <w:rPr>
                <w:bCs/>
              </w:rPr>
            </w:pPr>
            <w:r w:rsidRPr="00A42BCD">
              <w:rPr>
                <w:bCs/>
              </w:rPr>
              <w:t>Periprocedural</w:t>
            </w:r>
          </w:p>
        </w:tc>
        <w:tc>
          <w:tcPr>
            <w:tcW w:w="1525" w:type="dxa"/>
          </w:tcPr>
          <w:p w14:paraId="78509A2D" w14:textId="77777777" w:rsidR="00753234" w:rsidRPr="00A42BCD" w:rsidRDefault="00753234" w:rsidP="00261574">
            <w:pPr>
              <w:pStyle w:val="TableText"/>
              <w:jc w:val="center"/>
              <w:rPr>
                <w:bCs/>
              </w:rPr>
            </w:pPr>
            <w:r w:rsidRPr="00A42BCD">
              <w:rPr>
                <w:bCs/>
              </w:rPr>
              <w:t>Discharge</w:t>
            </w:r>
          </w:p>
        </w:tc>
        <w:tc>
          <w:tcPr>
            <w:tcW w:w="1684" w:type="dxa"/>
          </w:tcPr>
          <w:p w14:paraId="4737BA37" w14:textId="77777777" w:rsidR="00753234" w:rsidRPr="00A42BCD" w:rsidRDefault="00753234" w:rsidP="00261574">
            <w:pPr>
              <w:pStyle w:val="TableText"/>
              <w:jc w:val="center"/>
              <w:rPr>
                <w:bCs/>
              </w:rPr>
            </w:pPr>
            <w:r w:rsidRPr="00A42BCD">
              <w:rPr>
                <w:bCs/>
              </w:rPr>
              <w:t>30 days</w:t>
            </w:r>
          </w:p>
        </w:tc>
      </w:tr>
      <w:tr w:rsidR="00753234" w14:paraId="7A6BA9F0" w14:textId="77777777" w:rsidTr="00261574">
        <w:tc>
          <w:tcPr>
            <w:tcW w:w="4106" w:type="dxa"/>
          </w:tcPr>
          <w:p w14:paraId="6994A079" w14:textId="77777777" w:rsidR="00753234" w:rsidRPr="00DB7AEC" w:rsidRDefault="00753234">
            <w:pPr>
              <w:pStyle w:val="TableText"/>
            </w:pPr>
            <w:r>
              <w:t>Need for emergency surgical revascularisation of target limb</w:t>
            </w:r>
          </w:p>
        </w:tc>
        <w:tc>
          <w:tcPr>
            <w:tcW w:w="1701" w:type="dxa"/>
          </w:tcPr>
          <w:p w14:paraId="05DD4084" w14:textId="77777777" w:rsidR="00753234" w:rsidRDefault="00753234" w:rsidP="00261574">
            <w:pPr>
              <w:pStyle w:val="TableText"/>
              <w:jc w:val="center"/>
            </w:pPr>
            <w:r w:rsidRPr="00570C7A">
              <w:t>0/35 (0.0)</w:t>
            </w:r>
          </w:p>
        </w:tc>
        <w:tc>
          <w:tcPr>
            <w:tcW w:w="1525" w:type="dxa"/>
          </w:tcPr>
          <w:p w14:paraId="1400B36A" w14:textId="77777777" w:rsidR="00753234" w:rsidRDefault="00753234" w:rsidP="00261574">
            <w:pPr>
              <w:pStyle w:val="TableText"/>
              <w:jc w:val="center"/>
            </w:pPr>
            <w:r w:rsidRPr="00570C7A">
              <w:t>0/35 (0.0)</w:t>
            </w:r>
          </w:p>
        </w:tc>
        <w:tc>
          <w:tcPr>
            <w:tcW w:w="1684" w:type="dxa"/>
          </w:tcPr>
          <w:p w14:paraId="79EFAA78" w14:textId="77777777" w:rsidR="00753234" w:rsidRDefault="00753234" w:rsidP="00261574">
            <w:pPr>
              <w:pStyle w:val="TableText"/>
              <w:jc w:val="center"/>
            </w:pPr>
            <w:r w:rsidRPr="00570C7A">
              <w:t>0/35 (0.0)</w:t>
            </w:r>
          </w:p>
        </w:tc>
      </w:tr>
      <w:tr w:rsidR="00753234" w14:paraId="3DDCF757" w14:textId="77777777" w:rsidTr="00261574">
        <w:tc>
          <w:tcPr>
            <w:tcW w:w="4106" w:type="dxa"/>
          </w:tcPr>
          <w:p w14:paraId="0F634F35" w14:textId="77777777" w:rsidR="00753234" w:rsidRPr="00DB7AEC" w:rsidRDefault="00753234">
            <w:pPr>
              <w:pStyle w:val="TableText"/>
            </w:pPr>
            <w:r>
              <w:t>Unplanned target limb amputation (above the ankle)</w:t>
            </w:r>
          </w:p>
        </w:tc>
        <w:tc>
          <w:tcPr>
            <w:tcW w:w="1701" w:type="dxa"/>
          </w:tcPr>
          <w:p w14:paraId="6FE250D5" w14:textId="77777777" w:rsidR="00753234" w:rsidRDefault="00753234" w:rsidP="00261574">
            <w:pPr>
              <w:pStyle w:val="TableText"/>
              <w:jc w:val="center"/>
            </w:pPr>
            <w:r w:rsidRPr="00570C7A">
              <w:t>0/35 (0.0)</w:t>
            </w:r>
          </w:p>
        </w:tc>
        <w:tc>
          <w:tcPr>
            <w:tcW w:w="1525" w:type="dxa"/>
          </w:tcPr>
          <w:p w14:paraId="5843FE81" w14:textId="77777777" w:rsidR="00753234" w:rsidRDefault="00753234" w:rsidP="00261574">
            <w:pPr>
              <w:pStyle w:val="TableText"/>
              <w:jc w:val="center"/>
            </w:pPr>
            <w:r w:rsidRPr="00570C7A">
              <w:t>0/35 (0.0)</w:t>
            </w:r>
          </w:p>
        </w:tc>
        <w:tc>
          <w:tcPr>
            <w:tcW w:w="1684" w:type="dxa"/>
          </w:tcPr>
          <w:p w14:paraId="43876FE8" w14:textId="77777777" w:rsidR="00753234" w:rsidRDefault="00753234" w:rsidP="00261574">
            <w:pPr>
              <w:pStyle w:val="TableText"/>
              <w:jc w:val="center"/>
            </w:pPr>
            <w:r w:rsidRPr="00570C7A">
              <w:t>0/35 (0.0)</w:t>
            </w:r>
          </w:p>
        </w:tc>
      </w:tr>
      <w:tr w:rsidR="00753234" w14:paraId="1F33A3F1" w14:textId="77777777" w:rsidTr="00261574">
        <w:tc>
          <w:tcPr>
            <w:tcW w:w="4106" w:type="dxa"/>
          </w:tcPr>
          <w:p w14:paraId="61099933" w14:textId="77777777" w:rsidR="00753234" w:rsidRPr="00DB7AEC" w:rsidRDefault="00753234">
            <w:pPr>
              <w:pStyle w:val="TableText"/>
            </w:pPr>
            <w:r>
              <w:t>Symptomatic thrombus or distal emboli*</w:t>
            </w:r>
          </w:p>
        </w:tc>
        <w:tc>
          <w:tcPr>
            <w:tcW w:w="1701" w:type="dxa"/>
          </w:tcPr>
          <w:p w14:paraId="48471623" w14:textId="77777777" w:rsidR="00753234" w:rsidRDefault="00753234" w:rsidP="00261574">
            <w:pPr>
              <w:pStyle w:val="TableText"/>
              <w:jc w:val="center"/>
            </w:pPr>
            <w:r w:rsidRPr="00570C7A">
              <w:t>0/35 (0.0)</w:t>
            </w:r>
          </w:p>
        </w:tc>
        <w:tc>
          <w:tcPr>
            <w:tcW w:w="1525" w:type="dxa"/>
          </w:tcPr>
          <w:p w14:paraId="6A292A08" w14:textId="77777777" w:rsidR="00753234" w:rsidRDefault="00753234" w:rsidP="00261574">
            <w:pPr>
              <w:pStyle w:val="TableText"/>
              <w:jc w:val="center"/>
            </w:pPr>
            <w:r w:rsidRPr="00570C7A">
              <w:t>0/35 (0.0)</w:t>
            </w:r>
          </w:p>
        </w:tc>
        <w:tc>
          <w:tcPr>
            <w:tcW w:w="1684" w:type="dxa"/>
          </w:tcPr>
          <w:p w14:paraId="483E75A2" w14:textId="77777777" w:rsidR="00753234" w:rsidRDefault="00753234" w:rsidP="00261574">
            <w:pPr>
              <w:pStyle w:val="TableText"/>
              <w:jc w:val="center"/>
            </w:pPr>
            <w:r w:rsidRPr="00570C7A">
              <w:t>0/35 (0.0)</w:t>
            </w:r>
          </w:p>
        </w:tc>
      </w:tr>
      <w:tr w:rsidR="00753234" w14:paraId="7E3638CD" w14:textId="77777777" w:rsidTr="00261574">
        <w:tc>
          <w:tcPr>
            <w:tcW w:w="4106" w:type="dxa"/>
          </w:tcPr>
          <w:p w14:paraId="1B251118" w14:textId="5C6CEE94" w:rsidR="00753234" w:rsidRPr="00DB7AEC" w:rsidRDefault="00753234">
            <w:pPr>
              <w:pStyle w:val="TableText"/>
            </w:pPr>
            <w:r>
              <w:t>Perforations and dissections of grade D or greater that require an intervention to resolve, including bail</w:t>
            </w:r>
            <w:r w:rsidR="00C90312">
              <w:t>-</w:t>
            </w:r>
            <w:r>
              <w:t>out stenting</w:t>
            </w:r>
          </w:p>
        </w:tc>
        <w:tc>
          <w:tcPr>
            <w:tcW w:w="1701" w:type="dxa"/>
          </w:tcPr>
          <w:p w14:paraId="780D9690" w14:textId="77777777" w:rsidR="00753234" w:rsidRDefault="00753234" w:rsidP="00261574">
            <w:pPr>
              <w:pStyle w:val="TableText"/>
              <w:jc w:val="center"/>
            </w:pPr>
            <w:r w:rsidRPr="00570C7A">
              <w:t>0/35 (0.0)</w:t>
            </w:r>
          </w:p>
        </w:tc>
        <w:tc>
          <w:tcPr>
            <w:tcW w:w="1525" w:type="dxa"/>
          </w:tcPr>
          <w:p w14:paraId="3C561224" w14:textId="77777777" w:rsidR="00753234" w:rsidRDefault="00753234" w:rsidP="00261574">
            <w:pPr>
              <w:pStyle w:val="TableText"/>
              <w:jc w:val="center"/>
            </w:pPr>
            <w:r w:rsidRPr="00570C7A">
              <w:t>0/35 (0.0)</w:t>
            </w:r>
          </w:p>
        </w:tc>
        <w:tc>
          <w:tcPr>
            <w:tcW w:w="1684" w:type="dxa"/>
          </w:tcPr>
          <w:p w14:paraId="4D02C46C" w14:textId="77777777" w:rsidR="00753234" w:rsidRDefault="00753234" w:rsidP="00261574">
            <w:pPr>
              <w:pStyle w:val="TableText"/>
              <w:jc w:val="center"/>
            </w:pPr>
            <w:r w:rsidRPr="00570C7A">
              <w:t>0/35 (0.0)</w:t>
            </w:r>
          </w:p>
        </w:tc>
      </w:tr>
      <w:tr w:rsidR="00753234" w14:paraId="5C00F419" w14:textId="77777777">
        <w:tc>
          <w:tcPr>
            <w:tcW w:w="9016" w:type="dxa"/>
            <w:gridSpan w:val="4"/>
          </w:tcPr>
          <w:p w14:paraId="012DFAF3" w14:textId="77777777" w:rsidR="00753234" w:rsidRPr="00D20D91" w:rsidRDefault="00753234">
            <w:pPr>
              <w:pStyle w:val="TableText"/>
              <w:rPr>
                <w:b/>
              </w:rPr>
            </w:pPr>
            <w:r w:rsidRPr="00D20D91">
              <w:rPr>
                <w:b/>
              </w:rPr>
              <w:t>DISRUPT PAD BTK</w:t>
            </w:r>
          </w:p>
        </w:tc>
      </w:tr>
      <w:tr w:rsidR="00753234" w14:paraId="4695AA58" w14:textId="77777777" w:rsidTr="00261574">
        <w:tc>
          <w:tcPr>
            <w:tcW w:w="4106" w:type="dxa"/>
          </w:tcPr>
          <w:p w14:paraId="2BA14949" w14:textId="08EB4043" w:rsidR="00753234" w:rsidRPr="00A42BCD" w:rsidRDefault="00753234">
            <w:pPr>
              <w:pStyle w:val="TableText"/>
              <w:rPr>
                <w:bCs/>
              </w:rPr>
            </w:pPr>
            <w:r w:rsidRPr="00A42BCD">
              <w:rPr>
                <w:bCs/>
              </w:rPr>
              <w:t>Major adverse events</w:t>
            </w:r>
          </w:p>
        </w:tc>
        <w:tc>
          <w:tcPr>
            <w:tcW w:w="4910" w:type="dxa"/>
            <w:gridSpan w:val="3"/>
          </w:tcPr>
          <w:p w14:paraId="65855188" w14:textId="5C2E7FA2" w:rsidR="00753234" w:rsidRPr="00A42BCD" w:rsidRDefault="00F13EE5" w:rsidP="00261574">
            <w:pPr>
              <w:pStyle w:val="TableText"/>
              <w:jc w:val="center"/>
              <w:rPr>
                <w:bCs/>
              </w:rPr>
            </w:pPr>
            <w:r>
              <w:rPr>
                <w:bCs/>
              </w:rPr>
              <w:t xml:space="preserve">Assessed at </w:t>
            </w:r>
            <w:r w:rsidR="00753234" w:rsidRPr="00A42BCD">
              <w:rPr>
                <w:bCs/>
              </w:rPr>
              <w:t>30 days</w:t>
            </w:r>
            <w:r>
              <w:rPr>
                <w:bCs/>
              </w:rPr>
              <w:t xml:space="preserve"> post-procedure</w:t>
            </w:r>
          </w:p>
        </w:tc>
      </w:tr>
      <w:tr w:rsidR="00753234" w14:paraId="1ED08296" w14:textId="77777777" w:rsidTr="00261574">
        <w:tc>
          <w:tcPr>
            <w:tcW w:w="4106" w:type="dxa"/>
          </w:tcPr>
          <w:p w14:paraId="76B4C6EF" w14:textId="77777777" w:rsidR="00753234" w:rsidRDefault="00753234">
            <w:pPr>
              <w:pStyle w:val="TableText"/>
            </w:pPr>
            <w:r w:rsidRPr="001F0EEB">
              <w:t>Death</w:t>
            </w:r>
          </w:p>
        </w:tc>
        <w:tc>
          <w:tcPr>
            <w:tcW w:w="4910" w:type="dxa"/>
            <w:gridSpan w:val="3"/>
          </w:tcPr>
          <w:p w14:paraId="1040BE48" w14:textId="77777777" w:rsidR="00753234" w:rsidRPr="00570C7A" w:rsidRDefault="00753234" w:rsidP="00261574">
            <w:pPr>
              <w:pStyle w:val="TableText"/>
              <w:jc w:val="center"/>
            </w:pPr>
            <w:r w:rsidRPr="00570C7A">
              <w:t>0/</w:t>
            </w:r>
            <w:r>
              <w:t>20</w:t>
            </w:r>
            <w:r w:rsidRPr="00570C7A">
              <w:t xml:space="preserve"> (0.0)</w:t>
            </w:r>
          </w:p>
        </w:tc>
      </w:tr>
      <w:tr w:rsidR="00753234" w14:paraId="3F6FFAED" w14:textId="77777777" w:rsidTr="00261574">
        <w:tc>
          <w:tcPr>
            <w:tcW w:w="4106" w:type="dxa"/>
          </w:tcPr>
          <w:p w14:paraId="402E7156" w14:textId="77777777" w:rsidR="00753234" w:rsidRDefault="00753234">
            <w:pPr>
              <w:pStyle w:val="TableText"/>
            </w:pPr>
            <w:r>
              <w:t>Myocardial Infarction</w:t>
            </w:r>
          </w:p>
        </w:tc>
        <w:tc>
          <w:tcPr>
            <w:tcW w:w="4910" w:type="dxa"/>
            <w:gridSpan w:val="3"/>
            <w:vAlign w:val="top"/>
          </w:tcPr>
          <w:p w14:paraId="50BEB699" w14:textId="77777777" w:rsidR="00753234" w:rsidRPr="00570C7A" w:rsidRDefault="00753234" w:rsidP="00261574">
            <w:pPr>
              <w:pStyle w:val="TableText"/>
              <w:jc w:val="center"/>
            </w:pPr>
            <w:r w:rsidRPr="00525834">
              <w:t>0/20 (0.0)</w:t>
            </w:r>
          </w:p>
        </w:tc>
      </w:tr>
      <w:tr w:rsidR="00753234" w14:paraId="592B00E7" w14:textId="77777777" w:rsidTr="00261574">
        <w:tc>
          <w:tcPr>
            <w:tcW w:w="4106" w:type="dxa"/>
          </w:tcPr>
          <w:p w14:paraId="45FA2CCA" w14:textId="77777777" w:rsidR="00753234" w:rsidRDefault="00753234">
            <w:pPr>
              <w:pStyle w:val="TableText"/>
            </w:pPr>
            <w:r>
              <w:t>Emergency surgical revascularisation of target limb</w:t>
            </w:r>
          </w:p>
        </w:tc>
        <w:tc>
          <w:tcPr>
            <w:tcW w:w="4910" w:type="dxa"/>
            <w:gridSpan w:val="3"/>
            <w:vAlign w:val="top"/>
          </w:tcPr>
          <w:p w14:paraId="2995214B" w14:textId="77777777" w:rsidR="00753234" w:rsidRPr="00570C7A" w:rsidRDefault="00753234" w:rsidP="00261574">
            <w:pPr>
              <w:pStyle w:val="TableText"/>
              <w:jc w:val="center"/>
            </w:pPr>
            <w:r w:rsidRPr="00525834">
              <w:t>0/20 (0.0)</w:t>
            </w:r>
          </w:p>
        </w:tc>
      </w:tr>
      <w:tr w:rsidR="00753234" w14:paraId="05879C20" w14:textId="77777777" w:rsidTr="00261574">
        <w:tc>
          <w:tcPr>
            <w:tcW w:w="4106" w:type="dxa"/>
          </w:tcPr>
          <w:p w14:paraId="61CE82C5" w14:textId="77777777" w:rsidR="00753234" w:rsidRDefault="00753234">
            <w:pPr>
              <w:pStyle w:val="TableText"/>
            </w:pPr>
            <w:r>
              <w:t>Unplanned target limb amputation (above the ankle)</w:t>
            </w:r>
          </w:p>
        </w:tc>
        <w:tc>
          <w:tcPr>
            <w:tcW w:w="4910" w:type="dxa"/>
            <w:gridSpan w:val="3"/>
            <w:vAlign w:val="top"/>
          </w:tcPr>
          <w:p w14:paraId="4A7BAC23" w14:textId="77777777" w:rsidR="00753234" w:rsidRPr="00570C7A" w:rsidRDefault="00753234" w:rsidP="00261574">
            <w:pPr>
              <w:pStyle w:val="TableText"/>
              <w:jc w:val="center"/>
            </w:pPr>
            <w:r w:rsidRPr="00525834">
              <w:t>0/20 (0.0)</w:t>
            </w:r>
          </w:p>
        </w:tc>
      </w:tr>
    </w:tbl>
    <w:p w14:paraId="785F25E6" w14:textId="464FE8C0" w:rsidR="00716E11" w:rsidRDefault="00716E11" w:rsidP="008D6737">
      <w:pPr>
        <w:pStyle w:val="TableFooter"/>
      </w:pPr>
      <w:r w:rsidRPr="00022737">
        <w:t>IVL = Intravascular lithotripsy</w:t>
      </w:r>
    </w:p>
    <w:p w14:paraId="672CDE61" w14:textId="0D10ED61" w:rsidR="0070214E" w:rsidRPr="00022737" w:rsidRDefault="0070214E" w:rsidP="008D6737">
      <w:pPr>
        <w:pStyle w:val="TableFooter"/>
      </w:pPr>
      <w:r>
        <w:t xml:space="preserve">*Defined as clinical signs or </w:t>
      </w:r>
      <w:r w:rsidR="004E1322">
        <w:t>symptoms of thrombus or distal emboli detected in the treated limb in the area of the treated lesion or distal to the treated lesion after the index procedure or note</w:t>
      </w:r>
      <w:r w:rsidR="00EE6659">
        <w:t>d</w:t>
      </w:r>
      <w:r w:rsidR="004E1322">
        <w:t xml:space="preserve"> </w:t>
      </w:r>
      <w:proofErr w:type="gramStart"/>
      <w:r w:rsidR="004E1322">
        <w:t>angiographically, and</w:t>
      </w:r>
      <w:proofErr w:type="gramEnd"/>
      <w:r w:rsidR="004E1322">
        <w:t xml:space="preserve"> requiring mechanical or pharmacological mean</w:t>
      </w:r>
      <w:r w:rsidR="000D6D3D">
        <w:t>s</w:t>
      </w:r>
      <w:r w:rsidR="004E1322">
        <w:t xml:space="preserve"> to improve flow.</w:t>
      </w:r>
    </w:p>
    <w:p w14:paraId="1FD99362" w14:textId="188CC44B" w:rsidR="007204B6" w:rsidRDefault="007204B6" w:rsidP="00581E29">
      <w:r w:rsidRPr="007204B6">
        <w:lastRenderedPageBreak/>
        <w:t xml:space="preserve">The DISRUPT PAD III OS study reported perforations in 0.4% of lesions treated (4/1118). No </w:t>
      </w:r>
      <w:r w:rsidR="00283F53" w:rsidRPr="008A7925">
        <w:t xml:space="preserve">vascular </w:t>
      </w:r>
      <w:r w:rsidRPr="008A7925">
        <w:t>reflow</w:t>
      </w:r>
      <w:r w:rsidRPr="007204B6">
        <w:t xml:space="preserve"> post-IVL occurred in 0.2% (2/1119) of the lesions, distal emboli in one lesion 0.1% (1/1118), and thrombus in one lesion 0.1% (1/1119).</w:t>
      </w:r>
      <w:r>
        <w:t xml:space="preserve"> </w:t>
      </w:r>
      <w:r w:rsidRPr="009344A4">
        <w:t xml:space="preserve">The DISRUPT PAD III OS study </w:t>
      </w:r>
      <w:r w:rsidR="00E22E1C">
        <w:t>also reported</w:t>
      </w:r>
      <w:r>
        <w:t xml:space="preserve"> f</w:t>
      </w:r>
      <w:r w:rsidRPr="009344A4">
        <w:t>ive deaths</w:t>
      </w:r>
      <w:r>
        <w:t>. However,</w:t>
      </w:r>
      <w:r w:rsidRPr="009344A4">
        <w:t xml:space="preserve"> </w:t>
      </w:r>
      <w:r>
        <w:t>n</w:t>
      </w:r>
      <w:r w:rsidRPr="009344A4">
        <w:t xml:space="preserve">one were related to the device or the procedure. </w:t>
      </w:r>
    </w:p>
    <w:p w14:paraId="220E5D41" w14:textId="20BE10EF" w:rsidR="009344A4" w:rsidRDefault="007204B6" w:rsidP="00581E29">
      <w:r>
        <w:t>The</w:t>
      </w:r>
      <w:r w:rsidRPr="007204B6">
        <w:t xml:space="preserve"> DISRUPT PAD II study</w:t>
      </w:r>
      <w:r>
        <w:t xml:space="preserve"> reported</w:t>
      </w:r>
      <w:r w:rsidRPr="007204B6">
        <w:t xml:space="preserve"> 1.7% of MAEs at 30 days</w:t>
      </w:r>
      <w:r w:rsidR="002B15C1">
        <w:t>,</w:t>
      </w:r>
      <w:r w:rsidRPr="007204B6">
        <w:t xml:space="preserve"> </w:t>
      </w:r>
      <w:r>
        <w:t xml:space="preserve">and </w:t>
      </w:r>
      <w:r w:rsidRPr="007204B6">
        <w:t xml:space="preserve">no further incidences of MAEs reported beyond the initial 30 days of the study. </w:t>
      </w:r>
      <w:r w:rsidR="00E22E1C">
        <w:t>One death was reported during the study, which was determined to be cardiac-related and</w:t>
      </w:r>
      <w:r w:rsidRPr="007204B6">
        <w:t xml:space="preserve"> not associated with the study device or procedure</w:t>
      </w:r>
      <w:r>
        <w:t>.</w:t>
      </w:r>
    </w:p>
    <w:p w14:paraId="02D06BD1" w14:textId="150FD72A" w:rsidR="009344A4" w:rsidRDefault="007204B6" w:rsidP="00581E29">
      <w:r w:rsidRPr="007204B6">
        <w:t>In DISRUPT PAD I</w:t>
      </w:r>
      <w:r>
        <w:t xml:space="preserve"> reported </w:t>
      </w:r>
      <w:r w:rsidRPr="007204B6">
        <w:t>no major adverse events at the time of the procedure and through the 30-day or 6-month follow-up visit.</w:t>
      </w:r>
    </w:p>
    <w:p w14:paraId="69E210F4" w14:textId="6786D79F" w:rsidR="007204B6" w:rsidRDefault="00486193" w:rsidP="00581E29">
      <w:r w:rsidRPr="00486193">
        <w:t xml:space="preserve">DISRUPT PAD BTK reported no major adverse events (defined as death, </w:t>
      </w:r>
      <w:r w:rsidR="00482BE5">
        <w:t>m</w:t>
      </w:r>
      <w:r w:rsidR="00482BE5" w:rsidRPr="00486193">
        <w:t xml:space="preserve">yocardial </w:t>
      </w:r>
      <w:r w:rsidRPr="00486193">
        <w:t xml:space="preserve">infarction, emergency surgical revascularisation, or unplanned target limb amputation) through 30 days post-procedure. </w:t>
      </w:r>
    </w:p>
    <w:p w14:paraId="7BB83752" w14:textId="6EC14CD9" w:rsidR="00536B93" w:rsidRPr="00996E36" w:rsidRDefault="00AB6B3A" w:rsidP="00581E29">
      <w:bookmarkStart w:id="23" w:name="_Hlk141446131"/>
      <w:r w:rsidRPr="00996E36">
        <w:t xml:space="preserve">The </w:t>
      </w:r>
      <w:r w:rsidR="00536B93" w:rsidRPr="00996E36">
        <w:t xml:space="preserve">commentary </w:t>
      </w:r>
      <w:r w:rsidR="00AD106C" w:rsidRPr="00AD106C">
        <w:t>considers</w:t>
      </w:r>
      <w:r w:rsidR="00536B93" w:rsidRPr="00996E36">
        <w:t xml:space="preserve"> that </w:t>
      </w:r>
      <w:r w:rsidRPr="00996E36">
        <w:t xml:space="preserve">DISRUPT PAD III RCT provided comparative evidence of </w:t>
      </w:r>
      <w:r w:rsidR="002B15C1" w:rsidRPr="00996E36">
        <w:t xml:space="preserve">the </w:t>
      </w:r>
      <w:r w:rsidRPr="00996E36">
        <w:t xml:space="preserve">safety of IVL and SBA and </w:t>
      </w:r>
      <w:r w:rsidR="002B15C1" w:rsidRPr="00996E36">
        <w:t xml:space="preserve">was </w:t>
      </w:r>
      <w:r w:rsidRPr="00996E36">
        <w:t>relevant for the PICO set 2</w:t>
      </w:r>
      <w:bookmarkEnd w:id="23"/>
      <w:r w:rsidRPr="00996E36">
        <w:t xml:space="preserve">. </w:t>
      </w:r>
      <w:r w:rsidR="00536B93" w:rsidRPr="00996E36">
        <w:t>Nevertheless, t</w:t>
      </w:r>
      <w:r w:rsidRPr="00996E36">
        <w:t>he clinical claim of non-inferior safety in</w:t>
      </w:r>
      <w:r w:rsidR="00536B93" w:rsidRPr="00996E36">
        <w:t xml:space="preserve"> the</w:t>
      </w:r>
      <w:r w:rsidRPr="00996E36">
        <w:t xml:space="preserve"> ADAR is </w:t>
      </w:r>
      <w:r w:rsidR="00482BE5" w:rsidRPr="00996E36">
        <w:t xml:space="preserve">uncertain as </w:t>
      </w:r>
      <w:r w:rsidR="00536B93" w:rsidRPr="00996E36">
        <w:t xml:space="preserve">the </w:t>
      </w:r>
      <w:r w:rsidRPr="00996E36">
        <w:t>DISRUPT PAD III RCT</w:t>
      </w:r>
      <w:r w:rsidR="00482BE5" w:rsidRPr="00996E36">
        <w:t xml:space="preserve"> d</w:t>
      </w:r>
      <w:r w:rsidR="00536B93" w:rsidRPr="00996E36">
        <w:t>oes</w:t>
      </w:r>
      <w:r w:rsidR="00482BE5" w:rsidRPr="00996E36">
        <w:t xml:space="preserve"> not provide long-term safety evidence</w:t>
      </w:r>
      <w:r w:rsidRPr="00996E36">
        <w:t>.</w:t>
      </w:r>
      <w:r w:rsidR="00494174" w:rsidRPr="00996E36">
        <w:t xml:space="preserve"> </w:t>
      </w:r>
      <w:r w:rsidR="00536B93" w:rsidRPr="00996E36">
        <w:t>The commentary noted that the comparative safety evidence related to the IVL and SBA in PICO set 1 is limited as it was based on single-arm studies</w:t>
      </w:r>
      <w:r w:rsidR="00CB0683">
        <w:t xml:space="preserve"> only</w:t>
      </w:r>
      <w:r w:rsidR="00536B93" w:rsidRPr="00996E36">
        <w:t>.</w:t>
      </w:r>
    </w:p>
    <w:p w14:paraId="3717AA01" w14:textId="22A03870" w:rsidR="00772829" w:rsidRPr="00CE28E3" w:rsidRDefault="00C36633" w:rsidP="002A18BE">
      <w:pPr>
        <w:pStyle w:val="Heading2"/>
        <w:numPr>
          <w:ilvl w:val="0"/>
          <w:numId w:val="0"/>
        </w:numPr>
      </w:pPr>
      <w:bookmarkStart w:id="24" w:name="_Toc69491424"/>
      <w:r>
        <w:t>1</w:t>
      </w:r>
      <w:r w:rsidR="00C73462">
        <w:t>2</w:t>
      </w:r>
      <w:r>
        <w:t>.</w:t>
      </w:r>
      <w:r>
        <w:tab/>
      </w:r>
      <w:r w:rsidR="00772829" w:rsidRPr="00CE28E3">
        <w:t>Comparative effectiveness</w:t>
      </w:r>
      <w:bookmarkEnd w:id="24"/>
    </w:p>
    <w:p w14:paraId="258E0F32" w14:textId="44B2D1DB" w:rsidR="00A04CC6" w:rsidRPr="00A04CC6" w:rsidRDefault="0012321A" w:rsidP="00581E29">
      <w:r w:rsidRPr="00A04CC6">
        <w:t xml:space="preserve">The ADAR provided </w:t>
      </w:r>
      <w:r w:rsidR="00C90312">
        <w:t>evidence of</w:t>
      </w:r>
      <w:r w:rsidRPr="00A04CC6">
        <w:t xml:space="preserve"> effectiveness outcomes based on one RCT and four single</w:t>
      </w:r>
      <w:r w:rsidR="00C90312">
        <w:t>-</w:t>
      </w:r>
      <w:r w:rsidRPr="00A04CC6">
        <w:t>arm clinical trials.</w:t>
      </w:r>
      <w:r w:rsidR="00E9661E" w:rsidRPr="00A04CC6">
        <w:t xml:space="preserve"> Procedural success and primary patency are the main effectiveness measure</w:t>
      </w:r>
      <w:r w:rsidR="00A04CC6" w:rsidRPr="00A04CC6">
        <w:t>s</w:t>
      </w:r>
      <w:r w:rsidR="00E9661E" w:rsidRPr="00A04CC6">
        <w:t xml:space="preserve"> evaluated in the DISRUPT PAD studies. </w:t>
      </w:r>
      <w:r w:rsidR="00A04CC6" w:rsidRPr="00A04CC6">
        <w:t>Changes in PAD severity (measured with ankle-brachial index), walking performance measured with Walking Impairment Questionnaire (WIQ)), Quality of Life (QoL)</w:t>
      </w:r>
      <w:r w:rsidR="00C90312">
        <w:t>,</w:t>
      </w:r>
      <w:r w:rsidR="00A04CC6" w:rsidRPr="00A04CC6">
        <w:t xml:space="preserve"> and Rutherford classification stage are the secondary effectiveness measures</w:t>
      </w:r>
      <w:r w:rsidR="00C90312">
        <w:t>,</w:t>
      </w:r>
      <w:r w:rsidR="00A04CC6" w:rsidRPr="00A04CC6">
        <w:t xml:space="preserve"> </w:t>
      </w:r>
      <w:r w:rsidR="0033129E">
        <w:t xml:space="preserve">including patient-relevant outcomes </w:t>
      </w:r>
      <w:r w:rsidR="00A04CC6" w:rsidRPr="00A04CC6">
        <w:t xml:space="preserve">evaluated in </w:t>
      </w:r>
      <w:r w:rsidR="007C0C88">
        <w:t xml:space="preserve">the </w:t>
      </w:r>
      <w:r w:rsidR="00A04CC6" w:rsidRPr="00A04CC6">
        <w:t xml:space="preserve">DISRUPT PAD studies. </w:t>
      </w:r>
    </w:p>
    <w:p w14:paraId="6E6751CC" w14:textId="1F6F4316" w:rsidR="0012321A" w:rsidRPr="0012321A" w:rsidRDefault="0012321A" w:rsidP="00581E29">
      <w:pPr>
        <w:rPr>
          <w:b/>
          <w:bCs/>
        </w:rPr>
      </w:pPr>
      <w:r w:rsidRPr="0012321A">
        <w:rPr>
          <w:b/>
          <w:bCs/>
        </w:rPr>
        <w:t xml:space="preserve">Evidence based on direct </w:t>
      </w:r>
      <w:proofErr w:type="gramStart"/>
      <w:r w:rsidRPr="0012321A">
        <w:rPr>
          <w:b/>
          <w:bCs/>
        </w:rPr>
        <w:t>RCT</w:t>
      </w:r>
      <w:proofErr w:type="gramEnd"/>
    </w:p>
    <w:p w14:paraId="136A6A0C" w14:textId="77777777" w:rsidR="00CE068F" w:rsidRPr="00D20D91" w:rsidRDefault="00CE068F" w:rsidP="00581E29">
      <w:pPr>
        <w:rPr>
          <w:u w:val="single"/>
        </w:rPr>
      </w:pPr>
      <w:r w:rsidRPr="00D20D91">
        <w:rPr>
          <w:b/>
          <w:bCs/>
          <w:u w:val="single"/>
        </w:rPr>
        <w:t>DISRUPT PAD III RCT</w:t>
      </w:r>
    </w:p>
    <w:p w14:paraId="7C638219" w14:textId="328FB05A" w:rsidR="00E23A59" w:rsidRDefault="009A06A5" w:rsidP="00581E29">
      <w:r>
        <w:t xml:space="preserve">The DISRUPT PAD III RCT provided comparative evidence of </w:t>
      </w:r>
      <w:r w:rsidR="00C90312">
        <w:t xml:space="preserve">the </w:t>
      </w:r>
      <w:r w:rsidR="00C9471F">
        <w:t>effectiveness</w:t>
      </w:r>
      <w:r>
        <w:t xml:space="preserve"> of IVL and SBA and </w:t>
      </w:r>
      <w:r w:rsidR="00C90312">
        <w:t xml:space="preserve">was </w:t>
      </w:r>
      <w:r>
        <w:t>relevant for PICO set 2.</w:t>
      </w:r>
      <w:r w:rsidR="00DD2D0D">
        <w:t xml:space="preserve"> </w:t>
      </w:r>
    </w:p>
    <w:p w14:paraId="6D27BF35" w14:textId="7BCE9ABD" w:rsidR="0035093B" w:rsidRDefault="0035093B" w:rsidP="00581E29">
      <w:r>
        <w:t xml:space="preserve">In DISRUPT PAD III RCT, procedural success was defined as </w:t>
      </w:r>
      <w:r w:rsidRPr="002360CC">
        <w:t xml:space="preserve">residual stenosis ≤30% without flow-limiting dissection (≥ grade D) prior to DCB or stenting by </w:t>
      </w:r>
      <w:r w:rsidR="00C90312">
        <w:t xml:space="preserve">an </w:t>
      </w:r>
      <w:r w:rsidRPr="002360CC">
        <w:t>angiographic core lab</w:t>
      </w:r>
      <w:r>
        <w:t xml:space="preserve">. Procedural success was significantly greater in the IVL arm compared to the PTA arm (IVL: 65.8% [n = 96/146]; PTA: 50.4% [n = 67/133]; RR: 1.31 [95% CI 1.06, 1.60]; RD: 0.15 [95% CI 0.04, 0.27]; p = 0.0065) as evaluated by the angiographic core laboratory. </w:t>
      </w:r>
    </w:p>
    <w:p w14:paraId="112D91A9" w14:textId="719CE571" w:rsidR="00E23A59" w:rsidRDefault="00E23A59" w:rsidP="00581E29">
      <w:pPr>
        <w:rPr>
          <w:rFonts w:cstheme="minorHAnsi"/>
        </w:rPr>
      </w:pPr>
      <w:r>
        <w:t>P</w:t>
      </w:r>
      <w:r w:rsidRPr="00E23A59">
        <w:t>rimary patency is defined</w:t>
      </w:r>
      <w:r w:rsidRPr="00E23A59">
        <w:rPr>
          <w:rFonts w:cstheme="minorHAnsi"/>
        </w:rPr>
        <w:t xml:space="preserve"> as freedom from clinically driven target lesion revascularisation</w:t>
      </w:r>
      <w:r w:rsidR="00482BE5">
        <w:rPr>
          <w:rFonts w:cstheme="minorHAnsi"/>
        </w:rPr>
        <w:t xml:space="preserve"> (CD-TLR)</w:t>
      </w:r>
      <w:r w:rsidRPr="00E23A59">
        <w:rPr>
          <w:rFonts w:cstheme="minorHAnsi"/>
        </w:rPr>
        <w:t xml:space="preserve"> and freedom from restenosis as determined by duplex ultrasound or angiogram ≥50% stenosis.</w:t>
      </w:r>
      <w:r w:rsidRPr="00E23A59">
        <w:rPr>
          <w:bCs/>
        </w:rPr>
        <w:t xml:space="preserve"> </w:t>
      </w:r>
      <w:r>
        <w:rPr>
          <w:bCs/>
        </w:rPr>
        <w:t xml:space="preserve">Further, acute procedure failure requiring a stent at any time during the index procedure </w:t>
      </w:r>
      <w:r w:rsidR="00C90312">
        <w:rPr>
          <w:bCs/>
        </w:rPr>
        <w:t>is</w:t>
      </w:r>
      <w:r>
        <w:rPr>
          <w:bCs/>
        </w:rPr>
        <w:t xml:space="preserve"> counted as a loss of primary patency</w:t>
      </w:r>
      <w:r w:rsidR="0004289B">
        <w:rPr>
          <w:bCs/>
        </w:rPr>
        <w:t xml:space="preserve"> and therefore “freedom from provisional stenting” </w:t>
      </w:r>
      <w:r w:rsidR="00CC6C52">
        <w:rPr>
          <w:bCs/>
        </w:rPr>
        <w:t>is also a measure of primary patency</w:t>
      </w:r>
      <w:r>
        <w:rPr>
          <w:bCs/>
        </w:rPr>
        <w:t>.</w:t>
      </w:r>
      <w:r>
        <w:rPr>
          <w:rFonts w:cstheme="minorHAnsi"/>
        </w:rPr>
        <w:t xml:space="preserve"> </w:t>
      </w:r>
    </w:p>
    <w:p w14:paraId="2A07BDCA" w14:textId="77A1DC41" w:rsidR="00036B27" w:rsidRDefault="00E23A59" w:rsidP="00581E29">
      <w:r>
        <w:t xml:space="preserve">The results of the main efficacy outcomes of procedural success and primary patency are summarised in </w:t>
      </w:r>
      <w:r w:rsidR="00494174">
        <w:t xml:space="preserve">Table </w:t>
      </w:r>
      <w:r w:rsidR="00EB6499">
        <w:t xml:space="preserve">5 </w:t>
      </w:r>
      <w:r>
        <w:t>for DISRUPT PAD III RCT.</w:t>
      </w:r>
    </w:p>
    <w:p w14:paraId="3C44886A" w14:textId="4369D135" w:rsidR="009A0400" w:rsidRDefault="009A0400" w:rsidP="00C73462">
      <w:pPr>
        <w:pStyle w:val="TableHeading0"/>
        <w:keepNext/>
        <w:keepLines/>
      </w:pPr>
      <w:r>
        <w:lastRenderedPageBreak/>
        <w:t xml:space="preserve">Table </w:t>
      </w:r>
      <w:r w:rsidR="00340D39">
        <w:fldChar w:fldCharType="begin"/>
      </w:r>
      <w:r w:rsidR="00340D39">
        <w:instrText xml:space="preserve"> SEQ Table \* ARABIC </w:instrText>
      </w:r>
      <w:r w:rsidR="00340D39">
        <w:fldChar w:fldCharType="separate"/>
      </w:r>
      <w:r w:rsidR="009A5224">
        <w:rPr>
          <w:noProof/>
        </w:rPr>
        <w:t>5</w:t>
      </w:r>
      <w:r w:rsidR="00340D39">
        <w:rPr>
          <w:noProof/>
        </w:rPr>
        <w:fldChar w:fldCharType="end"/>
      </w:r>
      <w:r>
        <w:t xml:space="preserve">: </w:t>
      </w:r>
      <w:r w:rsidRPr="00296BE2">
        <w:t xml:space="preserve">Summary of efficacy outcomes in the direct, randomised comparative evidence </w:t>
      </w:r>
      <w:proofErr w:type="gramStart"/>
      <w:r w:rsidRPr="00296BE2">
        <w:t>base</w:t>
      </w:r>
      <w:proofErr w:type="gramEnd"/>
    </w:p>
    <w:tbl>
      <w:tblPr>
        <w:tblStyle w:val="MSAC"/>
        <w:tblW w:w="0" w:type="auto"/>
        <w:tblLook w:val="04A0" w:firstRow="1" w:lastRow="0" w:firstColumn="1" w:lastColumn="0" w:noHBand="0" w:noVBand="1"/>
        <w:tblCaption w:val="Summary of efficacy outcomes in the direct, randomised comparative evidence base "/>
        <w:tblDescription w:val="Table outlines the summary of efficacy outcomes in the direct, randomised comparative evidence base "/>
      </w:tblPr>
      <w:tblGrid>
        <w:gridCol w:w="2789"/>
        <w:gridCol w:w="1175"/>
        <w:gridCol w:w="1134"/>
        <w:gridCol w:w="1560"/>
        <w:gridCol w:w="1538"/>
        <w:gridCol w:w="820"/>
      </w:tblGrid>
      <w:tr w:rsidR="009A0400" w14:paraId="0982B05D" w14:textId="77777777" w:rsidTr="00261574">
        <w:trPr>
          <w:cnfStyle w:val="100000000000" w:firstRow="1" w:lastRow="0" w:firstColumn="0" w:lastColumn="0" w:oddVBand="0" w:evenVBand="0" w:oddHBand="0" w:evenHBand="0" w:firstRowFirstColumn="0" w:firstRowLastColumn="0" w:lastRowFirstColumn="0" w:lastRowLastColumn="0"/>
        </w:trPr>
        <w:tc>
          <w:tcPr>
            <w:tcW w:w="2789" w:type="dxa"/>
            <w:vMerge w:val="restart"/>
            <w:vAlign w:val="top"/>
          </w:tcPr>
          <w:p w14:paraId="30B46867" w14:textId="77777777" w:rsidR="009A0400" w:rsidRPr="0069451D" w:rsidRDefault="009A0400" w:rsidP="00C73462">
            <w:pPr>
              <w:pStyle w:val="TableText"/>
              <w:keepNext/>
              <w:keepLines/>
            </w:pPr>
          </w:p>
        </w:tc>
        <w:tc>
          <w:tcPr>
            <w:tcW w:w="1175" w:type="dxa"/>
            <w:vAlign w:val="top"/>
          </w:tcPr>
          <w:p w14:paraId="1416093E" w14:textId="77777777" w:rsidR="009A0400" w:rsidRPr="0069451D" w:rsidRDefault="009A0400" w:rsidP="00C73462">
            <w:pPr>
              <w:pStyle w:val="TableText"/>
              <w:keepNext/>
              <w:keepLines/>
              <w:jc w:val="center"/>
            </w:pPr>
            <w:r w:rsidRPr="0069451D">
              <w:t>IVL</w:t>
            </w:r>
          </w:p>
        </w:tc>
        <w:tc>
          <w:tcPr>
            <w:tcW w:w="1134" w:type="dxa"/>
            <w:vAlign w:val="top"/>
          </w:tcPr>
          <w:p w14:paraId="2C6D507D" w14:textId="77777777" w:rsidR="009A0400" w:rsidRPr="0069451D" w:rsidRDefault="009A0400" w:rsidP="00C73462">
            <w:pPr>
              <w:pStyle w:val="TableText"/>
              <w:keepNext/>
              <w:keepLines/>
              <w:jc w:val="center"/>
            </w:pPr>
            <w:r w:rsidRPr="0069451D">
              <w:t>PTA</w:t>
            </w:r>
          </w:p>
        </w:tc>
        <w:tc>
          <w:tcPr>
            <w:tcW w:w="1560" w:type="dxa"/>
            <w:vMerge w:val="restart"/>
            <w:vAlign w:val="top"/>
          </w:tcPr>
          <w:p w14:paraId="78B59164" w14:textId="77777777" w:rsidR="009A0400" w:rsidRPr="0069451D" w:rsidRDefault="009A0400" w:rsidP="00C73462">
            <w:pPr>
              <w:pStyle w:val="TableText"/>
              <w:keepNext/>
              <w:keepLines/>
              <w:jc w:val="center"/>
            </w:pPr>
            <w:r w:rsidRPr="0069451D">
              <w:t>RR (95% CI)</w:t>
            </w:r>
          </w:p>
        </w:tc>
        <w:tc>
          <w:tcPr>
            <w:tcW w:w="1538" w:type="dxa"/>
            <w:vMerge w:val="restart"/>
            <w:vAlign w:val="top"/>
          </w:tcPr>
          <w:p w14:paraId="68979C31" w14:textId="77777777" w:rsidR="009A0400" w:rsidRPr="0069451D" w:rsidRDefault="009A0400" w:rsidP="00C73462">
            <w:pPr>
              <w:pStyle w:val="TableText"/>
              <w:keepNext/>
              <w:keepLines/>
              <w:jc w:val="center"/>
            </w:pPr>
            <w:r w:rsidRPr="0069451D">
              <w:t>RD (95% CI)</w:t>
            </w:r>
          </w:p>
        </w:tc>
        <w:tc>
          <w:tcPr>
            <w:tcW w:w="820" w:type="dxa"/>
            <w:vMerge w:val="restart"/>
            <w:vAlign w:val="top"/>
          </w:tcPr>
          <w:p w14:paraId="1B4FEF2D" w14:textId="77777777" w:rsidR="009A0400" w:rsidRPr="0069451D" w:rsidRDefault="009A0400" w:rsidP="00C73462">
            <w:pPr>
              <w:pStyle w:val="TableText"/>
              <w:keepNext/>
              <w:keepLines/>
              <w:jc w:val="center"/>
            </w:pPr>
            <w:r w:rsidRPr="0069451D">
              <w:t>p-value</w:t>
            </w:r>
          </w:p>
        </w:tc>
      </w:tr>
      <w:tr w:rsidR="009A0400" w14:paraId="6CF7627C" w14:textId="77777777" w:rsidTr="00261574">
        <w:tc>
          <w:tcPr>
            <w:tcW w:w="2789" w:type="dxa"/>
            <w:vMerge/>
            <w:vAlign w:val="top"/>
          </w:tcPr>
          <w:p w14:paraId="1BE4710F" w14:textId="77777777" w:rsidR="009A0400" w:rsidRPr="0069451D" w:rsidRDefault="009A0400" w:rsidP="00C73462">
            <w:pPr>
              <w:pStyle w:val="TableText"/>
              <w:keepNext/>
              <w:keepLines/>
            </w:pPr>
          </w:p>
        </w:tc>
        <w:tc>
          <w:tcPr>
            <w:tcW w:w="1175" w:type="dxa"/>
            <w:vAlign w:val="top"/>
          </w:tcPr>
          <w:p w14:paraId="25D1FF41" w14:textId="77777777" w:rsidR="009A0400" w:rsidRPr="0069451D" w:rsidRDefault="009A0400" w:rsidP="00C73462">
            <w:pPr>
              <w:pStyle w:val="TableText"/>
              <w:keepNext/>
              <w:keepLines/>
              <w:jc w:val="center"/>
            </w:pPr>
            <w:r w:rsidRPr="0069451D">
              <w:t>n/N with events (%)</w:t>
            </w:r>
          </w:p>
        </w:tc>
        <w:tc>
          <w:tcPr>
            <w:tcW w:w="1134" w:type="dxa"/>
            <w:vAlign w:val="top"/>
          </w:tcPr>
          <w:p w14:paraId="043A19F0" w14:textId="77777777" w:rsidR="009A0400" w:rsidRPr="0069451D" w:rsidRDefault="009A0400" w:rsidP="00C73462">
            <w:pPr>
              <w:pStyle w:val="TableText"/>
              <w:keepNext/>
              <w:keepLines/>
              <w:jc w:val="center"/>
            </w:pPr>
            <w:r w:rsidRPr="0069451D">
              <w:t>n/N with events (%)</w:t>
            </w:r>
          </w:p>
        </w:tc>
        <w:tc>
          <w:tcPr>
            <w:tcW w:w="1560" w:type="dxa"/>
            <w:vMerge/>
            <w:vAlign w:val="top"/>
          </w:tcPr>
          <w:p w14:paraId="4401BDF1" w14:textId="77777777" w:rsidR="009A0400" w:rsidRPr="0069451D" w:rsidRDefault="009A0400" w:rsidP="00C73462">
            <w:pPr>
              <w:pStyle w:val="TableText"/>
              <w:keepNext/>
              <w:keepLines/>
            </w:pPr>
          </w:p>
        </w:tc>
        <w:tc>
          <w:tcPr>
            <w:tcW w:w="1538" w:type="dxa"/>
            <w:vMerge/>
            <w:vAlign w:val="top"/>
          </w:tcPr>
          <w:p w14:paraId="11E09168" w14:textId="77777777" w:rsidR="009A0400" w:rsidRPr="0069451D" w:rsidRDefault="009A0400" w:rsidP="00C73462">
            <w:pPr>
              <w:pStyle w:val="TableText"/>
              <w:keepNext/>
              <w:keepLines/>
            </w:pPr>
          </w:p>
        </w:tc>
        <w:tc>
          <w:tcPr>
            <w:tcW w:w="820" w:type="dxa"/>
            <w:vMerge/>
            <w:vAlign w:val="top"/>
          </w:tcPr>
          <w:p w14:paraId="6F3707DD" w14:textId="77777777" w:rsidR="009A0400" w:rsidRPr="0069451D" w:rsidRDefault="009A0400" w:rsidP="00C73462">
            <w:pPr>
              <w:pStyle w:val="TableText"/>
              <w:keepNext/>
              <w:keepLines/>
            </w:pPr>
          </w:p>
        </w:tc>
      </w:tr>
      <w:tr w:rsidR="009A0400" w14:paraId="0A1A1A6A" w14:textId="77777777" w:rsidTr="00261574">
        <w:trPr>
          <w:trHeight w:val="289"/>
        </w:trPr>
        <w:tc>
          <w:tcPr>
            <w:tcW w:w="9016" w:type="dxa"/>
            <w:gridSpan w:val="6"/>
          </w:tcPr>
          <w:p w14:paraId="7BABD512" w14:textId="77777777" w:rsidR="009A0400" w:rsidRPr="001C5C7B" w:rsidRDefault="009A0400" w:rsidP="00C73462">
            <w:pPr>
              <w:pStyle w:val="TableText"/>
              <w:keepNext/>
              <w:keepLines/>
            </w:pPr>
            <w:r w:rsidRPr="001C5C7B">
              <w:t xml:space="preserve">Procedural success </w:t>
            </w:r>
          </w:p>
        </w:tc>
      </w:tr>
      <w:tr w:rsidR="009A0400" w14:paraId="352AF8B4" w14:textId="77777777" w:rsidTr="00261574">
        <w:tc>
          <w:tcPr>
            <w:tcW w:w="2789" w:type="dxa"/>
          </w:tcPr>
          <w:p w14:paraId="26740630" w14:textId="77777777" w:rsidR="009A0400" w:rsidRPr="001C5C7B" w:rsidRDefault="009A0400" w:rsidP="00261574">
            <w:pPr>
              <w:pStyle w:val="TableText"/>
              <w:rPr>
                <w:szCs w:val="18"/>
              </w:rPr>
            </w:pPr>
            <w:r w:rsidRPr="001C5C7B">
              <w:rPr>
                <w:szCs w:val="18"/>
              </w:rPr>
              <w:t>Procedural success</w:t>
            </w:r>
          </w:p>
        </w:tc>
        <w:tc>
          <w:tcPr>
            <w:tcW w:w="1175" w:type="dxa"/>
            <w:vAlign w:val="top"/>
          </w:tcPr>
          <w:p w14:paraId="4C1E2352" w14:textId="77777777" w:rsidR="009A0400" w:rsidRPr="00D20D91" w:rsidRDefault="009A0400" w:rsidP="00261574">
            <w:pPr>
              <w:pStyle w:val="TableText"/>
              <w:jc w:val="center"/>
              <w:rPr>
                <w:b/>
                <w:bCs/>
                <w:szCs w:val="18"/>
              </w:rPr>
            </w:pPr>
            <w:r w:rsidRPr="00D20D91">
              <w:rPr>
                <w:b/>
                <w:bCs/>
                <w:szCs w:val="18"/>
              </w:rPr>
              <w:t>96/146 (65.8%)</w:t>
            </w:r>
          </w:p>
        </w:tc>
        <w:tc>
          <w:tcPr>
            <w:tcW w:w="1134" w:type="dxa"/>
            <w:vAlign w:val="top"/>
          </w:tcPr>
          <w:p w14:paraId="3B3DF05C" w14:textId="77777777" w:rsidR="009A0400" w:rsidRPr="00D20D91" w:rsidRDefault="009A0400" w:rsidP="00261574">
            <w:pPr>
              <w:pStyle w:val="TableText"/>
              <w:jc w:val="center"/>
              <w:rPr>
                <w:b/>
                <w:bCs/>
                <w:szCs w:val="18"/>
              </w:rPr>
            </w:pPr>
            <w:r w:rsidRPr="00D20D91">
              <w:rPr>
                <w:b/>
                <w:bCs/>
                <w:szCs w:val="18"/>
              </w:rPr>
              <w:t>67/133 (50.4%)</w:t>
            </w:r>
          </w:p>
        </w:tc>
        <w:tc>
          <w:tcPr>
            <w:tcW w:w="1560" w:type="dxa"/>
            <w:vAlign w:val="top"/>
          </w:tcPr>
          <w:p w14:paraId="523ABEA8" w14:textId="77777777" w:rsidR="009A0400" w:rsidRPr="00D20D91" w:rsidRDefault="009A0400" w:rsidP="00261574">
            <w:pPr>
              <w:pStyle w:val="TableText"/>
              <w:jc w:val="center"/>
              <w:rPr>
                <w:b/>
                <w:bCs/>
                <w:szCs w:val="18"/>
              </w:rPr>
            </w:pPr>
            <w:r w:rsidRPr="00D20D91">
              <w:rPr>
                <w:b/>
                <w:bCs/>
                <w:szCs w:val="18"/>
              </w:rPr>
              <w:t>1.31 [1.06, 1.60]</w:t>
            </w:r>
          </w:p>
        </w:tc>
        <w:tc>
          <w:tcPr>
            <w:tcW w:w="1538" w:type="dxa"/>
            <w:vAlign w:val="top"/>
          </w:tcPr>
          <w:p w14:paraId="32B10694" w14:textId="77777777" w:rsidR="009A0400" w:rsidRPr="00D20D91" w:rsidRDefault="009A0400" w:rsidP="00261574">
            <w:pPr>
              <w:pStyle w:val="TableText"/>
              <w:jc w:val="center"/>
              <w:rPr>
                <w:b/>
                <w:bCs/>
                <w:szCs w:val="18"/>
              </w:rPr>
            </w:pPr>
            <w:r w:rsidRPr="00D20D91">
              <w:rPr>
                <w:b/>
                <w:bCs/>
                <w:szCs w:val="18"/>
              </w:rPr>
              <w:t>0.15 [0.04, 0.27]</w:t>
            </w:r>
          </w:p>
        </w:tc>
        <w:tc>
          <w:tcPr>
            <w:tcW w:w="820" w:type="dxa"/>
            <w:vAlign w:val="top"/>
          </w:tcPr>
          <w:p w14:paraId="4C56238C" w14:textId="77777777" w:rsidR="009A0400" w:rsidRPr="00D20D91" w:rsidRDefault="009A0400" w:rsidP="00261574">
            <w:pPr>
              <w:pStyle w:val="TableText"/>
              <w:jc w:val="center"/>
              <w:rPr>
                <w:b/>
                <w:bCs/>
                <w:szCs w:val="18"/>
              </w:rPr>
            </w:pPr>
            <w:r w:rsidRPr="00D20D91">
              <w:rPr>
                <w:b/>
                <w:bCs/>
                <w:szCs w:val="18"/>
              </w:rPr>
              <w:t>0.0065</w:t>
            </w:r>
          </w:p>
        </w:tc>
      </w:tr>
      <w:tr w:rsidR="009A0400" w14:paraId="6D4F4318" w14:textId="77777777" w:rsidTr="00261574">
        <w:tc>
          <w:tcPr>
            <w:tcW w:w="2789" w:type="dxa"/>
          </w:tcPr>
          <w:p w14:paraId="589AC4E1" w14:textId="77777777" w:rsidR="009A0400" w:rsidRPr="001C5C7B" w:rsidRDefault="009A0400" w:rsidP="00261574">
            <w:pPr>
              <w:pStyle w:val="TableText"/>
              <w:rPr>
                <w:szCs w:val="18"/>
              </w:rPr>
            </w:pPr>
            <w:r w:rsidRPr="001C5C7B">
              <w:rPr>
                <w:szCs w:val="18"/>
              </w:rPr>
              <w:t>Procedural success (Secondary analysis using PP population)</w:t>
            </w:r>
          </w:p>
        </w:tc>
        <w:tc>
          <w:tcPr>
            <w:tcW w:w="1175" w:type="dxa"/>
            <w:vAlign w:val="top"/>
          </w:tcPr>
          <w:p w14:paraId="447FC581" w14:textId="77777777" w:rsidR="009A0400" w:rsidRPr="00D20D91" w:rsidRDefault="009A0400" w:rsidP="00261574">
            <w:pPr>
              <w:pStyle w:val="TableText"/>
              <w:jc w:val="center"/>
              <w:rPr>
                <w:b/>
                <w:bCs/>
                <w:szCs w:val="18"/>
              </w:rPr>
            </w:pPr>
            <w:r w:rsidRPr="00D20D91">
              <w:rPr>
                <w:b/>
                <w:bCs/>
                <w:szCs w:val="18"/>
              </w:rPr>
              <w:t>87/126 (69.0%)</w:t>
            </w:r>
          </w:p>
        </w:tc>
        <w:tc>
          <w:tcPr>
            <w:tcW w:w="1134" w:type="dxa"/>
            <w:vAlign w:val="top"/>
          </w:tcPr>
          <w:p w14:paraId="74C8B090" w14:textId="77777777" w:rsidR="009A0400" w:rsidRPr="00D20D91" w:rsidRDefault="009A0400" w:rsidP="00261574">
            <w:pPr>
              <w:pStyle w:val="TableText"/>
              <w:jc w:val="center"/>
              <w:rPr>
                <w:b/>
                <w:bCs/>
                <w:szCs w:val="18"/>
              </w:rPr>
            </w:pPr>
            <w:r w:rsidRPr="00D20D91">
              <w:rPr>
                <w:b/>
                <w:bCs/>
                <w:szCs w:val="18"/>
              </w:rPr>
              <w:t>57/127 (51.2%)</w:t>
            </w:r>
          </w:p>
        </w:tc>
        <w:tc>
          <w:tcPr>
            <w:tcW w:w="1560" w:type="dxa"/>
            <w:vAlign w:val="top"/>
          </w:tcPr>
          <w:p w14:paraId="522A882F" w14:textId="77777777" w:rsidR="009A0400" w:rsidRPr="00D20D91" w:rsidRDefault="009A0400" w:rsidP="00261574">
            <w:pPr>
              <w:pStyle w:val="TableText"/>
              <w:jc w:val="center"/>
              <w:rPr>
                <w:b/>
                <w:bCs/>
                <w:szCs w:val="18"/>
              </w:rPr>
            </w:pPr>
            <w:r w:rsidRPr="00D20D91">
              <w:rPr>
                <w:b/>
                <w:bCs/>
                <w:szCs w:val="18"/>
              </w:rPr>
              <w:t>1.54 [1.23, 1.93]</w:t>
            </w:r>
          </w:p>
        </w:tc>
        <w:tc>
          <w:tcPr>
            <w:tcW w:w="1538" w:type="dxa"/>
            <w:vAlign w:val="top"/>
          </w:tcPr>
          <w:p w14:paraId="44B7674A" w14:textId="77777777" w:rsidR="009A0400" w:rsidRPr="00D20D91" w:rsidRDefault="009A0400" w:rsidP="00261574">
            <w:pPr>
              <w:pStyle w:val="TableText"/>
              <w:jc w:val="center"/>
              <w:rPr>
                <w:b/>
                <w:bCs/>
                <w:szCs w:val="18"/>
              </w:rPr>
            </w:pPr>
            <w:r w:rsidRPr="00D20D91">
              <w:rPr>
                <w:b/>
                <w:bCs/>
                <w:szCs w:val="18"/>
              </w:rPr>
              <w:t>0.24 [0.12, 0.36]</w:t>
            </w:r>
          </w:p>
        </w:tc>
        <w:tc>
          <w:tcPr>
            <w:tcW w:w="820" w:type="dxa"/>
            <w:vAlign w:val="top"/>
          </w:tcPr>
          <w:p w14:paraId="4B025128" w14:textId="77777777" w:rsidR="009A0400" w:rsidRPr="00D20D91" w:rsidRDefault="009A0400" w:rsidP="00261574">
            <w:pPr>
              <w:pStyle w:val="TableText"/>
              <w:jc w:val="center"/>
              <w:rPr>
                <w:b/>
                <w:bCs/>
                <w:szCs w:val="18"/>
              </w:rPr>
            </w:pPr>
            <w:r w:rsidRPr="00D20D91">
              <w:rPr>
                <w:b/>
                <w:bCs/>
                <w:szCs w:val="18"/>
              </w:rPr>
              <w:t>0.0027</w:t>
            </w:r>
          </w:p>
        </w:tc>
      </w:tr>
      <w:tr w:rsidR="009A0400" w14:paraId="195461A0" w14:textId="77777777" w:rsidTr="00261574">
        <w:trPr>
          <w:trHeight w:val="357"/>
        </w:trPr>
        <w:tc>
          <w:tcPr>
            <w:tcW w:w="9016" w:type="dxa"/>
            <w:gridSpan w:val="6"/>
          </w:tcPr>
          <w:p w14:paraId="47A4D38B" w14:textId="77777777" w:rsidR="009A0400" w:rsidRPr="001C5C7B" w:rsidRDefault="009A0400" w:rsidP="00261574">
            <w:pPr>
              <w:pStyle w:val="TableText"/>
            </w:pPr>
            <w:r w:rsidRPr="001C5C7B">
              <w:t>Primary Patency</w:t>
            </w:r>
          </w:p>
        </w:tc>
      </w:tr>
      <w:tr w:rsidR="009A0400" w14:paraId="4F04102D" w14:textId="77777777" w:rsidTr="00261574">
        <w:tc>
          <w:tcPr>
            <w:tcW w:w="2789" w:type="dxa"/>
          </w:tcPr>
          <w:p w14:paraId="553200B4" w14:textId="77777777" w:rsidR="009A0400" w:rsidRPr="0069451D" w:rsidRDefault="009A0400" w:rsidP="00261574">
            <w:pPr>
              <w:pStyle w:val="TableText"/>
            </w:pPr>
            <w:r w:rsidRPr="0069451D">
              <w:t>Primary patency at Year 1</w:t>
            </w:r>
          </w:p>
        </w:tc>
        <w:tc>
          <w:tcPr>
            <w:tcW w:w="1175" w:type="dxa"/>
            <w:vAlign w:val="top"/>
          </w:tcPr>
          <w:p w14:paraId="7A51E176" w14:textId="77777777" w:rsidR="009A0400" w:rsidRPr="00D20D91" w:rsidRDefault="009A0400" w:rsidP="00261574">
            <w:pPr>
              <w:pStyle w:val="TableText"/>
              <w:jc w:val="center"/>
              <w:rPr>
                <w:b/>
                <w:bCs/>
              </w:rPr>
            </w:pPr>
            <w:r w:rsidRPr="00D20D91">
              <w:rPr>
                <w:b/>
                <w:bCs/>
              </w:rPr>
              <w:t>99/123 (80.5%)</w:t>
            </w:r>
          </w:p>
        </w:tc>
        <w:tc>
          <w:tcPr>
            <w:tcW w:w="1134" w:type="dxa"/>
            <w:vAlign w:val="top"/>
          </w:tcPr>
          <w:p w14:paraId="32437789" w14:textId="77777777" w:rsidR="009A0400" w:rsidRPr="00D20D91" w:rsidRDefault="009A0400" w:rsidP="00261574">
            <w:pPr>
              <w:pStyle w:val="TableText"/>
              <w:jc w:val="center"/>
              <w:rPr>
                <w:b/>
                <w:bCs/>
              </w:rPr>
            </w:pPr>
            <w:r w:rsidRPr="00D20D91">
              <w:rPr>
                <w:b/>
                <w:bCs/>
              </w:rPr>
              <w:t>87/128 (68.0%)</w:t>
            </w:r>
          </w:p>
        </w:tc>
        <w:tc>
          <w:tcPr>
            <w:tcW w:w="1560" w:type="dxa"/>
            <w:vAlign w:val="top"/>
          </w:tcPr>
          <w:p w14:paraId="614D8C6C" w14:textId="77777777" w:rsidR="009A0400" w:rsidRPr="00D20D91" w:rsidRDefault="009A0400" w:rsidP="00261574">
            <w:pPr>
              <w:pStyle w:val="TableText"/>
              <w:jc w:val="center"/>
              <w:rPr>
                <w:b/>
                <w:bCs/>
              </w:rPr>
            </w:pPr>
            <w:r w:rsidRPr="00D20D91">
              <w:rPr>
                <w:b/>
                <w:bCs/>
              </w:rPr>
              <w:t>1.18 [1.02, 1.37]</w:t>
            </w:r>
          </w:p>
        </w:tc>
        <w:tc>
          <w:tcPr>
            <w:tcW w:w="1538" w:type="dxa"/>
            <w:vAlign w:val="top"/>
          </w:tcPr>
          <w:p w14:paraId="7710FA46" w14:textId="77777777" w:rsidR="009A0400" w:rsidRPr="00D20D91" w:rsidRDefault="009A0400" w:rsidP="00261574">
            <w:pPr>
              <w:pStyle w:val="TableText"/>
              <w:jc w:val="center"/>
              <w:rPr>
                <w:b/>
                <w:bCs/>
              </w:rPr>
            </w:pPr>
            <w:r w:rsidRPr="00D20D91">
              <w:rPr>
                <w:b/>
                <w:bCs/>
              </w:rPr>
              <w:t>0.13 [0.02, 0.23]</w:t>
            </w:r>
          </w:p>
        </w:tc>
        <w:tc>
          <w:tcPr>
            <w:tcW w:w="820" w:type="dxa"/>
            <w:vAlign w:val="top"/>
          </w:tcPr>
          <w:p w14:paraId="615E56F9" w14:textId="77777777" w:rsidR="009A0400" w:rsidRPr="00D20D91" w:rsidRDefault="009A0400" w:rsidP="00261574">
            <w:pPr>
              <w:pStyle w:val="TableText"/>
              <w:jc w:val="center"/>
              <w:rPr>
                <w:b/>
                <w:bCs/>
              </w:rPr>
            </w:pPr>
            <w:r w:rsidRPr="00D20D91">
              <w:rPr>
                <w:b/>
                <w:bCs/>
              </w:rPr>
              <w:t>0.0167</w:t>
            </w:r>
          </w:p>
        </w:tc>
      </w:tr>
      <w:tr w:rsidR="009A0400" w14:paraId="096FFD4D" w14:textId="77777777" w:rsidTr="00261574">
        <w:tc>
          <w:tcPr>
            <w:tcW w:w="2789" w:type="dxa"/>
          </w:tcPr>
          <w:p w14:paraId="3481163A" w14:textId="77777777" w:rsidR="009A0400" w:rsidRPr="0069451D" w:rsidRDefault="009A0400" w:rsidP="00261574">
            <w:pPr>
              <w:pStyle w:val="TableText"/>
            </w:pPr>
            <w:r w:rsidRPr="0069451D">
              <w:t xml:space="preserve">Freedom from provisional stenting </w:t>
            </w:r>
          </w:p>
        </w:tc>
        <w:tc>
          <w:tcPr>
            <w:tcW w:w="1175" w:type="dxa"/>
            <w:vAlign w:val="top"/>
          </w:tcPr>
          <w:p w14:paraId="573E7786" w14:textId="77777777" w:rsidR="009A0400" w:rsidRPr="00D20D91" w:rsidRDefault="009A0400" w:rsidP="00261574">
            <w:pPr>
              <w:pStyle w:val="TableText"/>
              <w:jc w:val="center"/>
              <w:rPr>
                <w:b/>
                <w:bCs/>
              </w:rPr>
            </w:pPr>
            <w:r w:rsidRPr="00D20D91">
              <w:rPr>
                <w:b/>
                <w:bCs/>
              </w:rPr>
              <w:t>146/153 (95.4%)</w:t>
            </w:r>
          </w:p>
        </w:tc>
        <w:tc>
          <w:tcPr>
            <w:tcW w:w="1134" w:type="dxa"/>
            <w:vAlign w:val="top"/>
          </w:tcPr>
          <w:p w14:paraId="127C4253" w14:textId="77777777" w:rsidR="009A0400" w:rsidRPr="00D20D91" w:rsidRDefault="009A0400" w:rsidP="00261574">
            <w:pPr>
              <w:pStyle w:val="TableText"/>
              <w:jc w:val="center"/>
              <w:rPr>
                <w:b/>
                <w:bCs/>
              </w:rPr>
            </w:pPr>
            <w:r w:rsidRPr="00D20D91">
              <w:rPr>
                <w:b/>
                <w:bCs/>
              </w:rPr>
              <w:t>125/153 (81.7%)</w:t>
            </w:r>
          </w:p>
        </w:tc>
        <w:tc>
          <w:tcPr>
            <w:tcW w:w="1560" w:type="dxa"/>
            <w:vAlign w:val="top"/>
          </w:tcPr>
          <w:p w14:paraId="44091A2E" w14:textId="77777777" w:rsidR="009A0400" w:rsidRPr="00D20D91" w:rsidRDefault="009A0400" w:rsidP="00261574">
            <w:pPr>
              <w:pStyle w:val="TableText"/>
              <w:jc w:val="center"/>
              <w:rPr>
                <w:b/>
                <w:bCs/>
              </w:rPr>
            </w:pPr>
            <w:r w:rsidRPr="00D20D91">
              <w:rPr>
                <w:b/>
                <w:bCs/>
              </w:rPr>
              <w:t>1.17 [1.08, 1.27]</w:t>
            </w:r>
          </w:p>
        </w:tc>
        <w:tc>
          <w:tcPr>
            <w:tcW w:w="1538" w:type="dxa"/>
            <w:vAlign w:val="top"/>
          </w:tcPr>
          <w:p w14:paraId="2C3E411C" w14:textId="77777777" w:rsidR="009A0400" w:rsidRPr="00D20D91" w:rsidRDefault="009A0400" w:rsidP="00261574">
            <w:pPr>
              <w:pStyle w:val="TableText"/>
              <w:jc w:val="center"/>
              <w:rPr>
                <w:b/>
                <w:bCs/>
              </w:rPr>
            </w:pPr>
            <w:r w:rsidRPr="00D20D91">
              <w:rPr>
                <w:b/>
                <w:bCs/>
              </w:rPr>
              <w:t>0.14 [0.07, 0.21]</w:t>
            </w:r>
          </w:p>
        </w:tc>
        <w:tc>
          <w:tcPr>
            <w:tcW w:w="820" w:type="dxa"/>
            <w:vAlign w:val="top"/>
          </w:tcPr>
          <w:p w14:paraId="6B54A650" w14:textId="77777777" w:rsidR="009A0400" w:rsidRPr="00D20D91" w:rsidRDefault="009A0400" w:rsidP="00261574">
            <w:pPr>
              <w:pStyle w:val="TableText"/>
              <w:jc w:val="center"/>
              <w:rPr>
                <w:b/>
                <w:bCs/>
              </w:rPr>
            </w:pPr>
            <w:r w:rsidRPr="00D20D91">
              <w:rPr>
                <w:b/>
                <w:bCs/>
              </w:rPr>
              <w:t>&lt;0.0001</w:t>
            </w:r>
          </w:p>
        </w:tc>
      </w:tr>
      <w:tr w:rsidR="009A0400" w14:paraId="7C0C9CBE" w14:textId="77777777" w:rsidTr="00261574">
        <w:tc>
          <w:tcPr>
            <w:tcW w:w="2789" w:type="dxa"/>
          </w:tcPr>
          <w:p w14:paraId="426A9351" w14:textId="77777777" w:rsidR="009A0400" w:rsidRPr="0069451D" w:rsidRDefault="009A0400" w:rsidP="00261574">
            <w:pPr>
              <w:pStyle w:val="TableText"/>
            </w:pPr>
            <w:r w:rsidRPr="0069451D">
              <w:t>Freedom from CD-TLR at Year 1</w:t>
            </w:r>
          </w:p>
        </w:tc>
        <w:tc>
          <w:tcPr>
            <w:tcW w:w="1175" w:type="dxa"/>
            <w:vAlign w:val="top"/>
          </w:tcPr>
          <w:p w14:paraId="0DA2591B" w14:textId="77777777" w:rsidR="009A0400" w:rsidRDefault="009A0400" w:rsidP="00261574">
            <w:pPr>
              <w:pStyle w:val="TableText"/>
              <w:jc w:val="center"/>
            </w:pPr>
            <w:r w:rsidRPr="0069451D">
              <w:t>132/138 (95.7%)</w:t>
            </w:r>
          </w:p>
        </w:tc>
        <w:tc>
          <w:tcPr>
            <w:tcW w:w="1134" w:type="dxa"/>
            <w:vAlign w:val="top"/>
          </w:tcPr>
          <w:p w14:paraId="284109A5" w14:textId="77777777" w:rsidR="009A0400" w:rsidRDefault="009A0400" w:rsidP="00261574">
            <w:pPr>
              <w:pStyle w:val="TableText"/>
              <w:jc w:val="center"/>
            </w:pPr>
            <w:r w:rsidRPr="0069451D">
              <w:t>114/116 (98.3%)</w:t>
            </w:r>
          </w:p>
        </w:tc>
        <w:tc>
          <w:tcPr>
            <w:tcW w:w="1560" w:type="dxa"/>
            <w:vAlign w:val="top"/>
          </w:tcPr>
          <w:p w14:paraId="621BD88E" w14:textId="77777777" w:rsidR="009A0400" w:rsidRPr="003E4738" w:rsidRDefault="009A0400" w:rsidP="00261574">
            <w:pPr>
              <w:pStyle w:val="TableText"/>
              <w:jc w:val="center"/>
            </w:pPr>
            <w:r w:rsidRPr="0069451D">
              <w:t>0.97 [0.93, 1.02]</w:t>
            </w:r>
          </w:p>
        </w:tc>
        <w:tc>
          <w:tcPr>
            <w:tcW w:w="1538" w:type="dxa"/>
            <w:vAlign w:val="top"/>
          </w:tcPr>
          <w:p w14:paraId="614FA2B7" w14:textId="77777777" w:rsidR="009A0400" w:rsidRPr="00402F92" w:rsidRDefault="009A0400" w:rsidP="00261574">
            <w:pPr>
              <w:pStyle w:val="TableText"/>
              <w:jc w:val="center"/>
            </w:pPr>
            <w:r w:rsidRPr="0069451D">
              <w:t>-0.03 [-0.07, 0.02]</w:t>
            </w:r>
          </w:p>
        </w:tc>
        <w:tc>
          <w:tcPr>
            <w:tcW w:w="820" w:type="dxa"/>
            <w:vAlign w:val="top"/>
          </w:tcPr>
          <w:p w14:paraId="47222C3C" w14:textId="77777777" w:rsidR="009A0400" w:rsidRPr="0069451D" w:rsidRDefault="009A0400" w:rsidP="00261574">
            <w:pPr>
              <w:pStyle w:val="TableText"/>
              <w:jc w:val="center"/>
            </w:pPr>
            <w:r w:rsidRPr="0069451D">
              <w:t>0.94</w:t>
            </w:r>
            <w:r>
              <w:t>42</w:t>
            </w:r>
          </w:p>
        </w:tc>
      </w:tr>
      <w:tr w:rsidR="009A0400" w14:paraId="43CE206D" w14:textId="77777777" w:rsidTr="00261574">
        <w:tc>
          <w:tcPr>
            <w:tcW w:w="2789" w:type="dxa"/>
          </w:tcPr>
          <w:p w14:paraId="16663BE0" w14:textId="77777777" w:rsidR="009A0400" w:rsidRPr="0069451D" w:rsidRDefault="009A0400" w:rsidP="00261574">
            <w:pPr>
              <w:pStyle w:val="TableText"/>
            </w:pPr>
            <w:r w:rsidRPr="0069451D">
              <w:t>Freedom from restenosis at Year 1</w:t>
            </w:r>
          </w:p>
        </w:tc>
        <w:tc>
          <w:tcPr>
            <w:tcW w:w="1175" w:type="dxa"/>
            <w:vAlign w:val="top"/>
          </w:tcPr>
          <w:p w14:paraId="6B13BD70" w14:textId="77777777" w:rsidR="009A0400" w:rsidRDefault="009A0400" w:rsidP="00261574">
            <w:pPr>
              <w:pStyle w:val="TableText"/>
              <w:jc w:val="center"/>
            </w:pPr>
            <w:r w:rsidRPr="0069451D">
              <w:t>99/110 (90.0%)</w:t>
            </w:r>
          </w:p>
        </w:tc>
        <w:tc>
          <w:tcPr>
            <w:tcW w:w="1134" w:type="dxa"/>
            <w:vAlign w:val="top"/>
          </w:tcPr>
          <w:p w14:paraId="6F577350" w14:textId="77777777" w:rsidR="009A0400" w:rsidRDefault="009A0400" w:rsidP="00261574">
            <w:pPr>
              <w:pStyle w:val="TableText"/>
              <w:jc w:val="center"/>
            </w:pPr>
            <w:r w:rsidRPr="0069451D">
              <w:t>87/98 (88.8%)</w:t>
            </w:r>
          </w:p>
        </w:tc>
        <w:tc>
          <w:tcPr>
            <w:tcW w:w="1560" w:type="dxa"/>
            <w:vAlign w:val="top"/>
          </w:tcPr>
          <w:p w14:paraId="08EFA732" w14:textId="77777777" w:rsidR="009A0400" w:rsidRPr="003E4738" w:rsidRDefault="009A0400" w:rsidP="00261574">
            <w:pPr>
              <w:pStyle w:val="TableText"/>
              <w:jc w:val="center"/>
            </w:pPr>
            <w:r w:rsidRPr="0069451D">
              <w:t>1.01 [0.92, 1.11]</w:t>
            </w:r>
          </w:p>
        </w:tc>
        <w:tc>
          <w:tcPr>
            <w:tcW w:w="1538" w:type="dxa"/>
            <w:vAlign w:val="top"/>
          </w:tcPr>
          <w:p w14:paraId="6CEDE8A0" w14:textId="77777777" w:rsidR="009A0400" w:rsidRPr="00402F92" w:rsidRDefault="009A0400" w:rsidP="00261574">
            <w:pPr>
              <w:pStyle w:val="TableText"/>
              <w:jc w:val="center"/>
            </w:pPr>
            <w:r w:rsidRPr="0069451D">
              <w:t>0.01 [-0.07, 0.10]</w:t>
            </w:r>
          </w:p>
        </w:tc>
        <w:tc>
          <w:tcPr>
            <w:tcW w:w="820" w:type="dxa"/>
            <w:vAlign w:val="top"/>
          </w:tcPr>
          <w:p w14:paraId="7E023C8E" w14:textId="77777777" w:rsidR="009A0400" w:rsidRPr="0069451D" w:rsidRDefault="009A0400" w:rsidP="00261574">
            <w:pPr>
              <w:pStyle w:val="TableText"/>
              <w:jc w:val="center"/>
            </w:pPr>
            <w:r w:rsidRPr="0069451D">
              <w:t>0.4</w:t>
            </w:r>
            <w:r>
              <w:t>745</w:t>
            </w:r>
          </w:p>
        </w:tc>
      </w:tr>
      <w:tr w:rsidR="009A0400" w14:paraId="71D64B6A" w14:textId="77777777" w:rsidTr="00261574">
        <w:tc>
          <w:tcPr>
            <w:tcW w:w="2789" w:type="dxa"/>
          </w:tcPr>
          <w:p w14:paraId="66168B0F" w14:textId="77777777" w:rsidR="009A0400" w:rsidRPr="0069451D" w:rsidRDefault="009A0400" w:rsidP="00261574">
            <w:pPr>
              <w:pStyle w:val="TableText"/>
            </w:pPr>
            <w:r w:rsidRPr="0069451D">
              <w:t>Primary patency at Year 2</w:t>
            </w:r>
          </w:p>
        </w:tc>
        <w:tc>
          <w:tcPr>
            <w:tcW w:w="1175" w:type="dxa"/>
            <w:vAlign w:val="top"/>
          </w:tcPr>
          <w:p w14:paraId="09E1BB49" w14:textId="77777777" w:rsidR="009A0400" w:rsidRPr="00D20D91" w:rsidRDefault="009A0400" w:rsidP="00261574">
            <w:pPr>
              <w:pStyle w:val="TableText"/>
              <w:jc w:val="center"/>
              <w:rPr>
                <w:b/>
                <w:bCs/>
              </w:rPr>
            </w:pPr>
            <w:r w:rsidRPr="00D20D91">
              <w:rPr>
                <w:b/>
                <w:bCs/>
              </w:rPr>
              <w:t>81/115 (70.4%)</w:t>
            </w:r>
          </w:p>
        </w:tc>
        <w:tc>
          <w:tcPr>
            <w:tcW w:w="1134" w:type="dxa"/>
            <w:vAlign w:val="top"/>
          </w:tcPr>
          <w:p w14:paraId="33DA8429" w14:textId="77777777" w:rsidR="009A0400" w:rsidRPr="00D20D91" w:rsidRDefault="009A0400" w:rsidP="00261574">
            <w:pPr>
              <w:pStyle w:val="TableText"/>
              <w:jc w:val="center"/>
              <w:rPr>
                <w:b/>
                <w:bCs/>
              </w:rPr>
            </w:pPr>
            <w:r w:rsidRPr="00D20D91">
              <w:rPr>
                <w:b/>
                <w:bCs/>
              </w:rPr>
              <w:t>63/118 (51.3%)</w:t>
            </w:r>
          </w:p>
        </w:tc>
        <w:tc>
          <w:tcPr>
            <w:tcW w:w="1560" w:type="dxa"/>
            <w:vAlign w:val="top"/>
          </w:tcPr>
          <w:p w14:paraId="610CEBEA" w14:textId="77777777" w:rsidR="009A0400" w:rsidRPr="00D20D91" w:rsidRDefault="009A0400" w:rsidP="00261574">
            <w:pPr>
              <w:pStyle w:val="TableText"/>
              <w:jc w:val="center"/>
              <w:rPr>
                <w:b/>
                <w:bCs/>
              </w:rPr>
            </w:pPr>
            <w:r w:rsidRPr="00D20D91">
              <w:rPr>
                <w:b/>
                <w:bCs/>
              </w:rPr>
              <w:t>1.32 [1.07, 1.62]</w:t>
            </w:r>
          </w:p>
        </w:tc>
        <w:tc>
          <w:tcPr>
            <w:tcW w:w="1538" w:type="dxa"/>
            <w:vAlign w:val="top"/>
          </w:tcPr>
          <w:p w14:paraId="47C353BD" w14:textId="77777777" w:rsidR="009A0400" w:rsidRPr="00D20D91" w:rsidRDefault="009A0400" w:rsidP="00261574">
            <w:pPr>
              <w:pStyle w:val="TableText"/>
              <w:jc w:val="center"/>
              <w:rPr>
                <w:b/>
                <w:bCs/>
              </w:rPr>
            </w:pPr>
            <w:r w:rsidRPr="00D20D91">
              <w:rPr>
                <w:b/>
                <w:bCs/>
              </w:rPr>
              <w:t>0.17 [0.05, 0.29]</w:t>
            </w:r>
          </w:p>
        </w:tc>
        <w:tc>
          <w:tcPr>
            <w:tcW w:w="820" w:type="dxa"/>
            <w:vAlign w:val="top"/>
          </w:tcPr>
          <w:p w14:paraId="2B704A6F" w14:textId="77777777" w:rsidR="009A0400" w:rsidRPr="00D20D91" w:rsidRDefault="009A0400" w:rsidP="00261574">
            <w:pPr>
              <w:pStyle w:val="TableText"/>
              <w:jc w:val="center"/>
              <w:rPr>
                <w:b/>
                <w:bCs/>
              </w:rPr>
            </w:pPr>
            <w:r w:rsidRPr="00D20D91">
              <w:rPr>
                <w:b/>
                <w:bCs/>
              </w:rPr>
              <w:t>0.0054</w:t>
            </w:r>
          </w:p>
        </w:tc>
      </w:tr>
      <w:tr w:rsidR="009A0400" w14:paraId="34FD0201" w14:textId="77777777" w:rsidTr="00261574">
        <w:tc>
          <w:tcPr>
            <w:tcW w:w="2789" w:type="dxa"/>
          </w:tcPr>
          <w:p w14:paraId="0BE38F9B" w14:textId="77777777" w:rsidR="009A0400" w:rsidRPr="0069451D" w:rsidRDefault="009A0400" w:rsidP="00261574">
            <w:pPr>
              <w:pStyle w:val="TableText"/>
            </w:pPr>
            <w:r w:rsidRPr="0069451D">
              <w:t xml:space="preserve">Freedom from provisional stenting </w:t>
            </w:r>
          </w:p>
        </w:tc>
        <w:tc>
          <w:tcPr>
            <w:tcW w:w="1175" w:type="dxa"/>
            <w:vAlign w:val="top"/>
          </w:tcPr>
          <w:p w14:paraId="3408F491" w14:textId="77777777" w:rsidR="009A0400" w:rsidRPr="00D20D91" w:rsidRDefault="009A0400" w:rsidP="00261574">
            <w:pPr>
              <w:pStyle w:val="TableText"/>
              <w:jc w:val="center"/>
              <w:rPr>
                <w:b/>
                <w:bCs/>
              </w:rPr>
            </w:pPr>
            <w:r w:rsidRPr="00D20D91">
              <w:rPr>
                <w:b/>
                <w:bCs/>
              </w:rPr>
              <w:t>146/153 (95.4%)</w:t>
            </w:r>
          </w:p>
        </w:tc>
        <w:tc>
          <w:tcPr>
            <w:tcW w:w="1134" w:type="dxa"/>
            <w:vAlign w:val="top"/>
          </w:tcPr>
          <w:p w14:paraId="569B2E8C" w14:textId="77777777" w:rsidR="009A0400" w:rsidRPr="00D20D91" w:rsidRDefault="009A0400" w:rsidP="00261574">
            <w:pPr>
              <w:pStyle w:val="TableText"/>
              <w:jc w:val="center"/>
              <w:rPr>
                <w:b/>
                <w:bCs/>
              </w:rPr>
            </w:pPr>
            <w:r w:rsidRPr="00D20D91">
              <w:rPr>
                <w:b/>
                <w:bCs/>
              </w:rPr>
              <w:t>125/153 (81.7%)</w:t>
            </w:r>
          </w:p>
        </w:tc>
        <w:tc>
          <w:tcPr>
            <w:tcW w:w="1560" w:type="dxa"/>
            <w:vAlign w:val="top"/>
          </w:tcPr>
          <w:p w14:paraId="1A55A2D4" w14:textId="77777777" w:rsidR="009A0400" w:rsidRPr="00D20D91" w:rsidRDefault="009A0400" w:rsidP="00261574">
            <w:pPr>
              <w:pStyle w:val="TableText"/>
              <w:jc w:val="center"/>
              <w:rPr>
                <w:b/>
                <w:bCs/>
              </w:rPr>
            </w:pPr>
            <w:r w:rsidRPr="00D20D91">
              <w:rPr>
                <w:b/>
                <w:bCs/>
              </w:rPr>
              <w:t>1.17 [1.08, 1.27]</w:t>
            </w:r>
          </w:p>
        </w:tc>
        <w:tc>
          <w:tcPr>
            <w:tcW w:w="1538" w:type="dxa"/>
            <w:vAlign w:val="top"/>
          </w:tcPr>
          <w:p w14:paraId="62545D0E" w14:textId="77777777" w:rsidR="009A0400" w:rsidRPr="00D20D91" w:rsidRDefault="009A0400" w:rsidP="00261574">
            <w:pPr>
              <w:pStyle w:val="TableText"/>
              <w:jc w:val="center"/>
              <w:rPr>
                <w:b/>
                <w:bCs/>
              </w:rPr>
            </w:pPr>
            <w:r w:rsidRPr="00D20D91">
              <w:rPr>
                <w:b/>
                <w:bCs/>
              </w:rPr>
              <w:t>0.14 [0.07, 0.21]</w:t>
            </w:r>
          </w:p>
        </w:tc>
        <w:tc>
          <w:tcPr>
            <w:tcW w:w="820" w:type="dxa"/>
            <w:vAlign w:val="top"/>
          </w:tcPr>
          <w:p w14:paraId="5982CB36" w14:textId="77777777" w:rsidR="009A0400" w:rsidRPr="00D20D91" w:rsidRDefault="009A0400" w:rsidP="00261574">
            <w:pPr>
              <w:pStyle w:val="TableText"/>
              <w:jc w:val="center"/>
              <w:rPr>
                <w:b/>
                <w:bCs/>
              </w:rPr>
            </w:pPr>
            <w:r w:rsidRPr="00D20D91">
              <w:rPr>
                <w:b/>
                <w:bCs/>
              </w:rPr>
              <w:t>&lt;0.0001</w:t>
            </w:r>
          </w:p>
        </w:tc>
      </w:tr>
      <w:tr w:rsidR="009A0400" w14:paraId="563FC31E" w14:textId="77777777" w:rsidTr="00261574">
        <w:tc>
          <w:tcPr>
            <w:tcW w:w="2789" w:type="dxa"/>
          </w:tcPr>
          <w:p w14:paraId="592774A6" w14:textId="77777777" w:rsidR="009A0400" w:rsidRPr="0069451D" w:rsidRDefault="009A0400" w:rsidP="00261574">
            <w:pPr>
              <w:pStyle w:val="TableText"/>
            </w:pPr>
            <w:r w:rsidRPr="0069451D">
              <w:t>Freedom from CD-TLR at Year 2</w:t>
            </w:r>
          </w:p>
        </w:tc>
        <w:tc>
          <w:tcPr>
            <w:tcW w:w="1175" w:type="dxa"/>
            <w:vAlign w:val="top"/>
          </w:tcPr>
          <w:p w14:paraId="59B2F898" w14:textId="77777777" w:rsidR="009A0400" w:rsidRDefault="009A0400" w:rsidP="00261574">
            <w:pPr>
              <w:pStyle w:val="TableText"/>
              <w:jc w:val="center"/>
            </w:pPr>
            <w:r w:rsidRPr="0069451D">
              <w:t>108/118 (91.5%)</w:t>
            </w:r>
          </w:p>
        </w:tc>
        <w:tc>
          <w:tcPr>
            <w:tcW w:w="1134" w:type="dxa"/>
            <w:vAlign w:val="top"/>
          </w:tcPr>
          <w:p w14:paraId="41F7B576" w14:textId="77777777" w:rsidR="009A0400" w:rsidRDefault="009A0400" w:rsidP="00261574">
            <w:pPr>
              <w:pStyle w:val="TableText"/>
              <w:jc w:val="center"/>
            </w:pPr>
            <w:r w:rsidRPr="0069451D">
              <w:t>93/102 (91.2%)</w:t>
            </w:r>
          </w:p>
        </w:tc>
        <w:tc>
          <w:tcPr>
            <w:tcW w:w="1560" w:type="dxa"/>
            <w:vAlign w:val="top"/>
          </w:tcPr>
          <w:p w14:paraId="56F94C54" w14:textId="77777777" w:rsidR="009A0400" w:rsidRPr="003E4738" w:rsidRDefault="009A0400" w:rsidP="00261574">
            <w:pPr>
              <w:pStyle w:val="TableText"/>
              <w:jc w:val="center"/>
            </w:pPr>
            <w:r w:rsidRPr="0069451D">
              <w:t>1.00 [0.93, 1.09]</w:t>
            </w:r>
          </w:p>
        </w:tc>
        <w:tc>
          <w:tcPr>
            <w:tcW w:w="1538" w:type="dxa"/>
            <w:vAlign w:val="top"/>
          </w:tcPr>
          <w:p w14:paraId="34F211E6" w14:textId="77777777" w:rsidR="009A0400" w:rsidRPr="00402F92" w:rsidRDefault="009A0400" w:rsidP="00261574">
            <w:pPr>
              <w:pStyle w:val="TableText"/>
              <w:jc w:val="center"/>
            </w:pPr>
            <w:r w:rsidRPr="0069451D">
              <w:t>0.00 [-0.07, 0.08]</w:t>
            </w:r>
          </w:p>
        </w:tc>
        <w:tc>
          <w:tcPr>
            <w:tcW w:w="820" w:type="dxa"/>
            <w:vAlign w:val="top"/>
          </w:tcPr>
          <w:p w14:paraId="45A58729" w14:textId="77777777" w:rsidR="009A0400" w:rsidRPr="0069451D" w:rsidRDefault="009A0400" w:rsidP="00261574">
            <w:pPr>
              <w:pStyle w:val="TableText"/>
              <w:jc w:val="center"/>
            </w:pPr>
            <w:r w:rsidRPr="0069451D">
              <w:t>0.56</w:t>
            </w:r>
          </w:p>
        </w:tc>
      </w:tr>
      <w:tr w:rsidR="009A0400" w14:paraId="5F3741B3" w14:textId="77777777" w:rsidTr="00261574">
        <w:tc>
          <w:tcPr>
            <w:tcW w:w="2789" w:type="dxa"/>
          </w:tcPr>
          <w:p w14:paraId="5F9EC061" w14:textId="77777777" w:rsidR="009A0400" w:rsidRPr="0069451D" w:rsidRDefault="009A0400" w:rsidP="00261574">
            <w:pPr>
              <w:pStyle w:val="TableText"/>
            </w:pPr>
            <w:r w:rsidRPr="0069451D">
              <w:t>Freedom from restenosis at Year 2</w:t>
            </w:r>
          </w:p>
        </w:tc>
        <w:tc>
          <w:tcPr>
            <w:tcW w:w="1175" w:type="dxa"/>
            <w:vAlign w:val="top"/>
          </w:tcPr>
          <w:p w14:paraId="68474372" w14:textId="77777777" w:rsidR="009A0400" w:rsidRDefault="009A0400" w:rsidP="00261574">
            <w:pPr>
              <w:pStyle w:val="TableText"/>
              <w:jc w:val="center"/>
            </w:pPr>
            <w:r w:rsidRPr="0069451D">
              <w:t>78/94 (83.0%)</w:t>
            </w:r>
          </w:p>
        </w:tc>
        <w:tc>
          <w:tcPr>
            <w:tcW w:w="1134" w:type="dxa"/>
            <w:vAlign w:val="top"/>
          </w:tcPr>
          <w:p w14:paraId="10F35012" w14:textId="77777777" w:rsidR="009A0400" w:rsidRDefault="009A0400" w:rsidP="00261574">
            <w:pPr>
              <w:pStyle w:val="TableText"/>
              <w:jc w:val="center"/>
            </w:pPr>
            <w:r w:rsidRPr="0069451D">
              <w:t>58/76 (76.3%)</w:t>
            </w:r>
          </w:p>
        </w:tc>
        <w:tc>
          <w:tcPr>
            <w:tcW w:w="1560" w:type="dxa"/>
            <w:vAlign w:val="top"/>
          </w:tcPr>
          <w:p w14:paraId="61538C57" w14:textId="77777777" w:rsidR="009A0400" w:rsidRPr="003E4738" w:rsidRDefault="009A0400" w:rsidP="00261574">
            <w:pPr>
              <w:pStyle w:val="TableText"/>
              <w:jc w:val="center"/>
            </w:pPr>
            <w:r w:rsidRPr="0069451D">
              <w:t>1.09 [0.93, 1.27]</w:t>
            </w:r>
          </w:p>
        </w:tc>
        <w:tc>
          <w:tcPr>
            <w:tcW w:w="1538" w:type="dxa"/>
            <w:vAlign w:val="top"/>
          </w:tcPr>
          <w:p w14:paraId="5D3BE296" w14:textId="77777777" w:rsidR="009A0400" w:rsidRPr="00402F92" w:rsidRDefault="009A0400" w:rsidP="00261574">
            <w:pPr>
              <w:pStyle w:val="TableText"/>
              <w:jc w:val="center"/>
            </w:pPr>
            <w:r w:rsidRPr="0069451D">
              <w:t>0.07 [-0.06, 0.19]</w:t>
            </w:r>
          </w:p>
        </w:tc>
        <w:tc>
          <w:tcPr>
            <w:tcW w:w="820" w:type="dxa"/>
            <w:vAlign w:val="top"/>
          </w:tcPr>
          <w:p w14:paraId="5D706D6E" w14:textId="77777777" w:rsidR="009A0400" w:rsidRPr="0069451D" w:rsidRDefault="009A0400" w:rsidP="00261574">
            <w:pPr>
              <w:pStyle w:val="TableText"/>
              <w:jc w:val="center"/>
            </w:pPr>
            <w:r w:rsidRPr="0069451D">
              <w:t>0.19</w:t>
            </w:r>
          </w:p>
        </w:tc>
      </w:tr>
    </w:tbl>
    <w:p w14:paraId="440D08D4" w14:textId="3C6C280E" w:rsidR="009A0400" w:rsidRDefault="009A0400" w:rsidP="009A0400">
      <w:pPr>
        <w:pStyle w:val="Tablenotes"/>
        <w:spacing w:before="40" w:after="360"/>
      </w:pPr>
      <w:r>
        <w:t>Abbreviations: CD-TLR</w:t>
      </w:r>
      <w:r w:rsidR="00716E11">
        <w:t xml:space="preserve"> =</w:t>
      </w:r>
      <w:r>
        <w:t xml:space="preserve"> Clinically driven target lesion revascularisation; IVL</w:t>
      </w:r>
      <w:r w:rsidR="00716E11">
        <w:t xml:space="preserve"> =</w:t>
      </w:r>
      <w:r>
        <w:t xml:space="preserve"> Intravascular lithotripsy; PTA</w:t>
      </w:r>
      <w:r w:rsidR="00716E11">
        <w:t xml:space="preserve"> =</w:t>
      </w:r>
      <w:r>
        <w:t xml:space="preserve"> Percutaneous transluminal angioplasty</w:t>
      </w:r>
      <w:r w:rsidR="00EB6499" w:rsidRPr="00EB6499">
        <w:t>; RR = risk ratio; RD = risk difference</w:t>
      </w:r>
    </w:p>
    <w:p w14:paraId="2BF66C45" w14:textId="539DA56F" w:rsidR="00EB64D3" w:rsidRDefault="00EB64D3" w:rsidP="009A0400">
      <w:pPr>
        <w:pStyle w:val="Tablenotes"/>
        <w:spacing w:before="40" w:after="360"/>
      </w:pPr>
      <w:r w:rsidRPr="00D20D91">
        <w:rPr>
          <w:b/>
          <w:bCs/>
        </w:rPr>
        <w:t>Bold</w:t>
      </w:r>
      <w:r w:rsidRPr="00EB64D3">
        <w:t xml:space="preserve"> indicates </w:t>
      </w:r>
      <w:r w:rsidR="00C90312">
        <w:t xml:space="preserve">a </w:t>
      </w:r>
      <w:r w:rsidRPr="00EB64D3">
        <w:t xml:space="preserve">statistically significant </w:t>
      </w:r>
      <w:proofErr w:type="gramStart"/>
      <w:r w:rsidRPr="00EB64D3">
        <w:t>difference</w:t>
      </w:r>
      <w:proofErr w:type="gramEnd"/>
    </w:p>
    <w:p w14:paraId="3B9B2805" w14:textId="6DD133FC" w:rsidR="008A7925" w:rsidRDefault="008A7925" w:rsidP="00BF28BD">
      <w:r>
        <w:t>T</w:t>
      </w:r>
      <w:r w:rsidRPr="008A7925">
        <w:t>he freedom from provisional stent during the index procedure</w:t>
      </w:r>
      <w:r>
        <w:t xml:space="preserve"> was included as part of the p</w:t>
      </w:r>
      <w:r w:rsidRPr="008A7925">
        <w:t>rimary patency</w:t>
      </w:r>
      <w:r>
        <w:t xml:space="preserve"> in both 1-year and 2-year effectiveness outcomes.</w:t>
      </w:r>
    </w:p>
    <w:p w14:paraId="538771A7" w14:textId="3EFC192F" w:rsidR="00494174" w:rsidRPr="00482BE5" w:rsidRDefault="00482BE5" w:rsidP="00BF28BD">
      <w:pPr>
        <w:rPr>
          <w:i/>
          <w:iCs/>
        </w:rPr>
      </w:pPr>
      <w:r w:rsidRPr="00482BE5">
        <w:t xml:space="preserve">DISRUPT PAD III RCT reported significantly higher primary patency at Year </w:t>
      </w:r>
      <w:r w:rsidR="008A7925">
        <w:t>2</w:t>
      </w:r>
      <w:r w:rsidR="008A7925" w:rsidRPr="00482BE5">
        <w:t xml:space="preserve"> </w:t>
      </w:r>
      <w:r w:rsidRPr="00482BE5">
        <w:t xml:space="preserve">in the IVL group compared to the PTA group (IVL: </w:t>
      </w:r>
      <w:r w:rsidR="008A7925">
        <w:t>70.4</w:t>
      </w:r>
      <w:r w:rsidRPr="00482BE5">
        <w:t xml:space="preserve">%, PTA: </w:t>
      </w:r>
      <w:r w:rsidR="008A7925">
        <w:t>51.3</w:t>
      </w:r>
      <w:r w:rsidRPr="00482BE5">
        <w:t>%, RR: 1.</w:t>
      </w:r>
      <w:r w:rsidR="008A7925">
        <w:t>32</w:t>
      </w:r>
      <w:r w:rsidR="008A7925" w:rsidRPr="00482BE5">
        <w:t xml:space="preserve"> </w:t>
      </w:r>
      <w:r w:rsidRPr="00482BE5">
        <w:t>[95% CI 1.</w:t>
      </w:r>
      <w:r w:rsidR="008A7925" w:rsidRPr="00482BE5">
        <w:t>0</w:t>
      </w:r>
      <w:r w:rsidR="008A7925">
        <w:t>7</w:t>
      </w:r>
      <w:r w:rsidRPr="00482BE5">
        <w:t>, 1.</w:t>
      </w:r>
      <w:r w:rsidR="008A7925">
        <w:t>62</w:t>
      </w:r>
      <w:r w:rsidRPr="00482BE5">
        <w:t>], RD: 0.</w:t>
      </w:r>
      <w:r w:rsidR="008A7925" w:rsidRPr="00482BE5">
        <w:t>1</w:t>
      </w:r>
      <w:r w:rsidR="008A7925">
        <w:t>7</w:t>
      </w:r>
      <w:r w:rsidR="008A7925" w:rsidRPr="00482BE5">
        <w:t xml:space="preserve"> </w:t>
      </w:r>
      <w:r w:rsidRPr="00482BE5">
        <w:t>[95% CI 0.</w:t>
      </w:r>
      <w:r w:rsidR="008A7925" w:rsidRPr="00482BE5">
        <w:t>0</w:t>
      </w:r>
      <w:r w:rsidR="008A7925">
        <w:t>5</w:t>
      </w:r>
      <w:r w:rsidRPr="00482BE5">
        <w:t>, 0.</w:t>
      </w:r>
      <w:r w:rsidR="008A7925" w:rsidRPr="00482BE5">
        <w:t>2</w:t>
      </w:r>
      <w:r w:rsidR="008A7925">
        <w:t>9</w:t>
      </w:r>
      <w:r w:rsidRPr="00482BE5">
        <w:t>], p = 0.</w:t>
      </w:r>
      <w:r w:rsidR="008A7925" w:rsidRPr="00482BE5">
        <w:t>0</w:t>
      </w:r>
      <w:r w:rsidR="008A7925">
        <w:t>054</w:t>
      </w:r>
      <w:r w:rsidRPr="00482BE5">
        <w:t xml:space="preserve">). </w:t>
      </w:r>
      <w:r w:rsidRPr="00482BE5">
        <w:rPr>
          <w:rStyle w:val="cf01"/>
          <w:rFonts w:ascii="Franklin Gothic Book" w:hAnsi="Franklin Gothic Book"/>
          <w:sz w:val="22"/>
          <w:szCs w:val="22"/>
        </w:rPr>
        <w:t>However, there was no significant difference in f</w:t>
      </w:r>
      <w:r w:rsidRPr="00482BE5">
        <w:t>reedom from CD-TLR</w:t>
      </w:r>
      <w:r>
        <w:t xml:space="preserve"> </w:t>
      </w:r>
      <w:r w:rsidRPr="00482BE5">
        <w:t xml:space="preserve">and restenosis at 2-years. </w:t>
      </w:r>
      <w:r w:rsidR="00494174" w:rsidRPr="00B211A8">
        <w:t xml:space="preserve">The </w:t>
      </w:r>
      <w:r w:rsidR="002B15C1" w:rsidRPr="00B211A8">
        <w:t xml:space="preserve">significant </w:t>
      </w:r>
      <w:r w:rsidR="00494174" w:rsidRPr="00B211A8">
        <w:t xml:space="preserve">difference </w:t>
      </w:r>
      <w:r w:rsidR="002B15C1" w:rsidRPr="00B211A8">
        <w:t xml:space="preserve">in </w:t>
      </w:r>
      <w:r w:rsidR="00494174" w:rsidRPr="00B211A8">
        <w:t>primary patency at 2</w:t>
      </w:r>
      <w:r w:rsidR="002B15C1" w:rsidRPr="00B211A8">
        <w:t xml:space="preserve"> </w:t>
      </w:r>
      <w:r w:rsidR="00494174" w:rsidRPr="00B211A8">
        <w:t xml:space="preserve">years between </w:t>
      </w:r>
      <w:r w:rsidR="002B15C1" w:rsidRPr="00B211A8">
        <w:t xml:space="preserve">the </w:t>
      </w:r>
      <w:r w:rsidR="00494174" w:rsidRPr="00B211A8">
        <w:t xml:space="preserve">IVL and SBA arm was driven by the freedom from provisional stent </w:t>
      </w:r>
      <w:r w:rsidR="00FB774F" w:rsidRPr="00B211A8">
        <w:t xml:space="preserve">during </w:t>
      </w:r>
      <w:r w:rsidR="00494174" w:rsidRPr="00B211A8">
        <w:t xml:space="preserve">the </w:t>
      </w:r>
      <w:r w:rsidR="00FB774F" w:rsidRPr="00B211A8">
        <w:t xml:space="preserve">index </w:t>
      </w:r>
      <w:r w:rsidR="00494174" w:rsidRPr="00B211A8">
        <w:t>procedure (Freedom from CD-TLR and restenosis were not statistically significant at</w:t>
      </w:r>
      <w:r w:rsidR="00036B27">
        <w:t xml:space="preserve"> </w:t>
      </w:r>
      <w:r w:rsidR="00494174" w:rsidRPr="00B211A8">
        <w:t>2</w:t>
      </w:r>
      <w:r w:rsidR="002B15C1" w:rsidRPr="00B211A8">
        <w:t xml:space="preserve"> </w:t>
      </w:r>
      <w:r w:rsidR="00494174" w:rsidRPr="00B211A8">
        <w:t>years).</w:t>
      </w:r>
      <w:r w:rsidR="00494174" w:rsidRPr="00482BE5">
        <w:rPr>
          <w:i/>
          <w:iCs/>
        </w:rPr>
        <w:t xml:space="preserve"> </w:t>
      </w:r>
      <w:r w:rsidR="00494174" w:rsidRPr="00996E36">
        <w:t>Hence,</w:t>
      </w:r>
      <w:r w:rsidR="00B211A8" w:rsidRPr="00996E36">
        <w:t xml:space="preserve"> </w:t>
      </w:r>
      <w:r w:rsidR="00DC2122">
        <w:t>the</w:t>
      </w:r>
      <w:r w:rsidR="00B211A8" w:rsidRPr="00996E36">
        <w:t xml:space="preserve"> commentary considers that</w:t>
      </w:r>
      <w:r w:rsidR="00494174" w:rsidRPr="00996E36">
        <w:t xml:space="preserve"> the long-term effectiveness </w:t>
      </w:r>
      <w:r w:rsidR="00FB774F" w:rsidRPr="00996E36">
        <w:t>in terms</w:t>
      </w:r>
      <w:r w:rsidR="00494174" w:rsidRPr="00996E36">
        <w:t xml:space="preserve"> of primary patency is uncertain.</w:t>
      </w:r>
      <w:r w:rsidR="00494174" w:rsidRPr="00482BE5">
        <w:rPr>
          <w:i/>
          <w:iCs/>
        </w:rPr>
        <w:t xml:space="preserve">  </w:t>
      </w:r>
    </w:p>
    <w:p w14:paraId="1D17C74D" w14:textId="2FCBB220" w:rsidR="0033129E" w:rsidRPr="00205A1C" w:rsidRDefault="0033129E" w:rsidP="00BF28BD">
      <w:pPr>
        <w:rPr>
          <w:b/>
          <w:bCs/>
        </w:rPr>
      </w:pPr>
      <w:r w:rsidRPr="00205A1C">
        <w:rPr>
          <w:b/>
          <w:bCs/>
        </w:rPr>
        <w:t>Secondary effectiveness outcomes</w:t>
      </w:r>
    </w:p>
    <w:p w14:paraId="7AE9F95D" w14:textId="0F6ED8E1" w:rsidR="008A7925" w:rsidRPr="008A7925" w:rsidRDefault="00C905C8" w:rsidP="00BF28BD">
      <w:r>
        <w:t>The DISRUPT PAD III RCT</w:t>
      </w:r>
      <w:r w:rsidR="0035093B">
        <w:t xml:space="preserve"> </w:t>
      </w:r>
      <w:r>
        <w:t xml:space="preserve">reported changes in PAD severity </w:t>
      </w:r>
      <w:r w:rsidR="0033129E">
        <w:t xml:space="preserve">(based on </w:t>
      </w:r>
      <w:r w:rsidR="005F1FA3">
        <w:t>Ankle-brachial index (</w:t>
      </w:r>
      <w:r w:rsidR="0033129E">
        <w:t>ABI</w:t>
      </w:r>
      <w:r w:rsidR="005F1FA3">
        <w:t>)</w:t>
      </w:r>
      <w:r w:rsidR="0033129E">
        <w:t>)</w:t>
      </w:r>
      <w:r w:rsidR="00A04CC6">
        <w:t xml:space="preserve">, </w:t>
      </w:r>
      <w:r w:rsidR="0033129E">
        <w:t xml:space="preserve">walking performance, </w:t>
      </w:r>
      <w:r w:rsidR="005F1FA3">
        <w:t>quality of life (</w:t>
      </w:r>
      <w:r w:rsidR="0033129E">
        <w:t>QoL</w:t>
      </w:r>
      <w:r w:rsidR="005F1FA3">
        <w:t>)</w:t>
      </w:r>
      <w:r w:rsidR="0033129E">
        <w:t xml:space="preserve"> and </w:t>
      </w:r>
      <w:r w:rsidR="00814DA0" w:rsidRPr="00814DA0">
        <w:t xml:space="preserve">Rutherford classification </w:t>
      </w:r>
      <w:r w:rsidR="0033129E">
        <w:t>stage</w:t>
      </w:r>
      <w:r>
        <w:t xml:space="preserve"> as secondary effectiveness outcomes.</w:t>
      </w:r>
      <w:r w:rsidR="008A7925">
        <w:t xml:space="preserve"> </w:t>
      </w:r>
    </w:p>
    <w:p w14:paraId="78F793FA" w14:textId="10B57CA3" w:rsidR="001E4E5F" w:rsidRPr="00A26C2E" w:rsidRDefault="001E4E5F" w:rsidP="00BF28BD">
      <w:pPr>
        <w:rPr>
          <w:i/>
          <w:iCs/>
        </w:rPr>
      </w:pPr>
      <w:r w:rsidRPr="00A26C2E">
        <w:rPr>
          <w:i/>
          <w:iCs/>
        </w:rPr>
        <w:t>ABI improvement from baseline</w:t>
      </w:r>
    </w:p>
    <w:p w14:paraId="5971F2B3" w14:textId="59EEB110" w:rsidR="00C905C8" w:rsidRDefault="00C90312" w:rsidP="00BF28BD">
      <w:r>
        <w:t>T</w:t>
      </w:r>
      <w:r w:rsidR="001E4E5F" w:rsidRPr="00EA5F97">
        <w:t xml:space="preserve">he </w:t>
      </w:r>
      <w:r w:rsidR="001E4E5F">
        <w:t>IVL</w:t>
      </w:r>
      <w:r w:rsidR="001E4E5F" w:rsidRPr="00EA5F97">
        <w:t xml:space="preserve"> and </w:t>
      </w:r>
      <w:r w:rsidR="001E4E5F">
        <w:t>PTA</w:t>
      </w:r>
      <w:r w:rsidR="001E4E5F" w:rsidRPr="00EA5F97">
        <w:t xml:space="preserve"> treatment arms showed clinical improvement in ABI scores at 30 days </w:t>
      </w:r>
      <w:r w:rsidR="00C905C8">
        <w:t>and 12 months from baseline</w:t>
      </w:r>
      <w:r w:rsidR="00C905C8" w:rsidRPr="00EA5F97">
        <w:t xml:space="preserve"> (IVL: 0.19 ± 0.20; PTA: 0.23 ± 0.25; p = 0.25)</w:t>
      </w:r>
      <w:r w:rsidR="005F1FA3">
        <w:t xml:space="preserve"> as both groups reported ABI </w:t>
      </w:r>
      <w:r w:rsidR="005F1FA3">
        <w:lastRenderedPageBreak/>
        <w:t>0.9 mean scores at both 30 days and 12 months</w:t>
      </w:r>
      <w:r w:rsidR="00C905C8" w:rsidRPr="00EA5F97">
        <w:t>.</w:t>
      </w:r>
      <w:r w:rsidR="001E4E5F" w:rsidRPr="00EA5F97">
        <w:t xml:space="preserve"> However, </w:t>
      </w:r>
      <w:r>
        <w:t>no significant differences were</w:t>
      </w:r>
      <w:r w:rsidR="001E4E5F" w:rsidRPr="00EA5F97">
        <w:t xml:space="preserve"> observed in the change from baseline to 12 months between </w:t>
      </w:r>
      <w:r>
        <w:t xml:space="preserve">the </w:t>
      </w:r>
      <w:r w:rsidR="00C905C8">
        <w:t>intervention and comparator groups.</w:t>
      </w:r>
    </w:p>
    <w:p w14:paraId="5D21601E" w14:textId="2F695B63" w:rsidR="007736DA" w:rsidRPr="00261574" w:rsidRDefault="007736DA" w:rsidP="00BF28BD">
      <w:pPr>
        <w:rPr>
          <w:i/>
          <w:iCs/>
        </w:rPr>
      </w:pPr>
      <w:r w:rsidRPr="00261574">
        <w:rPr>
          <w:i/>
          <w:iCs/>
        </w:rPr>
        <w:t xml:space="preserve">Walking performance measured with </w:t>
      </w:r>
      <w:r w:rsidR="005F1FA3">
        <w:rPr>
          <w:i/>
          <w:iCs/>
        </w:rPr>
        <w:t xml:space="preserve">walking </w:t>
      </w:r>
      <w:r w:rsidR="00AD106C">
        <w:rPr>
          <w:i/>
          <w:iCs/>
        </w:rPr>
        <w:t>impairment</w:t>
      </w:r>
      <w:r w:rsidR="005F1FA3">
        <w:rPr>
          <w:i/>
          <w:iCs/>
        </w:rPr>
        <w:t xml:space="preserve"> questionnaire (</w:t>
      </w:r>
      <w:r w:rsidRPr="00261574">
        <w:rPr>
          <w:i/>
          <w:iCs/>
        </w:rPr>
        <w:t>WIQ</w:t>
      </w:r>
      <w:r w:rsidR="005F1FA3">
        <w:rPr>
          <w:i/>
          <w:iCs/>
        </w:rPr>
        <w:t>)</w:t>
      </w:r>
    </w:p>
    <w:p w14:paraId="6471550F" w14:textId="30342BC7" w:rsidR="007736DA" w:rsidRDefault="007736DA" w:rsidP="00BF28BD">
      <w:r>
        <w:t>The DISRUPT PAD</w:t>
      </w:r>
      <w:r w:rsidR="00124738">
        <w:t xml:space="preserve"> III </w:t>
      </w:r>
      <w:r>
        <w:t>study reported improvement in WIQ overall scores from baseline across both treatment arms. However, there were no statistically significant differences between patients in the IVL arm and those in the PTA arm.</w:t>
      </w:r>
    </w:p>
    <w:p w14:paraId="1BCCD8B0" w14:textId="7E487DD6" w:rsidR="001E4E5F" w:rsidRPr="00A26C2E" w:rsidRDefault="001E4E5F" w:rsidP="00BF28BD">
      <w:pPr>
        <w:rPr>
          <w:i/>
          <w:iCs/>
        </w:rPr>
      </w:pPr>
      <w:r w:rsidRPr="00A26C2E">
        <w:rPr>
          <w:i/>
          <w:iCs/>
        </w:rPr>
        <w:t>Rutherford classification change from baseline</w:t>
      </w:r>
    </w:p>
    <w:p w14:paraId="4E2D976E" w14:textId="6F3B0417" w:rsidR="001E4E5F" w:rsidRDefault="001E4E5F" w:rsidP="00BF28BD">
      <w:r>
        <w:t xml:space="preserve">The change in Rutherford classification was comparable in both treatment arms at 30 days (IVL: -2.20 ± 1.08; PTA: -2.27 ± 0.99; p= 0.5733), 6 months (IVL: -2.35 ± 0.91; PTA: -2.29 ± 1.00; p= 0.6323), 12 months (IVL: -2.22 ± 1.08; PTA: -2.32 ± 1.04; p=0.4477) and 24 months (IVL: -2.15 ± 1.14; PTA: -2.12 ± 1.29; p= 0.8444). </w:t>
      </w:r>
      <w:r w:rsidR="00C905C8">
        <w:t>However, n</w:t>
      </w:r>
      <w:r>
        <w:t xml:space="preserve">o statistically significant differences were observed </w:t>
      </w:r>
      <w:r w:rsidR="00C905C8">
        <w:t xml:space="preserve">between two groups </w:t>
      </w:r>
      <w:r>
        <w:t>over the follow-up period.</w:t>
      </w:r>
    </w:p>
    <w:p w14:paraId="537A8E84" w14:textId="77777777" w:rsidR="001E4E5F" w:rsidRPr="00A26C2E" w:rsidRDefault="001E4E5F" w:rsidP="00BF28BD">
      <w:pPr>
        <w:rPr>
          <w:i/>
          <w:iCs/>
        </w:rPr>
      </w:pPr>
      <w:r w:rsidRPr="00A26C2E">
        <w:rPr>
          <w:i/>
          <w:iCs/>
        </w:rPr>
        <w:t>Quality of life</w:t>
      </w:r>
    </w:p>
    <w:p w14:paraId="4089195B" w14:textId="39CBB5CF" w:rsidR="00C905C8" w:rsidRPr="00494174" w:rsidRDefault="00494174" w:rsidP="00BF28BD">
      <w:pPr>
        <w:rPr>
          <w:i/>
          <w:iCs/>
        </w:rPr>
      </w:pPr>
      <w:r>
        <w:t>QoL</w:t>
      </w:r>
      <w:r w:rsidR="001E4E5F">
        <w:t xml:space="preserve"> results using the </w:t>
      </w:r>
      <w:r w:rsidR="00E27289">
        <w:t>EuroQoL-5D (</w:t>
      </w:r>
      <w:r w:rsidR="001E4E5F">
        <w:t>EQ-5D</w:t>
      </w:r>
      <w:r w:rsidR="00E27289">
        <w:t>)</w:t>
      </w:r>
      <w:r w:rsidR="001E4E5F">
        <w:t xml:space="preserve"> were comparable across both treatment arms in the change from baseline at 30 days (IVL: 0.10 </w:t>
      </w:r>
      <w:r w:rsidR="001E4E5F" w:rsidRPr="0044586B">
        <w:t>± 0.20</w:t>
      </w:r>
      <w:r w:rsidR="001E4E5F">
        <w:t xml:space="preserve">; PTA: 0.12 </w:t>
      </w:r>
      <w:r w:rsidR="001E4E5F" w:rsidRPr="0044586B">
        <w:t>±</w:t>
      </w:r>
      <w:r w:rsidR="001E4E5F">
        <w:t xml:space="preserve"> 0.18; p = 0.60) and at 12 months (IVL: 0.09 </w:t>
      </w:r>
      <w:r w:rsidR="001E4E5F" w:rsidRPr="0044586B">
        <w:t>±</w:t>
      </w:r>
      <w:r w:rsidR="001E4E5F">
        <w:t xml:space="preserve"> 0.20; PTA: 0.07 </w:t>
      </w:r>
      <w:r w:rsidR="001E4E5F" w:rsidRPr="0044586B">
        <w:t>±</w:t>
      </w:r>
      <w:r w:rsidR="001E4E5F">
        <w:t xml:space="preserve"> 0.21; p = 0.54).</w:t>
      </w:r>
      <w:r w:rsidR="00205A1C">
        <w:t xml:space="preserve"> </w:t>
      </w:r>
      <w:r w:rsidR="00205A1C" w:rsidRPr="00996E36">
        <w:t>However, no significant difference was observed between IVL and PTA arms.</w:t>
      </w:r>
      <w:r w:rsidR="001E4E5F" w:rsidRPr="00494174">
        <w:rPr>
          <w:i/>
          <w:iCs/>
        </w:rPr>
        <w:t xml:space="preserve"> </w:t>
      </w:r>
    </w:p>
    <w:p w14:paraId="44FC2D05" w14:textId="49E18F6E" w:rsidR="00205A1C" w:rsidRDefault="00205A1C" w:rsidP="00BF28BD">
      <w:r>
        <w:t xml:space="preserve">DISRUPT PAD III RCT reported </w:t>
      </w:r>
      <w:r w:rsidR="001E4E5F">
        <w:t xml:space="preserve">a statistically significant superior result in </w:t>
      </w:r>
      <w:r w:rsidR="00C90312">
        <w:t xml:space="preserve">a </w:t>
      </w:r>
      <w:r w:rsidR="001E4E5F">
        <w:t xml:space="preserve">30-day change from baseline measurements (IVL: 9.1 </w:t>
      </w:r>
      <w:r w:rsidR="001E4E5F" w:rsidRPr="0044586B">
        <w:t>±</w:t>
      </w:r>
      <w:r w:rsidR="001E4E5F">
        <w:t xml:space="preserve"> 16.9; PTA: 4.3 </w:t>
      </w:r>
      <w:r w:rsidR="001E4E5F" w:rsidRPr="0044586B">
        <w:t>±</w:t>
      </w:r>
      <w:r w:rsidR="001E4E5F">
        <w:t xml:space="preserve"> 15.7; p = 0.01)</w:t>
      </w:r>
      <w:r>
        <w:t xml:space="preserve"> in the </w:t>
      </w:r>
      <w:r w:rsidR="00E27289">
        <w:t>EQ-5D v</w:t>
      </w:r>
      <w:r w:rsidR="003D0DFA">
        <w:t xml:space="preserve">isual </w:t>
      </w:r>
      <w:r w:rsidR="00036B27">
        <w:t xml:space="preserve">analogue </w:t>
      </w:r>
      <w:r w:rsidR="003D0DFA">
        <w:t>scale (</w:t>
      </w:r>
      <w:r>
        <w:t>EQ-5D VAS</w:t>
      </w:r>
      <w:r w:rsidR="003D0DFA">
        <w:t>)</w:t>
      </w:r>
      <w:r>
        <w:t xml:space="preserve"> score between IVL and PTA groups. However, this difference was not significant </w:t>
      </w:r>
      <w:r w:rsidR="00C90312">
        <w:t xml:space="preserve">in </w:t>
      </w:r>
      <w:r>
        <w:t>the 12</w:t>
      </w:r>
      <w:r w:rsidR="00C90312">
        <w:t xml:space="preserve"> </w:t>
      </w:r>
      <w:r>
        <w:t>months (IVL:</w:t>
      </w:r>
      <w:r w:rsidRPr="004A1580">
        <w:t xml:space="preserve"> </w:t>
      </w:r>
      <w:r w:rsidRPr="00BC56A2">
        <w:t>6.7 ± 17.2</w:t>
      </w:r>
      <w:r>
        <w:t>, PTA:</w:t>
      </w:r>
      <w:r w:rsidRPr="004A1580">
        <w:t xml:space="preserve"> </w:t>
      </w:r>
      <w:r>
        <w:t>2.7 ± 21.2; p = 0.0925).</w:t>
      </w:r>
    </w:p>
    <w:p w14:paraId="654B2CF1" w14:textId="428F7207" w:rsidR="001E4E5F" w:rsidRDefault="00DD2D0D" w:rsidP="00BF28BD">
      <w:pPr>
        <w:rPr>
          <w:b/>
          <w:bCs/>
          <w:u w:val="single"/>
        </w:rPr>
      </w:pPr>
      <w:r w:rsidRPr="0012321A">
        <w:rPr>
          <w:b/>
          <w:bCs/>
        </w:rPr>
        <w:t>Evidence based on</w:t>
      </w:r>
      <w:r>
        <w:rPr>
          <w:b/>
          <w:bCs/>
        </w:rPr>
        <w:t xml:space="preserve"> single</w:t>
      </w:r>
      <w:r w:rsidR="00C90312">
        <w:rPr>
          <w:b/>
          <w:bCs/>
        </w:rPr>
        <w:t>-</w:t>
      </w:r>
      <w:r>
        <w:rPr>
          <w:b/>
          <w:bCs/>
        </w:rPr>
        <w:t xml:space="preserve">arm clinical </w:t>
      </w:r>
      <w:proofErr w:type="gramStart"/>
      <w:r>
        <w:rPr>
          <w:b/>
          <w:bCs/>
        </w:rPr>
        <w:t>trials</w:t>
      </w:r>
      <w:proofErr w:type="gramEnd"/>
    </w:p>
    <w:p w14:paraId="618F6453" w14:textId="2CDA03A4" w:rsidR="0035093B" w:rsidRDefault="00DD2D0D" w:rsidP="00BF28BD">
      <w:r>
        <w:t xml:space="preserve">The results of the main efficacy outcomes of procedural success and primary patency are summarised in Table </w:t>
      </w:r>
      <w:r w:rsidR="00EB6499">
        <w:t xml:space="preserve">6 </w:t>
      </w:r>
      <w:r>
        <w:t>for single</w:t>
      </w:r>
      <w:r w:rsidR="00C90312">
        <w:t>-</w:t>
      </w:r>
      <w:r>
        <w:t>arm clinical trials.</w:t>
      </w:r>
    </w:p>
    <w:p w14:paraId="6EDC127D" w14:textId="4E4A0819" w:rsidR="004A75BE" w:rsidRPr="00494174" w:rsidRDefault="00264EED" w:rsidP="00BF28BD">
      <w:r w:rsidRPr="00494174">
        <w:t xml:space="preserve">Procedural success was defined as residual stenosis ≤30% without flow-limiting dissection (≥ grade D) prior to DCB or stenting by angiographic core in DISRUPT PAD OS (This is </w:t>
      </w:r>
      <w:proofErr w:type="gramStart"/>
      <w:r w:rsidRPr="00494174">
        <w:t>similar to</w:t>
      </w:r>
      <w:proofErr w:type="gramEnd"/>
      <w:r w:rsidRPr="00494174">
        <w:t xml:space="preserve"> the procedural success defined in the DISRUPT PAD III RCT). </w:t>
      </w:r>
      <w:r w:rsidR="004A75BE" w:rsidRPr="00494174">
        <w:t>DISRUPT PAD I, II</w:t>
      </w:r>
      <w:r w:rsidR="00C90312" w:rsidRPr="00494174">
        <w:t>,</w:t>
      </w:r>
      <w:r w:rsidR="004A75BE" w:rsidRPr="00494174">
        <w:t xml:space="preserve"> and DISRUPT PAD BTK studies did not report results of procedural success defined as </w:t>
      </w:r>
      <w:r w:rsidR="004A75BE" w:rsidRPr="00494174">
        <w:rPr>
          <w:rFonts w:cstheme="minorHAnsi"/>
        </w:rPr>
        <w:t>≤</w:t>
      </w:r>
      <w:r w:rsidR="004A75BE" w:rsidRPr="00494174">
        <w:t>30% final residual stenosis without a flow-limiting dissection (≥ grade D). Hence, the ADAR did not include the procedural success results for these studies.</w:t>
      </w:r>
    </w:p>
    <w:p w14:paraId="5A1317AD" w14:textId="77777777" w:rsidR="002B15C1" w:rsidRPr="00996E36" w:rsidRDefault="00494174" w:rsidP="00BF28BD">
      <w:r w:rsidRPr="00996E36">
        <w:t xml:space="preserve">Of note, the definition of procedural success varies across DISRUPT PAD studies. Due to this heterogeneity, the studies were not pooled.  </w:t>
      </w:r>
    </w:p>
    <w:p w14:paraId="23ED77A6" w14:textId="1F090C6E" w:rsidR="002E0022" w:rsidRPr="00482BE5" w:rsidRDefault="002E0022" w:rsidP="00BF28BD">
      <w:pPr>
        <w:rPr>
          <w:i/>
          <w:iCs/>
        </w:rPr>
      </w:pPr>
      <w:r>
        <w:t xml:space="preserve">However, </w:t>
      </w:r>
      <w:r w:rsidR="005A5FBD">
        <w:t>f</w:t>
      </w:r>
      <w:r>
        <w:t xml:space="preserve">low-limiting dissection (≥ grade D) was one of the procedural success markers reported in </w:t>
      </w:r>
      <w:r w:rsidR="00C90312">
        <w:t xml:space="preserve">the </w:t>
      </w:r>
      <w:r w:rsidR="004A75BE">
        <w:t>DISRUPT PAD II</w:t>
      </w:r>
      <w:r>
        <w:t xml:space="preserve"> study and f</w:t>
      </w:r>
      <w:r w:rsidR="004A75BE">
        <w:t>low-limiting dissection (≥ grade D) was observed in one patient (1.7%).</w:t>
      </w:r>
      <w:r w:rsidR="00AF02E1">
        <w:t xml:space="preserve"> The ADAR stated</w:t>
      </w:r>
      <w:r>
        <w:t xml:space="preserve"> that this value was used in the economic model for the PICO 1 scenario analysis. Hence, it is included in the summary table. </w:t>
      </w:r>
      <w:r w:rsidR="00494174" w:rsidRPr="00996E36">
        <w:t xml:space="preserve">The </w:t>
      </w:r>
      <w:r w:rsidR="002B15C1" w:rsidRPr="00996E36">
        <w:t>economic evaluation section will discuss the appropriateness of using this value in the economic model</w:t>
      </w:r>
      <w:r w:rsidR="00494174" w:rsidRPr="00996E36">
        <w:t>.</w:t>
      </w:r>
    </w:p>
    <w:p w14:paraId="66B3A927" w14:textId="7A809E82" w:rsidR="006B27B3" w:rsidRDefault="00AF02E1" w:rsidP="00BF28BD">
      <w:r>
        <w:t>The DISRUPT PAD III OS and the DISRUPT PAD BTK studies did not report primary patency</w:t>
      </w:r>
      <w:r w:rsidR="00FD0BC8">
        <w:t xml:space="preserve"> as </w:t>
      </w:r>
      <w:r w:rsidR="00CE068F">
        <w:t>a</w:t>
      </w:r>
      <w:r w:rsidR="00FD0BC8">
        <w:t xml:space="preserve"> primary effectiveness endpoint</w:t>
      </w:r>
      <w:r>
        <w:t>.</w:t>
      </w:r>
      <w:r w:rsidR="00FD0BC8">
        <w:t xml:space="preserve"> </w:t>
      </w:r>
      <w:r>
        <w:t xml:space="preserve">The primary patency in DISRUPT PAD II </w:t>
      </w:r>
      <w:r w:rsidR="00FD0BC8">
        <w:t xml:space="preserve">and DISRUPT PAD I </w:t>
      </w:r>
      <w:r>
        <w:t>stud</w:t>
      </w:r>
      <w:r w:rsidR="00FD0BC8">
        <w:t>ies</w:t>
      </w:r>
      <w:r>
        <w:t xml:space="preserve"> is defined as freedom from </w:t>
      </w:r>
      <w:r w:rsidR="00482BE5">
        <w:t>CD-</w:t>
      </w:r>
      <w:r>
        <w:t>TLR and from ≥50% stenosis by duplex ultrasound</w:t>
      </w:r>
      <w:r w:rsidR="00FD0BC8">
        <w:t xml:space="preserve"> as in DISRUPT PAD III RCT.</w:t>
      </w:r>
    </w:p>
    <w:p w14:paraId="139196FF" w14:textId="16D45756" w:rsidR="00DD2D0D" w:rsidRDefault="00DD2D0D" w:rsidP="00C73462">
      <w:pPr>
        <w:pStyle w:val="TableHeading0"/>
        <w:keepNext/>
        <w:keepLines/>
      </w:pPr>
      <w:r>
        <w:lastRenderedPageBreak/>
        <w:t xml:space="preserve">Table </w:t>
      </w:r>
      <w:r w:rsidR="00340D39">
        <w:fldChar w:fldCharType="begin"/>
      </w:r>
      <w:r w:rsidR="00340D39">
        <w:instrText xml:space="preserve"> SEQ Table \* ARABIC </w:instrText>
      </w:r>
      <w:r w:rsidR="00340D39">
        <w:fldChar w:fldCharType="separate"/>
      </w:r>
      <w:r w:rsidR="009A5224">
        <w:rPr>
          <w:noProof/>
        </w:rPr>
        <w:t>6</w:t>
      </w:r>
      <w:r w:rsidR="00340D39">
        <w:rPr>
          <w:noProof/>
        </w:rPr>
        <w:fldChar w:fldCharType="end"/>
      </w:r>
      <w:r w:rsidR="00261574">
        <w:rPr>
          <w:noProof/>
        </w:rPr>
        <w:t>:</w:t>
      </w:r>
      <w:r w:rsidR="00795284">
        <w:t xml:space="preserve"> </w:t>
      </w:r>
      <w:r w:rsidRPr="000652C7">
        <w:t>Summary of efficacy outcomes in the single-arm study evidence base</w:t>
      </w:r>
    </w:p>
    <w:tbl>
      <w:tblPr>
        <w:tblStyle w:val="MSAC"/>
        <w:tblW w:w="0" w:type="auto"/>
        <w:tblLook w:val="04A0" w:firstRow="1" w:lastRow="0" w:firstColumn="1" w:lastColumn="0" w:noHBand="0" w:noVBand="1"/>
        <w:tblCaption w:val="Summary of efficacy outcomes in the single-arm study evidence base "/>
        <w:tblDescription w:val="Table outlines the summary of efficacy outcomes in the single-arm study evidence base "/>
      </w:tblPr>
      <w:tblGrid>
        <w:gridCol w:w="1696"/>
        <w:gridCol w:w="2777"/>
        <w:gridCol w:w="1618"/>
        <w:gridCol w:w="1408"/>
        <w:gridCol w:w="1517"/>
      </w:tblGrid>
      <w:tr w:rsidR="00264EED" w:rsidRPr="00681D8B" w14:paraId="6ABBB128" w14:textId="77777777" w:rsidTr="00FD0BC8">
        <w:trPr>
          <w:cnfStyle w:val="100000000000" w:firstRow="1" w:lastRow="0" w:firstColumn="0" w:lastColumn="0" w:oddVBand="0" w:evenVBand="0" w:oddHBand="0" w:evenHBand="0" w:firstRowFirstColumn="0" w:firstRowLastColumn="0" w:lastRowFirstColumn="0" w:lastRowLastColumn="0"/>
        </w:trPr>
        <w:tc>
          <w:tcPr>
            <w:tcW w:w="1696" w:type="dxa"/>
          </w:tcPr>
          <w:p w14:paraId="03480945" w14:textId="494F7652" w:rsidR="00264EED" w:rsidRPr="007551C5" w:rsidRDefault="00D57911" w:rsidP="00C73462">
            <w:pPr>
              <w:pStyle w:val="TableText"/>
              <w:keepNext/>
              <w:keepLines/>
            </w:pPr>
            <w:r>
              <w:t>Study</w:t>
            </w:r>
          </w:p>
        </w:tc>
        <w:tc>
          <w:tcPr>
            <w:tcW w:w="4395" w:type="dxa"/>
            <w:gridSpan w:val="2"/>
          </w:tcPr>
          <w:p w14:paraId="7D985A67" w14:textId="2AD637A7" w:rsidR="00264EED" w:rsidRPr="007551C5" w:rsidRDefault="00D57911" w:rsidP="00C73462">
            <w:pPr>
              <w:pStyle w:val="TableText"/>
              <w:keepNext/>
              <w:keepLines/>
              <w:jc w:val="center"/>
            </w:pPr>
            <w:r>
              <w:t>Outcome</w:t>
            </w:r>
          </w:p>
        </w:tc>
        <w:tc>
          <w:tcPr>
            <w:tcW w:w="2925" w:type="dxa"/>
            <w:gridSpan w:val="2"/>
          </w:tcPr>
          <w:p w14:paraId="58D1266B" w14:textId="77777777" w:rsidR="00264EED" w:rsidRPr="007551C5" w:rsidRDefault="00264EED" w:rsidP="00C73462">
            <w:pPr>
              <w:pStyle w:val="TableText"/>
              <w:keepNext/>
              <w:keepLines/>
              <w:jc w:val="center"/>
            </w:pPr>
            <w:r w:rsidRPr="007551C5">
              <w:t>n/N with events (%)</w:t>
            </w:r>
          </w:p>
        </w:tc>
      </w:tr>
      <w:tr w:rsidR="00264EED" w:rsidRPr="00681D8B" w14:paraId="4FB1C05F" w14:textId="77777777" w:rsidTr="00FD0BC8">
        <w:tc>
          <w:tcPr>
            <w:tcW w:w="6091" w:type="dxa"/>
            <w:gridSpan w:val="3"/>
          </w:tcPr>
          <w:p w14:paraId="3D884703" w14:textId="77777777" w:rsidR="00264EED" w:rsidRPr="007551C5" w:rsidRDefault="00264EED" w:rsidP="00C73462">
            <w:pPr>
              <w:pStyle w:val="TableText"/>
              <w:keepNext/>
              <w:keepLines/>
            </w:pPr>
            <w:r w:rsidRPr="00C06467">
              <w:rPr>
                <w:b/>
                <w:bCs/>
              </w:rPr>
              <w:t>DISRUPT PAD III OS</w:t>
            </w:r>
          </w:p>
        </w:tc>
        <w:tc>
          <w:tcPr>
            <w:tcW w:w="2925" w:type="dxa"/>
            <w:gridSpan w:val="2"/>
          </w:tcPr>
          <w:p w14:paraId="3019251E" w14:textId="77777777" w:rsidR="00264EED" w:rsidRPr="007551C5" w:rsidRDefault="00264EED" w:rsidP="00C73462">
            <w:pPr>
              <w:pStyle w:val="TableText"/>
              <w:keepNext/>
              <w:keepLines/>
            </w:pPr>
          </w:p>
        </w:tc>
      </w:tr>
      <w:tr w:rsidR="00264EED" w:rsidRPr="0069451D" w14:paraId="4A3BE3E0" w14:textId="77777777" w:rsidTr="00FD0BC8">
        <w:tc>
          <w:tcPr>
            <w:tcW w:w="1696" w:type="dxa"/>
          </w:tcPr>
          <w:p w14:paraId="712DD97F" w14:textId="77777777" w:rsidR="00264EED" w:rsidRPr="0069451D" w:rsidRDefault="00264EED">
            <w:pPr>
              <w:pStyle w:val="TableText"/>
            </w:pPr>
            <w:r w:rsidRPr="0069451D">
              <w:t>Procedural success</w:t>
            </w:r>
          </w:p>
        </w:tc>
        <w:tc>
          <w:tcPr>
            <w:tcW w:w="4395" w:type="dxa"/>
            <w:gridSpan w:val="2"/>
          </w:tcPr>
          <w:p w14:paraId="06FDC6F0" w14:textId="213C25B9" w:rsidR="00264EED" w:rsidRPr="0069451D" w:rsidRDefault="00264EED" w:rsidP="00261574">
            <w:pPr>
              <w:pStyle w:val="TableText"/>
              <w:jc w:val="center"/>
            </w:pPr>
            <w:r w:rsidRPr="0069451D">
              <w:t xml:space="preserve">Procedural success by subject [residual </w:t>
            </w:r>
            <w:r w:rsidR="00C90312">
              <w:t>s</w:t>
            </w:r>
            <w:r w:rsidRPr="0069451D">
              <w:t>tenosis ≤30%]</w:t>
            </w:r>
          </w:p>
        </w:tc>
        <w:tc>
          <w:tcPr>
            <w:tcW w:w="2925" w:type="dxa"/>
            <w:gridSpan w:val="2"/>
          </w:tcPr>
          <w:p w14:paraId="50C5AAF2" w14:textId="77777777" w:rsidR="00264EED" w:rsidRPr="0069451D" w:rsidRDefault="00264EED" w:rsidP="00261574">
            <w:pPr>
              <w:pStyle w:val="TableText"/>
              <w:jc w:val="center"/>
            </w:pPr>
            <w:r w:rsidRPr="0069451D">
              <w:t>772/1112 (69.4)</w:t>
            </w:r>
          </w:p>
        </w:tc>
      </w:tr>
      <w:tr w:rsidR="00264EED" w:rsidRPr="0069451D" w14:paraId="3D9F9D86" w14:textId="77777777">
        <w:tc>
          <w:tcPr>
            <w:tcW w:w="1696" w:type="dxa"/>
          </w:tcPr>
          <w:p w14:paraId="76A1D9AB" w14:textId="77777777" w:rsidR="00264EED" w:rsidRPr="00C93F82" w:rsidRDefault="00264EED">
            <w:pPr>
              <w:pStyle w:val="TableText"/>
            </w:pPr>
            <w:r w:rsidRPr="00C93F82">
              <w:t>Primary patency</w:t>
            </w:r>
          </w:p>
        </w:tc>
        <w:tc>
          <w:tcPr>
            <w:tcW w:w="7320" w:type="dxa"/>
            <w:gridSpan w:val="4"/>
          </w:tcPr>
          <w:p w14:paraId="3A287865" w14:textId="6C2B9DCD" w:rsidR="00264EED" w:rsidRPr="00C93F82" w:rsidRDefault="00D57911">
            <w:pPr>
              <w:pStyle w:val="TableText"/>
            </w:pPr>
            <w:r>
              <w:t>NR</w:t>
            </w:r>
          </w:p>
        </w:tc>
      </w:tr>
      <w:tr w:rsidR="00D57911" w:rsidRPr="0069451D" w14:paraId="15791C11" w14:textId="77777777">
        <w:tc>
          <w:tcPr>
            <w:tcW w:w="9016" w:type="dxa"/>
            <w:gridSpan w:val="5"/>
          </w:tcPr>
          <w:p w14:paraId="078BB3B0" w14:textId="4554B7FC" w:rsidR="00D57911" w:rsidRPr="00341EDA" w:rsidRDefault="00D57911">
            <w:pPr>
              <w:pStyle w:val="TableText"/>
            </w:pPr>
            <w:r w:rsidRPr="0093106F">
              <w:rPr>
                <w:b/>
                <w:bCs/>
              </w:rPr>
              <w:t>DISRUPT PAD II</w:t>
            </w:r>
          </w:p>
        </w:tc>
      </w:tr>
      <w:tr w:rsidR="00261574" w:rsidRPr="0069451D" w14:paraId="6EF73FFE" w14:textId="77777777" w:rsidTr="00FD0BC8">
        <w:tc>
          <w:tcPr>
            <w:tcW w:w="1696" w:type="dxa"/>
            <w:vMerge w:val="restart"/>
          </w:tcPr>
          <w:p w14:paraId="62366355" w14:textId="77777777" w:rsidR="00261574" w:rsidRPr="0093106F" w:rsidRDefault="00261574" w:rsidP="00D57911">
            <w:pPr>
              <w:pStyle w:val="TableText"/>
              <w:rPr>
                <w:b/>
                <w:bCs/>
              </w:rPr>
            </w:pPr>
            <w:r w:rsidRPr="0069451D">
              <w:t>Procedural success</w:t>
            </w:r>
          </w:p>
        </w:tc>
        <w:tc>
          <w:tcPr>
            <w:tcW w:w="4395" w:type="dxa"/>
            <w:gridSpan w:val="2"/>
          </w:tcPr>
          <w:p w14:paraId="641A7421" w14:textId="4CCAB9BF" w:rsidR="00261574" w:rsidRPr="00341EDA" w:rsidRDefault="00261574" w:rsidP="00D57911">
            <w:pPr>
              <w:pStyle w:val="TableText"/>
            </w:pPr>
            <w:r w:rsidRPr="0069451D">
              <w:t>Successful IVL catheter delivery and treatment</w:t>
            </w:r>
          </w:p>
        </w:tc>
        <w:tc>
          <w:tcPr>
            <w:tcW w:w="2925" w:type="dxa"/>
            <w:gridSpan w:val="2"/>
          </w:tcPr>
          <w:p w14:paraId="44B50114" w14:textId="34524CDA" w:rsidR="00261574" w:rsidRPr="00341EDA" w:rsidRDefault="00261574" w:rsidP="00261574">
            <w:pPr>
              <w:pStyle w:val="TableText"/>
              <w:jc w:val="center"/>
            </w:pPr>
            <w:r w:rsidRPr="0069451D">
              <w:t>60/60 (100)</w:t>
            </w:r>
          </w:p>
        </w:tc>
      </w:tr>
      <w:tr w:rsidR="00261574" w:rsidRPr="0069451D" w14:paraId="354F12C9" w14:textId="77777777" w:rsidTr="00FD0BC8">
        <w:tc>
          <w:tcPr>
            <w:tcW w:w="1696" w:type="dxa"/>
            <w:vMerge/>
          </w:tcPr>
          <w:p w14:paraId="37267E5A" w14:textId="77777777" w:rsidR="00261574" w:rsidRPr="0069451D" w:rsidRDefault="00261574" w:rsidP="00D57911">
            <w:pPr>
              <w:pStyle w:val="TableText"/>
            </w:pPr>
          </w:p>
        </w:tc>
        <w:tc>
          <w:tcPr>
            <w:tcW w:w="4395" w:type="dxa"/>
            <w:gridSpan w:val="2"/>
          </w:tcPr>
          <w:p w14:paraId="16428A9E" w14:textId="16075C70" w:rsidR="00261574" w:rsidRPr="00341EDA" w:rsidRDefault="00261574" w:rsidP="00D57911">
            <w:pPr>
              <w:pStyle w:val="TableText"/>
            </w:pPr>
            <w:r w:rsidRPr="0069451D">
              <w:t>Flow</w:t>
            </w:r>
            <w:r>
              <w:t>-</w:t>
            </w:r>
            <w:r w:rsidRPr="0069451D">
              <w:t>limiting dissection (≥ grade D)</w:t>
            </w:r>
          </w:p>
        </w:tc>
        <w:tc>
          <w:tcPr>
            <w:tcW w:w="2925" w:type="dxa"/>
            <w:gridSpan w:val="2"/>
          </w:tcPr>
          <w:p w14:paraId="6F694A2A" w14:textId="331A8E54" w:rsidR="00261574" w:rsidRPr="00341EDA" w:rsidRDefault="00261574" w:rsidP="00261574">
            <w:pPr>
              <w:pStyle w:val="TableText"/>
              <w:jc w:val="center"/>
            </w:pPr>
            <w:r w:rsidRPr="0069451D">
              <w:t>1/60 (1.7)</w:t>
            </w:r>
          </w:p>
        </w:tc>
      </w:tr>
      <w:tr w:rsidR="00261574" w:rsidRPr="0069451D" w14:paraId="488744CF" w14:textId="77777777" w:rsidTr="00FD0BC8">
        <w:tc>
          <w:tcPr>
            <w:tcW w:w="1696" w:type="dxa"/>
            <w:vMerge/>
          </w:tcPr>
          <w:p w14:paraId="31076F95" w14:textId="49B2D368" w:rsidR="00261574" w:rsidRPr="0069451D" w:rsidRDefault="00261574" w:rsidP="00D57911">
            <w:pPr>
              <w:pStyle w:val="TableText"/>
            </w:pPr>
          </w:p>
        </w:tc>
        <w:tc>
          <w:tcPr>
            <w:tcW w:w="4395" w:type="dxa"/>
            <w:gridSpan w:val="2"/>
          </w:tcPr>
          <w:p w14:paraId="7A84F1E1" w14:textId="4A8677E7" w:rsidR="00261574" w:rsidRPr="00341EDA" w:rsidRDefault="00261574" w:rsidP="00D57911">
            <w:pPr>
              <w:pStyle w:val="TableText"/>
            </w:pPr>
            <w:r w:rsidRPr="0069451D">
              <w:t xml:space="preserve">Final residual stenosis %, mean </w:t>
            </w:r>
            <w:bookmarkStart w:id="25" w:name="_Hlk132639361"/>
            <w:r w:rsidRPr="0069451D">
              <w:t>± SD</w:t>
            </w:r>
            <w:bookmarkEnd w:id="25"/>
          </w:p>
        </w:tc>
        <w:tc>
          <w:tcPr>
            <w:tcW w:w="2925" w:type="dxa"/>
            <w:gridSpan w:val="2"/>
          </w:tcPr>
          <w:p w14:paraId="0DEFEDED" w14:textId="3EF6FF11" w:rsidR="00261574" w:rsidRPr="00341EDA" w:rsidRDefault="00261574" w:rsidP="00261574">
            <w:pPr>
              <w:pStyle w:val="TableText"/>
              <w:jc w:val="center"/>
            </w:pPr>
            <w:r w:rsidRPr="0069451D">
              <w:t>24.2 ± 5.7</w:t>
            </w:r>
          </w:p>
        </w:tc>
      </w:tr>
      <w:tr w:rsidR="00261574" w:rsidRPr="0069451D" w14:paraId="7D197485" w14:textId="77777777" w:rsidTr="00FD0BC8">
        <w:tc>
          <w:tcPr>
            <w:tcW w:w="1696" w:type="dxa"/>
            <w:vMerge w:val="restart"/>
          </w:tcPr>
          <w:p w14:paraId="34992AF3" w14:textId="78B67723" w:rsidR="00261574" w:rsidRPr="0069451D" w:rsidRDefault="00261574" w:rsidP="00D57911">
            <w:pPr>
              <w:pStyle w:val="TableText"/>
            </w:pPr>
            <w:r>
              <w:t>Primary patency</w:t>
            </w:r>
          </w:p>
        </w:tc>
        <w:tc>
          <w:tcPr>
            <w:tcW w:w="2777" w:type="dxa"/>
          </w:tcPr>
          <w:p w14:paraId="73118870" w14:textId="77777777" w:rsidR="00261574" w:rsidRPr="0093106F" w:rsidRDefault="00261574" w:rsidP="00D57911">
            <w:pPr>
              <w:pStyle w:val="TableText"/>
              <w:rPr>
                <w:b/>
                <w:bCs/>
              </w:rPr>
            </w:pPr>
          </w:p>
        </w:tc>
        <w:tc>
          <w:tcPr>
            <w:tcW w:w="1618" w:type="dxa"/>
          </w:tcPr>
          <w:p w14:paraId="02AC1A91" w14:textId="06029494" w:rsidR="00261574" w:rsidRPr="00341EDA" w:rsidRDefault="00261574" w:rsidP="00261574">
            <w:pPr>
              <w:pStyle w:val="TableText"/>
              <w:jc w:val="center"/>
            </w:pPr>
            <w:r w:rsidRPr="00341EDA">
              <w:t>30 days</w:t>
            </w:r>
          </w:p>
        </w:tc>
        <w:tc>
          <w:tcPr>
            <w:tcW w:w="1408" w:type="dxa"/>
          </w:tcPr>
          <w:p w14:paraId="1F83D31E" w14:textId="2C0A9894" w:rsidR="00261574" w:rsidRPr="00341EDA" w:rsidRDefault="00261574" w:rsidP="00261574">
            <w:pPr>
              <w:pStyle w:val="TableText"/>
              <w:jc w:val="center"/>
            </w:pPr>
            <w:r w:rsidRPr="00341EDA">
              <w:t>6 months</w:t>
            </w:r>
          </w:p>
        </w:tc>
        <w:tc>
          <w:tcPr>
            <w:tcW w:w="1517" w:type="dxa"/>
          </w:tcPr>
          <w:p w14:paraId="1F46E059" w14:textId="2D8C430E" w:rsidR="00261574" w:rsidRPr="00341EDA" w:rsidRDefault="00261574" w:rsidP="00261574">
            <w:pPr>
              <w:pStyle w:val="TableText"/>
              <w:jc w:val="center"/>
            </w:pPr>
            <w:r w:rsidRPr="00341EDA">
              <w:t>12 months</w:t>
            </w:r>
          </w:p>
        </w:tc>
      </w:tr>
      <w:tr w:rsidR="00261574" w:rsidRPr="0069451D" w14:paraId="01E90403" w14:textId="77777777" w:rsidTr="00FD0BC8">
        <w:tc>
          <w:tcPr>
            <w:tcW w:w="1696" w:type="dxa"/>
            <w:vMerge/>
          </w:tcPr>
          <w:p w14:paraId="1E5EEA69" w14:textId="2A256C3F" w:rsidR="00261574" w:rsidRPr="0069451D" w:rsidRDefault="00261574" w:rsidP="00D57911">
            <w:pPr>
              <w:pStyle w:val="TableText"/>
            </w:pPr>
          </w:p>
        </w:tc>
        <w:tc>
          <w:tcPr>
            <w:tcW w:w="2777" w:type="dxa"/>
          </w:tcPr>
          <w:p w14:paraId="3A5390CB" w14:textId="77777777" w:rsidR="00261574" w:rsidRPr="0069451D" w:rsidRDefault="00261574" w:rsidP="00D57911">
            <w:pPr>
              <w:pStyle w:val="TableText"/>
            </w:pPr>
            <w:r w:rsidRPr="0069451D">
              <w:t xml:space="preserve">Target lesion </w:t>
            </w:r>
            <w:proofErr w:type="spellStart"/>
            <w:r w:rsidRPr="0069451D">
              <w:t>patency</w:t>
            </w:r>
            <w:r w:rsidRPr="0069451D">
              <w:rPr>
                <w:vertAlign w:val="superscript"/>
              </w:rPr>
              <w:t>a</w:t>
            </w:r>
            <w:proofErr w:type="spellEnd"/>
          </w:p>
        </w:tc>
        <w:tc>
          <w:tcPr>
            <w:tcW w:w="1618" w:type="dxa"/>
            <w:vAlign w:val="top"/>
          </w:tcPr>
          <w:p w14:paraId="32E67CA3" w14:textId="77777777" w:rsidR="00261574" w:rsidRPr="0069451D" w:rsidRDefault="00261574" w:rsidP="00261574">
            <w:pPr>
              <w:pStyle w:val="TableText"/>
              <w:jc w:val="center"/>
            </w:pPr>
            <w:r w:rsidRPr="0069451D">
              <w:t>100% (56/56)</w:t>
            </w:r>
          </w:p>
        </w:tc>
        <w:tc>
          <w:tcPr>
            <w:tcW w:w="1408" w:type="dxa"/>
            <w:vAlign w:val="top"/>
          </w:tcPr>
          <w:p w14:paraId="4F48383B" w14:textId="77777777" w:rsidR="00261574" w:rsidRPr="0069451D" w:rsidRDefault="00261574" w:rsidP="00261574">
            <w:pPr>
              <w:pStyle w:val="TableText"/>
              <w:jc w:val="center"/>
            </w:pPr>
            <w:r w:rsidRPr="0069451D">
              <w:t>72.7% (40/55)</w:t>
            </w:r>
          </w:p>
        </w:tc>
        <w:tc>
          <w:tcPr>
            <w:tcW w:w="1517" w:type="dxa"/>
            <w:vAlign w:val="top"/>
          </w:tcPr>
          <w:p w14:paraId="20A2000F" w14:textId="77777777" w:rsidR="00261574" w:rsidRPr="0069451D" w:rsidRDefault="00261574" w:rsidP="00261574">
            <w:pPr>
              <w:pStyle w:val="TableText"/>
              <w:jc w:val="center"/>
            </w:pPr>
            <w:r w:rsidRPr="0069451D">
              <w:t>69.8% (30/43)</w:t>
            </w:r>
          </w:p>
        </w:tc>
      </w:tr>
      <w:tr w:rsidR="00261574" w:rsidRPr="0069451D" w14:paraId="4513A2DB" w14:textId="77777777" w:rsidTr="00FD0BC8">
        <w:tc>
          <w:tcPr>
            <w:tcW w:w="1696" w:type="dxa"/>
            <w:vMerge/>
          </w:tcPr>
          <w:p w14:paraId="634BA248" w14:textId="77777777" w:rsidR="00261574" w:rsidRPr="0069451D" w:rsidRDefault="00261574" w:rsidP="00D57911">
            <w:pPr>
              <w:pStyle w:val="TableText"/>
            </w:pPr>
          </w:p>
        </w:tc>
        <w:tc>
          <w:tcPr>
            <w:tcW w:w="2777" w:type="dxa"/>
          </w:tcPr>
          <w:p w14:paraId="679D9107" w14:textId="77777777" w:rsidR="00261574" w:rsidRPr="0069451D" w:rsidRDefault="00261574" w:rsidP="00D57911">
            <w:pPr>
              <w:pStyle w:val="TableText"/>
            </w:pPr>
            <w:r w:rsidRPr="0069451D">
              <w:t xml:space="preserve">Freedom from </w:t>
            </w:r>
            <w:proofErr w:type="spellStart"/>
            <w:r w:rsidRPr="0069451D">
              <w:t>TLR</w:t>
            </w:r>
            <w:r w:rsidRPr="0069451D">
              <w:rPr>
                <w:vertAlign w:val="superscript"/>
              </w:rPr>
              <w:t>b</w:t>
            </w:r>
            <w:proofErr w:type="spellEnd"/>
          </w:p>
        </w:tc>
        <w:tc>
          <w:tcPr>
            <w:tcW w:w="1618" w:type="dxa"/>
            <w:vAlign w:val="top"/>
          </w:tcPr>
          <w:p w14:paraId="22D1A777" w14:textId="77777777" w:rsidR="00261574" w:rsidRPr="0069451D" w:rsidRDefault="00261574" w:rsidP="00261574">
            <w:pPr>
              <w:pStyle w:val="TableText"/>
              <w:jc w:val="center"/>
            </w:pPr>
            <w:r w:rsidRPr="0069451D">
              <w:t>100% (58/58)</w:t>
            </w:r>
          </w:p>
        </w:tc>
        <w:tc>
          <w:tcPr>
            <w:tcW w:w="1408" w:type="dxa"/>
            <w:vAlign w:val="top"/>
          </w:tcPr>
          <w:p w14:paraId="6012459D" w14:textId="77777777" w:rsidR="00261574" w:rsidRPr="0069451D" w:rsidRDefault="00261574" w:rsidP="00261574">
            <w:pPr>
              <w:pStyle w:val="TableText"/>
              <w:jc w:val="center"/>
            </w:pPr>
            <w:r w:rsidRPr="0069451D">
              <w:t>98.3% (57/58)</w:t>
            </w:r>
          </w:p>
        </w:tc>
        <w:tc>
          <w:tcPr>
            <w:tcW w:w="1517" w:type="dxa"/>
            <w:vAlign w:val="top"/>
          </w:tcPr>
          <w:p w14:paraId="38057985" w14:textId="77777777" w:rsidR="00261574" w:rsidRPr="0069451D" w:rsidRDefault="00261574" w:rsidP="00261574">
            <w:pPr>
              <w:pStyle w:val="TableText"/>
              <w:jc w:val="center"/>
            </w:pPr>
            <w:r w:rsidRPr="0069451D">
              <w:t>79.3% (46/58)</w:t>
            </w:r>
          </w:p>
        </w:tc>
      </w:tr>
      <w:tr w:rsidR="00261574" w:rsidRPr="0069451D" w14:paraId="58C58AF0" w14:textId="77777777" w:rsidTr="00FD0BC8">
        <w:tc>
          <w:tcPr>
            <w:tcW w:w="1696" w:type="dxa"/>
            <w:vMerge/>
          </w:tcPr>
          <w:p w14:paraId="1D5B8699" w14:textId="6BDB7BF5" w:rsidR="00261574" w:rsidRPr="0069451D" w:rsidRDefault="00261574" w:rsidP="00D57911">
            <w:pPr>
              <w:pStyle w:val="TableText"/>
            </w:pPr>
          </w:p>
        </w:tc>
        <w:tc>
          <w:tcPr>
            <w:tcW w:w="2777" w:type="dxa"/>
          </w:tcPr>
          <w:p w14:paraId="5B4769A8" w14:textId="5E2F654E" w:rsidR="00261574" w:rsidRPr="0069451D" w:rsidRDefault="00261574" w:rsidP="00D57911">
            <w:pPr>
              <w:pStyle w:val="TableText"/>
            </w:pPr>
            <w:r w:rsidRPr="0069451D">
              <w:t xml:space="preserve">Primary </w:t>
            </w:r>
            <w:proofErr w:type="spellStart"/>
            <w:r w:rsidRPr="0069451D">
              <w:t>patency</w:t>
            </w:r>
            <w:r w:rsidRPr="0069451D">
              <w:rPr>
                <w:vertAlign w:val="superscript"/>
              </w:rPr>
              <w:t>c</w:t>
            </w:r>
            <w:proofErr w:type="spellEnd"/>
          </w:p>
        </w:tc>
        <w:tc>
          <w:tcPr>
            <w:tcW w:w="1618" w:type="dxa"/>
            <w:vAlign w:val="top"/>
          </w:tcPr>
          <w:p w14:paraId="5DAD3635" w14:textId="77777777" w:rsidR="00261574" w:rsidRPr="0069451D" w:rsidRDefault="00261574" w:rsidP="00261574">
            <w:pPr>
              <w:pStyle w:val="TableText"/>
              <w:jc w:val="center"/>
            </w:pPr>
            <w:r w:rsidRPr="0069451D">
              <w:t>100% (56/56)</w:t>
            </w:r>
          </w:p>
        </w:tc>
        <w:tc>
          <w:tcPr>
            <w:tcW w:w="1408" w:type="dxa"/>
            <w:vAlign w:val="top"/>
          </w:tcPr>
          <w:p w14:paraId="590589D6" w14:textId="77777777" w:rsidR="00261574" w:rsidRPr="0069451D" w:rsidRDefault="00261574" w:rsidP="00261574">
            <w:pPr>
              <w:pStyle w:val="TableText"/>
              <w:jc w:val="center"/>
            </w:pPr>
            <w:r w:rsidRPr="0069451D">
              <w:t>71.4% (40/56)</w:t>
            </w:r>
          </w:p>
        </w:tc>
        <w:tc>
          <w:tcPr>
            <w:tcW w:w="1517" w:type="dxa"/>
            <w:vAlign w:val="top"/>
          </w:tcPr>
          <w:p w14:paraId="4485B6E0" w14:textId="77777777" w:rsidR="00261574" w:rsidRPr="0069451D" w:rsidRDefault="00261574" w:rsidP="00261574">
            <w:pPr>
              <w:pStyle w:val="TableText"/>
              <w:jc w:val="center"/>
            </w:pPr>
            <w:r w:rsidRPr="0069451D">
              <w:t>54.5% (30/55)</w:t>
            </w:r>
          </w:p>
        </w:tc>
      </w:tr>
      <w:tr w:rsidR="00261574" w:rsidRPr="0069451D" w14:paraId="030A622C" w14:textId="77777777">
        <w:tc>
          <w:tcPr>
            <w:tcW w:w="9016" w:type="dxa"/>
            <w:gridSpan w:val="5"/>
          </w:tcPr>
          <w:p w14:paraId="589263C5" w14:textId="13342FB6" w:rsidR="00261574" w:rsidRPr="0069451D" w:rsidRDefault="00261574" w:rsidP="00261574">
            <w:pPr>
              <w:pStyle w:val="TableText"/>
            </w:pPr>
            <w:r w:rsidRPr="0093106F">
              <w:rPr>
                <w:b/>
                <w:bCs/>
              </w:rPr>
              <w:t>DISRUPT PAD I</w:t>
            </w:r>
          </w:p>
        </w:tc>
      </w:tr>
      <w:tr w:rsidR="00261574" w:rsidRPr="0069451D" w14:paraId="2BA06681" w14:textId="77777777" w:rsidTr="00261574">
        <w:tc>
          <w:tcPr>
            <w:tcW w:w="1696" w:type="dxa"/>
            <w:vMerge w:val="restart"/>
          </w:tcPr>
          <w:p w14:paraId="7C374B33" w14:textId="74301091" w:rsidR="00261574" w:rsidRPr="0093106F" w:rsidRDefault="00261574" w:rsidP="00D57911">
            <w:pPr>
              <w:pStyle w:val="TableText"/>
              <w:rPr>
                <w:b/>
                <w:bCs/>
              </w:rPr>
            </w:pPr>
            <w:r>
              <w:t>Primary patency</w:t>
            </w:r>
          </w:p>
        </w:tc>
        <w:tc>
          <w:tcPr>
            <w:tcW w:w="2777" w:type="dxa"/>
          </w:tcPr>
          <w:p w14:paraId="5EF022AE" w14:textId="70EAD697" w:rsidR="00261574" w:rsidRPr="0093106F" w:rsidRDefault="00261574" w:rsidP="00261574">
            <w:pPr>
              <w:pStyle w:val="TableText"/>
              <w:rPr>
                <w:b/>
                <w:bCs/>
              </w:rPr>
            </w:pPr>
          </w:p>
        </w:tc>
        <w:tc>
          <w:tcPr>
            <w:tcW w:w="1618" w:type="dxa"/>
          </w:tcPr>
          <w:p w14:paraId="3D6F58A9" w14:textId="598AC9CF" w:rsidR="00261574" w:rsidRPr="00341EDA" w:rsidRDefault="00261574" w:rsidP="00261574">
            <w:pPr>
              <w:pStyle w:val="TableText"/>
              <w:jc w:val="center"/>
            </w:pPr>
            <w:r w:rsidRPr="00341EDA">
              <w:t>30 days</w:t>
            </w:r>
          </w:p>
        </w:tc>
        <w:tc>
          <w:tcPr>
            <w:tcW w:w="1408" w:type="dxa"/>
          </w:tcPr>
          <w:p w14:paraId="73A91100" w14:textId="3C6CF712" w:rsidR="00261574" w:rsidRPr="00341EDA" w:rsidRDefault="00261574" w:rsidP="00261574">
            <w:pPr>
              <w:pStyle w:val="TableText"/>
              <w:jc w:val="center"/>
            </w:pPr>
            <w:r w:rsidRPr="00341EDA">
              <w:t>6 months</w:t>
            </w:r>
          </w:p>
        </w:tc>
        <w:tc>
          <w:tcPr>
            <w:tcW w:w="1517" w:type="dxa"/>
          </w:tcPr>
          <w:p w14:paraId="37FE2363" w14:textId="3B4F4475" w:rsidR="00261574" w:rsidRPr="00341EDA" w:rsidRDefault="00261574" w:rsidP="00261574">
            <w:pPr>
              <w:pStyle w:val="TableText"/>
              <w:jc w:val="center"/>
            </w:pPr>
            <w:r w:rsidRPr="00341EDA">
              <w:t>12 months</w:t>
            </w:r>
          </w:p>
        </w:tc>
      </w:tr>
      <w:tr w:rsidR="00261574" w:rsidRPr="0069451D" w14:paraId="124FFEE7" w14:textId="77777777" w:rsidTr="00FD0BC8">
        <w:tc>
          <w:tcPr>
            <w:tcW w:w="1696" w:type="dxa"/>
            <w:vMerge/>
          </w:tcPr>
          <w:p w14:paraId="4064F126" w14:textId="399DC234" w:rsidR="00261574" w:rsidRPr="0069451D" w:rsidRDefault="00261574" w:rsidP="00D57911">
            <w:pPr>
              <w:pStyle w:val="TableText"/>
            </w:pPr>
          </w:p>
        </w:tc>
        <w:tc>
          <w:tcPr>
            <w:tcW w:w="2777" w:type="dxa"/>
          </w:tcPr>
          <w:p w14:paraId="7B841D5D" w14:textId="77777777" w:rsidR="00261574" w:rsidRDefault="00261574" w:rsidP="00D57911">
            <w:pPr>
              <w:pStyle w:val="TableText"/>
            </w:pPr>
            <w:r w:rsidRPr="0069451D">
              <w:t>Primary patency, % (95% CI)</w:t>
            </w:r>
          </w:p>
        </w:tc>
        <w:tc>
          <w:tcPr>
            <w:tcW w:w="1618" w:type="dxa"/>
            <w:vAlign w:val="top"/>
          </w:tcPr>
          <w:p w14:paraId="5A46B85A" w14:textId="77777777" w:rsidR="00261574" w:rsidRDefault="00261574" w:rsidP="00261574">
            <w:pPr>
              <w:pStyle w:val="TableText"/>
              <w:jc w:val="center"/>
            </w:pPr>
            <w:r w:rsidRPr="0069451D">
              <w:t xml:space="preserve">100.0 </w:t>
            </w:r>
          </w:p>
          <w:p w14:paraId="16677279" w14:textId="44C525C4" w:rsidR="00261574" w:rsidRPr="0069451D" w:rsidRDefault="00261574" w:rsidP="00261574">
            <w:pPr>
              <w:pStyle w:val="TableText"/>
              <w:jc w:val="center"/>
            </w:pPr>
            <w:r w:rsidRPr="0069451D">
              <w:t>(90.7 to 100.0)</w:t>
            </w:r>
          </w:p>
        </w:tc>
        <w:tc>
          <w:tcPr>
            <w:tcW w:w="1408" w:type="dxa"/>
            <w:vAlign w:val="top"/>
          </w:tcPr>
          <w:p w14:paraId="24FB3C82" w14:textId="77777777" w:rsidR="00261574" w:rsidRDefault="00261574" w:rsidP="00261574">
            <w:pPr>
              <w:pStyle w:val="TableText"/>
              <w:jc w:val="center"/>
            </w:pPr>
            <w:r w:rsidRPr="0069451D">
              <w:t xml:space="preserve">82.1 </w:t>
            </w:r>
          </w:p>
          <w:p w14:paraId="199F3ED6" w14:textId="4D1E7855" w:rsidR="00261574" w:rsidRPr="0069451D" w:rsidRDefault="00261574" w:rsidP="00261574">
            <w:pPr>
              <w:pStyle w:val="TableText"/>
              <w:jc w:val="center"/>
            </w:pPr>
            <w:r w:rsidRPr="0069451D">
              <w:t>(66.5 to 92.5)</w:t>
            </w:r>
          </w:p>
        </w:tc>
        <w:tc>
          <w:tcPr>
            <w:tcW w:w="1517" w:type="dxa"/>
          </w:tcPr>
          <w:p w14:paraId="0D3A5809" w14:textId="77777777" w:rsidR="00261574" w:rsidRPr="0069451D" w:rsidRDefault="00261574" w:rsidP="00261574">
            <w:pPr>
              <w:pStyle w:val="TableText"/>
              <w:jc w:val="center"/>
            </w:pPr>
            <w:r>
              <w:t>NR</w:t>
            </w:r>
          </w:p>
        </w:tc>
      </w:tr>
      <w:tr w:rsidR="00261574" w:rsidRPr="0069451D" w14:paraId="00F3F6A3" w14:textId="77777777" w:rsidTr="00FD0BC8">
        <w:tc>
          <w:tcPr>
            <w:tcW w:w="1696" w:type="dxa"/>
            <w:vMerge/>
          </w:tcPr>
          <w:p w14:paraId="21F2AF26" w14:textId="77777777" w:rsidR="00261574" w:rsidRPr="0069451D" w:rsidRDefault="00261574" w:rsidP="00D57911">
            <w:pPr>
              <w:pStyle w:val="TableText"/>
            </w:pPr>
          </w:p>
        </w:tc>
        <w:tc>
          <w:tcPr>
            <w:tcW w:w="2777" w:type="dxa"/>
          </w:tcPr>
          <w:p w14:paraId="7636065D" w14:textId="77777777" w:rsidR="00261574" w:rsidRDefault="00261574" w:rsidP="00D57911">
            <w:pPr>
              <w:pStyle w:val="TableText"/>
            </w:pPr>
            <w:r w:rsidRPr="0069451D">
              <w:t>Freedom from TLR, % (95% CI)</w:t>
            </w:r>
          </w:p>
        </w:tc>
        <w:tc>
          <w:tcPr>
            <w:tcW w:w="1618" w:type="dxa"/>
            <w:vAlign w:val="top"/>
          </w:tcPr>
          <w:p w14:paraId="119F1B85" w14:textId="394A406B" w:rsidR="00261574" w:rsidRPr="0069451D" w:rsidRDefault="00261574" w:rsidP="00261574">
            <w:pPr>
              <w:pStyle w:val="TableText"/>
              <w:jc w:val="center"/>
            </w:pPr>
            <w:r w:rsidRPr="0069451D">
              <w:t>100.0</w:t>
            </w:r>
          </w:p>
        </w:tc>
        <w:tc>
          <w:tcPr>
            <w:tcW w:w="1408" w:type="dxa"/>
            <w:vAlign w:val="top"/>
          </w:tcPr>
          <w:p w14:paraId="1FEF6900" w14:textId="70962302" w:rsidR="00261574" w:rsidRPr="0069451D" w:rsidRDefault="00261574" w:rsidP="00261574">
            <w:pPr>
              <w:pStyle w:val="TableText"/>
              <w:jc w:val="center"/>
            </w:pPr>
            <w:r w:rsidRPr="0069451D">
              <w:t>100.0</w:t>
            </w:r>
          </w:p>
        </w:tc>
        <w:tc>
          <w:tcPr>
            <w:tcW w:w="1517" w:type="dxa"/>
          </w:tcPr>
          <w:p w14:paraId="3E9BFADE" w14:textId="77777777" w:rsidR="00261574" w:rsidRPr="0069451D" w:rsidRDefault="00261574" w:rsidP="00261574">
            <w:pPr>
              <w:pStyle w:val="TableText"/>
              <w:jc w:val="center"/>
            </w:pPr>
            <w:r>
              <w:t>NR</w:t>
            </w:r>
          </w:p>
        </w:tc>
      </w:tr>
    </w:tbl>
    <w:p w14:paraId="02DAA42B" w14:textId="613A78AD" w:rsidR="00DD2D0D" w:rsidRDefault="00DD2D0D" w:rsidP="00DD2D0D">
      <w:pPr>
        <w:pStyle w:val="TableFooter"/>
      </w:pPr>
      <w:r>
        <w:t xml:space="preserve">Abbreviations: </w:t>
      </w:r>
      <w:r w:rsidR="00EB6499" w:rsidRPr="00EB6499">
        <w:t xml:space="preserve">CI = confidence interval; </w:t>
      </w:r>
      <w:r w:rsidR="00D57911">
        <w:t>IVL = Intravascular lithotripsy; NR</w:t>
      </w:r>
      <w:r w:rsidR="00237C8B">
        <w:t xml:space="preserve"> </w:t>
      </w:r>
      <w:r w:rsidR="00D57911">
        <w:t>=</w:t>
      </w:r>
      <w:r w:rsidR="00237C8B">
        <w:t xml:space="preserve"> </w:t>
      </w:r>
      <w:r w:rsidR="00D57911">
        <w:t xml:space="preserve">Not reported SD = Standard deviation, </w:t>
      </w:r>
      <w:r>
        <w:t>TLR</w:t>
      </w:r>
      <w:r w:rsidR="00D57911">
        <w:t xml:space="preserve"> = </w:t>
      </w:r>
      <w:r w:rsidRPr="00EA4F77">
        <w:t>target lesion revasculari</w:t>
      </w:r>
      <w:r>
        <w:t>s</w:t>
      </w:r>
      <w:r w:rsidRPr="00EA4F77">
        <w:t>ation</w:t>
      </w:r>
    </w:p>
    <w:p w14:paraId="44E620E4" w14:textId="77777777" w:rsidR="00D57911" w:rsidRDefault="00D57911" w:rsidP="00D57911">
      <w:pPr>
        <w:pStyle w:val="TableFooter"/>
      </w:pPr>
      <w:r w:rsidRPr="006E6E66">
        <w:rPr>
          <w:vertAlign w:val="superscript"/>
        </w:rPr>
        <w:t>a</w:t>
      </w:r>
      <w:r>
        <w:t xml:space="preserve">, </w:t>
      </w:r>
      <w:proofErr w:type="gramStart"/>
      <w:r w:rsidRPr="009649EA">
        <w:t>Excludes</w:t>
      </w:r>
      <w:proofErr w:type="gramEnd"/>
      <w:r w:rsidRPr="009649EA">
        <w:t xml:space="preserve"> any patient that had a TLR from </w:t>
      </w:r>
      <w:r>
        <w:t xml:space="preserve">the </w:t>
      </w:r>
      <w:r w:rsidRPr="009649EA">
        <w:t>analysis</w:t>
      </w:r>
    </w:p>
    <w:p w14:paraId="044F328F" w14:textId="77777777" w:rsidR="00D57911" w:rsidRDefault="00D57911" w:rsidP="00D57911">
      <w:pPr>
        <w:pStyle w:val="TableFooter"/>
      </w:pPr>
      <w:r w:rsidRPr="009649EA">
        <w:rPr>
          <w:vertAlign w:val="superscript"/>
        </w:rPr>
        <w:t>b</w:t>
      </w:r>
      <w:r>
        <w:t xml:space="preserve">, </w:t>
      </w:r>
      <w:proofErr w:type="gramStart"/>
      <w:r>
        <w:t>Two</w:t>
      </w:r>
      <w:proofErr w:type="gramEnd"/>
      <w:r>
        <w:t xml:space="preserve"> patients withdrew from the study</w:t>
      </w:r>
    </w:p>
    <w:p w14:paraId="7AB1D910" w14:textId="5042DB0F" w:rsidR="00DD2D0D" w:rsidRPr="00D57911" w:rsidRDefault="00D57911" w:rsidP="00D57911">
      <w:pPr>
        <w:pStyle w:val="TableFooter"/>
      </w:pPr>
      <w:r w:rsidRPr="009649EA">
        <w:rPr>
          <w:vertAlign w:val="superscript"/>
        </w:rPr>
        <w:t>c</w:t>
      </w:r>
      <w:r>
        <w:t xml:space="preserve">, </w:t>
      </w:r>
      <w:proofErr w:type="gramStart"/>
      <w:r>
        <w:t>Three</w:t>
      </w:r>
      <w:proofErr w:type="gramEnd"/>
      <w:r>
        <w:t xml:space="preserve"> patients did not complete </w:t>
      </w:r>
      <w:r w:rsidR="00FD0BC8">
        <w:t>Duplex ultrasound</w:t>
      </w:r>
      <w:r>
        <w:t>, and two patients withdrew from the study</w:t>
      </w:r>
    </w:p>
    <w:p w14:paraId="29366C88" w14:textId="4998726B" w:rsidR="00FD0BC8" w:rsidRPr="00205A1C" w:rsidRDefault="00FD0BC8" w:rsidP="00BF28BD">
      <w:pPr>
        <w:rPr>
          <w:b/>
          <w:bCs/>
        </w:rPr>
      </w:pPr>
      <w:r w:rsidRPr="00205A1C">
        <w:rPr>
          <w:b/>
          <w:bCs/>
        </w:rPr>
        <w:t>Secondary effectiveness outcomes</w:t>
      </w:r>
    </w:p>
    <w:p w14:paraId="00CC2FCC" w14:textId="77777777" w:rsidR="00FD0BC8" w:rsidRPr="00A26C2E" w:rsidRDefault="00FD0BC8" w:rsidP="00BF28BD">
      <w:pPr>
        <w:rPr>
          <w:i/>
          <w:iCs/>
        </w:rPr>
      </w:pPr>
      <w:r w:rsidRPr="00A26C2E">
        <w:rPr>
          <w:i/>
          <w:iCs/>
        </w:rPr>
        <w:t>ABI improvement from baseline</w:t>
      </w:r>
    </w:p>
    <w:p w14:paraId="6F8D9C4D" w14:textId="5D2A8879" w:rsidR="00DC18C7" w:rsidRDefault="00FD0BC8" w:rsidP="00BF28BD">
      <w:r>
        <w:t xml:space="preserve">ABI improvement was not reported in DISRUPT PAD III OS and </w:t>
      </w:r>
      <w:r w:rsidR="00DC18C7">
        <w:t xml:space="preserve">DISRUPT PAD BTK studies. </w:t>
      </w:r>
      <w:r>
        <w:t xml:space="preserve">The DISRUPT PAD II study reported </w:t>
      </w:r>
      <w:r w:rsidRPr="00191911">
        <w:t>statistically significant</w:t>
      </w:r>
      <w:r>
        <w:t xml:space="preserve"> improvement of ABI from the baseline measurement at 6 months (mean 0.3, 95% CI 0.2-0.3; p</w:t>
      </w:r>
      <w:r w:rsidR="00DC18C7" w:rsidRPr="00CD765B">
        <w:t>&lt;0.001</w:t>
      </w:r>
      <w:r>
        <w:t>), and 12 months</w:t>
      </w:r>
      <w:r w:rsidR="00DC18C7">
        <w:t xml:space="preserve"> (mean 0.2, 95% CI 0.2-0.3; p</w:t>
      </w:r>
      <w:r w:rsidR="00DC18C7" w:rsidRPr="00CD765B">
        <w:t>&lt;0.001</w:t>
      </w:r>
      <w:r w:rsidR="00DC18C7">
        <w:t xml:space="preserve">). The DISRUPT PAD I study also reported </w:t>
      </w:r>
      <w:r w:rsidR="00DC18C7" w:rsidRPr="00616C5D">
        <w:t>improvement</w:t>
      </w:r>
      <w:r w:rsidR="00DC18C7">
        <w:t xml:space="preserve"> of ABI</w:t>
      </w:r>
      <w:r w:rsidR="00DC18C7" w:rsidRPr="00616C5D">
        <w:t xml:space="preserve"> from baseline</w:t>
      </w:r>
      <w:r w:rsidR="00DC18C7">
        <w:t xml:space="preserve"> to</w:t>
      </w:r>
      <w:r w:rsidR="00DC18C7" w:rsidRPr="00616C5D">
        <w:t xml:space="preserve"> post-discharge</w:t>
      </w:r>
      <w:r w:rsidR="00DC18C7">
        <w:t xml:space="preserve"> (mean 0.3, 95% CI 0.2-0.3; p</w:t>
      </w:r>
      <w:r w:rsidR="00DC18C7" w:rsidRPr="00CD765B">
        <w:t>&lt;0.001</w:t>
      </w:r>
      <w:r w:rsidR="00DC18C7">
        <w:t>)</w:t>
      </w:r>
      <w:r w:rsidR="00DC18C7" w:rsidRPr="00616C5D">
        <w:t>, with the improvement reaching a plateau at both the 30-day</w:t>
      </w:r>
      <w:r w:rsidR="00DC18C7">
        <w:t xml:space="preserve"> (mean 0.3, 95% CI 0.2-0.4; p</w:t>
      </w:r>
      <w:r w:rsidR="00DC18C7" w:rsidRPr="00CD765B">
        <w:t>&lt;0.001</w:t>
      </w:r>
      <w:r w:rsidR="00DC18C7">
        <w:t>)</w:t>
      </w:r>
      <w:r w:rsidR="00DC18C7" w:rsidRPr="00616C5D">
        <w:t xml:space="preserve"> and 6-month </w:t>
      </w:r>
      <w:r w:rsidR="00DC18C7">
        <w:t>(mean 0.3, 95% CI 0.2-0.4; p</w:t>
      </w:r>
      <w:r w:rsidR="00DC18C7" w:rsidRPr="00CD765B">
        <w:t>&lt;0.001</w:t>
      </w:r>
      <w:r w:rsidR="00DC18C7">
        <w:t xml:space="preserve">) </w:t>
      </w:r>
      <w:r w:rsidR="00DC18C7" w:rsidRPr="00616C5D">
        <w:t>time points.</w:t>
      </w:r>
      <w:r w:rsidR="00DC18C7">
        <w:t xml:space="preserve"> </w:t>
      </w:r>
    </w:p>
    <w:p w14:paraId="56E39B3E" w14:textId="77777777" w:rsidR="00FD0BC8" w:rsidRPr="00A26C2E" w:rsidRDefault="00FD0BC8" w:rsidP="00BF28BD">
      <w:pPr>
        <w:rPr>
          <w:i/>
          <w:iCs/>
        </w:rPr>
      </w:pPr>
      <w:r w:rsidRPr="00A26C2E">
        <w:rPr>
          <w:i/>
          <w:iCs/>
        </w:rPr>
        <w:t>Rutherford classification change from baseline</w:t>
      </w:r>
    </w:p>
    <w:p w14:paraId="762930B3" w14:textId="2A5CED10" w:rsidR="00DC18C7" w:rsidRDefault="00DC18C7" w:rsidP="00BF28BD">
      <w:r>
        <w:t xml:space="preserve">Rutherford classification improvement was not reported in DISRUPT PAD III OS and DISRUPT PAD BTK studies. The DISRUPT PAD II study reported </w:t>
      </w:r>
      <w:r w:rsidRPr="00191911">
        <w:t>statistically significant</w:t>
      </w:r>
      <w:r>
        <w:t xml:space="preserve"> improvement of Rutherford classification from the baseline measurement at 6 months (mean -2.0, 95% CI -2.31 to -1.76; p</w:t>
      </w:r>
      <w:r w:rsidRPr="00CD765B">
        <w:t>&lt;0.00</w:t>
      </w:r>
      <w:r>
        <w:t>0</w:t>
      </w:r>
      <w:r w:rsidRPr="00CD765B">
        <w:t>1</w:t>
      </w:r>
      <w:r>
        <w:t>), and 12 months (mean -2.1, 95% CI -2.3</w:t>
      </w:r>
      <w:r w:rsidR="00214688">
        <w:t>3</w:t>
      </w:r>
      <w:r>
        <w:t xml:space="preserve"> to -1.7</w:t>
      </w:r>
      <w:r w:rsidR="00214688">
        <w:t>8</w:t>
      </w:r>
      <w:r>
        <w:t>; p</w:t>
      </w:r>
      <w:r w:rsidRPr="00CD765B">
        <w:t>&lt;0.00</w:t>
      </w:r>
      <w:r>
        <w:t>0</w:t>
      </w:r>
      <w:r w:rsidRPr="00CD765B">
        <w:t>1</w:t>
      </w:r>
      <w:r>
        <w:t xml:space="preserve">). The DISRUPT PAD I study also reported </w:t>
      </w:r>
      <w:r w:rsidR="00214688" w:rsidRPr="00191911">
        <w:t>statistically significant</w:t>
      </w:r>
      <w:r w:rsidR="00214688">
        <w:t xml:space="preserve"> improvement of Rutherford classification from the baseline at discharge (mean -2.1, 95% CI -2.5 to -1.7; p</w:t>
      </w:r>
      <w:r w:rsidR="00214688" w:rsidRPr="00CD765B">
        <w:t>&lt;0.00</w:t>
      </w:r>
      <w:r w:rsidR="00214688">
        <w:t>0</w:t>
      </w:r>
      <w:r w:rsidR="00214688" w:rsidRPr="00CD765B">
        <w:t>1</w:t>
      </w:r>
      <w:r w:rsidR="00214688">
        <w:t>)</w:t>
      </w:r>
      <w:r w:rsidRPr="00616C5D">
        <w:t>, 30-day</w:t>
      </w:r>
      <w:r>
        <w:t xml:space="preserve"> </w:t>
      </w:r>
      <w:r w:rsidR="00214688">
        <w:t>(mean -2.5, 95% CI -2.7 to -2.2; p</w:t>
      </w:r>
      <w:r w:rsidR="00214688" w:rsidRPr="00CD765B">
        <w:t>&lt;0.00</w:t>
      </w:r>
      <w:r w:rsidR="00214688">
        <w:t>0</w:t>
      </w:r>
      <w:r w:rsidR="00214688" w:rsidRPr="00CD765B">
        <w:t>1</w:t>
      </w:r>
      <w:r w:rsidR="00214688">
        <w:t>)</w:t>
      </w:r>
      <w:r w:rsidRPr="00616C5D">
        <w:t xml:space="preserve"> and 6-month </w:t>
      </w:r>
      <w:r w:rsidR="00214688">
        <w:t>(mean -2.2, 95% CI -2.5 to -2.0; p</w:t>
      </w:r>
      <w:r w:rsidR="00214688" w:rsidRPr="00CD765B">
        <w:t>&lt;0.00</w:t>
      </w:r>
      <w:r w:rsidR="00214688">
        <w:t>0</w:t>
      </w:r>
      <w:r w:rsidR="00214688" w:rsidRPr="00CD765B">
        <w:t>1</w:t>
      </w:r>
      <w:r w:rsidR="00214688">
        <w:t xml:space="preserve">) </w:t>
      </w:r>
      <w:r w:rsidRPr="00616C5D">
        <w:t>time points.</w:t>
      </w:r>
      <w:r>
        <w:t xml:space="preserve"> </w:t>
      </w:r>
    </w:p>
    <w:p w14:paraId="21EB00A2" w14:textId="77777777" w:rsidR="00FD0BC8" w:rsidRPr="00A26C2E" w:rsidRDefault="00FD0BC8" w:rsidP="00BF28BD">
      <w:pPr>
        <w:rPr>
          <w:i/>
          <w:iCs/>
        </w:rPr>
      </w:pPr>
      <w:r w:rsidRPr="00A26C2E">
        <w:rPr>
          <w:i/>
          <w:iCs/>
        </w:rPr>
        <w:t>Quality of life</w:t>
      </w:r>
    </w:p>
    <w:p w14:paraId="19490A99" w14:textId="1FF02C0D" w:rsidR="00FD0BC8" w:rsidRDefault="00214688" w:rsidP="00BF28BD">
      <w:r>
        <w:t>None of the single</w:t>
      </w:r>
      <w:r w:rsidR="00C90312">
        <w:t>-</w:t>
      </w:r>
      <w:r>
        <w:t>arm clinical trials reported QoL outcomes.</w:t>
      </w:r>
    </w:p>
    <w:p w14:paraId="22285498" w14:textId="77777777" w:rsidR="00FD0BC8" w:rsidRPr="00A26C2E" w:rsidRDefault="00FD0BC8" w:rsidP="00BF28BD">
      <w:pPr>
        <w:keepNext/>
        <w:keepLines/>
        <w:rPr>
          <w:i/>
          <w:iCs/>
        </w:rPr>
      </w:pPr>
      <w:r w:rsidRPr="00A26C2E">
        <w:rPr>
          <w:i/>
          <w:iCs/>
        </w:rPr>
        <w:lastRenderedPageBreak/>
        <w:t xml:space="preserve">Walking performance measured with </w:t>
      </w:r>
      <w:proofErr w:type="gramStart"/>
      <w:r w:rsidRPr="00A26C2E">
        <w:rPr>
          <w:i/>
          <w:iCs/>
        </w:rPr>
        <w:t>WIQ</w:t>
      </w:r>
      <w:proofErr w:type="gramEnd"/>
    </w:p>
    <w:p w14:paraId="62AE49DC" w14:textId="55837FE7" w:rsidR="00214688" w:rsidRDefault="00214688" w:rsidP="00BF28BD">
      <w:pPr>
        <w:keepNext/>
        <w:keepLines/>
      </w:pPr>
      <w:r>
        <w:t>Of the four single</w:t>
      </w:r>
      <w:r w:rsidR="00C90312">
        <w:t>-</w:t>
      </w:r>
      <w:r>
        <w:t xml:space="preserve">arm clinical trials, only the DISRUPT PAD II study reported WIQ scores. </w:t>
      </w:r>
      <w:r w:rsidR="009B7E2F">
        <w:t xml:space="preserve">This study </w:t>
      </w:r>
      <w:r w:rsidR="009B7E2F" w:rsidRPr="001543E9">
        <w:t>revealed significant improvement in WIQ scores across all domains at 30 days</w:t>
      </w:r>
      <w:r w:rsidR="009B7E2F">
        <w:t xml:space="preserve">, 6 </w:t>
      </w:r>
      <w:proofErr w:type="gramStart"/>
      <w:r w:rsidR="009B7E2F">
        <w:t>months</w:t>
      </w:r>
      <w:proofErr w:type="gramEnd"/>
      <w:r w:rsidR="009B7E2F">
        <w:t xml:space="preserve"> and 12 months.</w:t>
      </w:r>
      <w:r w:rsidR="009B7E2F" w:rsidRPr="001543E9">
        <w:t xml:space="preserve"> </w:t>
      </w:r>
    </w:p>
    <w:p w14:paraId="43E96D36" w14:textId="18F445AD" w:rsidR="00494174" w:rsidRPr="00996E36" w:rsidRDefault="00A64541" w:rsidP="00BF28BD">
      <w:r w:rsidRPr="00996E36">
        <w:t>P</w:t>
      </w:r>
      <w:r w:rsidR="00EE12D8" w:rsidRPr="00996E36">
        <w:t xml:space="preserve">ooling of the included studies may not be appropriate </w:t>
      </w:r>
      <w:r w:rsidR="007F0A0A" w:rsidRPr="00996E36">
        <w:t>given the high heterogeneity in the included studies</w:t>
      </w:r>
      <w:r w:rsidR="00494174" w:rsidRPr="00996E36">
        <w:rPr>
          <w:rStyle w:val="FootnoteReference"/>
        </w:rPr>
        <w:footnoteReference w:id="9"/>
      </w:r>
      <w:r w:rsidR="007F0A0A" w:rsidRPr="00996E36">
        <w:t>.</w:t>
      </w:r>
    </w:p>
    <w:p w14:paraId="213924C6" w14:textId="06571FF2" w:rsidR="00772829" w:rsidRPr="00223664" w:rsidRDefault="00772829" w:rsidP="00BF28BD">
      <w:pPr>
        <w:tabs>
          <w:tab w:val="left" w:pos="720"/>
          <w:tab w:val="left" w:pos="1140"/>
        </w:tabs>
        <w:spacing w:before="240" w:after="120"/>
        <w:rPr>
          <w:b/>
          <w:bCs/>
        </w:rPr>
      </w:pPr>
      <w:r w:rsidRPr="00223664">
        <w:rPr>
          <w:b/>
          <w:bCs/>
        </w:rPr>
        <w:t>Clinical claim</w:t>
      </w:r>
    </w:p>
    <w:p w14:paraId="1702E7FA" w14:textId="1CBE361A" w:rsidR="00A26C2E" w:rsidRPr="00996E36" w:rsidRDefault="00A26C2E" w:rsidP="00BF28BD">
      <w:r w:rsidRPr="00996E36">
        <w:t>The clinical claim is th</w:t>
      </w:r>
      <w:r w:rsidR="00C90312" w:rsidRPr="00996E36">
        <w:t>at IVL results in superior effectiveness and non-inferior safety compared with SBA for treating</w:t>
      </w:r>
      <w:r w:rsidRPr="00996E36">
        <w:t xml:space="preserve"> </w:t>
      </w:r>
      <w:r w:rsidR="002B15C1" w:rsidRPr="00996E36">
        <w:t xml:space="preserve">PAD </w:t>
      </w:r>
      <w:r w:rsidRPr="00996E36">
        <w:t xml:space="preserve">patients with </w:t>
      </w:r>
      <w:r w:rsidR="002B15C1" w:rsidRPr="00996E36">
        <w:t>moderate to severe calcification.</w:t>
      </w:r>
    </w:p>
    <w:p w14:paraId="095958D6" w14:textId="68F2E625" w:rsidR="00494174" w:rsidRPr="00996E36" w:rsidRDefault="00494174" w:rsidP="00BF28BD">
      <w:bookmarkStart w:id="26" w:name="_Hlk141797028"/>
      <w:r w:rsidRPr="00996E36">
        <w:t>The clinical claim of superior effectiveness is uncertain because</w:t>
      </w:r>
      <w:r w:rsidR="00261574" w:rsidRPr="00996E36">
        <w:t>:</w:t>
      </w:r>
    </w:p>
    <w:p w14:paraId="43B1C89B" w14:textId="5A6B2FD3" w:rsidR="00494174" w:rsidRPr="00996E36" w:rsidRDefault="00494174" w:rsidP="00BF28BD">
      <w:pPr>
        <w:pStyle w:val="ListParagraph"/>
        <w:numPr>
          <w:ilvl w:val="0"/>
          <w:numId w:val="22"/>
        </w:numPr>
      </w:pPr>
      <w:bookmarkStart w:id="27" w:name="_Hlk141794528"/>
      <w:r w:rsidRPr="00996E36">
        <w:t xml:space="preserve">The applicability of </w:t>
      </w:r>
      <w:r w:rsidR="002B15C1" w:rsidRPr="00996E36">
        <w:t xml:space="preserve">the </w:t>
      </w:r>
      <w:r w:rsidRPr="00996E36">
        <w:t xml:space="preserve">trial population to the </w:t>
      </w:r>
      <w:r w:rsidR="00FB774F" w:rsidRPr="00996E36">
        <w:t>Australian</w:t>
      </w:r>
      <w:r w:rsidRPr="00996E36">
        <w:t xml:space="preserve"> clinical practice is uncertain</w:t>
      </w:r>
      <w:r w:rsidR="00FB774F" w:rsidRPr="00996E36">
        <w:t xml:space="preserve"> </w:t>
      </w:r>
      <w:r w:rsidR="002B15C1" w:rsidRPr="00996E36">
        <w:t xml:space="preserve">due </w:t>
      </w:r>
      <w:r w:rsidR="00FB774F" w:rsidRPr="00996E36">
        <w:t xml:space="preserve">to differences between the eligibility criteria in the trial and the target population as well as differences in patient </w:t>
      </w:r>
      <w:r w:rsidR="002D28EC" w:rsidRPr="00996E36">
        <w:t>characteristics</w:t>
      </w:r>
      <w:r w:rsidR="00EB6499" w:rsidRPr="00996E36">
        <w:t>, e.g., comorbidities</w:t>
      </w:r>
      <w:r w:rsidR="002D28EC" w:rsidRPr="00996E36">
        <w:t>.</w:t>
      </w:r>
    </w:p>
    <w:p w14:paraId="1669CB5C" w14:textId="548DFA45" w:rsidR="00494174" w:rsidRPr="00996E36" w:rsidRDefault="00494174" w:rsidP="00BF28BD">
      <w:pPr>
        <w:pStyle w:val="ListParagraph"/>
        <w:numPr>
          <w:ilvl w:val="0"/>
          <w:numId w:val="22"/>
        </w:numPr>
      </w:pPr>
      <w:r w:rsidRPr="00996E36">
        <w:t xml:space="preserve">There is limited comparative effectiveness evidence to support IVL use as </w:t>
      </w:r>
      <w:r w:rsidR="002B15C1" w:rsidRPr="00996E36">
        <w:t xml:space="preserve">a </w:t>
      </w:r>
      <w:r w:rsidRPr="00996E36">
        <w:t>stand-alone intervention (PICO set 1)</w:t>
      </w:r>
      <w:r w:rsidR="002B15C1" w:rsidRPr="00996E36">
        <w:t>,</w:t>
      </w:r>
      <w:r w:rsidRPr="00996E36">
        <w:t xml:space="preserve"> as the evidence provided in the ADAR is based on single-arm studies</w:t>
      </w:r>
      <w:r w:rsidR="003629CB" w:rsidRPr="00831A69">
        <w:t xml:space="preserve"> only</w:t>
      </w:r>
      <w:r w:rsidRPr="00996E36">
        <w:t>.</w:t>
      </w:r>
    </w:p>
    <w:bookmarkEnd w:id="27"/>
    <w:p w14:paraId="0D07D4C9" w14:textId="1C913ADB" w:rsidR="00494174" w:rsidRPr="00996E36" w:rsidRDefault="00494174" w:rsidP="00BF28BD">
      <w:pPr>
        <w:pStyle w:val="ListParagraph"/>
        <w:numPr>
          <w:ilvl w:val="0"/>
          <w:numId w:val="22"/>
        </w:numPr>
      </w:pPr>
      <w:r w:rsidRPr="00996E36">
        <w:t xml:space="preserve">The comparative effectiveness evidence for the PICO set 2 was based on a single-blinded RCT (DISRUPT PAD III) and a single-arm clinical trial. There </w:t>
      </w:r>
      <w:r w:rsidR="002B15C1" w:rsidRPr="00996E36">
        <w:t xml:space="preserve">were </w:t>
      </w:r>
      <w:r w:rsidRPr="00996E36">
        <w:t xml:space="preserve">some concerns </w:t>
      </w:r>
      <w:r w:rsidR="00370B63" w:rsidRPr="00F630B4">
        <w:t>regarding</w:t>
      </w:r>
      <w:r w:rsidRPr="00996E36">
        <w:t xml:space="preserve"> </w:t>
      </w:r>
      <w:r w:rsidR="002B15C1" w:rsidRPr="00996E36">
        <w:t xml:space="preserve">the </w:t>
      </w:r>
      <w:r w:rsidRPr="00996E36">
        <w:t xml:space="preserve">risk of bias associated with the DISRUPT PAD III RCT due to missing data and </w:t>
      </w:r>
      <w:r w:rsidR="00036B27" w:rsidRPr="00996E36">
        <w:t>single</w:t>
      </w:r>
      <w:r w:rsidR="00036B27" w:rsidRPr="00F630B4">
        <w:t>-</w:t>
      </w:r>
      <w:r w:rsidRPr="00996E36">
        <w:t>blind</w:t>
      </w:r>
      <w:r w:rsidR="00167541" w:rsidRPr="00F630B4">
        <w:t>ed study design</w:t>
      </w:r>
      <w:r w:rsidRPr="00996E36">
        <w:t>.</w:t>
      </w:r>
    </w:p>
    <w:p w14:paraId="04FF7563" w14:textId="0A8B964A" w:rsidR="00CD42C6" w:rsidRDefault="00CD42C6" w:rsidP="00BF28BD">
      <w:pPr>
        <w:pStyle w:val="ListParagraph"/>
        <w:numPr>
          <w:ilvl w:val="0"/>
          <w:numId w:val="22"/>
        </w:numPr>
      </w:pPr>
      <w:r w:rsidRPr="00996E36">
        <w:t xml:space="preserve">The effectiveness evidence provided for PICO sets 1 and 2 </w:t>
      </w:r>
      <w:r w:rsidR="002B15C1" w:rsidRPr="00996E36">
        <w:t xml:space="preserve">were </w:t>
      </w:r>
      <w:r w:rsidRPr="00996E36">
        <w:t>mainly related to procedure-related outcomes (procedural success and primary patency) rather than patient-relevant outcomes.</w:t>
      </w:r>
    </w:p>
    <w:p w14:paraId="19064BF8" w14:textId="14B0FB2C" w:rsidR="00F630B4" w:rsidRDefault="00F630B4" w:rsidP="00BF28BD">
      <w:pPr>
        <w:pStyle w:val="ListParagraph"/>
        <w:numPr>
          <w:ilvl w:val="0"/>
          <w:numId w:val="22"/>
        </w:numPr>
      </w:pPr>
      <w:r w:rsidRPr="00F630B4">
        <w:t>The evidence related to long-term effectiveness in terms of primary patency is uncertain due to DISRUPT PAD III RCT primary patency at 2 years between IVL and SBA arm being driven by the freedom from provisional stent at the procedure.</w:t>
      </w:r>
    </w:p>
    <w:p w14:paraId="0EF14C85" w14:textId="4DE2BA8F" w:rsidR="00494174" w:rsidRPr="00996E36" w:rsidRDefault="00494174" w:rsidP="00BF28BD">
      <w:r w:rsidRPr="00996E36">
        <w:t>The clinical claim of noninferiority in safety is uncertain because</w:t>
      </w:r>
      <w:r w:rsidR="00261574" w:rsidRPr="00996E36">
        <w:t>:</w:t>
      </w:r>
    </w:p>
    <w:p w14:paraId="5A113181" w14:textId="484836F9" w:rsidR="00494174" w:rsidRPr="00996E36" w:rsidRDefault="00494174" w:rsidP="00BF28BD">
      <w:pPr>
        <w:pStyle w:val="ListParagraph"/>
        <w:numPr>
          <w:ilvl w:val="0"/>
          <w:numId w:val="23"/>
        </w:numPr>
      </w:pPr>
      <w:r w:rsidRPr="00996E36">
        <w:t>There is limited comparative safety evidence to support IVL use as stand-alone intervention (PICO set 1) as the evidence provided in the ADAR is based on single-arm studies</w:t>
      </w:r>
      <w:r w:rsidR="00B41302" w:rsidRPr="00831A69">
        <w:t xml:space="preserve"> only</w:t>
      </w:r>
      <w:r w:rsidRPr="00996E36">
        <w:t>.</w:t>
      </w:r>
    </w:p>
    <w:p w14:paraId="28E7DF61" w14:textId="39E6A509" w:rsidR="00494174" w:rsidRPr="00996E36" w:rsidRDefault="00494174" w:rsidP="00BF28BD">
      <w:pPr>
        <w:pStyle w:val="ListParagraph"/>
        <w:numPr>
          <w:ilvl w:val="0"/>
          <w:numId w:val="23"/>
        </w:numPr>
      </w:pPr>
      <w:r w:rsidRPr="00996E36">
        <w:t xml:space="preserve">The DISRUPT PAD III study reported </w:t>
      </w:r>
      <w:r w:rsidR="002B15C1" w:rsidRPr="00996E36">
        <w:t xml:space="preserve">a </w:t>
      </w:r>
      <w:r w:rsidRPr="00996E36">
        <w:t>relatively short follow-up duration of 2 years</w:t>
      </w:r>
      <w:r w:rsidR="00482BE5" w:rsidRPr="00996E36">
        <w:t>. There were</w:t>
      </w:r>
      <w:r w:rsidR="002B15C1" w:rsidRPr="00996E36">
        <w:t xml:space="preserve"> </w:t>
      </w:r>
      <w:r w:rsidRPr="00996E36">
        <w:t>17 deaths (10 deaths in the IVL arm and 7 in the SBA arm) over the two-year trial period</w:t>
      </w:r>
      <w:r w:rsidR="00482BE5" w:rsidRPr="00996E36">
        <w:t xml:space="preserve"> reported as missing data</w:t>
      </w:r>
      <w:r w:rsidRPr="00996E36">
        <w:t xml:space="preserve">. </w:t>
      </w:r>
      <w:r w:rsidR="00B524F1" w:rsidRPr="00F630B4">
        <w:t>The cause of the deaths was not reported.</w:t>
      </w:r>
    </w:p>
    <w:p w14:paraId="0D09C9E4" w14:textId="5F30FF09" w:rsidR="00772829" w:rsidRPr="00CE28E3" w:rsidRDefault="00C36633" w:rsidP="00BF28BD">
      <w:pPr>
        <w:pStyle w:val="Heading2"/>
        <w:numPr>
          <w:ilvl w:val="0"/>
          <w:numId w:val="0"/>
        </w:numPr>
      </w:pPr>
      <w:bookmarkStart w:id="28" w:name="_Toc69491425"/>
      <w:bookmarkEnd w:id="26"/>
      <w:r>
        <w:t>1</w:t>
      </w:r>
      <w:r w:rsidR="00C73462">
        <w:t>3</w:t>
      </w:r>
      <w:r>
        <w:t>.</w:t>
      </w:r>
      <w:r>
        <w:tab/>
      </w:r>
      <w:r w:rsidR="00772829" w:rsidRPr="00CE28E3">
        <w:t>Economic evaluation</w:t>
      </w:r>
      <w:bookmarkEnd w:id="28"/>
    </w:p>
    <w:p w14:paraId="6ECA03D5" w14:textId="2588AFFA" w:rsidR="00385939" w:rsidRPr="00385939" w:rsidRDefault="00385939" w:rsidP="00BF28BD">
      <w:pPr>
        <w:pStyle w:val="Instructionaltext"/>
        <w:rPr>
          <w:color w:val="auto"/>
        </w:rPr>
      </w:pPr>
      <w:r w:rsidRPr="00385939">
        <w:rPr>
          <w:color w:val="auto"/>
        </w:rPr>
        <w:t xml:space="preserve">The ADAR presented </w:t>
      </w:r>
      <w:r w:rsidR="00C90312">
        <w:rPr>
          <w:color w:val="auto"/>
        </w:rPr>
        <w:t xml:space="preserve">a </w:t>
      </w:r>
      <w:r w:rsidR="00794B7D">
        <w:rPr>
          <w:color w:val="auto"/>
        </w:rPr>
        <w:t xml:space="preserve">CUA based on </w:t>
      </w:r>
      <w:r w:rsidR="006C33F5">
        <w:rPr>
          <w:color w:val="auto"/>
        </w:rPr>
        <w:t xml:space="preserve">the </w:t>
      </w:r>
      <w:r w:rsidR="00794B7D">
        <w:rPr>
          <w:color w:val="auto"/>
        </w:rPr>
        <w:t xml:space="preserve">clinical claim of </w:t>
      </w:r>
      <w:r w:rsidR="00794B7D" w:rsidRPr="00794B7D">
        <w:rPr>
          <w:color w:val="auto"/>
        </w:rPr>
        <w:t xml:space="preserve">superior effectiveness </w:t>
      </w:r>
      <w:r w:rsidR="00794B7D">
        <w:rPr>
          <w:color w:val="auto"/>
        </w:rPr>
        <w:t xml:space="preserve">and </w:t>
      </w:r>
      <w:r w:rsidR="00794B7D" w:rsidRPr="00794B7D">
        <w:rPr>
          <w:color w:val="auto"/>
        </w:rPr>
        <w:t xml:space="preserve">non-inferior safety compared with </w:t>
      </w:r>
      <w:r w:rsidR="00794B7D">
        <w:rPr>
          <w:color w:val="auto"/>
        </w:rPr>
        <w:t>SBA.</w:t>
      </w:r>
    </w:p>
    <w:p w14:paraId="791E7D1F" w14:textId="14C2FA73" w:rsidR="00285988" w:rsidRDefault="006B27B3" w:rsidP="00BF28BD">
      <w:pPr>
        <w:pStyle w:val="Instructionaltext"/>
        <w:jc w:val="both"/>
        <w:rPr>
          <w:color w:val="auto"/>
        </w:rPr>
      </w:pPr>
      <w:r>
        <w:rPr>
          <w:color w:val="auto"/>
        </w:rPr>
        <w:t xml:space="preserve">The </w:t>
      </w:r>
      <w:r w:rsidR="00285988">
        <w:rPr>
          <w:color w:val="auto"/>
        </w:rPr>
        <w:t>ADAR presented a trial</w:t>
      </w:r>
      <w:r w:rsidR="00D3296B">
        <w:rPr>
          <w:color w:val="auto"/>
        </w:rPr>
        <w:t>-</w:t>
      </w:r>
      <w:r w:rsidR="00285988">
        <w:rPr>
          <w:color w:val="auto"/>
        </w:rPr>
        <w:t xml:space="preserve">based </w:t>
      </w:r>
      <w:r w:rsidR="00285988" w:rsidRPr="00385939">
        <w:rPr>
          <w:color w:val="auto"/>
        </w:rPr>
        <w:t>cost</w:t>
      </w:r>
      <w:r w:rsidR="00C90312">
        <w:rPr>
          <w:color w:val="auto"/>
        </w:rPr>
        <w:t>-</w:t>
      </w:r>
      <w:r w:rsidR="00285988" w:rsidRPr="00385939">
        <w:rPr>
          <w:color w:val="auto"/>
        </w:rPr>
        <w:t>consequence</w:t>
      </w:r>
      <w:r w:rsidR="00285988">
        <w:rPr>
          <w:color w:val="auto"/>
        </w:rPr>
        <w:t xml:space="preserve"> analysis (CCA) and </w:t>
      </w:r>
      <w:r w:rsidR="009211C1">
        <w:rPr>
          <w:color w:val="auto"/>
        </w:rPr>
        <w:t xml:space="preserve">a </w:t>
      </w:r>
      <w:r w:rsidR="00D3296B" w:rsidRPr="00385939">
        <w:rPr>
          <w:color w:val="auto"/>
        </w:rPr>
        <w:t>modelled cost-utility analysis (CUA) over a 30-year (i.e., lifetime) time horizon.</w:t>
      </w:r>
      <w:r w:rsidR="00D3296B" w:rsidRPr="00D3296B">
        <w:rPr>
          <w:color w:val="auto"/>
        </w:rPr>
        <w:t xml:space="preserve"> </w:t>
      </w:r>
      <w:r w:rsidR="00D3296B" w:rsidRPr="00385939">
        <w:rPr>
          <w:color w:val="auto"/>
        </w:rPr>
        <w:t>The base case analysis</w:t>
      </w:r>
      <w:r w:rsidR="00D3296B">
        <w:rPr>
          <w:color w:val="auto"/>
        </w:rPr>
        <w:t xml:space="preserve"> in the CUA was</w:t>
      </w:r>
      <w:r w:rsidR="00D3296B" w:rsidRPr="00385939">
        <w:rPr>
          <w:color w:val="auto"/>
        </w:rPr>
        <w:t xml:space="preserve"> </w:t>
      </w:r>
      <w:r w:rsidR="00D3296B" w:rsidRPr="00385939">
        <w:rPr>
          <w:color w:val="auto"/>
        </w:rPr>
        <w:lastRenderedPageBreak/>
        <w:t>based on PICO set 2 (i.e., IVL or SBA followed by stent and/or DCB)</w:t>
      </w:r>
      <w:r w:rsidR="00D3296B">
        <w:rPr>
          <w:color w:val="auto"/>
        </w:rPr>
        <w:t xml:space="preserve">. </w:t>
      </w:r>
      <w:r w:rsidR="00D3296B" w:rsidRPr="00385939">
        <w:rPr>
          <w:color w:val="auto"/>
        </w:rPr>
        <w:t xml:space="preserve">A scenario analysis is presented </w:t>
      </w:r>
      <w:r w:rsidR="00D3296B">
        <w:rPr>
          <w:color w:val="auto"/>
        </w:rPr>
        <w:t>for PICO set 1</w:t>
      </w:r>
      <w:r>
        <w:rPr>
          <w:color w:val="auto"/>
        </w:rPr>
        <w:t>,</w:t>
      </w:r>
      <w:r w:rsidR="00D3296B">
        <w:rPr>
          <w:color w:val="auto"/>
        </w:rPr>
        <w:t xml:space="preserve"> </w:t>
      </w:r>
      <w:r w:rsidR="00D3296B" w:rsidRPr="00385939">
        <w:rPr>
          <w:color w:val="auto"/>
        </w:rPr>
        <w:t>comparing IVL and SBA as stand-alone treatments.</w:t>
      </w:r>
    </w:p>
    <w:p w14:paraId="35B0D938" w14:textId="77777777" w:rsidR="00B441B1" w:rsidRPr="00A04FE1" w:rsidRDefault="00B441B1" w:rsidP="00BF28BD">
      <w:pPr>
        <w:jc w:val="both"/>
        <w:rPr>
          <w:b/>
          <w:bCs/>
        </w:rPr>
      </w:pPr>
      <w:r w:rsidRPr="00A04FE1">
        <w:rPr>
          <w:b/>
          <w:bCs/>
        </w:rPr>
        <w:t>Summary of economic evaluation</w:t>
      </w:r>
    </w:p>
    <w:p w14:paraId="5C8A0C23" w14:textId="5D822B8E" w:rsidR="00B441B1" w:rsidRDefault="00B441B1" w:rsidP="00BF28BD">
      <w:pPr>
        <w:jc w:val="both"/>
      </w:pPr>
      <w:r>
        <w:t xml:space="preserve">Table </w:t>
      </w:r>
      <w:r w:rsidR="00EB6499">
        <w:t xml:space="preserve">7 </w:t>
      </w:r>
      <w:r>
        <w:t>provided a summary of economic evaluation presented in the ADAR.</w:t>
      </w:r>
    </w:p>
    <w:p w14:paraId="77E76583" w14:textId="1309BAF1" w:rsidR="00B441B1" w:rsidRPr="00CE28E3" w:rsidRDefault="00B441B1" w:rsidP="00D3296B">
      <w:pPr>
        <w:pStyle w:val="Caption"/>
        <w:tabs>
          <w:tab w:val="left" w:pos="1134"/>
        </w:tabs>
      </w:pPr>
      <w:bookmarkStart w:id="29" w:name="_Ref69725820"/>
      <w:r w:rsidRPr="00CE28E3">
        <w:t>Table</w:t>
      </w:r>
      <w:r>
        <w:t> </w:t>
      </w:r>
      <w:r w:rsidRPr="00CE28E3">
        <w:rPr>
          <w:noProof/>
        </w:rPr>
        <w:fldChar w:fldCharType="begin"/>
      </w:r>
      <w:r w:rsidRPr="00CE28E3">
        <w:rPr>
          <w:noProof/>
        </w:rPr>
        <w:instrText xml:space="preserve"> SEQ Table \* ARABIC </w:instrText>
      </w:r>
      <w:r w:rsidRPr="00CE28E3">
        <w:rPr>
          <w:noProof/>
        </w:rPr>
        <w:fldChar w:fldCharType="separate"/>
      </w:r>
      <w:r w:rsidR="009A5224">
        <w:rPr>
          <w:noProof/>
        </w:rPr>
        <w:t>7</w:t>
      </w:r>
      <w:r w:rsidRPr="00CE28E3">
        <w:rPr>
          <w:noProof/>
        </w:rPr>
        <w:fldChar w:fldCharType="end"/>
      </w:r>
      <w:bookmarkEnd w:id="29"/>
      <w:r>
        <w:t xml:space="preserve">: </w:t>
      </w:r>
      <w:r w:rsidRPr="00CE28E3">
        <w:t xml:space="preserve">Summary of the economic evaluation </w:t>
      </w:r>
    </w:p>
    <w:tbl>
      <w:tblPr>
        <w:tblStyle w:val="MSAC"/>
        <w:tblW w:w="9067" w:type="dxa"/>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405"/>
        <w:gridCol w:w="6662"/>
      </w:tblGrid>
      <w:tr w:rsidR="00B441B1" w:rsidRPr="00CE28E3" w14:paraId="4B56E534" w14:textId="77777777" w:rsidTr="00261574">
        <w:trPr>
          <w:cnfStyle w:val="100000000000" w:firstRow="1" w:lastRow="0" w:firstColumn="0" w:lastColumn="0" w:oddVBand="0" w:evenVBand="0" w:oddHBand="0" w:evenHBand="0" w:firstRowFirstColumn="0" w:firstRowLastColumn="0" w:lastRowFirstColumn="0" w:lastRowLastColumn="0"/>
        </w:trPr>
        <w:tc>
          <w:tcPr>
            <w:tcW w:w="2405" w:type="dxa"/>
          </w:tcPr>
          <w:p w14:paraId="032E38CC" w14:textId="77777777" w:rsidR="00B441B1" w:rsidRPr="000449D1" w:rsidRDefault="00B441B1">
            <w:pPr>
              <w:pStyle w:val="TableHeading"/>
            </w:pPr>
            <w:bookmarkStart w:id="30" w:name="Title_Table5"/>
            <w:bookmarkStart w:id="31" w:name="_Hlk68276446"/>
            <w:bookmarkEnd w:id="30"/>
            <w:r w:rsidRPr="000449D1">
              <w:t>Component</w:t>
            </w:r>
          </w:p>
        </w:tc>
        <w:tc>
          <w:tcPr>
            <w:tcW w:w="6662" w:type="dxa"/>
          </w:tcPr>
          <w:p w14:paraId="1F45944C" w14:textId="77777777" w:rsidR="00B441B1" w:rsidRPr="000449D1" w:rsidRDefault="00B441B1">
            <w:pPr>
              <w:pStyle w:val="TableHeading"/>
            </w:pPr>
            <w:r w:rsidRPr="000449D1">
              <w:t>Description</w:t>
            </w:r>
          </w:p>
        </w:tc>
      </w:tr>
      <w:tr w:rsidR="00B441B1" w:rsidRPr="000449D1" w14:paraId="40D9FAD6" w14:textId="77777777" w:rsidTr="00261574">
        <w:tc>
          <w:tcPr>
            <w:tcW w:w="2405" w:type="dxa"/>
          </w:tcPr>
          <w:p w14:paraId="5FA3D235" w14:textId="77777777" w:rsidR="00B441B1" w:rsidRPr="000449D1" w:rsidRDefault="00B441B1">
            <w:pPr>
              <w:pStyle w:val="TableText"/>
              <w:keepNext/>
            </w:pPr>
            <w:r w:rsidRPr="000449D1">
              <w:t>Perspective</w:t>
            </w:r>
          </w:p>
        </w:tc>
        <w:tc>
          <w:tcPr>
            <w:tcW w:w="6662" w:type="dxa"/>
          </w:tcPr>
          <w:p w14:paraId="2AC41EAF" w14:textId="77777777" w:rsidR="00B441B1" w:rsidRPr="000449D1" w:rsidRDefault="00B441B1">
            <w:pPr>
              <w:pStyle w:val="TableText"/>
              <w:keepNext/>
            </w:pPr>
            <w:r w:rsidRPr="000449D1">
              <w:t>Health care system perspective</w:t>
            </w:r>
          </w:p>
        </w:tc>
      </w:tr>
      <w:tr w:rsidR="00B441B1" w:rsidRPr="000449D1" w14:paraId="2E51DE86" w14:textId="77777777" w:rsidTr="00261574">
        <w:trPr>
          <w:tblHeader/>
        </w:trPr>
        <w:tc>
          <w:tcPr>
            <w:tcW w:w="2405" w:type="dxa"/>
          </w:tcPr>
          <w:p w14:paraId="0578C6BA" w14:textId="77777777" w:rsidR="00B441B1" w:rsidRPr="000449D1" w:rsidRDefault="00B441B1">
            <w:pPr>
              <w:pStyle w:val="TableText"/>
              <w:keepNext/>
            </w:pPr>
            <w:r w:rsidRPr="000449D1">
              <w:t>Population</w:t>
            </w:r>
          </w:p>
        </w:tc>
        <w:tc>
          <w:tcPr>
            <w:tcW w:w="6662" w:type="dxa"/>
          </w:tcPr>
          <w:p w14:paraId="056C7F07" w14:textId="77777777" w:rsidR="00B441B1" w:rsidRPr="000449D1" w:rsidRDefault="00B441B1">
            <w:pPr>
              <w:pStyle w:val="TableText"/>
              <w:keepNext/>
            </w:pPr>
            <w:r w:rsidRPr="00172340">
              <w:t>Patients with symptomatic PAD with moderate to severe calcification</w:t>
            </w:r>
          </w:p>
        </w:tc>
      </w:tr>
      <w:tr w:rsidR="00B441B1" w:rsidRPr="000449D1" w14:paraId="4A5EC688" w14:textId="77777777" w:rsidTr="00261574">
        <w:tc>
          <w:tcPr>
            <w:tcW w:w="2405" w:type="dxa"/>
          </w:tcPr>
          <w:p w14:paraId="15D29040" w14:textId="77777777" w:rsidR="00B441B1" w:rsidRPr="000449D1" w:rsidRDefault="00B441B1">
            <w:pPr>
              <w:pStyle w:val="TableText"/>
              <w:keepNext/>
            </w:pPr>
            <w:r w:rsidRPr="000449D1">
              <w:t>Prior testing</w:t>
            </w:r>
          </w:p>
        </w:tc>
        <w:tc>
          <w:tcPr>
            <w:tcW w:w="6662" w:type="dxa"/>
          </w:tcPr>
          <w:p w14:paraId="49F4AB5C" w14:textId="77777777" w:rsidR="00B441B1" w:rsidRPr="000449D1" w:rsidRDefault="00B441B1">
            <w:pPr>
              <w:pStyle w:val="TableText"/>
              <w:keepNext/>
            </w:pPr>
            <w:r w:rsidRPr="00130598">
              <w:t>Tests to determine severity of PAD and calcification</w:t>
            </w:r>
          </w:p>
        </w:tc>
      </w:tr>
      <w:tr w:rsidR="00B441B1" w:rsidRPr="000449D1" w14:paraId="2389D082" w14:textId="77777777" w:rsidTr="00261574">
        <w:tc>
          <w:tcPr>
            <w:tcW w:w="2405" w:type="dxa"/>
          </w:tcPr>
          <w:p w14:paraId="30F32EA4" w14:textId="591BD099" w:rsidR="00B441B1" w:rsidRPr="000449D1" w:rsidRDefault="00EB6499">
            <w:pPr>
              <w:pStyle w:val="TableText"/>
              <w:keepNext/>
            </w:pPr>
            <w:r>
              <w:t>Intervention and c</w:t>
            </w:r>
            <w:r w:rsidR="00B441B1" w:rsidRPr="000449D1">
              <w:t>omparator</w:t>
            </w:r>
          </w:p>
        </w:tc>
        <w:tc>
          <w:tcPr>
            <w:tcW w:w="6662" w:type="dxa"/>
          </w:tcPr>
          <w:p w14:paraId="7C511E3E" w14:textId="1660E2B5" w:rsidR="00B441B1" w:rsidRDefault="00B441B1">
            <w:pPr>
              <w:pStyle w:val="TableText"/>
              <w:keepNext/>
            </w:pPr>
            <w:r>
              <w:t xml:space="preserve">Base case: </w:t>
            </w:r>
            <w:r w:rsidR="00EB6499">
              <w:t xml:space="preserve">IVL vs </w:t>
            </w:r>
            <w:r>
              <w:t xml:space="preserve">SBA followed by DCB or </w:t>
            </w:r>
            <w:proofErr w:type="gramStart"/>
            <w:r>
              <w:t>stent</w:t>
            </w:r>
            <w:proofErr w:type="gramEnd"/>
          </w:p>
          <w:p w14:paraId="4F023A77" w14:textId="2D98B52C" w:rsidR="00B441B1" w:rsidRPr="000449D1" w:rsidRDefault="00B441B1">
            <w:pPr>
              <w:pStyle w:val="TableText"/>
              <w:keepNext/>
            </w:pPr>
            <w:r>
              <w:t xml:space="preserve">Scenario: </w:t>
            </w:r>
            <w:r w:rsidR="00EB6499">
              <w:t xml:space="preserve">IVL vs </w:t>
            </w:r>
            <w:r>
              <w:t xml:space="preserve">SBA as </w:t>
            </w:r>
            <w:r w:rsidR="00C90312">
              <w:t xml:space="preserve">a </w:t>
            </w:r>
            <w:r>
              <w:t>stand-alone treatment</w:t>
            </w:r>
          </w:p>
        </w:tc>
      </w:tr>
      <w:tr w:rsidR="00B441B1" w:rsidRPr="000449D1" w14:paraId="47F29ACC" w14:textId="77777777" w:rsidTr="00261574">
        <w:tc>
          <w:tcPr>
            <w:tcW w:w="2405" w:type="dxa"/>
          </w:tcPr>
          <w:p w14:paraId="7910C691" w14:textId="77777777" w:rsidR="00B441B1" w:rsidRPr="000449D1" w:rsidRDefault="00B441B1">
            <w:pPr>
              <w:pStyle w:val="TableText"/>
              <w:keepNext/>
            </w:pPr>
            <w:r w:rsidRPr="000449D1">
              <w:t>Type(s) of analysis</w:t>
            </w:r>
          </w:p>
        </w:tc>
        <w:tc>
          <w:tcPr>
            <w:tcW w:w="6662" w:type="dxa"/>
          </w:tcPr>
          <w:p w14:paraId="139EA37C" w14:textId="77777777" w:rsidR="00B441B1" w:rsidRPr="000449D1" w:rsidRDefault="00B441B1">
            <w:pPr>
              <w:pStyle w:val="TableText"/>
              <w:keepNext/>
            </w:pPr>
            <w:r w:rsidRPr="004A1C4D">
              <w:t>Cost consequence</w:t>
            </w:r>
            <w:r>
              <w:t>; c</w:t>
            </w:r>
            <w:r w:rsidRPr="004A1C4D">
              <w:t>ost-utility analysis</w:t>
            </w:r>
          </w:p>
        </w:tc>
      </w:tr>
      <w:tr w:rsidR="00B441B1" w:rsidRPr="000449D1" w14:paraId="457E7306" w14:textId="77777777" w:rsidTr="00261574">
        <w:tc>
          <w:tcPr>
            <w:tcW w:w="2405" w:type="dxa"/>
          </w:tcPr>
          <w:p w14:paraId="41295A47" w14:textId="77777777" w:rsidR="00B441B1" w:rsidRPr="000449D1" w:rsidRDefault="00B441B1">
            <w:pPr>
              <w:pStyle w:val="TableText"/>
              <w:keepNext/>
            </w:pPr>
            <w:r w:rsidRPr="000449D1">
              <w:t>Outcomes</w:t>
            </w:r>
          </w:p>
        </w:tc>
        <w:tc>
          <w:tcPr>
            <w:tcW w:w="6662" w:type="dxa"/>
          </w:tcPr>
          <w:p w14:paraId="6A792B49" w14:textId="43ECD394" w:rsidR="00B441B1" w:rsidRPr="000449D1" w:rsidRDefault="00B441B1">
            <w:pPr>
              <w:pStyle w:val="TableText"/>
              <w:keepNext/>
            </w:pPr>
            <w:r w:rsidRPr="00905170">
              <w:t>Provisional stents avoided</w:t>
            </w:r>
            <w:r>
              <w:t>, d</w:t>
            </w:r>
            <w:r w:rsidRPr="00905170">
              <w:t>issections avoided</w:t>
            </w:r>
            <w:r>
              <w:t>, f</w:t>
            </w:r>
            <w:r w:rsidRPr="00905170">
              <w:t xml:space="preserve">low-limiting dissections </w:t>
            </w:r>
            <w:r>
              <w:t>a</w:t>
            </w:r>
            <w:r w:rsidRPr="00905170">
              <w:t>voided</w:t>
            </w:r>
            <w:r>
              <w:t>, p</w:t>
            </w:r>
            <w:r w:rsidRPr="00905170">
              <w:t>rimary patency progression</w:t>
            </w:r>
            <w:r>
              <w:t>, m</w:t>
            </w:r>
            <w:r w:rsidRPr="00905170">
              <w:t>ajor adverse events</w:t>
            </w:r>
            <w:r>
              <w:t>, and q</w:t>
            </w:r>
            <w:r w:rsidRPr="00905170">
              <w:t>uality-adjusted life year</w:t>
            </w:r>
            <w:r w:rsidR="00C90312">
              <w:t>.</w:t>
            </w:r>
          </w:p>
        </w:tc>
      </w:tr>
      <w:tr w:rsidR="00B441B1" w:rsidRPr="000449D1" w14:paraId="443D948E" w14:textId="77777777" w:rsidTr="00261574">
        <w:tc>
          <w:tcPr>
            <w:tcW w:w="2405" w:type="dxa"/>
          </w:tcPr>
          <w:p w14:paraId="1F0F8F6A" w14:textId="77777777" w:rsidR="00B441B1" w:rsidRPr="000449D1" w:rsidRDefault="00B441B1">
            <w:pPr>
              <w:pStyle w:val="TableText"/>
              <w:keepNext/>
            </w:pPr>
            <w:r w:rsidRPr="000449D1">
              <w:t>Time horizon</w:t>
            </w:r>
          </w:p>
        </w:tc>
        <w:tc>
          <w:tcPr>
            <w:tcW w:w="6662" w:type="dxa"/>
          </w:tcPr>
          <w:p w14:paraId="32FD8E01" w14:textId="6F7DA28A" w:rsidR="00B441B1" w:rsidRPr="000449D1" w:rsidRDefault="00B441B1">
            <w:pPr>
              <w:pStyle w:val="TableText"/>
              <w:keepNext/>
            </w:pPr>
            <w:r>
              <w:t xml:space="preserve">30 </w:t>
            </w:r>
            <w:r w:rsidRPr="000449D1">
              <w:t>years</w:t>
            </w:r>
            <w:r>
              <w:t xml:space="preserve"> (lifetime)</w:t>
            </w:r>
            <w:r w:rsidRPr="000449D1">
              <w:t xml:space="preserve"> in the model base case vs</w:t>
            </w:r>
            <w:r w:rsidR="00C90312">
              <w:t>.</w:t>
            </w:r>
            <w:r w:rsidRPr="000449D1">
              <w:t xml:space="preserve"> </w:t>
            </w:r>
            <w:r>
              <w:t>2</w:t>
            </w:r>
            <w:r w:rsidRPr="000449D1">
              <w:t xml:space="preserve"> years in the key trial</w:t>
            </w:r>
          </w:p>
        </w:tc>
      </w:tr>
      <w:tr w:rsidR="00B441B1" w:rsidRPr="000449D1" w14:paraId="3D06E628" w14:textId="77777777" w:rsidTr="00261574">
        <w:tc>
          <w:tcPr>
            <w:tcW w:w="2405" w:type="dxa"/>
          </w:tcPr>
          <w:p w14:paraId="0978DD69" w14:textId="77777777" w:rsidR="00B441B1" w:rsidRPr="000449D1" w:rsidRDefault="00B441B1">
            <w:pPr>
              <w:pStyle w:val="TableText"/>
              <w:keepNext/>
            </w:pPr>
            <w:r w:rsidRPr="000449D1">
              <w:t>Computational method</w:t>
            </w:r>
          </w:p>
        </w:tc>
        <w:tc>
          <w:tcPr>
            <w:tcW w:w="6662" w:type="dxa"/>
          </w:tcPr>
          <w:p w14:paraId="7CD2C61B" w14:textId="77777777" w:rsidR="00B441B1" w:rsidRPr="000449D1" w:rsidRDefault="00B441B1">
            <w:pPr>
              <w:pStyle w:val="TableText"/>
              <w:keepNext/>
            </w:pPr>
            <w:r w:rsidRPr="000449D1">
              <w:t>Markov</w:t>
            </w:r>
            <w:r>
              <w:t xml:space="preserve"> cohort</w:t>
            </w:r>
          </w:p>
        </w:tc>
      </w:tr>
      <w:tr w:rsidR="00B441B1" w:rsidRPr="000449D1" w14:paraId="21A943B6" w14:textId="77777777" w:rsidTr="00261574">
        <w:tc>
          <w:tcPr>
            <w:tcW w:w="2405" w:type="dxa"/>
          </w:tcPr>
          <w:p w14:paraId="4CB8592F" w14:textId="77777777" w:rsidR="00B441B1" w:rsidRPr="000449D1" w:rsidRDefault="00B441B1">
            <w:pPr>
              <w:pStyle w:val="TableText"/>
              <w:keepNext/>
            </w:pPr>
            <w:r w:rsidRPr="000449D1">
              <w:t>Generation of the base case</w:t>
            </w:r>
          </w:p>
        </w:tc>
        <w:tc>
          <w:tcPr>
            <w:tcW w:w="6662" w:type="dxa"/>
          </w:tcPr>
          <w:p w14:paraId="574232F2" w14:textId="1BC77B41" w:rsidR="00B441B1" w:rsidRPr="000449D1" w:rsidRDefault="00B441B1">
            <w:pPr>
              <w:pStyle w:val="TableText"/>
              <w:keepNext/>
            </w:pPr>
            <w:r>
              <w:t>T</w:t>
            </w:r>
            <w:r w:rsidRPr="000449D1">
              <w:t>rial</w:t>
            </w:r>
            <w:r w:rsidR="00C90312">
              <w:t>-</w:t>
            </w:r>
            <w:r w:rsidRPr="000449D1">
              <w:t>based</w:t>
            </w:r>
            <w:r>
              <w:t xml:space="preserve"> and</w:t>
            </w:r>
            <w:r w:rsidRPr="000449D1">
              <w:t xml:space="preserve"> modelled. </w:t>
            </w:r>
          </w:p>
        </w:tc>
      </w:tr>
      <w:tr w:rsidR="00B441B1" w:rsidRPr="000449D1" w14:paraId="3C847F7F" w14:textId="77777777" w:rsidTr="00261574">
        <w:tc>
          <w:tcPr>
            <w:tcW w:w="2405" w:type="dxa"/>
          </w:tcPr>
          <w:p w14:paraId="75974FC4" w14:textId="77777777" w:rsidR="00B441B1" w:rsidRPr="000449D1" w:rsidRDefault="00B441B1">
            <w:pPr>
              <w:pStyle w:val="TableText"/>
              <w:keepNext/>
            </w:pPr>
            <w:r w:rsidRPr="000449D1">
              <w:t>Health states</w:t>
            </w:r>
          </w:p>
        </w:tc>
        <w:tc>
          <w:tcPr>
            <w:tcW w:w="6662" w:type="dxa"/>
          </w:tcPr>
          <w:p w14:paraId="48DC0A50" w14:textId="77777777" w:rsidR="00B441B1" w:rsidRPr="00297730" w:rsidRDefault="00B441B1">
            <w:pPr>
              <w:pStyle w:val="TableText"/>
            </w:pPr>
            <w:r w:rsidRPr="00383A13">
              <w:t xml:space="preserve">Patency, loss of patency, critical limb </w:t>
            </w:r>
            <w:proofErr w:type="spellStart"/>
            <w:r w:rsidRPr="00383A13">
              <w:t>ischaemia</w:t>
            </w:r>
            <w:proofErr w:type="spellEnd"/>
            <w:r w:rsidRPr="00383A13">
              <w:t>, amputation, death</w:t>
            </w:r>
          </w:p>
        </w:tc>
      </w:tr>
      <w:tr w:rsidR="00B441B1" w:rsidRPr="000449D1" w14:paraId="1FD8A1F5" w14:textId="77777777" w:rsidTr="00261574">
        <w:tc>
          <w:tcPr>
            <w:tcW w:w="2405" w:type="dxa"/>
          </w:tcPr>
          <w:p w14:paraId="421BFC36" w14:textId="77777777" w:rsidR="00B441B1" w:rsidRPr="000449D1" w:rsidRDefault="00B441B1">
            <w:pPr>
              <w:pStyle w:val="TableText"/>
              <w:keepNext/>
            </w:pPr>
            <w:r w:rsidRPr="000449D1">
              <w:t>Cycle length</w:t>
            </w:r>
          </w:p>
        </w:tc>
        <w:tc>
          <w:tcPr>
            <w:tcW w:w="6662" w:type="dxa"/>
          </w:tcPr>
          <w:p w14:paraId="46A76BA0" w14:textId="77777777" w:rsidR="00B441B1" w:rsidRPr="000449D1" w:rsidRDefault="00B441B1">
            <w:pPr>
              <w:pStyle w:val="TableText"/>
              <w:keepNext/>
            </w:pPr>
            <w:r>
              <w:t>1 month</w:t>
            </w:r>
          </w:p>
        </w:tc>
      </w:tr>
      <w:tr w:rsidR="00B441B1" w:rsidRPr="000449D1" w14:paraId="6A239465" w14:textId="77777777" w:rsidTr="00261574">
        <w:tc>
          <w:tcPr>
            <w:tcW w:w="2405" w:type="dxa"/>
          </w:tcPr>
          <w:p w14:paraId="54C9FCC2" w14:textId="77777777" w:rsidR="00B441B1" w:rsidRPr="000449D1" w:rsidRDefault="00B441B1">
            <w:pPr>
              <w:pStyle w:val="TableText"/>
              <w:keepNext/>
            </w:pPr>
            <w:r w:rsidRPr="000449D1">
              <w:t>Transition probabilities</w:t>
            </w:r>
          </w:p>
        </w:tc>
        <w:tc>
          <w:tcPr>
            <w:tcW w:w="6662" w:type="dxa"/>
          </w:tcPr>
          <w:p w14:paraId="63F286A0" w14:textId="061203E3" w:rsidR="00B441B1" w:rsidRPr="000449D1" w:rsidRDefault="00B441B1">
            <w:pPr>
              <w:pStyle w:val="TableText"/>
              <w:keepNext/>
            </w:pPr>
            <w:r w:rsidRPr="00B64437">
              <w:t xml:space="preserve">Transition from patency to </w:t>
            </w:r>
            <w:r w:rsidR="00C90312">
              <w:t>l</w:t>
            </w:r>
            <w:r w:rsidRPr="00B64437">
              <w:t>oss of patency is informed from the PAD III RCT and extrapolated beyond the 2-year trial follow-up. Transition probabilities to CLI amputation a</w:t>
            </w:r>
            <w:r w:rsidR="00C90312">
              <w:t>re</w:t>
            </w:r>
            <w:r w:rsidRPr="00B64437">
              <w:t xml:space="preserve"> sourced from a literature review</w:t>
            </w:r>
            <w:r w:rsidR="00C90312">
              <w:t>.</w:t>
            </w:r>
            <w:r w:rsidRPr="00B64437">
              <w:t xml:space="preserve"> </w:t>
            </w:r>
          </w:p>
        </w:tc>
      </w:tr>
      <w:tr w:rsidR="00B441B1" w:rsidRPr="000449D1" w14:paraId="0451CF62" w14:textId="77777777" w:rsidTr="00261574">
        <w:tc>
          <w:tcPr>
            <w:tcW w:w="2405" w:type="dxa"/>
          </w:tcPr>
          <w:p w14:paraId="7200D296" w14:textId="77777777" w:rsidR="00B441B1" w:rsidRPr="000449D1" w:rsidRDefault="00B441B1">
            <w:pPr>
              <w:pStyle w:val="TableText"/>
              <w:keepNext/>
            </w:pPr>
            <w:r w:rsidRPr="000449D1">
              <w:t>Discount rate</w:t>
            </w:r>
          </w:p>
        </w:tc>
        <w:tc>
          <w:tcPr>
            <w:tcW w:w="6662" w:type="dxa"/>
          </w:tcPr>
          <w:p w14:paraId="249BB3EA" w14:textId="77777777" w:rsidR="00B441B1" w:rsidRPr="000449D1" w:rsidRDefault="00B441B1">
            <w:pPr>
              <w:pStyle w:val="TableText"/>
              <w:keepNext/>
            </w:pPr>
            <w:r w:rsidRPr="00B64437">
              <w:t>5% base case (0%, 3.5% as sensitivity analyses)</w:t>
            </w:r>
          </w:p>
        </w:tc>
      </w:tr>
      <w:tr w:rsidR="00B441B1" w:rsidRPr="000449D1" w14:paraId="05735F92" w14:textId="77777777" w:rsidTr="00261574">
        <w:tc>
          <w:tcPr>
            <w:tcW w:w="2405" w:type="dxa"/>
          </w:tcPr>
          <w:p w14:paraId="518D9EFE" w14:textId="77777777" w:rsidR="00B441B1" w:rsidRPr="000449D1" w:rsidRDefault="00B441B1">
            <w:pPr>
              <w:pStyle w:val="TableText"/>
              <w:keepNext/>
            </w:pPr>
            <w:r w:rsidRPr="000449D1">
              <w:t>Software</w:t>
            </w:r>
          </w:p>
        </w:tc>
        <w:tc>
          <w:tcPr>
            <w:tcW w:w="6662" w:type="dxa"/>
          </w:tcPr>
          <w:p w14:paraId="41195F8C" w14:textId="77777777" w:rsidR="00B441B1" w:rsidRPr="000449D1" w:rsidRDefault="00B441B1">
            <w:pPr>
              <w:pStyle w:val="TableText"/>
              <w:keepNext/>
            </w:pPr>
            <w:r w:rsidRPr="00B64437">
              <w:t>Excel</w:t>
            </w:r>
          </w:p>
        </w:tc>
      </w:tr>
    </w:tbl>
    <w:p w14:paraId="6D91FDEF" w14:textId="4A61BD0C" w:rsidR="00B441B1" w:rsidRDefault="00B441B1" w:rsidP="00B441B1">
      <w:pPr>
        <w:pStyle w:val="TableFooter"/>
      </w:pPr>
      <w:bookmarkStart w:id="32" w:name="_Hlk68276459"/>
      <w:bookmarkEnd w:id="31"/>
      <w:r>
        <w:t xml:space="preserve">Abbreviations: </w:t>
      </w:r>
      <w:r w:rsidRPr="00055175">
        <w:t>CLI</w:t>
      </w:r>
      <w:r w:rsidR="00237C8B">
        <w:t xml:space="preserve"> =</w:t>
      </w:r>
      <w:r w:rsidRPr="00055175">
        <w:t xml:space="preserve"> critical limb </w:t>
      </w:r>
      <w:proofErr w:type="spellStart"/>
      <w:r w:rsidRPr="00055175">
        <w:t>ischaemia</w:t>
      </w:r>
      <w:proofErr w:type="spellEnd"/>
      <w:r w:rsidRPr="00055175">
        <w:t>; DCB</w:t>
      </w:r>
      <w:r w:rsidR="00237C8B">
        <w:t xml:space="preserve"> =</w:t>
      </w:r>
      <w:r w:rsidRPr="00055175">
        <w:t xml:space="preserve"> drug-coated balloon; IVL</w:t>
      </w:r>
      <w:r w:rsidR="00237C8B">
        <w:t xml:space="preserve"> =</w:t>
      </w:r>
      <w:r w:rsidRPr="00055175">
        <w:t xml:space="preserve"> intravascular lithotripsy; PAD</w:t>
      </w:r>
      <w:r w:rsidR="00237C8B">
        <w:t xml:space="preserve"> =</w:t>
      </w:r>
      <w:r w:rsidRPr="00055175">
        <w:t xml:space="preserve"> peripheral artery disease; RCT</w:t>
      </w:r>
      <w:r w:rsidR="00237C8B">
        <w:t xml:space="preserve"> =</w:t>
      </w:r>
      <w:r w:rsidRPr="00055175">
        <w:t xml:space="preserve"> randomised control trial; SBA</w:t>
      </w:r>
      <w:r w:rsidR="00237C8B">
        <w:t xml:space="preserve"> =</w:t>
      </w:r>
      <w:r w:rsidRPr="00055175">
        <w:t xml:space="preserve"> standard balloon angioplasty</w:t>
      </w:r>
    </w:p>
    <w:bookmarkEnd w:id="32"/>
    <w:p w14:paraId="2B9D6E0E" w14:textId="77E59281" w:rsidR="00B441B1" w:rsidRDefault="0041451D" w:rsidP="00BF28BD">
      <w:pPr>
        <w:pStyle w:val="Instructionaltext"/>
        <w:rPr>
          <w:b/>
          <w:bCs/>
          <w:color w:val="auto"/>
        </w:rPr>
      </w:pPr>
      <w:r>
        <w:rPr>
          <w:b/>
          <w:bCs/>
          <w:color w:val="auto"/>
        </w:rPr>
        <w:t>Cost consequence analysis</w:t>
      </w:r>
      <w:r w:rsidR="00D3296B">
        <w:rPr>
          <w:b/>
          <w:bCs/>
          <w:color w:val="auto"/>
        </w:rPr>
        <w:t xml:space="preserve"> (CCA)</w:t>
      </w:r>
    </w:p>
    <w:p w14:paraId="29E0FA5D" w14:textId="7C2BD767" w:rsidR="0041451D" w:rsidRPr="0041451D" w:rsidRDefault="0041451D" w:rsidP="00BF28BD">
      <w:pPr>
        <w:pStyle w:val="Instructionaltext"/>
        <w:rPr>
          <w:color w:val="auto"/>
        </w:rPr>
      </w:pPr>
      <w:r w:rsidRPr="0041451D">
        <w:rPr>
          <w:color w:val="auto"/>
        </w:rPr>
        <w:t xml:space="preserve">The ADAR presented a </w:t>
      </w:r>
      <w:r w:rsidR="00D3296B">
        <w:rPr>
          <w:color w:val="auto"/>
        </w:rPr>
        <w:t>CCA</w:t>
      </w:r>
      <w:r w:rsidRPr="0041451D">
        <w:rPr>
          <w:color w:val="auto"/>
        </w:rPr>
        <w:t xml:space="preserve"> using outcomes based on the DISRUPT PAD III RCT. Provisional stents avoided, dissections avoided, flow-limiting dissections avoided, primary patency progression</w:t>
      </w:r>
      <w:r w:rsidR="00C90312">
        <w:rPr>
          <w:color w:val="auto"/>
        </w:rPr>
        <w:t>,</w:t>
      </w:r>
      <w:r w:rsidRPr="0041451D">
        <w:rPr>
          <w:color w:val="auto"/>
        </w:rPr>
        <w:t xml:space="preserve"> and MAEs were the outcomes included. Costs included were the costs associated with the initial procedure, subsequent </w:t>
      </w:r>
      <w:proofErr w:type="gramStart"/>
      <w:r w:rsidRPr="0041451D">
        <w:rPr>
          <w:color w:val="auto"/>
        </w:rPr>
        <w:t>treatment</w:t>
      </w:r>
      <w:proofErr w:type="gramEnd"/>
      <w:r w:rsidRPr="0041451D">
        <w:rPr>
          <w:color w:val="auto"/>
        </w:rPr>
        <w:t xml:space="preserve"> and disease management costs over a 2-year time horizon.</w:t>
      </w:r>
    </w:p>
    <w:p w14:paraId="51B28C46" w14:textId="17C49EC6" w:rsidR="00674BAC" w:rsidRPr="00FE44A0" w:rsidRDefault="0041451D" w:rsidP="00BF28BD">
      <w:pPr>
        <w:pStyle w:val="Instructionaltext"/>
        <w:rPr>
          <w:color w:val="auto"/>
        </w:rPr>
      </w:pPr>
      <w:r w:rsidRPr="00F15E45">
        <w:rPr>
          <w:color w:val="auto"/>
        </w:rPr>
        <w:t>MSAC guidelines recommend using a CCA when the proposed intervention include</w:t>
      </w:r>
      <w:r w:rsidR="00293E5F">
        <w:rPr>
          <w:color w:val="auto"/>
        </w:rPr>
        <w:t>s</w:t>
      </w:r>
      <w:r w:rsidRPr="00F15E45">
        <w:rPr>
          <w:color w:val="auto"/>
        </w:rPr>
        <w:t xml:space="preserve"> a different profile of effects that are not adequately captured by a single outcome measure. </w:t>
      </w:r>
      <w:r w:rsidR="007F0A0A" w:rsidRPr="00996E36">
        <w:rPr>
          <w:color w:val="auto"/>
        </w:rPr>
        <w:t>The commentary noted that</w:t>
      </w:r>
      <w:r w:rsidR="00674BAC" w:rsidRPr="00996E36">
        <w:rPr>
          <w:color w:val="auto"/>
        </w:rPr>
        <w:t xml:space="preserve"> the outcomes presented in the CCA are the same outcome measures used in the CUA. Hence, the </w:t>
      </w:r>
      <w:r w:rsidR="007F0A0A" w:rsidRPr="00996E36">
        <w:rPr>
          <w:color w:val="auto"/>
        </w:rPr>
        <w:t>pres</w:t>
      </w:r>
      <w:r w:rsidR="004166A5">
        <w:rPr>
          <w:color w:val="auto"/>
        </w:rPr>
        <w:t>e</w:t>
      </w:r>
      <w:r w:rsidR="007F0A0A" w:rsidRPr="00996E36">
        <w:rPr>
          <w:color w:val="auto"/>
        </w:rPr>
        <w:t>nted</w:t>
      </w:r>
      <w:r w:rsidR="00674BAC" w:rsidRPr="00996E36">
        <w:rPr>
          <w:color w:val="auto"/>
        </w:rPr>
        <w:t xml:space="preserve"> </w:t>
      </w:r>
      <w:proofErr w:type="gramStart"/>
      <w:r w:rsidR="00674BAC" w:rsidRPr="00996E36">
        <w:rPr>
          <w:color w:val="auto"/>
        </w:rPr>
        <w:t>trial-based</w:t>
      </w:r>
      <w:proofErr w:type="gramEnd"/>
      <w:r w:rsidR="00674BAC" w:rsidRPr="00996E36">
        <w:rPr>
          <w:color w:val="auto"/>
        </w:rPr>
        <w:t xml:space="preserve"> CCA </w:t>
      </w:r>
      <w:r w:rsidR="009211C1" w:rsidRPr="00996E36">
        <w:rPr>
          <w:color w:val="auto"/>
        </w:rPr>
        <w:t>may</w:t>
      </w:r>
      <w:r w:rsidR="00674BAC" w:rsidRPr="00996E36">
        <w:rPr>
          <w:color w:val="auto"/>
        </w:rPr>
        <w:t xml:space="preserve"> not add any </w:t>
      </w:r>
      <w:r w:rsidR="00105DFB">
        <w:rPr>
          <w:color w:val="auto"/>
        </w:rPr>
        <w:t xml:space="preserve">new </w:t>
      </w:r>
      <w:r w:rsidR="00674BAC" w:rsidRPr="00996E36">
        <w:rPr>
          <w:color w:val="auto"/>
        </w:rPr>
        <w:t xml:space="preserve">evidence to </w:t>
      </w:r>
      <w:r w:rsidR="00D07800">
        <w:rPr>
          <w:color w:val="auto"/>
        </w:rPr>
        <w:t>the</w:t>
      </w:r>
      <w:r w:rsidR="00674BAC" w:rsidRPr="00996E36">
        <w:rPr>
          <w:color w:val="auto"/>
        </w:rPr>
        <w:t xml:space="preserve"> </w:t>
      </w:r>
      <w:r w:rsidR="00EB6499" w:rsidRPr="00996E36">
        <w:rPr>
          <w:color w:val="auto"/>
        </w:rPr>
        <w:t>ADAR</w:t>
      </w:r>
      <w:r w:rsidR="00674BAC" w:rsidRPr="00996E36">
        <w:rPr>
          <w:color w:val="auto"/>
        </w:rPr>
        <w:t>.</w:t>
      </w:r>
      <w:r w:rsidR="00F15E45" w:rsidRPr="00FE44A0">
        <w:rPr>
          <w:color w:val="auto"/>
        </w:rPr>
        <w:t xml:space="preserve"> </w:t>
      </w:r>
    </w:p>
    <w:p w14:paraId="61924EC0" w14:textId="61FFCBDC" w:rsidR="00E27289" w:rsidRDefault="003A6630" w:rsidP="00BF28BD">
      <w:pPr>
        <w:pStyle w:val="Instructionaltext"/>
        <w:rPr>
          <w:b/>
          <w:bCs/>
          <w:color w:val="auto"/>
        </w:rPr>
      </w:pPr>
      <w:r w:rsidRPr="00996E36">
        <w:rPr>
          <w:color w:val="auto"/>
        </w:rPr>
        <w:t>The commentary also</w:t>
      </w:r>
      <w:r w:rsidR="0041451D" w:rsidRPr="00996E36">
        <w:rPr>
          <w:color w:val="auto"/>
        </w:rPr>
        <w:t xml:space="preserve"> noted that the outcomes used in the CCA are focused on procedure outcomes and adverse </w:t>
      </w:r>
      <w:r w:rsidR="00D3296B" w:rsidRPr="00996E36">
        <w:rPr>
          <w:color w:val="auto"/>
        </w:rPr>
        <w:t>events but</w:t>
      </w:r>
      <w:r w:rsidR="0041451D" w:rsidRPr="00996E36">
        <w:rPr>
          <w:color w:val="auto"/>
        </w:rPr>
        <w:t xml:space="preserve"> did not include patient</w:t>
      </w:r>
      <w:r w:rsidR="00C90312" w:rsidRPr="00996E36">
        <w:rPr>
          <w:color w:val="auto"/>
        </w:rPr>
        <w:t>-</w:t>
      </w:r>
      <w:r w:rsidR="0041451D" w:rsidRPr="00996E36">
        <w:rPr>
          <w:color w:val="auto"/>
        </w:rPr>
        <w:t>reported outcomes.</w:t>
      </w:r>
      <w:r w:rsidR="0016604D" w:rsidRPr="00996E36">
        <w:rPr>
          <w:color w:val="auto"/>
        </w:rPr>
        <w:t xml:space="preserve"> </w:t>
      </w:r>
      <w:r w:rsidR="0041451D" w:rsidRPr="00996E36">
        <w:rPr>
          <w:color w:val="auto"/>
        </w:rPr>
        <w:t xml:space="preserve">Furthermore, </w:t>
      </w:r>
      <w:r w:rsidR="00693FA3">
        <w:rPr>
          <w:color w:val="auto"/>
        </w:rPr>
        <w:t>t</w:t>
      </w:r>
      <w:r w:rsidR="0041451D" w:rsidRPr="00996E36">
        <w:rPr>
          <w:color w:val="auto"/>
        </w:rPr>
        <w:t xml:space="preserve">he DISRUPT PAD III RCT included </w:t>
      </w:r>
      <w:r w:rsidR="00D3296B" w:rsidRPr="00996E36">
        <w:rPr>
          <w:color w:val="auto"/>
        </w:rPr>
        <w:t>QoL</w:t>
      </w:r>
      <w:r w:rsidR="0041451D" w:rsidRPr="00996E36">
        <w:rPr>
          <w:color w:val="auto"/>
        </w:rPr>
        <w:t xml:space="preserve"> data based on EQ-5D. However, </w:t>
      </w:r>
      <w:r w:rsidRPr="00996E36">
        <w:rPr>
          <w:color w:val="auto"/>
        </w:rPr>
        <w:t>this was</w:t>
      </w:r>
      <w:r w:rsidR="0041451D" w:rsidRPr="00996E36">
        <w:rPr>
          <w:color w:val="auto"/>
        </w:rPr>
        <w:t xml:space="preserve"> not included in the trial-based analysis</w:t>
      </w:r>
      <w:r w:rsidR="00D3296B" w:rsidRPr="00996E36">
        <w:rPr>
          <w:color w:val="auto"/>
        </w:rPr>
        <w:t>.</w:t>
      </w:r>
      <w:r w:rsidR="00674BAC" w:rsidRPr="00996E36">
        <w:rPr>
          <w:color w:val="auto"/>
        </w:rPr>
        <w:t xml:space="preserve"> </w:t>
      </w:r>
    </w:p>
    <w:p w14:paraId="56A26C63" w14:textId="5A469A17" w:rsidR="0041451D" w:rsidRDefault="0041451D" w:rsidP="00BF28BD">
      <w:pPr>
        <w:pStyle w:val="Instructionaltext"/>
        <w:keepNext/>
        <w:keepLines/>
        <w:rPr>
          <w:b/>
          <w:bCs/>
          <w:color w:val="auto"/>
        </w:rPr>
      </w:pPr>
      <w:r>
        <w:rPr>
          <w:b/>
          <w:bCs/>
          <w:color w:val="auto"/>
        </w:rPr>
        <w:lastRenderedPageBreak/>
        <w:t>Cost-utility analysis</w:t>
      </w:r>
      <w:r w:rsidR="00482BE5">
        <w:rPr>
          <w:b/>
          <w:bCs/>
          <w:color w:val="auto"/>
        </w:rPr>
        <w:t xml:space="preserve"> (CUA)</w:t>
      </w:r>
    </w:p>
    <w:p w14:paraId="1AEE7C46" w14:textId="58FA09D4" w:rsidR="0041451D" w:rsidRPr="003D0DFA" w:rsidRDefault="0041451D" w:rsidP="00BF28BD">
      <w:pPr>
        <w:pStyle w:val="Instructionaltext"/>
        <w:keepNext/>
        <w:keepLines/>
        <w:rPr>
          <w:color w:val="auto"/>
        </w:rPr>
      </w:pPr>
      <w:r w:rsidRPr="0041451D">
        <w:rPr>
          <w:color w:val="auto"/>
        </w:rPr>
        <w:t xml:space="preserve">The CUA </w:t>
      </w:r>
      <w:r>
        <w:rPr>
          <w:color w:val="auto"/>
        </w:rPr>
        <w:t xml:space="preserve">presented in the ADAR was </w:t>
      </w:r>
      <w:r w:rsidRPr="0041451D">
        <w:rPr>
          <w:color w:val="auto"/>
        </w:rPr>
        <w:t>a Markov cohort model</w:t>
      </w:r>
      <w:r w:rsidR="00C90312">
        <w:rPr>
          <w:color w:val="auto"/>
        </w:rPr>
        <w:t>,</w:t>
      </w:r>
      <w:r w:rsidRPr="0041451D">
        <w:rPr>
          <w:color w:val="auto"/>
        </w:rPr>
        <w:t xml:space="preserve"> which models long-term outcomes over a 30-year (</w:t>
      </w:r>
      <w:r w:rsidR="002D28EC" w:rsidRPr="0041451D">
        <w:rPr>
          <w:color w:val="auto"/>
        </w:rPr>
        <w:t>i.e.,</w:t>
      </w:r>
      <w:r w:rsidRPr="0041451D">
        <w:rPr>
          <w:color w:val="auto"/>
        </w:rPr>
        <w:t xml:space="preserve"> lifetime) time horizon.</w:t>
      </w:r>
      <w:r w:rsidR="0016604D">
        <w:rPr>
          <w:color w:val="auto"/>
        </w:rPr>
        <w:t xml:space="preserve"> </w:t>
      </w:r>
      <w:r w:rsidR="0016604D" w:rsidRPr="0016604D">
        <w:rPr>
          <w:color w:val="auto"/>
        </w:rPr>
        <w:t xml:space="preserve">The model used data related to the procedure success from the 2-year follow-up of the DIRSUPT </w:t>
      </w:r>
      <w:r w:rsidR="003A6630">
        <w:rPr>
          <w:color w:val="auto"/>
        </w:rPr>
        <w:t xml:space="preserve">PAD III </w:t>
      </w:r>
      <w:r w:rsidR="0016604D" w:rsidRPr="0016604D">
        <w:rPr>
          <w:color w:val="auto"/>
        </w:rPr>
        <w:t>trial and extrapolated this for 30 years</w:t>
      </w:r>
      <w:r w:rsidR="0084752B">
        <w:rPr>
          <w:color w:val="auto"/>
        </w:rPr>
        <w:t xml:space="preserve"> </w:t>
      </w:r>
      <w:r w:rsidR="0084752B" w:rsidRPr="003D0DFA">
        <w:rPr>
          <w:color w:val="auto"/>
        </w:rPr>
        <w:t>however</w:t>
      </w:r>
      <w:r w:rsidR="00036B27">
        <w:rPr>
          <w:color w:val="auto"/>
        </w:rPr>
        <w:t>,</w:t>
      </w:r>
      <w:r w:rsidR="0084752B" w:rsidRPr="003D0DFA">
        <w:rPr>
          <w:color w:val="auto"/>
        </w:rPr>
        <w:t xml:space="preserve"> a </w:t>
      </w:r>
      <w:r w:rsidR="0084752B" w:rsidRPr="00996E36">
        <w:rPr>
          <w:color w:val="auto"/>
        </w:rPr>
        <w:t xml:space="preserve">10-year time horizon may be more appropriate given that the starting age in the model </w:t>
      </w:r>
      <w:r w:rsidR="00822CB9" w:rsidRPr="00996E36">
        <w:rPr>
          <w:color w:val="auto"/>
        </w:rPr>
        <w:t>was</w:t>
      </w:r>
      <w:r w:rsidR="0084752B" w:rsidRPr="00996E36">
        <w:rPr>
          <w:color w:val="auto"/>
        </w:rPr>
        <w:t xml:space="preserve"> 72 years.</w:t>
      </w:r>
      <w:r w:rsidR="0016604D" w:rsidRPr="003D0DFA">
        <w:rPr>
          <w:color w:val="auto"/>
        </w:rPr>
        <w:t xml:space="preserve"> </w:t>
      </w:r>
    </w:p>
    <w:p w14:paraId="101F33E3" w14:textId="636B9E53" w:rsidR="0004238C" w:rsidRPr="0004238C" w:rsidRDefault="0004238C" w:rsidP="00BF28BD">
      <w:pPr>
        <w:pStyle w:val="Instructionaltext"/>
        <w:rPr>
          <w:b/>
          <w:bCs/>
          <w:color w:val="auto"/>
        </w:rPr>
      </w:pPr>
      <w:r w:rsidRPr="0004238C">
        <w:rPr>
          <w:b/>
          <w:bCs/>
          <w:color w:val="auto"/>
        </w:rPr>
        <w:t>Model structure</w:t>
      </w:r>
    </w:p>
    <w:p w14:paraId="6C00A553" w14:textId="2A848FDD" w:rsidR="00794B7D" w:rsidRDefault="0041451D" w:rsidP="00BF28BD">
      <w:pPr>
        <w:pStyle w:val="Instructionaltext"/>
        <w:rPr>
          <w:color w:val="auto"/>
        </w:rPr>
      </w:pPr>
      <w:r>
        <w:rPr>
          <w:color w:val="auto"/>
        </w:rPr>
        <w:t>T</w:t>
      </w:r>
      <w:r w:rsidR="00794B7D" w:rsidRPr="00872B02">
        <w:rPr>
          <w:color w:val="auto"/>
        </w:rPr>
        <w:t>he</w:t>
      </w:r>
      <w:r w:rsidR="0004238C" w:rsidRPr="00872B02">
        <w:rPr>
          <w:color w:val="auto"/>
        </w:rPr>
        <w:t xml:space="preserve"> Markov model structure </w:t>
      </w:r>
      <w:r>
        <w:rPr>
          <w:color w:val="auto"/>
        </w:rPr>
        <w:t>was</w:t>
      </w:r>
      <w:r w:rsidR="0004238C" w:rsidRPr="00872B02">
        <w:rPr>
          <w:color w:val="auto"/>
        </w:rPr>
        <w:t xml:space="preserve"> </w:t>
      </w:r>
      <w:r w:rsidR="00872B02" w:rsidRPr="00872B02">
        <w:rPr>
          <w:color w:val="auto"/>
        </w:rPr>
        <w:t xml:space="preserve">based on </w:t>
      </w:r>
      <w:r>
        <w:rPr>
          <w:color w:val="auto"/>
        </w:rPr>
        <w:t xml:space="preserve">the </w:t>
      </w:r>
      <w:r w:rsidR="0004238C" w:rsidRPr="00872B02">
        <w:rPr>
          <w:color w:val="auto"/>
        </w:rPr>
        <w:t xml:space="preserve">modified economic model </w:t>
      </w:r>
      <w:r w:rsidR="00872B02" w:rsidRPr="00872B02">
        <w:rPr>
          <w:color w:val="auto"/>
        </w:rPr>
        <w:t xml:space="preserve">presented </w:t>
      </w:r>
      <w:r w:rsidR="00C90312">
        <w:rPr>
          <w:color w:val="auto"/>
        </w:rPr>
        <w:t>by</w:t>
      </w:r>
      <w:r w:rsidR="00872B02" w:rsidRPr="00872B02">
        <w:rPr>
          <w:color w:val="auto"/>
        </w:rPr>
        <w:t xml:space="preserve"> </w:t>
      </w:r>
      <w:bookmarkStart w:id="33" w:name="_Hlk141449891"/>
      <w:r w:rsidR="00872B02" w:rsidRPr="00872B02">
        <w:rPr>
          <w:color w:val="auto"/>
        </w:rPr>
        <w:t>Simpson et al., 2014</w:t>
      </w:r>
      <w:bookmarkEnd w:id="33"/>
      <w:r w:rsidR="0004238C" w:rsidRPr="00872B02">
        <w:rPr>
          <w:rStyle w:val="FootnoteReference"/>
          <w:color w:val="auto"/>
        </w:rPr>
        <w:footnoteReference w:id="10"/>
      </w:r>
      <w:r w:rsidR="00261574">
        <w:rPr>
          <w:color w:val="auto"/>
        </w:rPr>
        <w:t>.</w:t>
      </w:r>
      <w:r w:rsidR="0004238C" w:rsidRPr="00872B02">
        <w:rPr>
          <w:color w:val="auto"/>
        </w:rPr>
        <w:t xml:space="preserve"> </w:t>
      </w:r>
    </w:p>
    <w:p w14:paraId="32A08FD3" w14:textId="419482E7" w:rsidR="00A04FE1" w:rsidRPr="00996E36" w:rsidRDefault="00EB6499" w:rsidP="00BF28BD">
      <w:r w:rsidRPr="00996E36">
        <w:t>The commentary</w:t>
      </w:r>
      <w:r w:rsidR="00A04FE1" w:rsidRPr="00996E36">
        <w:t xml:space="preserve"> noted that the final model structure (Figure 3) provided in the </w:t>
      </w:r>
      <w:r w:rsidRPr="00996E36">
        <w:t>ADAR</w:t>
      </w:r>
      <w:r w:rsidR="00A04FE1" w:rsidRPr="00996E36">
        <w:t xml:space="preserve"> did not appropriately reflect the PAD disease pathways compared to the model by Simpson et al., 2014. The economic model in the ADAR replaced the asymptomatic and </w:t>
      </w:r>
      <w:r w:rsidR="00D3296B" w:rsidRPr="00996E36">
        <w:t>intermittent claudication (</w:t>
      </w:r>
      <w:r w:rsidR="00A04FE1" w:rsidRPr="00996E36">
        <w:t>IC</w:t>
      </w:r>
      <w:r w:rsidR="00D3296B" w:rsidRPr="00996E36">
        <w:t>)</w:t>
      </w:r>
      <w:r w:rsidR="00A04FE1" w:rsidRPr="00996E36">
        <w:t xml:space="preserve"> health states in the model by Simpson et al</w:t>
      </w:r>
      <w:r w:rsidR="00C90312" w:rsidRPr="00996E36">
        <w:t>.</w:t>
      </w:r>
      <w:r w:rsidR="00A04FE1" w:rsidRPr="00996E36">
        <w:t xml:space="preserve"> with the patency and loss of patency health states. In other words, the presented model assumed that patency is equivalent to asymptomatic disease and loss of patency is equivalent to IC.  </w:t>
      </w:r>
    </w:p>
    <w:p w14:paraId="54BA5563" w14:textId="0B57F28B" w:rsidR="00A04FE1" w:rsidRDefault="003A6630" w:rsidP="00BF28BD">
      <w:r w:rsidRPr="00996E36">
        <w:t>The commentary</w:t>
      </w:r>
      <w:r w:rsidR="00A04FE1" w:rsidRPr="00996E36">
        <w:t xml:space="preserve"> noted that the ADAR used model input parameters relevant for the patent and asymptomatic for the </w:t>
      </w:r>
      <w:r w:rsidR="00D3296B" w:rsidRPr="00996E36">
        <w:t xml:space="preserve">patent </w:t>
      </w:r>
      <w:r w:rsidR="00A04FE1" w:rsidRPr="00996E36">
        <w:t>health state interchangeably, as is the case for using model parameters relevant for the loss of paten</w:t>
      </w:r>
      <w:r w:rsidR="008E64E8">
        <w:t>cy</w:t>
      </w:r>
      <w:r w:rsidR="00A04FE1" w:rsidRPr="00996E36">
        <w:t xml:space="preserve"> and IC for the loss of patent health state</w:t>
      </w:r>
      <w:r w:rsidR="00A04FE1">
        <w:t xml:space="preserve">. </w:t>
      </w:r>
    </w:p>
    <w:p w14:paraId="03F72106" w14:textId="35DDF500" w:rsidR="00872B02" w:rsidRPr="00872B02" w:rsidRDefault="00D3296B" w:rsidP="00BF28BD">
      <w:pPr>
        <w:pStyle w:val="Instructionaltext"/>
        <w:rPr>
          <w:color w:val="auto"/>
        </w:rPr>
      </w:pPr>
      <w:r>
        <w:rPr>
          <w:color w:val="auto"/>
        </w:rPr>
        <w:t xml:space="preserve">Figure </w:t>
      </w:r>
      <w:r w:rsidR="00482BE5">
        <w:rPr>
          <w:color w:val="auto"/>
        </w:rPr>
        <w:t xml:space="preserve">1 </w:t>
      </w:r>
      <w:r>
        <w:rPr>
          <w:color w:val="auto"/>
        </w:rPr>
        <w:t>illustrate</w:t>
      </w:r>
      <w:r w:rsidR="00C90312">
        <w:rPr>
          <w:color w:val="auto"/>
        </w:rPr>
        <w:t>s</w:t>
      </w:r>
      <w:r>
        <w:rPr>
          <w:color w:val="auto"/>
        </w:rPr>
        <w:t xml:space="preserve"> the model structure presented in the ADAR.</w:t>
      </w:r>
    </w:p>
    <w:p w14:paraId="30962CB2" w14:textId="77777777" w:rsidR="00872B02" w:rsidRDefault="0004238C" w:rsidP="00872B02">
      <w:pPr>
        <w:pStyle w:val="Instructionaltext"/>
        <w:keepNext/>
        <w:jc w:val="both"/>
      </w:pPr>
      <w:r>
        <w:rPr>
          <w:noProof/>
        </w:rPr>
        <w:drawing>
          <wp:inline distT="0" distB="0" distL="0" distR="0" wp14:anchorId="6BE8790F" wp14:editId="0C227D25">
            <wp:extent cx="2685600" cy="1666800"/>
            <wp:effectExtent l="0" t="0" r="635" b="0"/>
            <wp:docPr id="1228631733" name="Picture 1228631733" descr="Figure 1 illustrates the model structure presented in the A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631733" name="Picture 1228631733" descr="Figure 1 illustrates the model structure presented in the ADA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5600" cy="1666800"/>
                    </a:xfrm>
                    <a:prstGeom prst="rect">
                      <a:avLst/>
                    </a:prstGeom>
                    <a:noFill/>
                  </pic:spPr>
                </pic:pic>
              </a:graphicData>
            </a:graphic>
          </wp:inline>
        </w:drawing>
      </w:r>
    </w:p>
    <w:p w14:paraId="62112BC0" w14:textId="36D1B08E" w:rsidR="0004238C" w:rsidRDefault="00872B02" w:rsidP="00872B02">
      <w:pPr>
        <w:pStyle w:val="Caption"/>
        <w:jc w:val="both"/>
      </w:pPr>
      <w:r>
        <w:t xml:space="preserve">Figure </w:t>
      </w:r>
      <w:r w:rsidR="00340D39">
        <w:fldChar w:fldCharType="begin"/>
      </w:r>
      <w:r w:rsidR="00340D39">
        <w:instrText xml:space="preserve"> SEQ Figure \* ARABIC </w:instrText>
      </w:r>
      <w:r w:rsidR="00340D39">
        <w:fldChar w:fldCharType="separate"/>
      </w:r>
      <w:r w:rsidR="009A5224">
        <w:rPr>
          <w:noProof/>
        </w:rPr>
        <w:t>1</w:t>
      </w:r>
      <w:r w:rsidR="00340D39">
        <w:rPr>
          <w:noProof/>
        </w:rPr>
        <w:fldChar w:fldCharType="end"/>
      </w:r>
      <w:r>
        <w:t>:</w:t>
      </w:r>
      <w:r w:rsidRPr="00872B02">
        <w:t xml:space="preserve"> </w:t>
      </w:r>
      <w:r>
        <w:t>Model s</w:t>
      </w:r>
      <w:r w:rsidRPr="00872B02">
        <w:t xml:space="preserve">tructure </w:t>
      </w:r>
    </w:p>
    <w:p w14:paraId="6DC03080" w14:textId="75B4F87F" w:rsidR="00A04FE1" w:rsidRDefault="00B441B1" w:rsidP="00BF28BD">
      <w:pPr>
        <w:rPr>
          <w:b/>
          <w:bCs/>
        </w:rPr>
      </w:pPr>
      <w:r w:rsidRPr="0067703F">
        <w:rPr>
          <w:b/>
          <w:bCs/>
        </w:rPr>
        <w:t>Model input parameters</w:t>
      </w:r>
    </w:p>
    <w:p w14:paraId="34FE8AF4" w14:textId="6AA9B871" w:rsidR="0067703F" w:rsidRPr="00996E36" w:rsidRDefault="00EB6499" w:rsidP="00BF28BD">
      <w:r w:rsidRPr="00996E36">
        <w:t>The commentary</w:t>
      </w:r>
      <w:r w:rsidR="0067703F" w:rsidRPr="00996E36">
        <w:t xml:space="preserve"> noted some model input parameters are </w:t>
      </w:r>
      <w:r w:rsidR="000E61CD" w:rsidRPr="00996E36">
        <w:t>irrelevant</w:t>
      </w:r>
      <w:r w:rsidR="0067703F" w:rsidRPr="00996E36">
        <w:t xml:space="preserve"> or not accurate</w:t>
      </w:r>
      <w:r w:rsidR="003A6630" w:rsidRPr="00996E36">
        <w:t>:</w:t>
      </w:r>
      <w:r w:rsidR="0067703F" w:rsidRPr="00996E36">
        <w:t xml:space="preserve"> </w:t>
      </w:r>
    </w:p>
    <w:p w14:paraId="1221ADBE" w14:textId="77777777" w:rsidR="00261574" w:rsidRPr="009B481A" w:rsidRDefault="00B441B1" w:rsidP="00BF28BD">
      <w:pPr>
        <w:pStyle w:val="ListParagraph"/>
        <w:numPr>
          <w:ilvl w:val="0"/>
          <w:numId w:val="12"/>
        </w:numPr>
        <w:rPr>
          <w:b/>
          <w:bCs/>
        </w:rPr>
      </w:pPr>
      <w:r w:rsidRPr="009B481A">
        <w:rPr>
          <w:b/>
          <w:bCs/>
        </w:rPr>
        <w:t>Rate of stenting</w:t>
      </w:r>
    </w:p>
    <w:p w14:paraId="223FD5A4" w14:textId="43C755D0" w:rsidR="005A153A" w:rsidRDefault="00B441B1" w:rsidP="00BF28BD">
      <w:r>
        <w:t xml:space="preserve">The ADAR assumed </w:t>
      </w:r>
      <w:r w:rsidR="00C90312">
        <w:t xml:space="preserve">a </w:t>
      </w:r>
      <w:r>
        <w:t xml:space="preserve">45% rate of </w:t>
      </w:r>
      <w:r w:rsidR="005A153A">
        <w:t>stenting for the comparator (</w:t>
      </w:r>
      <w:r w:rsidR="00711E4F">
        <w:t xml:space="preserve">i.e., </w:t>
      </w:r>
      <w:r w:rsidR="005A153A">
        <w:t xml:space="preserve">SBA) arm based on </w:t>
      </w:r>
      <w:r w:rsidR="005A153A" w:rsidRPr="00B441B1">
        <w:t xml:space="preserve">MBS utilisation data from </w:t>
      </w:r>
      <w:r w:rsidR="000C4528">
        <w:t>2017</w:t>
      </w:r>
      <w:r w:rsidR="005A153A" w:rsidRPr="00B441B1">
        <w:t xml:space="preserve">-2022 </w:t>
      </w:r>
      <w:r w:rsidR="005A153A">
        <w:t xml:space="preserve">(MBS items 35306 and 35309). A relative risk of </w:t>
      </w:r>
      <w:r w:rsidR="00A439E8">
        <w:t>0</w:t>
      </w:r>
      <w:r w:rsidR="005A153A">
        <w:t xml:space="preserve">.25 was applied to 45% </w:t>
      </w:r>
      <w:r w:rsidR="00C90312">
        <w:t xml:space="preserve">to </w:t>
      </w:r>
      <w:r w:rsidR="005A153A">
        <w:t xml:space="preserve">calculate the rate of stenting in </w:t>
      </w:r>
      <w:r w:rsidR="00C90312">
        <w:t xml:space="preserve">the </w:t>
      </w:r>
      <w:r w:rsidR="005A153A">
        <w:t xml:space="preserve">IVL arm based on </w:t>
      </w:r>
      <w:r w:rsidR="00C90312">
        <w:t xml:space="preserve">the </w:t>
      </w:r>
      <w:r w:rsidR="005A153A">
        <w:t xml:space="preserve">rate of </w:t>
      </w:r>
      <w:r w:rsidR="00C90312">
        <w:t xml:space="preserve">the </w:t>
      </w:r>
      <w:r w:rsidR="005A153A">
        <w:t xml:space="preserve">stent at </w:t>
      </w:r>
      <w:r w:rsidR="00C90312">
        <w:t xml:space="preserve">the </w:t>
      </w:r>
      <w:r w:rsidR="005A153A">
        <w:t>procedure (</w:t>
      </w:r>
      <w:r w:rsidR="005A153A" w:rsidRPr="005A153A">
        <w:t xml:space="preserve">18.3% </w:t>
      </w:r>
      <w:r w:rsidR="005A153A">
        <w:t xml:space="preserve">in </w:t>
      </w:r>
      <w:r w:rsidR="00C90312">
        <w:t xml:space="preserve">the </w:t>
      </w:r>
      <w:r w:rsidR="005A153A">
        <w:t xml:space="preserve">SBA arm vs 4.6% in </w:t>
      </w:r>
      <w:r w:rsidR="00C90312">
        <w:t xml:space="preserve">the </w:t>
      </w:r>
      <w:r w:rsidR="005A153A">
        <w:t xml:space="preserve">IVL arm) </w:t>
      </w:r>
      <w:r w:rsidR="005A153A" w:rsidRPr="005A153A">
        <w:t>reported in the DISRUPT PAD III</w:t>
      </w:r>
      <w:r w:rsidR="000C47B4">
        <w:t xml:space="preserve"> </w:t>
      </w:r>
      <w:r w:rsidR="00711E4F">
        <w:t>RCT.</w:t>
      </w:r>
      <w:r w:rsidR="005A153A">
        <w:t xml:space="preserve"> </w:t>
      </w:r>
    </w:p>
    <w:p w14:paraId="019E2A81" w14:textId="23E58BA5" w:rsidR="0033104B" w:rsidRPr="00996E36" w:rsidRDefault="00036B27" w:rsidP="00BF28BD">
      <w:pPr>
        <w:rPr>
          <w:color w:val="0070C0"/>
        </w:rPr>
      </w:pPr>
      <w:r>
        <w:lastRenderedPageBreak/>
        <w:t>The</w:t>
      </w:r>
      <w:r w:rsidR="005A153A" w:rsidRPr="00996E36">
        <w:t xml:space="preserve"> MBS </w:t>
      </w:r>
      <w:r w:rsidR="0042484E" w:rsidRPr="00996E36">
        <w:t>items</w:t>
      </w:r>
      <w:r w:rsidR="005A153A" w:rsidRPr="00996E36">
        <w:t xml:space="preserve"> </w:t>
      </w:r>
      <w:r w:rsidRPr="00036B27">
        <w:t xml:space="preserve">35306 and 35309 </w:t>
      </w:r>
      <w:r w:rsidR="005A153A" w:rsidRPr="00996E36">
        <w:t>are not specific to this population</w:t>
      </w:r>
      <w:r w:rsidR="00C90312" w:rsidRPr="00996E36">
        <w:t>,</w:t>
      </w:r>
      <w:r w:rsidR="005A153A" w:rsidRPr="00996E36">
        <w:t xml:space="preserve"> </w:t>
      </w:r>
      <w:r w:rsidR="002D28EC" w:rsidRPr="00996E36">
        <w:t>i.e.,</w:t>
      </w:r>
      <w:r w:rsidR="005A153A" w:rsidRPr="00996E36">
        <w:t xml:space="preserve"> symptomatic PAD patients with moderate to severe calcification. </w:t>
      </w:r>
      <w:r w:rsidR="00D3296B" w:rsidRPr="00996E36">
        <w:t xml:space="preserve">Moreover, MBS items 35306 and 35309 are not confined to the peripheral arteries. </w:t>
      </w:r>
      <w:r>
        <w:t>T</w:t>
      </w:r>
      <w:r w:rsidRPr="0084731B">
        <w:t>he commentary consider</w:t>
      </w:r>
      <w:r w:rsidR="00CD2491">
        <w:t>ed</w:t>
      </w:r>
      <w:r w:rsidR="005F1FA3">
        <w:t xml:space="preserve"> that</w:t>
      </w:r>
      <w:r w:rsidRPr="0084731B">
        <w:t xml:space="preserve"> </w:t>
      </w:r>
      <w:r>
        <w:t>the estimate of the effects was overestimated and therefore,</w:t>
      </w:r>
      <w:r w:rsidR="0033104B" w:rsidRPr="00036B27">
        <w:t xml:space="preserve"> </w:t>
      </w:r>
      <w:r w:rsidR="0033104B" w:rsidRPr="00996E36">
        <w:t xml:space="preserve">this relative risk should have been applied to the baseline probability of stenting (18.3%) reported in the DISRUPT PAD III study. </w:t>
      </w:r>
    </w:p>
    <w:p w14:paraId="5C4548B8" w14:textId="32E2EF74" w:rsidR="0033104B" w:rsidRPr="000E61CD" w:rsidRDefault="00D770FF" w:rsidP="00BF28BD">
      <w:pPr>
        <w:rPr>
          <w:i/>
          <w:iCs/>
          <w:color w:val="0070C0"/>
        </w:rPr>
      </w:pPr>
      <w:r w:rsidRPr="00996E36">
        <w:t>The</w:t>
      </w:r>
      <w:r w:rsidR="0042484E" w:rsidRPr="00996E36">
        <w:t xml:space="preserve"> </w:t>
      </w:r>
      <w:r w:rsidR="00EB6499" w:rsidRPr="00996E36">
        <w:t>ADAR</w:t>
      </w:r>
      <w:r w:rsidR="005A153A" w:rsidRPr="00996E36">
        <w:t xml:space="preserve"> did not provide data about the rate of stenting with IVL use in practice to allow </w:t>
      </w:r>
      <w:r w:rsidR="00E22E1C" w:rsidRPr="00996E36">
        <w:t xml:space="preserve">a </w:t>
      </w:r>
      <w:r w:rsidR="005A153A" w:rsidRPr="00996E36">
        <w:t>comparison between the two interventions. Of note, the DISRUPT PAD III OS study reported that 31.8% of lesions were treated with stents along with IVL procedures. Hence, the</w:t>
      </w:r>
      <w:r w:rsidR="009F0FD8">
        <w:t xml:space="preserve"> stent insertion rate accompanying IVL procedures taken from the </w:t>
      </w:r>
      <w:r w:rsidR="009F0FD8" w:rsidRPr="004D0849">
        <w:t>DISRUPT PAD III RCT</w:t>
      </w:r>
      <w:r w:rsidR="009F0FD8">
        <w:t xml:space="preserve"> is likely to be lower than what would be observed in </w:t>
      </w:r>
      <w:r w:rsidR="005A153A" w:rsidRPr="00996E36">
        <w:t>Australian clinical practice.</w:t>
      </w:r>
      <w:r w:rsidR="0033104B" w:rsidRPr="000E61CD">
        <w:rPr>
          <w:i/>
          <w:iCs/>
          <w:color w:val="0070C0"/>
          <w:highlight w:val="yellow"/>
        </w:rPr>
        <w:t xml:space="preserve"> </w:t>
      </w:r>
    </w:p>
    <w:p w14:paraId="7A7F02A3" w14:textId="48598E27" w:rsidR="00FF4855" w:rsidRPr="00331215" w:rsidRDefault="00FF4855" w:rsidP="00BF28BD">
      <w:pPr>
        <w:pStyle w:val="ListParagraph"/>
        <w:numPr>
          <w:ilvl w:val="0"/>
          <w:numId w:val="12"/>
        </w:numPr>
        <w:rPr>
          <w:b/>
          <w:bCs/>
        </w:rPr>
      </w:pPr>
      <w:r w:rsidRPr="00331215">
        <w:rPr>
          <w:b/>
          <w:bCs/>
        </w:rPr>
        <w:t xml:space="preserve">Transition probabilities- </w:t>
      </w:r>
    </w:p>
    <w:p w14:paraId="1328522C" w14:textId="40B60EAF" w:rsidR="001F4F08" w:rsidRDefault="001F4F08" w:rsidP="00BF28BD">
      <w:r w:rsidRPr="00331215">
        <w:rPr>
          <w:b/>
          <w:bCs/>
          <w:i/>
          <w:iCs/>
        </w:rPr>
        <w:t>Probability of loss of patency</w:t>
      </w:r>
      <w:r w:rsidR="00331215">
        <w:rPr>
          <w:i/>
          <w:iCs/>
        </w:rPr>
        <w:t xml:space="preserve"> </w:t>
      </w:r>
      <w:r w:rsidR="00FF2782">
        <w:t xml:space="preserve">- </w:t>
      </w:r>
      <w:r w:rsidR="00FF2782" w:rsidRPr="00FF2782">
        <w:t>The probability of patency loss was calculated separately for cycle 1 to capture patency loss due to SBA failure and from cycle 2 onwards to capture patency loss due to TLR/restenosis.</w:t>
      </w:r>
      <w:r w:rsidR="00FF2782">
        <w:t xml:space="preserve"> The probability for cycle 1 was calculated based on the stent rate in MBS utilisation data for </w:t>
      </w:r>
      <w:r w:rsidR="00C90312">
        <w:t xml:space="preserve">the </w:t>
      </w:r>
      <w:r w:rsidR="00FF2782">
        <w:t>SBA arm</w:t>
      </w:r>
      <w:r w:rsidR="00C90312">
        <w:t>,</w:t>
      </w:r>
      <w:r w:rsidR="00FF2782">
        <w:t xml:space="preserve"> and the </w:t>
      </w:r>
      <w:r w:rsidR="006F5C2E">
        <w:t>relative risk (</w:t>
      </w:r>
      <w:r w:rsidR="00FF2782">
        <w:t>RR</w:t>
      </w:r>
      <w:r w:rsidR="006F5C2E">
        <w:t>)</w:t>
      </w:r>
      <w:r w:rsidR="00FF2782">
        <w:t xml:space="preserve"> of 0.25 was applied for </w:t>
      </w:r>
      <w:r w:rsidR="00C90312">
        <w:t xml:space="preserve">the </w:t>
      </w:r>
      <w:r w:rsidR="003D2547">
        <w:t xml:space="preserve">IVL arm. </w:t>
      </w:r>
    </w:p>
    <w:p w14:paraId="64DB7703" w14:textId="11228E6B" w:rsidR="000C03FE" w:rsidRDefault="000C03FE" w:rsidP="00BF28BD">
      <w:r w:rsidRPr="000C03FE">
        <w:t>The ADAR did not use the baseline rate for stenting from the DISRUPT PAD III trial but rather used MBS data that is not specific to the PICO population and applied the relative risk from the trial, overestimating the percentage of stenting avoided with the use of IVL.</w:t>
      </w:r>
    </w:p>
    <w:p w14:paraId="66F0D38C" w14:textId="4B1FE673" w:rsidR="003D2547" w:rsidRPr="00E22E1C" w:rsidRDefault="003D2547" w:rsidP="00BF28BD">
      <w:pPr>
        <w:rPr>
          <w:i/>
          <w:iCs/>
        </w:rPr>
      </w:pPr>
      <w:r>
        <w:t>The probability of loss of patency from cycle 2 onwards was calculated based on DISRUPT PAD</w:t>
      </w:r>
      <w:r w:rsidR="00114657">
        <w:t xml:space="preserve"> III</w:t>
      </w:r>
      <w:r>
        <w:t xml:space="preserve"> RCT data</w:t>
      </w:r>
      <w:r w:rsidR="000C4528">
        <w:t>. T</w:t>
      </w:r>
      <w:r>
        <w:t>hen</w:t>
      </w:r>
      <w:r w:rsidR="000C4528">
        <w:t>,</w:t>
      </w:r>
      <w:r>
        <w:t xml:space="preserve"> </w:t>
      </w:r>
      <w:r w:rsidRPr="003D2547">
        <w:t>the model assumed that the rate of transitioning from the first 2 years is constant and was extrapolated for the rest of the time horizon</w:t>
      </w:r>
      <w:r>
        <w:t>.</w:t>
      </w:r>
      <w:r w:rsidRPr="003D2547">
        <w:t xml:space="preserve"> </w:t>
      </w:r>
      <w:r w:rsidRPr="00996E36">
        <w:t>Th</w:t>
      </w:r>
      <w:r w:rsidR="0042484E" w:rsidRPr="00996E36">
        <w:t xml:space="preserve">e commentary considers that this </w:t>
      </w:r>
      <w:r w:rsidRPr="00996E36">
        <w:t>may not be clinically plausible as patency will be lost at a higher rate in subsequent years.</w:t>
      </w:r>
      <w:r w:rsidRPr="00E22E1C">
        <w:rPr>
          <w:i/>
          <w:iCs/>
        </w:rPr>
        <w:t xml:space="preserve"> </w:t>
      </w:r>
    </w:p>
    <w:p w14:paraId="21B1059C" w14:textId="416D9130" w:rsidR="005833B4" w:rsidRDefault="003D2547" w:rsidP="00BF28BD">
      <w:r w:rsidRPr="00854909">
        <w:rPr>
          <w:b/>
          <w:bCs/>
          <w:i/>
          <w:iCs/>
        </w:rPr>
        <w:t xml:space="preserve">Probability of progression from patency/loss of patency to </w:t>
      </w:r>
      <w:r w:rsidR="00E22E1C">
        <w:rPr>
          <w:b/>
          <w:bCs/>
          <w:i/>
          <w:iCs/>
        </w:rPr>
        <w:t xml:space="preserve">chronic limb </w:t>
      </w:r>
      <w:proofErr w:type="spellStart"/>
      <w:r w:rsidR="00E22E1C">
        <w:rPr>
          <w:b/>
          <w:bCs/>
          <w:i/>
          <w:iCs/>
        </w:rPr>
        <w:t>ischaemia</w:t>
      </w:r>
      <w:proofErr w:type="spellEnd"/>
      <w:r w:rsidR="00E22E1C">
        <w:rPr>
          <w:b/>
          <w:bCs/>
          <w:i/>
          <w:iCs/>
        </w:rPr>
        <w:t xml:space="preserve"> (</w:t>
      </w:r>
      <w:r w:rsidRPr="00854909">
        <w:rPr>
          <w:b/>
          <w:bCs/>
          <w:i/>
          <w:iCs/>
        </w:rPr>
        <w:t>CLI</w:t>
      </w:r>
      <w:r w:rsidR="00E22E1C">
        <w:rPr>
          <w:b/>
          <w:bCs/>
          <w:i/>
          <w:iCs/>
        </w:rPr>
        <w:t xml:space="preserve">) </w:t>
      </w:r>
      <w:r>
        <w:t xml:space="preserve">- </w:t>
      </w:r>
      <w:r w:rsidR="005833B4">
        <w:t>The data was sourced from a systematic review</w:t>
      </w:r>
      <w:r w:rsidR="00854909">
        <w:t>.</w:t>
      </w:r>
      <w:r w:rsidR="005833B4">
        <w:rPr>
          <w:rStyle w:val="FootnoteReference"/>
        </w:rPr>
        <w:footnoteReference w:id="11"/>
      </w:r>
      <w:r w:rsidR="005833B4">
        <w:t xml:space="preserve"> </w:t>
      </w:r>
      <w:r w:rsidR="003E2C2C" w:rsidRPr="00996E36">
        <w:t>The commentary considers that th</w:t>
      </w:r>
      <w:r w:rsidR="00854909" w:rsidRPr="00996E36">
        <w:t xml:space="preserve">is data is related to the IC patients progressing to CLI, not the progression from loss of patency to CLI. </w:t>
      </w:r>
      <w:r w:rsidR="005833B4" w:rsidRPr="00996E36">
        <w:t xml:space="preserve">Furthermore, the systematic review cited </w:t>
      </w:r>
      <w:r w:rsidR="003E2C2C" w:rsidRPr="00996E36">
        <w:t>in the ADAR</w:t>
      </w:r>
      <w:r w:rsidR="005833B4" w:rsidRPr="00996E36">
        <w:t xml:space="preserve"> is based on studies conducted among PAD patients in different settings (e.g., hospital, community, </w:t>
      </w:r>
      <w:r w:rsidR="00C90312" w:rsidRPr="00996E36">
        <w:t xml:space="preserve">and </w:t>
      </w:r>
      <w:r w:rsidR="005833B4" w:rsidRPr="00996E36">
        <w:t>population-based)</w:t>
      </w:r>
      <w:r w:rsidR="003E2C2C" w:rsidRPr="00996E36">
        <w:t xml:space="preserve"> and</w:t>
      </w:r>
      <w:r w:rsidR="005833B4" w:rsidRPr="00996E36">
        <w:t xml:space="preserve"> include</w:t>
      </w:r>
      <w:r w:rsidR="003E2C2C" w:rsidRPr="00996E36">
        <w:t>d</w:t>
      </w:r>
      <w:r w:rsidR="005833B4" w:rsidRPr="00996E36">
        <w:t xml:space="preserve"> patient groups other than the </w:t>
      </w:r>
      <w:r w:rsidR="003E2C2C" w:rsidRPr="00996E36">
        <w:t xml:space="preserve">intended </w:t>
      </w:r>
      <w:r w:rsidR="005833B4" w:rsidRPr="00996E36">
        <w:t>patient population (PAD patients with moderate to severe calcification)</w:t>
      </w:r>
      <w:r w:rsidR="003E2C2C" w:rsidRPr="00996E36">
        <w:t>.</w:t>
      </w:r>
    </w:p>
    <w:p w14:paraId="5EB48001" w14:textId="32FD4A90" w:rsidR="00FF4855" w:rsidRPr="00E22E1C" w:rsidRDefault="005833B4" w:rsidP="00BF28BD">
      <w:pPr>
        <w:rPr>
          <w:i/>
          <w:iCs/>
        </w:rPr>
      </w:pPr>
      <w:r>
        <w:t xml:space="preserve">The </w:t>
      </w:r>
      <w:r w:rsidR="00EB6499">
        <w:t>ADAR</w:t>
      </w:r>
      <w:r>
        <w:t xml:space="preserve"> assumes a</w:t>
      </w:r>
      <w:r w:rsidR="00C90312">
        <w:t>n</w:t>
      </w:r>
      <w:r>
        <w:t xml:space="preserve"> RR of 0.9 to the probability of progressing from loss of patency to CLI</w:t>
      </w:r>
      <w:r w:rsidR="00854909">
        <w:t xml:space="preserve"> based on the additional literature search provided in the ADAR.</w:t>
      </w:r>
      <w:r w:rsidR="00EB6499">
        <w:t xml:space="preserve"> </w:t>
      </w:r>
      <w:r w:rsidR="00EB6499" w:rsidRPr="00996E36">
        <w:t xml:space="preserve">The commentary </w:t>
      </w:r>
      <w:r w:rsidR="00482BE5" w:rsidRPr="00996E36">
        <w:t>consider</w:t>
      </w:r>
      <w:r w:rsidR="005F1FA3">
        <w:t>s</w:t>
      </w:r>
      <w:r w:rsidR="00482BE5" w:rsidRPr="00996E36">
        <w:t xml:space="preserve"> that</w:t>
      </w:r>
      <w:r w:rsidRPr="00996E36">
        <w:t xml:space="preserve"> th</w:t>
      </w:r>
      <w:r w:rsidR="00854909" w:rsidRPr="00996E36">
        <w:t>is additional</w:t>
      </w:r>
      <w:r w:rsidRPr="00996E36">
        <w:t xml:space="preserve"> systematic review did not provide any association between loss of primary patency and the Rutherford category.</w:t>
      </w:r>
      <w:r w:rsidRPr="00E22E1C">
        <w:rPr>
          <w:i/>
          <w:iCs/>
        </w:rPr>
        <w:t xml:space="preserve"> </w:t>
      </w:r>
    </w:p>
    <w:p w14:paraId="3DA793D0" w14:textId="3A2242E4" w:rsidR="00854909" w:rsidRPr="00482BE5" w:rsidRDefault="00A32233" w:rsidP="00BF28BD">
      <w:pPr>
        <w:rPr>
          <w:i/>
          <w:iCs/>
        </w:rPr>
      </w:pPr>
      <w:r w:rsidRPr="00A32233">
        <w:rPr>
          <w:b/>
          <w:bCs/>
          <w:i/>
          <w:iCs/>
        </w:rPr>
        <w:t>Probability of progression from CLI to amputation</w:t>
      </w:r>
      <w:r>
        <w:rPr>
          <w:b/>
          <w:bCs/>
          <w:i/>
          <w:iCs/>
        </w:rPr>
        <w:t xml:space="preserve">- </w:t>
      </w:r>
      <w:r w:rsidR="00D04B2D" w:rsidRPr="0033104B">
        <w:t>The data was sourced from</w:t>
      </w:r>
      <w:r w:rsidR="00D04B2D" w:rsidRPr="0033104B">
        <w:rPr>
          <w:b/>
          <w:bCs/>
        </w:rPr>
        <w:t xml:space="preserve"> </w:t>
      </w:r>
      <w:proofErr w:type="gramStart"/>
      <w:r w:rsidR="00D04B2D" w:rsidRPr="0033104B">
        <w:t>IN.PACT</w:t>
      </w:r>
      <w:proofErr w:type="gramEnd"/>
      <w:r w:rsidR="00D04B2D" w:rsidRPr="0033104B">
        <w:t xml:space="preserve"> Global study</w:t>
      </w:r>
      <w:r w:rsidR="00D04B2D" w:rsidRPr="0033104B">
        <w:rPr>
          <w:rStyle w:val="FootnoteReference"/>
        </w:rPr>
        <w:footnoteReference w:id="12"/>
      </w:r>
      <w:r w:rsidR="00D04B2D" w:rsidRPr="0033104B">
        <w:t xml:space="preserve"> </w:t>
      </w:r>
      <w:r w:rsidR="004B4A0F">
        <w:t xml:space="preserve">which </w:t>
      </w:r>
      <w:r w:rsidR="00D04B2D" w:rsidRPr="0033104B">
        <w:t>evaluated the safety and efficacy of DCB for treating femoropopliteal lesions.</w:t>
      </w:r>
      <w:r w:rsidR="00D04B2D" w:rsidRPr="00D04B2D">
        <w:t xml:space="preserve"> </w:t>
      </w:r>
      <w:r w:rsidR="00494174" w:rsidRPr="00996E36">
        <w:t>Hence, this is not relevant.</w:t>
      </w:r>
    </w:p>
    <w:p w14:paraId="65522B94" w14:textId="1D466B07" w:rsidR="00EB0315" w:rsidRDefault="00D04B2D" w:rsidP="00BF28BD">
      <w:r w:rsidRPr="00D04B2D">
        <w:rPr>
          <w:b/>
          <w:bCs/>
          <w:i/>
          <w:iCs/>
        </w:rPr>
        <w:t>Mortality</w:t>
      </w:r>
      <w:r>
        <w:rPr>
          <w:b/>
          <w:bCs/>
          <w:i/>
          <w:iCs/>
        </w:rPr>
        <w:t xml:space="preserve"> </w:t>
      </w:r>
      <w:r w:rsidR="00EB0315">
        <w:rPr>
          <w:b/>
          <w:bCs/>
          <w:i/>
          <w:iCs/>
        </w:rPr>
        <w:t>–</w:t>
      </w:r>
      <w:r>
        <w:rPr>
          <w:b/>
          <w:bCs/>
          <w:i/>
          <w:iCs/>
        </w:rPr>
        <w:t xml:space="preserve"> </w:t>
      </w:r>
      <w:r w:rsidR="00060763" w:rsidRPr="00996E36">
        <w:t xml:space="preserve">The </w:t>
      </w:r>
      <w:r w:rsidR="00EB0315" w:rsidRPr="00EB0315">
        <w:t>ADAR incorporated baseline age-specific mortality from Australian lifetables (Australian Bureau of Statistics, 2019-2021)</w:t>
      </w:r>
      <w:r w:rsidR="00C90312">
        <w:t>,</w:t>
      </w:r>
      <w:r w:rsidR="00EB0315">
        <w:t xml:space="preserve"> and </w:t>
      </w:r>
      <w:r w:rsidR="00EB0315" w:rsidRPr="00EB0315">
        <w:t>a</w:t>
      </w:r>
      <w:r w:rsidR="00C90312">
        <w:t>n</w:t>
      </w:r>
      <w:r w:rsidR="00EB0315" w:rsidRPr="00EB0315">
        <w:t xml:space="preserve"> </w:t>
      </w:r>
      <w:r w:rsidR="00C90312">
        <w:t>RR</w:t>
      </w:r>
      <w:r w:rsidR="00EB0315" w:rsidRPr="00EB0315">
        <w:t xml:space="preserve"> of 2.11 was applied to general </w:t>
      </w:r>
      <w:r w:rsidR="00EB0315" w:rsidRPr="00EB0315">
        <w:lastRenderedPageBreak/>
        <w:t xml:space="preserve">population mortality estimates </w:t>
      </w:r>
      <w:r w:rsidR="00EB0315">
        <w:t xml:space="preserve">based on </w:t>
      </w:r>
      <w:r w:rsidR="00EB0315" w:rsidRPr="00EB0315">
        <w:t xml:space="preserve">deaths reported in DISRUPT PAD III RCT. </w:t>
      </w:r>
      <w:r w:rsidR="00EB0315">
        <w:t>A</w:t>
      </w:r>
      <w:r w:rsidR="00EB0315" w:rsidRPr="00EB0315">
        <w:t xml:space="preserve"> constant </w:t>
      </w:r>
      <w:r w:rsidR="00C90312">
        <w:t>RR</w:t>
      </w:r>
      <w:r w:rsidR="00EB0315" w:rsidRPr="00EB0315">
        <w:t xml:space="preserve"> of mortality of 2.11 is applied regardless of health</w:t>
      </w:r>
      <w:r w:rsidR="00EB0315">
        <w:t xml:space="preserve"> states.</w:t>
      </w:r>
    </w:p>
    <w:p w14:paraId="79D2E7C5" w14:textId="4F6CF0BB" w:rsidR="00EB0315" w:rsidRDefault="00EB6499" w:rsidP="00BF28BD">
      <w:r w:rsidRPr="00996E36">
        <w:t>The commentary</w:t>
      </w:r>
      <w:r w:rsidR="00EB0315" w:rsidRPr="00996E36">
        <w:t xml:space="preserve"> noted </w:t>
      </w:r>
      <w:r w:rsidR="001539B9" w:rsidRPr="00996E36">
        <w:t>th</w:t>
      </w:r>
      <w:r w:rsidR="00C90312" w:rsidRPr="00996E36">
        <w:t xml:space="preserve">at </w:t>
      </w:r>
      <w:r w:rsidR="004B4A0F" w:rsidRPr="00996E36">
        <w:t>assuming</w:t>
      </w:r>
      <w:r w:rsidR="00C90312" w:rsidRPr="00996E36">
        <w:t xml:space="preserve"> the same mortality rates for all health states is not appropriate</w:t>
      </w:r>
      <w:r w:rsidR="001539B9" w:rsidRPr="00996E36">
        <w:t>. The</w:t>
      </w:r>
      <w:r w:rsidR="00EB0315" w:rsidRPr="00996E36">
        <w:t xml:space="preserve"> </w:t>
      </w:r>
      <w:r w:rsidR="00C90312" w:rsidRPr="00996E36">
        <w:t>mortality rate</w:t>
      </w:r>
      <w:r w:rsidR="00EB0315" w:rsidRPr="00996E36">
        <w:t xml:space="preserve"> is not similar in the IVL and SBA arm of the DISRUPT PAD III RCT</w:t>
      </w:r>
      <w:r w:rsidR="001539B9" w:rsidRPr="00996E36">
        <w:t xml:space="preserve"> (</w:t>
      </w:r>
      <w:r w:rsidR="00EB0315" w:rsidRPr="00996E36">
        <w:t>10 deaths in the IVL arm compared with 7 deaths in the SBA arm</w:t>
      </w:r>
      <w:r w:rsidR="001539B9" w:rsidRPr="00996E36">
        <w:t xml:space="preserve"> reported over two years</w:t>
      </w:r>
      <w:r w:rsidR="00EB0315" w:rsidRPr="00996E36">
        <w:t>)</w:t>
      </w:r>
      <w:r w:rsidR="001539B9" w:rsidRPr="00996E36">
        <w:t>.</w:t>
      </w:r>
      <w:r w:rsidR="00EB0315" w:rsidRPr="00996E36">
        <w:t xml:space="preserve"> </w:t>
      </w:r>
      <w:r w:rsidR="001539B9" w:rsidRPr="00996E36">
        <w:t xml:space="preserve">Furthermore, patients with more severe disease have a higher mortality rate. Epidemiological studies reported </w:t>
      </w:r>
      <w:r w:rsidR="00C90312" w:rsidRPr="00996E36">
        <w:t>a 4%-6% annual mortality rate associated with the PAD, which</w:t>
      </w:r>
      <w:r w:rsidR="001539B9" w:rsidRPr="00996E36">
        <w:t xml:space="preserve"> is increasing with the disease progression to severe health state</w:t>
      </w:r>
      <w:r w:rsidR="001539B9">
        <w:t>s.</w:t>
      </w:r>
      <w:r w:rsidR="001539B9">
        <w:rPr>
          <w:rStyle w:val="FootnoteReference"/>
        </w:rPr>
        <w:footnoteReference w:id="13"/>
      </w:r>
      <w:r w:rsidR="001539B9">
        <w:t xml:space="preserve"> </w:t>
      </w:r>
    </w:p>
    <w:p w14:paraId="1F074D08" w14:textId="3E77A830" w:rsidR="005A153A" w:rsidRDefault="001539B9" w:rsidP="00BF28BD">
      <w:pPr>
        <w:pStyle w:val="ListParagraph"/>
        <w:numPr>
          <w:ilvl w:val="0"/>
          <w:numId w:val="12"/>
        </w:numPr>
        <w:rPr>
          <w:b/>
          <w:bCs/>
        </w:rPr>
      </w:pPr>
      <w:r w:rsidRPr="001539B9">
        <w:rPr>
          <w:b/>
          <w:bCs/>
        </w:rPr>
        <w:t>Utility weights</w:t>
      </w:r>
    </w:p>
    <w:p w14:paraId="4D97D1F6" w14:textId="266D3778" w:rsidR="001539B9" w:rsidRPr="009231F9" w:rsidRDefault="001539B9" w:rsidP="00BF28BD">
      <w:r w:rsidRPr="009231F9">
        <w:t>The utility value for the patent health state was derived from a study to derive population norms for the EQ-5D-3L using an adult sample in Queensland, Australia</w:t>
      </w:r>
      <w:r w:rsidR="009231F9">
        <w:t>.</w:t>
      </w:r>
      <w:r w:rsidR="009231F9">
        <w:rPr>
          <w:rStyle w:val="FootnoteReference"/>
        </w:rPr>
        <w:footnoteReference w:id="14"/>
      </w:r>
      <w:r w:rsidRPr="009231F9">
        <w:t xml:space="preserve"> The mean utility values based on Australian, UK and USA value sets for those aged 65-74 were 0.82, 0.80 and 0.85, respectively. </w:t>
      </w:r>
      <w:r w:rsidRPr="00996E36">
        <w:t xml:space="preserve">However, the </w:t>
      </w:r>
      <w:r w:rsidR="003E2C2C" w:rsidRPr="00996E36">
        <w:t xml:space="preserve">commentary noted that the </w:t>
      </w:r>
      <w:r w:rsidRPr="00996E36">
        <w:t>utility value included in the model (0.85) was based on the USA value set. The value based on the Australian value set would be more applicable to the Australian setting.</w:t>
      </w:r>
      <w:r w:rsidRPr="00E22E1C">
        <w:rPr>
          <w:i/>
          <w:iCs/>
        </w:rPr>
        <w:t xml:space="preserve"> </w:t>
      </w:r>
    </w:p>
    <w:p w14:paraId="7AC3912F" w14:textId="6385A1FA" w:rsidR="00482BE5" w:rsidRPr="00996E36" w:rsidRDefault="00482BE5" w:rsidP="00BF28BD">
      <w:r w:rsidRPr="003D0DFA">
        <w:t xml:space="preserve">The ADAR included </w:t>
      </w:r>
      <w:bookmarkStart w:id="34" w:name="_Hlk140757737"/>
      <w:r w:rsidRPr="003D0DFA">
        <w:t xml:space="preserve">baseline utilities from DISRUPT PAD III RCT to inform the loss of patency health state. </w:t>
      </w:r>
      <w:bookmarkEnd w:id="34"/>
      <w:r w:rsidR="00A67AB1">
        <w:t>ESC</w:t>
      </w:r>
      <w:r w:rsidR="003E2C2C" w:rsidRPr="00996E36">
        <w:t xml:space="preserve"> consider</w:t>
      </w:r>
      <w:r w:rsidR="00A67AB1">
        <w:t>ed</w:t>
      </w:r>
      <w:r w:rsidR="003E2C2C" w:rsidRPr="00996E36">
        <w:t xml:space="preserve"> that i</w:t>
      </w:r>
      <w:r w:rsidRPr="00996E36">
        <w:t>t is not appropriate to assume that loss of patency is equivalent to baseline utility value of symptomatic patients.</w:t>
      </w:r>
    </w:p>
    <w:p w14:paraId="01A75008" w14:textId="2BCE9EF0" w:rsidR="003D0DFA" w:rsidRDefault="003D0DFA" w:rsidP="00BF28BD">
      <w:r w:rsidRPr="003D0DFA">
        <w:t>The trial-based QoL data was not used in the economic model except for using baseline EQ-5D data for the trial population as the utility for loss of patent health state.</w:t>
      </w:r>
    </w:p>
    <w:p w14:paraId="1A0448B7" w14:textId="2955898D" w:rsidR="001539B9" w:rsidRPr="00996E36" w:rsidRDefault="001539B9" w:rsidP="00BF28BD">
      <w:r w:rsidRPr="009231F9">
        <w:t>The utility values for CLI and amputation health state</w:t>
      </w:r>
      <w:r w:rsidR="003E2C2C">
        <w:t>s</w:t>
      </w:r>
      <w:r w:rsidRPr="009231F9">
        <w:t xml:space="preserve"> were based on a time trade-off study conducted in 1996</w:t>
      </w:r>
      <w:r w:rsidR="009231F9">
        <w:t>.</w:t>
      </w:r>
      <w:r w:rsidR="009231F9">
        <w:rPr>
          <w:rStyle w:val="FootnoteReference"/>
        </w:rPr>
        <w:footnoteReference w:id="15"/>
      </w:r>
      <w:r w:rsidRPr="009231F9">
        <w:t xml:space="preserve"> This study reported a utility of 0.35 for CLI, 0.61 for below-the-knee and 0.20 for above-the-knee amputation. </w:t>
      </w:r>
      <w:r w:rsidRPr="00996E36">
        <w:t>The</w:t>
      </w:r>
      <w:r w:rsidR="003E2C2C" w:rsidRPr="00996E36">
        <w:t xml:space="preserve"> commentary considers the</w:t>
      </w:r>
      <w:r w:rsidRPr="00996E36">
        <w:t xml:space="preserve"> CLI utility value reported in this study is comparatively low. Hence, this value was not used in </w:t>
      </w:r>
      <w:r w:rsidR="003E2C2C" w:rsidRPr="00996E36">
        <w:t>other economic evaluations</w:t>
      </w:r>
      <w:r w:rsidRPr="00996E36">
        <w:t>. Some studies used a utility value of 0.6 for the CLI state</w:t>
      </w:r>
      <w:r w:rsidR="009231F9" w:rsidRPr="00996E36">
        <w:t>.</w:t>
      </w:r>
      <w:r w:rsidR="009231F9" w:rsidRPr="00996E36">
        <w:rPr>
          <w:rStyle w:val="FootnoteReference"/>
        </w:rPr>
        <w:t>3</w:t>
      </w:r>
      <w:r w:rsidRPr="00996E36">
        <w:t xml:space="preserve"> The amputation health state of the </w:t>
      </w:r>
      <w:r w:rsidR="00EB6499" w:rsidRPr="00996E36">
        <w:t>ADAR</w:t>
      </w:r>
      <w:r w:rsidRPr="00996E36">
        <w:t xml:space="preserve"> did not specify below the knee or above the knee but used the utility value for below-the-knee amputation. Of note, the value of 0.61 </w:t>
      </w:r>
      <w:r w:rsidR="009231F9" w:rsidRPr="00996E36">
        <w:t xml:space="preserve">used in the ADAR </w:t>
      </w:r>
      <w:r w:rsidR="00E27289">
        <w:t xml:space="preserve">for amputation health state </w:t>
      </w:r>
      <w:r w:rsidRPr="00996E36">
        <w:t>is in line with the other cost-effectiveness analys</w:t>
      </w:r>
      <w:r w:rsidR="003E2C2C" w:rsidRPr="00996E36">
        <w:t>e</w:t>
      </w:r>
      <w:r w:rsidRPr="00996E36">
        <w:t>s</w:t>
      </w:r>
      <w:r w:rsidR="009231F9" w:rsidRPr="00996E36">
        <w:t>.</w:t>
      </w:r>
      <w:r w:rsidR="009231F9" w:rsidRPr="00996E36">
        <w:rPr>
          <w:rStyle w:val="FootnoteReference"/>
        </w:rPr>
        <w:t>3</w:t>
      </w:r>
      <w:r w:rsidRPr="00996E36">
        <w:t xml:space="preserve"> </w:t>
      </w:r>
    </w:p>
    <w:p w14:paraId="26E531FE" w14:textId="21915651" w:rsidR="001539B9" w:rsidRPr="00B76078" w:rsidRDefault="00B76078" w:rsidP="00BF28BD">
      <w:pPr>
        <w:pStyle w:val="ListParagraph"/>
        <w:numPr>
          <w:ilvl w:val="0"/>
          <w:numId w:val="12"/>
        </w:numPr>
        <w:rPr>
          <w:b/>
          <w:bCs/>
        </w:rPr>
      </w:pPr>
      <w:r w:rsidRPr="00B76078">
        <w:rPr>
          <w:b/>
          <w:bCs/>
        </w:rPr>
        <w:t>Healthcare resource use and cost</w:t>
      </w:r>
    </w:p>
    <w:p w14:paraId="7C16AA94" w14:textId="0AFF1EA8" w:rsidR="00C90312" w:rsidRPr="00996E36" w:rsidRDefault="00B76078" w:rsidP="00BF28BD">
      <w:r w:rsidRPr="00D6726C">
        <w:t xml:space="preserve">The ADAR </w:t>
      </w:r>
      <w:r w:rsidR="00564DF9" w:rsidRPr="00D6726C">
        <w:t xml:space="preserve">included MBS utilisation data for stent rate in </w:t>
      </w:r>
      <w:r w:rsidR="00C90312" w:rsidRPr="00D6726C">
        <w:t xml:space="preserve">the </w:t>
      </w:r>
      <w:r w:rsidR="00564DF9" w:rsidRPr="00D6726C">
        <w:t>SBA arm to calculate procedure cost. As noted earlier</w:t>
      </w:r>
      <w:r w:rsidR="00DE0275" w:rsidRPr="00D6726C">
        <w:t>,</w:t>
      </w:r>
      <w:r w:rsidR="00564DF9" w:rsidRPr="00D6726C">
        <w:t xml:space="preserve"> this assumption is not valid. </w:t>
      </w:r>
      <w:r w:rsidR="00DE0275" w:rsidRPr="00D6726C">
        <w:t>Moreover, the ADAR used 45% in the SBA arm and 0.25 RR in the IVL arm to calculate device cost</w:t>
      </w:r>
      <w:r w:rsidR="00C90312" w:rsidRPr="00D6726C">
        <w:t>s</w:t>
      </w:r>
      <w:r w:rsidR="00DE0275" w:rsidRPr="00D6726C">
        <w:t xml:space="preserve"> related to </w:t>
      </w:r>
      <w:r w:rsidR="00C90312" w:rsidRPr="00D6726C">
        <w:t xml:space="preserve">the </w:t>
      </w:r>
      <w:r w:rsidR="00DE0275" w:rsidRPr="00D6726C">
        <w:t>stent.</w:t>
      </w:r>
      <w:r w:rsidR="00DE0275" w:rsidRPr="00E22E1C">
        <w:rPr>
          <w:i/>
          <w:iCs/>
        </w:rPr>
        <w:t xml:space="preserve"> </w:t>
      </w:r>
      <w:r w:rsidR="00D6726C" w:rsidRPr="00996E36">
        <w:t>The commentary noted that this approach overestimates the</w:t>
      </w:r>
      <w:r w:rsidR="00DE0275" w:rsidRPr="00996E36">
        <w:t xml:space="preserve"> cost in the SBA arm (stent cost</w:t>
      </w:r>
      <w:r w:rsidR="00C90312" w:rsidRPr="00996E36">
        <w:t>s</w:t>
      </w:r>
      <w:r w:rsidR="00DE0275" w:rsidRPr="00996E36">
        <w:t xml:space="preserve"> $232.09 in </w:t>
      </w:r>
      <w:r w:rsidR="00C90312" w:rsidRPr="00996E36">
        <w:t xml:space="preserve">the </w:t>
      </w:r>
      <w:r w:rsidR="00DE0275" w:rsidRPr="00996E36">
        <w:t xml:space="preserve">IVL arm and $928.35 in </w:t>
      </w:r>
      <w:r w:rsidR="00C90312" w:rsidRPr="00996E36">
        <w:t xml:space="preserve">the </w:t>
      </w:r>
      <w:r w:rsidR="00DE0275" w:rsidRPr="00996E36">
        <w:t xml:space="preserve">SBA arm). </w:t>
      </w:r>
    </w:p>
    <w:p w14:paraId="62852499" w14:textId="644E41EE" w:rsidR="00B76078" w:rsidRPr="00996E36" w:rsidRDefault="00B76078" w:rsidP="00BF28BD">
      <w:r w:rsidRPr="00D6726C">
        <w:t xml:space="preserve">Furthermore, </w:t>
      </w:r>
      <w:r w:rsidR="00D6726C" w:rsidRPr="00D6726C">
        <w:t xml:space="preserve">the </w:t>
      </w:r>
      <w:r w:rsidR="00564DF9" w:rsidRPr="00D6726C">
        <w:t xml:space="preserve">ADAR calculated </w:t>
      </w:r>
      <w:r w:rsidRPr="00D6726C">
        <w:t xml:space="preserve">device cost for </w:t>
      </w:r>
      <w:r w:rsidR="00564DF9" w:rsidRPr="00D6726C">
        <w:t xml:space="preserve">stent using the cost </w:t>
      </w:r>
      <w:r w:rsidR="007437ED" w:rsidRPr="00D6726C">
        <w:t>($2</w:t>
      </w:r>
      <w:r w:rsidR="00D6726C" w:rsidRPr="00D6726C">
        <w:t>,</w:t>
      </w:r>
      <w:r w:rsidR="007437ED" w:rsidRPr="00D6726C">
        <w:t xml:space="preserve">063) </w:t>
      </w:r>
      <w:r w:rsidR="00564DF9" w:rsidRPr="00D6726C">
        <w:t xml:space="preserve">for </w:t>
      </w:r>
      <w:r w:rsidR="00893C18">
        <w:t>drug</w:t>
      </w:r>
      <w:r w:rsidR="00723863">
        <w:t>-</w:t>
      </w:r>
      <w:r w:rsidR="00893C18">
        <w:t>eluting stent (</w:t>
      </w:r>
      <w:r w:rsidRPr="00D6726C">
        <w:t>DES</w:t>
      </w:r>
      <w:r w:rsidR="00893C18">
        <w:t>)</w:t>
      </w:r>
      <w:r w:rsidRPr="00D6726C">
        <w:t xml:space="preserve"> in the </w:t>
      </w:r>
      <w:r w:rsidR="001D76FC" w:rsidRPr="001D76FC">
        <w:t>Prescribed List of Medical Devices and Human Tissue Products</w:t>
      </w:r>
      <w:r w:rsidRPr="003D0DFA">
        <w:t>.</w:t>
      </w:r>
      <w:r w:rsidRPr="00996E36">
        <w:t xml:space="preserve"> However, </w:t>
      </w:r>
      <w:r w:rsidR="00D6726C" w:rsidRPr="00996E36">
        <w:t xml:space="preserve">the commentary noted that </w:t>
      </w:r>
      <w:r w:rsidRPr="00996E36">
        <w:t>in the DISRUPT PAD III study, bare-metal stents (BMS) accounted for 91.4% of all stents utili</w:t>
      </w:r>
      <w:r w:rsidR="00C90312" w:rsidRPr="00996E36">
        <w:t>s</w:t>
      </w:r>
      <w:r w:rsidRPr="00996E36">
        <w:t>ed across PTA and IVL arms (PTA: 89.3% vs IVL: 100%), and all stents used in conjunction with DCB treatment were BMS</w:t>
      </w:r>
      <w:r w:rsidR="007437ED" w:rsidRPr="00996E36">
        <w:t>.</w:t>
      </w:r>
      <w:r w:rsidRPr="00996E36">
        <w:t xml:space="preserve"> The </w:t>
      </w:r>
      <w:r w:rsidR="00C11902" w:rsidRPr="00996E36">
        <w:t>BMS</w:t>
      </w:r>
      <w:r w:rsidRPr="00996E36">
        <w:t xml:space="preserve"> in the </w:t>
      </w:r>
      <w:r w:rsidR="001D76FC" w:rsidRPr="001D76FC">
        <w:t xml:space="preserve">Prescribed List of Medical </w:t>
      </w:r>
      <w:r w:rsidR="001D76FC" w:rsidRPr="001D76FC">
        <w:lastRenderedPageBreak/>
        <w:t>Devices and Human Tissue Products</w:t>
      </w:r>
      <w:r w:rsidR="001D76FC">
        <w:t xml:space="preserve"> </w:t>
      </w:r>
      <w:r w:rsidRPr="00996E36">
        <w:t>cost $1</w:t>
      </w:r>
      <w:r w:rsidR="00C11902" w:rsidRPr="00996E36">
        <w:t>,</w:t>
      </w:r>
      <w:r w:rsidRPr="00996E36">
        <w:t xml:space="preserve">299 (10.01.01 - Bare Metal Stents Peripheral vascular bare metal stents). Therefore, including stent cost based on DES incur a higher cost to both </w:t>
      </w:r>
      <w:r w:rsidR="00C90312" w:rsidRPr="00996E36">
        <w:t xml:space="preserve">the </w:t>
      </w:r>
      <w:r w:rsidRPr="00996E36">
        <w:t>SBA and IVL arm</w:t>
      </w:r>
      <w:r w:rsidR="00C11902" w:rsidRPr="00996E36">
        <w:t>s</w:t>
      </w:r>
      <w:r w:rsidRPr="00996E36">
        <w:t>. Of note, this higher cost affects the SBA arm predominantly as the rate of stent</w:t>
      </w:r>
      <w:r w:rsidR="00CA2F07" w:rsidRPr="00996E36">
        <w:t xml:space="preserve"> procedures</w:t>
      </w:r>
      <w:r w:rsidRPr="00996E36">
        <w:t xml:space="preserve"> is based on the MBS utilisation data for the SBA arm.</w:t>
      </w:r>
    </w:p>
    <w:p w14:paraId="61966BE5" w14:textId="1E81FE4A" w:rsidR="00B76078" w:rsidRPr="00996E36" w:rsidRDefault="00FC2189" w:rsidP="00BF28BD">
      <w:r w:rsidRPr="00996E36">
        <w:t xml:space="preserve">The </w:t>
      </w:r>
      <w:r w:rsidR="007437ED" w:rsidRPr="00996E36">
        <w:t>ADAR did not clearly state that the IVL device cost is for the consumables (IVL catheter) only or in combination with the IVL generator and connector cables (reusable).</w:t>
      </w:r>
    </w:p>
    <w:p w14:paraId="5DF3669A" w14:textId="700014EF" w:rsidR="00872B02" w:rsidRPr="00996E36" w:rsidRDefault="007437ED" w:rsidP="00BF28BD">
      <w:pPr>
        <w:rPr>
          <w:lang w:eastAsia="en-AU"/>
        </w:rPr>
      </w:pPr>
      <w:r w:rsidRPr="003D0DFA">
        <w:t xml:space="preserve">The monitoring frequency for each health state was sourced from </w:t>
      </w:r>
      <w:r w:rsidR="00C90312" w:rsidRPr="003D0DFA">
        <w:t xml:space="preserve">the </w:t>
      </w:r>
      <w:r w:rsidR="00C11902" w:rsidRPr="003D0DFA">
        <w:t xml:space="preserve">study by </w:t>
      </w:r>
      <w:proofErr w:type="spellStart"/>
      <w:r w:rsidR="00C11902" w:rsidRPr="003D0DFA">
        <w:t>Venermo</w:t>
      </w:r>
      <w:proofErr w:type="spellEnd"/>
      <w:r w:rsidR="00C11902" w:rsidRPr="003D0DFA">
        <w:t xml:space="preserve"> et al</w:t>
      </w:r>
      <w:r w:rsidRPr="00996E36">
        <w:rPr>
          <w:lang w:eastAsia="en-AU"/>
        </w:rPr>
        <w:t>.</w:t>
      </w:r>
      <w:r w:rsidRPr="00996E36">
        <w:rPr>
          <w:rStyle w:val="FootnoteReference"/>
          <w:lang w:eastAsia="en-AU"/>
        </w:rPr>
        <w:footnoteReference w:id="16"/>
      </w:r>
      <w:r w:rsidRPr="00996E36">
        <w:rPr>
          <w:lang w:eastAsia="en-AU"/>
        </w:rPr>
        <w:t xml:space="preserve"> However, </w:t>
      </w:r>
      <w:r w:rsidR="00C11902" w:rsidRPr="00996E36">
        <w:rPr>
          <w:lang w:eastAsia="en-AU"/>
        </w:rPr>
        <w:t xml:space="preserve">the commentary noted that </w:t>
      </w:r>
      <w:r w:rsidRPr="00996E36">
        <w:rPr>
          <w:lang w:eastAsia="en-AU"/>
        </w:rPr>
        <w:t xml:space="preserve">this study provided the surveillance recommendation after endovascular treatment for PAD in lower extremities related to IC and CLI. </w:t>
      </w:r>
      <w:r w:rsidR="00854ACF" w:rsidRPr="00996E36">
        <w:rPr>
          <w:lang w:eastAsia="en-AU"/>
        </w:rPr>
        <w:t>Furthermore, monitoring</w:t>
      </w:r>
      <w:r w:rsidRPr="00996E36">
        <w:t xml:space="preserve"> frequencies included in the model </w:t>
      </w:r>
      <w:r w:rsidR="00C90312" w:rsidRPr="00996E36">
        <w:t>differed from</w:t>
      </w:r>
      <w:r w:rsidRPr="00996E36">
        <w:t xml:space="preserve"> the recommendations provided in the cited paper. </w:t>
      </w:r>
    </w:p>
    <w:p w14:paraId="25F04724" w14:textId="5CCE2B27" w:rsidR="006A2F40" w:rsidRPr="00E13E63" w:rsidRDefault="00A32233" w:rsidP="00BF28BD">
      <w:pPr>
        <w:rPr>
          <w:b/>
          <w:bCs/>
        </w:rPr>
      </w:pPr>
      <w:r w:rsidRPr="00E13E63">
        <w:rPr>
          <w:b/>
          <w:bCs/>
        </w:rPr>
        <w:t xml:space="preserve">Scenario analysis: </w:t>
      </w:r>
    </w:p>
    <w:p w14:paraId="359D39F8" w14:textId="7EC1D889" w:rsidR="00331215" w:rsidRPr="00DE0275" w:rsidRDefault="00331215" w:rsidP="00BF28BD">
      <w:r w:rsidRPr="00DE0275">
        <w:t xml:space="preserve">The ADAR presented </w:t>
      </w:r>
      <w:r w:rsidR="00C90312">
        <w:t xml:space="preserve">a </w:t>
      </w:r>
      <w:r w:rsidRPr="00DE0275">
        <w:t>scenario analysis for the PICO set 1 (IVL and SBA as stand</w:t>
      </w:r>
      <w:r w:rsidR="00C90312">
        <w:t>-</w:t>
      </w:r>
      <w:r w:rsidRPr="00DE0275">
        <w:t xml:space="preserve">alone treatments). The </w:t>
      </w:r>
      <w:r w:rsidR="00EB6499">
        <w:t>ADAR</w:t>
      </w:r>
      <w:r w:rsidRPr="00DE0275">
        <w:t xml:space="preserve"> did not </w:t>
      </w:r>
      <w:r w:rsidR="00C90312">
        <w:t>provide the scenario used for the analysis, except the assumption provided in</w:t>
      </w:r>
      <w:r w:rsidRPr="00DE0275">
        <w:t xml:space="preserve"> </w:t>
      </w:r>
      <w:r w:rsidR="00494174">
        <w:t>ADAR</w:t>
      </w:r>
      <w:r w:rsidRPr="00DE0275">
        <w:t xml:space="preserve"> related to the </w:t>
      </w:r>
      <w:r w:rsidR="00C90312">
        <w:t xml:space="preserve">fact that </w:t>
      </w:r>
      <w:r w:rsidRPr="00DE0275">
        <w:t>55% of patients will use IVL as a vessel preparation strategy.</w:t>
      </w:r>
    </w:p>
    <w:p w14:paraId="54542F51" w14:textId="01BAA121" w:rsidR="00C15F2B" w:rsidRPr="00C15F2B" w:rsidRDefault="00EB0315" w:rsidP="00BF28BD">
      <w:r w:rsidRPr="00C15F2B">
        <w:t xml:space="preserve">The transition probabilities for the scenario analysis where IVL is used as a stand-alone treatment were sourced from the DISRUPT PAD II study, </w:t>
      </w:r>
      <w:r w:rsidR="00C90312">
        <w:t xml:space="preserve">a </w:t>
      </w:r>
      <w:r w:rsidR="00331215" w:rsidRPr="00C15F2B">
        <w:t>single</w:t>
      </w:r>
      <w:r w:rsidR="00C90312">
        <w:t>-</w:t>
      </w:r>
      <w:r w:rsidR="00331215" w:rsidRPr="00C15F2B">
        <w:t>arm clinical trial with the longest follow-up</w:t>
      </w:r>
      <w:r w:rsidRPr="00C15F2B">
        <w:t xml:space="preserve"> duration for this indication.</w:t>
      </w:r>
      <w:r w:rsidR="00C15F2B" w:rsidRPr="00C15F2B">
        <w:t xml:space="preserve"> </w:t>
      </w:r>
      <w:r w:rsidRPr="00C15F2B">
        <w:t xml:space="preserve">The rate of stenting was based on the rate of flow-limiting dissections </w:t>
      </w:r>
      <w:r w:rsidR="00C90312">
        <w:t>requiring</w:t>
      </w:r>
      <w:r w:rsidR="00E80CEA">
        <w:t xml:space="preserve"> stent </w:t>
      </w:r>
      <w:r w:rsidRPr="00C15F2B">
        <w:t>from the DISRUPT PAD II trial in the IVL arm</w:t>
      </w:r>
      <w:r w:rsidR="005D2DAD">
        <w:t xml:space="preserve"> (1.7%)</w:t>
      </w:r>
      <w:r w:rsidRPr="00C15F2B">
        <w:t>. The rate of stenting in the SBA arm was based on data from Australian clinical practice (45%). This was considered a loss of primary patency in the first cycle.</w:t>
      </w:r>
      <w:r w:rsidR="00331215" w:rsidRPr="00C15F2B">
        <w:t xml:space="preserve"> </w:t>
      </w:r>
      <w:r w:rsidRPr="00C15F2B">
        <w:t xml:space="preserve">For subsequent cycles, loss of patency was sourced from the DISRUPT PAD II study. </w:t>
      </w:r>
    </w:p>
    <w:p w14:paraId="3F402D2A" w14:textId="2BF51253" w:rsidR="00EB0315" w:rsidRPr="00C15F2B" w:rsidRDefault="00C15F2B" w:rsidP="00BF28BD">
      <w:r w:rsidRPr="00C15F2B">
        <w:t>For cost calculations, the ADAR assume</w:t>
      </w:r>
      <w:r w:rsidR="00C90312">
        <w:t>d</w:t>
      </w:r>
      <w:r w:rsidRPr="00C15F2B">
        <w:t xml:space="preserve"> no subsequent treatment with DCB during the index procedure. As such, the cost of the DCB device is not included in the scenario analysis for PICO set 1. However, stent costs are included in the SBA arm per Australian utilisation. In the IVL arm, stent costs are included for the small proportion of people who experience a flow-limiting dissection in the DISRUPT PAD II study</w:t>
      </w:r>
      <w:r w:rsidR="00E80CEA">
        <w:t xml:space="preserve"> (1.7%)</w:t>
      </w:r>
      <w:r w:rsidRPr="00C15F2B">
        <w:t>.</w:t>
      </w:r>
      <w:r>
        <w:t xml:space="preserve"> </w:t>
      </w:r>
      <w:r w:rsidR="00E80CEA">
        <w:t>As in the base case analysis, the stent</w:t>
      </w:r>
      <w:r w:rsidR="00E200FB">
        <w:t xml:space="preserve"> procedure</w:t>
      </w:r>
      <w:r w:rsidR="00E80CEA">
        <w:t xml:space="preserve"> rate was applied to calculate procedure </w:t>
      </w:r>
      <w:r w:rsidR="00C90312">
        <w:t>and device costs</w:t>
      </w:r>
      <w:r w:rsidR="00E80CEA">
        <w:t xml:space="preserve">. </w:t>
      </w:r>
      <w:r w:rsidRPr="00C15F2B">
        <w:t xml:space="preserve">The cost of subsequent procedures and monitoring by </w:t>
      </w:r>
      <w:r w:rsidR="00C90312">
        <w:t xml:space="preserve">the </w:t>
      </w:r>
      <w:r w:rsidRPr="00C15F2B">
        <w:t>health state are the same as for the main analysis.</w:t>
      </w:r>
      <w:r w:rsidR="00E80CEA">
        <w:t xml:space="preserve"> Hence, the issues identified in the base case analysis also applied to the scenario analysis.</w:t>
      </w:r>
    </w:p>
    <w:p w14:paraId="496B5855" w14:textId="52EBDF78" w:rsidR="006A2F40" w:rsidRPr="00A05D1B" w:rsidRDefault="00EB6499" w:rsidP="00BF28BD">
      <w:r w:rsidRPr="00996E36">
        <w:t>The commentary</w:t>
      </w:r>
      <w:r w:rsidR="00C15F2B" w:rsidRPr="00996E36">
        <w:t xml:space="preserve"> noted that t</w:t>
      </w:r>
      <w:r w:rsidR="00EB0315" w:rsidRPr="00996E36">
        <w:t xml:space="preserve">he rate of stenting in the SBA arm based on the MBS utilisation data is </w:t>
      </w:r>
      <w:r w:rsidR="00C90312" w:rsidRPr="00996E36">
        <w:t>inappropriate,</w:t>
      </w:r>
      <w:r w:rsidR="00C15F2B" w:rsidRPr="00996E36">
        <w:t xml:space="preserve"> as discussed earlier.</w:t>
      </w:r>
      <w:r w:rsidR="00EB0315" w:rsidRPr="00996E36">
        <w:t xml:space="preserve"> The input of the rate of stent</w:t>
      </w:r>
      <w:r w:rsidR="002E6649" w:rsidRPr="00996E36">
        <w:t xml:space="preserve"> procedures</w:t>
      </w:r>
      <w:r w:rsidR="00EB0315" w:rsidRPr="00996E36">
        <w:t xml:space="preserve"> in the SBA arm based on MBS data (45%) and the rate of stent </w:t>
      </w:r>
      <w:r w:rsidR="007C7D96" w:rsidRPr="00996E36">
        <w:t xml:space="preserve">procedures </w:t>
      </w:r>
      <w:r w:rsidR="00EB0315" w:rsidRPr="00996E36">
        <w:t>for IVL based on trial data results in a favourable ICER for the IVL arm despite the rate of stent</w:t>
      </w:r>
      <w:r w:rsidR="00671460" w:rsidRPr="00996E36">
        <w:t xml:space="preserve"> procedures </w:t>
      </w:r>
      <w:r w:rsidR="00EB0315" w:rsidRPr="00996E36">
        <w:t xml:space="preserve">not </w:t>
      </w:r>
      <w:r w:rsidR="00E24B59">
        <w:t xml:space="preserve">being </w:t>
      </w:r>
      <w:r w:rsidR="00EB0315" w:rsidRPr="00996E36">
        <w:t>relevant for the IVL as a stand</w:t>
      </w:r>
      <w:r w:rsidR="00C90312" w:rsidRPr="00996E36">
        <w:t>-</w:t>
      </w:r>
      <w:r w:rsidR="00EB0315" w:rsidRPr="00996E36">
        <w:t>alone procedure (PICO set 1). Hence, this analysis is not appropriate.</w:t>
      </w:r>
    </w:p>
    <w:p w14:paraId="2A6C617F" w14:textId="6087009D" w:rsidR="004446E5" w:rsidRDefault="004446E5" w:rsidP="00BF28BD">
      <w:pPr>
        <w:keepNext/>
        <w:keepLines/>
        <w:rPr>
          <w:b/>
          <w:bCs/>
        </w:rPr>
      </w:pPr>
      <w:r w:rsidRPr="004446E5">
        <w:rPr>
          <w:b/>
          <w:bCs/>
        </w:rPr>
        <w:lastRenderedPageBreak/>
        <w:t xml:space="preserve">Results of the </w:t>
      </w:r>
      <w:r w:rsidR="00F15E45">
        <w:rPr>
          <w:b/>
          <w:bCs/>
        </w:rPr>
        <w:t>t</w:t>
      </w:r>
      <w:r w:rsidRPr="004446E5">
        <w:rPr>
          <w:b/>
          <w:bCs/>
        </w:rPr>
        <w:t>rial-based cost consequence analysis</w:t>
      </w:r>
    </w:p>
    <w:p w14:paraId="5E329E79" w14:textId="7FE1C675" w:rsidR="004E2862" w:rsidRDefault="004446E5" w:rsidP="00BF28BD">
      <w:pPr>
        <w:keepNext/>
        <w:keepLines/>
      </w:pPr>
      <w:r w:rsidRPr="00F15E45">
        <w:t xml:space="preserve">The results of the </w:t>
      </w:r>
      <w:proofErr w:type="gramStart"/>
      <w:r w:rsidR="00F15E45" w:rsidRPr="00F15E45">
        <w:t>trial</w:t>
      </w:r>
      <w:r w:rsidR="00C90312">
        <w:t>-</w:t>
      </w:r>
      <w:r w:rsidR="00F15E45" w:rsidRPr="00F15E45">
        <w:t>based</w:t>
      </w:r>
      <w:proofErr w:type="gramEnd"/>
      <w:r w:rsidRPr="00F15E45">
        <w:t xml:space="preserve"> </w:t>
      </w:r>
      <w:r w:rsidR="00F15E45" w:rsidRPr="00F15E45">
        <w:t xml:space="preserve">CCA </w:t>
      </w:r>
      <w:r w:rsidR="00C90312">
        <w:t>are</w:t>
      </w:r>
      <w:r w:rsidR="00F15E45" w:rsidRPr="00F15E45">
        <w:t xml:space="preserve"> </w:t>
      </w:r>
      <w:r w:rsidRPr="00F15E45">
        <w:t xml:space="preserve">presented in Table </w:t>
      </w:r>
      <w:r w:rsidR="00F15E45" w:rsidRPr="00F15E45">
        <w:t>22</w:t>
      </w:r>
      <w:r w:rsidRPr="00F15E45">
        <w:t xml:space="preserve">. </w:t>
      </w:r>
      <w:r w:rsidR="00F15E45" w:rsidRPr="00F15E45">
        <w:t>The ADAR claimed that the IVL was associated with an incremental cost of $</w:t>
      </w:r>
      <w:r w:rsidR="00F86611" w:rsidRPr="00B73D4C">
        <w:rPr>
          <w:b/>
          <w:bCs/>
        </w:rPr>
        <w:t>redacted</w:t>
      </w:r>
      <w:r w:rsidR="00F15E45" w:rsidRPr="00F15E45">
        <w:t xml:space="preserve"> per patient for the procedure and an incremental cost of $</w:t>
      </w:r>
      <w:r w:rsidR="00F86611" w:rsidRPr="00B73D4C">
        <w:rPr>
          <w:b/>
          <w:bCs/>
        </w:rPr>
        <w:t>redacted</w:t>
      </w:r>
      <w:r w:rsidR="00F86611" w:rsidRPr="00F15E45" w:rsidDel="00F86611">
        <w:t xml:space="preserve"> </w:t>
      </w:r>
      <w:r w:rsidR="00F15E45" w:rsidRPr="00F15E45">
        <w:t xml:space="preserve">overall over </w:t>
      </w:r>
      <w:r w:rsidR="00C90312">
        <w:t>two</w:t>
      </w:r>
      <w:r w:rsidR="00F15E45" w:rsidRPr="00F15E45">
        <w:t xml:space="preserve"> years</w:t>
      </w:r>
      <w:r w:rsidR="00494174">
        <w:t xml:space="preserve"> (Table </w:t>
      </w:r>
      <w:r w:rsidR="00EB6499">
        <w:t>8</w:t>
      </w:r>
      <w:r w:rsidR="00494174">
        <w:t>)</w:t>
      </w:r>
      <w:r w:rsidR="00F15E45" w:rsidRPr="00F15E45">
        <w:t>.</w:t>
      </w:r>
      <w:bookmarkStart w:id="35" w:name="_Ref69726284"/>
    </w:p>
    <w:p w14:paraId="518D336D" w14:textId="6723FCAE" w:rsidR="004446E5" w:rsidRDefault="004446E5" w:rsidP="004446E5">
      <w:pPr>
        <w:pStyle w:val="Caption"/>
      </w:pPr>
      <w:bookmarkStart w:id="36" w:name="_Ref136012932"/>
      <w:bookmarkStart w:id="37" w:name="_Toc141476183"/>
      <w:r>
        <w:t xml:space="preserve">Table </w:t>
      </w:r>
      <w:r w:rsidR="00340D39">
        <w:fldChar w:fldCharType="begin"/>
      </w:r>
      <w:r w:rsidR="00340D39">
        <w:instrText xml:space="preserve"> SEQ Table \* ARABIC </w:instrText>
      </w:r>
      <w:r w:rsidR="00340D39">
        <w:fldChar w:fldCharType="separate"/>
      </w:r>
      <w:r w:rsidR="009A5224">
        <w:rPr>
          <w:noProof/>
        </w:rPr>
        <w:t>8</w:t>
      </w:r>
      <w:r w:rsidR="00340D39">
        <w:rPr>
          <w:noProof/>
        </w:rPr>
        <w:fldChar w:fldCharType="end"/>
      </w:r>
      <w:bookmarkEnd w:id="36"/>
      <w:r w:rsidR="00F15E45">
        <w:rPr>
          <w:noProof/>
        </w:rPr>
        <w:t xml:space="preserve">: </w:t>
      </w:r>
      <w:r w:rsidRPr="003C584F">
        <w:t>Results of the cost consequence analysis</w:t>
      </w:r>
      <w:bookmarkEnd w:id="37"/>
      <w:r w:rsidR="000E547A">
        <w:t xml:space="preserve"> over two years</w:t>
      </w:r>
    </w:p>
    <w:tbl>
      <w:tblPr>
        <w:tblStyle w:val="TableGrid"/>
        <w:tblW w:w="5000" w:type="pct"/>
        <w:tblLook w:val="04A0" w:firstRow="1" w:lastRow="0" w:firstColumn="1" w:lastColumn="0" w:noHBand="0" w:noVBand="1"/>
      </w:tblPr>
      <w:tblGrid>
        <w:gridCol w:w="3257"/>
        <w:gridCol w:w="1700"/>
        <w:gridCol w:w="2268"/>
        <w:gridCol w:w="1791"/>
      </w:tblGrid>
      <w:tr w:rsidR="00A430FE" w:rsidRPr="00617604" w14:paraId="34D3810C" w14:textId="23517091" w:rsidTr="00996E36">
        <w:trPr>
          <w:trHeight w:val="760"/>
        </w:trPr>
        <w:tc>
          <w:tcPr>
            <w:tcW w:w="1806" w:type="pct"/>
          </w:tcPr>
          <w:p w14:paraId="2170C6DE" w14:textId="2F8C4C88" w:rsidR="00A430FE" w:rsidRPr="00617604" w:rsidRDefault="005534DC" w:rsidP="00261574">
            <w:pPr>
              <w:pStyle w:val="In-tableHeading"/>
            </w:pPr>
            <w:r w:rsidRPr="00617604">
              <w:t>Description</w:t>
            </w:r>
          </w:p>
        </w:tc>
        <w:tc>
          <w:tcPr>
            <w:tcW w:w="943" w:type="pct"/>
          </w:tcPr>
          <w:p w14:paraId="7E89FA6D" w14:textId="6C09AA31" w:rsidR="00A430FE" w:rsidRPr="00617604" w:rsidRDefault="00A430FE" w:rsidP="009B481A">
            <w:pPr>
              <w:pStyle w:val="In-tableHeading"/>
              <w:jc w:val="center"/>
            </w:pPr>
            <w:r w:rsidRPr="00617604">
              <w:t>IVL</w:t>
            </w:r>
          </w:p>
        </w:tc>
        <w:tc>
          <w:tcPr>
            <w:tcW w:w="1258" w:type="pct"/>
          </w:tcPr>
          <w:p w14:paraId="0E592841" w14:textId="49D30DF0" w:rsidR="00A430FE" w:rsidRPr="00617604" w:rsidRDefault="00A430FE" w:rsidP="009B481A">
            <w:pPr>
              <w:pStyle w:val="In-tableHeading"/>
              <w:jc w:val="center"/>
            </w:pPr>
            <w:r w:rsidRPr="00617604">
              <w:t>SBA</w:t>
            </w:r>
          </w:p>
        </w:tc>
        <w:tc>
          <w:tcPr>
            <w:tcW w:w="993" w:type="pct"/>
          </w:tcPr>
          <w:p w14:paraId="0D69F472" w14:textId="40CA9F02" w:rsidR="00A430FE" w:rsidRDefault="00A430FE" w:rsidP="009B481A">
            <w:pPr>
              <w:pStyle w:val="In-tableHeading"/>
              <w:jc w:val="center"/>
            </w:pPr>
            <w:r>
              <w:t>Incremental</w:t>
            </w:r>
          </w:p>
        </w:tc>
      </w:tr>
      <w:tr w:rsidR="00A430FE" w:rsidRPr="00A41E84" w14:paraId="2234E17F" w14:textId="7E94E3CF" w:rsidTr="00A430FE">
        <w:tc>
          <w:tcPr>
            <w:tcW w:w="5000" w:type="pct"/>
            <w:gridSpan w:val="4"/>
          </w:tcPr>
          <w:p w14:paraId="51897AB2" w14:textId="77777777" w:rsidR="00A430FE" w:rsidRPr="00A41E84" w:rsidRDefault="00A430FE" w:rsidP="00EB5AD8">
            <w:pPr>
              <w:pStyle w:val="TableText"/>
              <w:rPr>
                <w:i/>
                <w:color w:val="000000"/>
              </w:rPr>
            </w:pPr>
            <w:r w:rsidRPr="00A41E84">
              <w:rPr>
                <w:i/>
                <w:color w:val="000000"/>
              </w:rPr>
              <w:t>Costs</w:t>
            </w:r>
          </w:p>
        </w:tc>
      </w:tr>
      <w:tr w:rsidR="00A430FE" w:rsidRPr="00617604" w14:paraId="2FE47D34" w14:textId="2E526D5F" w:rsidTr="005534DC">
        <w:tc>
          <w:tcPr>
            <w:tcW w:w="1806" w:type="pct"/>
          </w:tcPr>
          <w:p w14:paraId="61BB8F04" w14:textId="77777777" w:rsidR="00A430FE" w:rsidRDefault="00A430FE" w:rsidP="00F056DC">
            <w:pPr>
              <w:pStyle w:val="TableText"/>
            </w:pPr>
            <w:r w:rsidRPr="00617604">
              <w:rPr>
                <w:color w:val="000000"/>
              </w:rPr>
              <w:t>IVL (MBS</w:t>
            </w:r>
            <w:r>
              <w:rPr>
                <w:color w:val="000000"/>
              </w:rPr>
              <w:t xml:space="preserve"> fee</w:t>
            </w:r>
            <w:r w:rsidRPr="00617604">
              <w:rPr>
                <w:color w:val="000000"/>
              </w:rPr>
              <w:t>)</w:t>
            </w:r>
          </w:p>
        </w:tc>
        <w:tc>
          <w:tcPr>
            <w:tcW w:w="943" w:type="pct"/>
          </w:tcPr>
          <w:p w14:paraId="736A6A09" w14:textId="77777777" w:rsidR="00A430FE" w:rsidRPr="00617604" w:rsidRDefault="00A430FE" w:rsidP="00261574">
            <w:pPr>
              <w:pStyle w:val="TableText"/>
              <w:jc w:val="center"/>
            </w:pPr>
            <w:r w:rsidRPr="00617604">
              <w:rPr>
                <w:color w:val="000000"/>
              </w:rPr>
              <w:t>$736.25</w:t>
            </w:r>
          </w:p>
        </w:tc>
        <w:tc>
          <w:tcPr>
            <w:tcW w:w="1258" w:type="pct"/>
          </w:tcPr>
          <w:p w14:paraId="5472D673" w14:textId="77777777" w:rsidR="00A430FE" w:rsidRPr="00617604" w:rsidRDefault="00A430FE" w:rsidP="00261574">
            <w:pPr>
              <w:pStyle w:val="TableText"/>
              <w:jc w:val="center"/>
            </w:pPr>
            <w:r w:rsidRPr="00617604">
              <w:rPr>
                <w:color w:val="000000"/>
              </w:rPr>
              <w:t>$0.00</w:t>
            </w:r>
          </w:p>
        </w:tc>
        <w:tc>
          <w:tcPr>
            <w:tcW w:w="993" w:type="pct"/>
          </w:tcPr>
          <w:p w14:paraId="5499EB4B" w14:textId="77777777" w:rsidR="00A430FE" w:rsidRPr="007F38B3" w:rsidRDefault="00A430FE" w:rsidP="00261574">
            <w:pPr>
              <w:pStyle w:val="TableText"/>
              <w:jc w:val="center"/>
              <w:rPr>
                <w:color w:val="000000"/>
              </w:rPr>
            </w:pPr>
            <w:r w:rsidRPr="007F38B3">
              <w:rPr>
                <w:color w:val="000000"/>
              </w:rPr>
              <w:t>$736.25</w:t>
            </w:r>
          </w:p>
        </w:tc>
      </w:tr>
      <w:tr w:rsidR="00A430FE" w:rsidRPr="00617604" w14:paraId="317C437C" w14:textId="0249A532" w:rsidTr="005534DC">
        <w:tc>
          <w:tcPr>
            <w:tcW w:w="1806" w:type="pct"/>
          </w:tcPr>
          <w:p w14:paraId="6BA40F60" w14:textId="77777777" w:rsidR="00A430FE" w:rsidRDefault="00A430FE" w:rsidP="00F056DC">
            <w:pPr>
              <w:pStyle w:val="TableText"/>
            </w:pPr>
            <w:r w:rsidRPr="00617604">
              <w:rPr>
                <w:color w:val="000000"/>
              </w:rPr>
              <w:t>IVL (</w:t>
            </w:r>
            <w:r>
              <w:rPr>
                <w:color w:val="000000"/>
              </w:rPr>
              <w:t>catheter</w:t>
            </w:r>
            <w:r w:rsidRPr="00617604">
              <w:rPr>
                <w:color w:val="000000"/>
              </w:rPr>
              <w:t>)</w:t>
            </w:r>
          </w:p>
        </w:tc>
        <w:tc>
          <w:tcPr>
            <w:tcW w:w="943" w:type="pct"/>
          </w:tcPr>
          <w:p w14:paraId="0FEECDC3" w14:textId="1387791B" w:rsidR="00A430FE" w:rsidRPr="00617604" w:rsidRDefault="00A430FE" w:rsidP="00261574">
            <w:pPr>
              <w:pStyle w:val="TableText"/>
              <w:jc w:val="center"/>
            </w:pPr>
            <w:r w:rsidRPr="00617604">
              <w:rPr>
                <w:color w:val="000000"/>
              </w:rPr>
              <w:t>$</w:t>
            </w:r>
            <w:r w:rsidR="00F86611" w:rsidRPr="00B73D4C">
              <w:rPr>
                <w:b/>
                <w:bCs/>
              </w:rPr>
              <w:t xml:space="preserve"> redacted</w:t>
            </w:r>
            <w:r w:rsidR="00F86611" w:rsidRPr="00617604" w:rsidDel="00F86611">
              <w:rPr>
                <w:color w:val="000000"/>
              </w:rPr>
              <w:t xml:space="preserve"> </w:t>
            </w:r>
          </w:p>
        </w:tc>
        <w:tc>
          <w:tcPr>
            <w:tcW w:w="1258" w:type="pct"/>
          </w:tcPr>
          <w:p w14:paraId="57587D4B" w14:textId="77777777" w:rsidR="00A430FE" w:rsidRPr="00617604" w:rsidRDefault="00A430FE" w:rsidP="00261574">
            <w:pPr>
              <w:pStyle w:val="TableText"/>
              <w:jc w:val="center"/>
            </w:pPr>
            <w:r w:rsidRPr="00617604">
              <w:rPr>
                <w:color w:val="000000"/>
              </w:rPr>
              <w:t>$0.00</w:t>
            </w:r>
          </w:p>
        </w:tc>
        <w:tc>
          <w:tcPr>
            <w:tcW w:w="993" w:type="pct"/>
          </w:tcPr>
          <w:p w14:paraId="78CB7CB6" w14:textId="4F3DCB5D" w:rsidR="00A430FE" w:rsidRPr="007F38B3" w:rsidRDefault="00A430FE" w:rsidP="00261574">
            <w:pPr>
              <w:pStyle w:val="TableText"/>
              <w:jc w:val="center"/>
              <w:rPr>
                <w:color w:val="000000"/>
              </w:rPr>
            </w:pPr>
            <w:r w:rsidRPr="007F38B3">
              <w:rPr>
                <w:color w:val="000000"/>
              </w:rPr>
              <w:t>$</w:t>
            </w:r>
            <w:r w:rsidR="00F86611" w:rsidRPr="00B73D4C">
              <w:rPr>
                <w:b/>
                <w:bCs/>
              </w:rPr>
              <w:t xml:space="preserve"> redacted</w:t>
            </w:r>
            <w:r w:rsidR="00F86611" w:rsidRPr="007F38B3" w:rsidDel="00F86611">
              <w:rPr>
                <w:color w:val="000000"/>
              </w:rPr>
              <w:t xml:space="preserve"> </w:t>
            </w:r>
          </w:p>
        </w:tc>
      </w:tr>
      <w:tr w:rsidR="00A430FE" w:rsidRPr="00617604" w14:paraId="472D7AD0" w14:textId="34EC3032" w:rsidTr="005534DC">
        <w:tc>
          <w:tcPr>
            <w:tcW w:w="1806" w:type="pct"/>
          </w:tcPr>
          <w:p w14:paraId="0735BF25" w14:textId="77777777" w:rsidR="00A430FE" w:rsidRPr="00245C5B" w:rsidRDefault="00A430FE" w:rsidP="00F056DC">
            <w:pPr>
              <w:pStyle w:val="TableText"/>
              <w:rPr>
                <w:color w:val="000000"/>
              </w:rPr>
            </w:pPr>
            <w:r>
              <w:rPr>
                <w:color w:val="000000"/>
              </w:rPr>
              <w:t>Angioplasty or stent insertion (MBS fee)</w:t>
            </w:r>
          </w:p>
        </w:tc>
        <w:tc>
          <w:tcPr>
            <w:tcW w:w="943" w:type="pct"/>
          </w:tcPr>
          <w:p w14:paraId="33F2B2C7" w14:textId="77777777" w:rsidR="00A430FE" w:rsidRPr="00245C5B" w:rsidRDefault="00A430FE" w:rsidP="00261574">
            <w:pPr>
              <w:pStyle w:val="TableText"/>
              <w:jc w:val="center"/>
              <w:rPr>
                <w:color w:val="000000"/>
              </w:rPr>
            </w:pPr>
            <w:r w:rsidRPr="00617604">
              <w:rPr>
                <w:color w:val="000000"/>
              </w:rPr>
              <w:t>$85.12</w:t>
            </w:r>
          </w:p>
        </w:tc>
        <w:tc>
          <w:tcPr>
            <w:tcW w:w="1258" w:type="pct"/>
          </w:tcPr>
          <w:p w14:paraId="00C148F3" w14:textId="77777777" w:rsidR="00A430FE" w:rsidRPr="00245C5B" w:rsidRDefault="00A430FE" w:rsidP="00261574">
            <w:pPr>
              <w:pStyle w:val="TableText"/>
              <w:jc w:val="center"/>
              <w:rPr>
                <w:color w:val="000000"/>
              </w:rPr>
            </w:pPr>
            <w:r w:rsidRPr="00617604">
              <w:rPr>
                <w:color w:val="000000"/>
              </w:rPr>
              <w:t>$693.81</w:t>
            </w:r>
          </w:p>
        </w:tc>
        <w:tc>
          <w:tcPr>
            <w:tcW w:w="993" w:type="pct"/>
          </w:tcPr>
          <w:p w14:paraId="12183ECA" w14:textId="77777777" w:rsidR="00A430FE" w:rsidRPr="007F38B3" w:rsidRDefault="00A430FE" w:rsidP="00261574">
            <w:pPr>
              <w:pStyle w:val="TableText"/>
              <w:jc w:val="center"/>
              <w:rPr>
                <w:color w:val="000000"/>
              </w:rPr>
            </w:pPr>
            <w:r w:rsidRPr="007F38B3">
              <w:rPr>
                <w:color w:val="000000"/>
              </w:rPr>
              <w:t>-$608.69</w:t>
            </w:r>
          </w:p>
        </w:tc>
      </w:tr>
      <w:tr w:rsidR="00A430FE" w:rsidRPr="00617604" w14:paraId="3364E323" w14:textId="316E768A" w:rsidTr="005534DC">
        <w:tc>
          <w:tcPr>
            <w:tcW w:w="1806" w:type="pct"/>
          </w:tcPr>
          <w:p w14:paraId="36CD6214" w14:textId="77777777" w:rsidR="00A430FE" w:rsidRPr="00245C5B" w:rsidRDefault="00A430FE" w:rsidP="00F056DC">
            <w:pPr>
              <w:pStyle w:val="TableText"/>
              <w:rPr>
                <w:color w:val="000000"/>
              </w:rPr>
            </w:pPr>
            <w:r w:rsidRPr="00617604">
              <w:rPr>
                <w:color w:val="000000"/>
              </w:rPr>
              <w:t>Stent</w:t>
            </w:r>
            <w:r>
              <w:rPr>
                <w:color w:val="000000"/>
              </w:rPr>
              <w:t xml:space="preserve"> (device)</w:t>
            </w:r>
          </w:p>
        </w:tc>
        <w:tc>
          <w:tcPr>
            <w:tcW w:w="943" w:type="pct"/>
          </w:tcPr>
          <w:p w14:paraId="003879A1" w14:textId="77777777" w:rsidR="00A430FE" w:rsidRPr="00245C5B" w:rsidRDefault="00A430FE" w:rsidP="00261574">
            <w:pPr>
              <w:pStyle w:val="TableText"/>
              <w:jc w:val="center"/>
              <w:rPr>
                <w:color w:val="000000"/>
              </w:rPr>
            </w:pPr>
            <w:r w:rsidRPr="00617604">
              <w:rPr>
                <w:color w:val="000000"/>
              </w:rPr>
              <w:t>$232.09</w:t>
            </w:r>
          </w:p>
        </w:tc>
        <w:tc>
          <w:tcPr>
            <w:tcW w:w="1258" w:type="pct"/>
          </w:tcPr>
          <w:p w14:paraId="119EB93B" w14:textId="77777777" w:rsidR="00A430FE" w:rsidRPr="00245C5B" w:rsidRDefault="00A430FE" w:rsidP="00261574">
            <w:pPr>
              <w:pStyle w:val="TableText"/>
              <w:jc w:val="center"/>
              <w:rPr>
                <w:color w:val="000000"/>
              </w:rPr>
            </w:pPr>
            <w:r w:rsidRPr="00617604">
              <w:rPr>
                <w:color w:val="000000"/>
              </w:rPr>
              <w:t>$928.35</w:t>
            </w:r>
          </w:p>
        </w:tc>
        <w:tc>
          <w:tcPr>
            <w:tcW w:w="993" w:type="pct"/>
          </w:tcPr>
          <w:p w14:paraId="1134D891" w14:textId="77777777" w:rsidR="00A430FE" w:rsidRPr="007F38B3" w:rsidRDefault="00A430FE" w:rsidP="00261574">
            <w:pPr>
              <w:pStyle w:val="TableText"/>
              <w:jc w:val="center"/>
              <w:rPr>
                <w:color w:val="000000"/>
              </w:rPr>
            </w:pPr>
            <w:r w:rsidRPr="007F38B3">
              <w:rPr>
                <w:color w:val="000000"/>
              </w:rPr>
              <w:t>-$696.26</w:t>
            </w:r>
          </w:p>
        </w:tc>
      </w:tr>
      <w:tr w:rsidR="00A430FE" w:rsidRPr="00617604" w14:paraId="5F0ABA2D" w14:textId="556B6856" w:rsidTr="005534DC">
        <w:tc>
          <w:tcPr>
            <w:tcW w:w="1806" w:type="pct"/>
          </w:tcPr>
          <w:p w14:paraId="406A850C" w14:textId="77777777" w:rsidR="00A430FE" w:rsidRPr="00245C5B" w:rsidRDefault="00A430FE" w:rsidP="00F056DC">
            <w:pPr>
              <w:pStyle w:val="TableText"/>
              <w:rPr>
                <w:color w:val="000000"/>
              </w:rPr>
            </w:pPr>
            <w:bookmarkStart w:id="38" w:name="_Hlk144201033"/>
            <w:r w:rsidRPr="00617604">
              <w:rPr>
                <w:color w:val="000000"/>
              </w:rPr>
              <w:t>DCB</w:t>
            </w:r>
            <w:r>
              <w:rPr>
                <w:color w:val="000000"/>
              </w:rPr>
              <w:t xml:space="preserve"> (device)</w:t>
            </w:r>
            <w:bookmarkEnd w:id="38"/>
          </w:p>
        </w:tc>
        <w:tc>
          <w:tcPr>
            <w:tcW w:w="943" w:type="pct"/>
          </w:tcPr>
          <w:p w14:paraId="517EE66A" w14:textId="77777777" w:rsidR="00A430FE" w:rsidRPr="00245C5B" w:rsidRDefault="00A430FE" w:rsidP="00261574">
            <w:pPr>
              <w:pStyle w:val="TableText"/>
              <w:jc w:val="center"/>
              <w:rPr>
                <w:color w:val="000000"/>
              </w:rPr>
            </w:pPr>
            <w:r w:rsidRPr="00617604">
              <w:rPr>
                <w:color w:val="000000"/>
              </w:rPr>
              <w:t>$798.75</w:t>
            </w:r>
          </w:p>
        </w:tc>
        <w:tc>
          <w:tcPr>
            <w:tcW w:w="1258" w:type="pct"/>
          </w:tcPr>
          <w:p w14:paraId="0C5A4E2C" w14:textId="77777777" w:rsidR="00A430FE" w:rsidRPr="00245C5B" w:rsidRDefault="00A430FE" w:rsidP="00261574">
            <w:pPr>
              <w:pStyle w:val="TableText"/>
              <w:jc w:val="center"/>
              <w:rPr>
                <w:color w:val="000000"/>
              </w:rPr>
            </w:pPr>
            <w:r w:rsidRPr="00617604">
              <w:rPr>
                <w:color w:val="000000"/>
              </w:rPr>
              <w:t>$495.00</w:t>
            </w:r>
          </w:p>
        </w:tc>
        <w:tc>
          <w:tcPr>
            <w:tcW w:w="993" w:type="pct"/>
          </w:tcPr>
          <w:p w14:paraId="7F75A368" w14:textId="77777777" w:rsidR="00A430FE" w:rsidRPr="007F38B3" w:rsidRDefault="00A430FE" w:rsidP="00261574">
            <w:pPr>
              <w:pStyle w:val="TableText"/>
              <w:jc w:val="center"/>
              <w:rPr>
                <w:color w:val="000000"/>
              </w:rPr>
            </w:pPr>
            <w:r w:rsidRPr="007F38B3">
              <w:rPr>
                <w:color w:val="000000"/>
              </w:rPr>
              <w:t>$303.75</w:t>
            </w:r>
          </w:p>
        </w:tc>
      </w:tr>
      <w:tr w:rsidR="00A430FE" w:rsidRPr="00617604" w14:paraId="1BE930CA" w14:textId="3E151FF4" w:rsidTr="005534DC">
        <w:tc>
          <w:tcPr>
            <w:tcW w:w="1806" w:type="pct"/>
          </w:tcPr>
          <w:p w14:paraId="399531AE" w14:textId="77777777" w:rsidR="00A430FE" w:rsidRPr="00245C5B" w:rsidRDefault="00A430FE" w:rsidP="00F056DC">
            <w:pPr>
              <w:pStyle w:val="TableText"/>
              <w:rPr>
                <w:color w:val="000000"/>
              </w:rPr>
            </w:pPr>
            <w:r w:rsidRPr="00245C5B">
              <w:rPr>
                <w:color w:val="000000"/>
              </w:rPr>
              <w:t xml:space="preserve">Hospital </w:t>
            </w:r>
            <w:proofErr w:type="gramStart"/>
            <w:r w:rsidRPr="00245C5B">
              <w:rPr>
                <w:color w:val="000000"/>
              </w:rPr>
              <w:t>stay</w:t>
            </w:r>
            <w:proofErr w:type="gramEnd"/>
          </w:p>
        </w:tc>
        <w:tc>
          <w:tcPr>
            <w:tcW w:w="943" w:type="pct"/>
          </w:tcPr>
          <w:p w14:paraId="2B9FB82E" w14:textId="77777777" w:rsidR="00A430FE" w:rsidRPr="00245C5B" w:rsidRDefault="00A430FE" w:rsidP="00261574">
            <w:pPr>
              <w:pStyle w:val="TableText"/>
              <w:jc w:val="center"/>
              <w:rPr>
                <w:color w:val="000000"/>
              </w:rPr>
            </w:pPr>
            <w:r w:rsidRPr="00617604">
              <w:rPr>
                <w:color w:val="000000"/>
              </w:rPr>
              <w:t>$2,111.03</w:t>
            </w:r>
          </w:p>
        </w:tc>
        <w:tc>
          <w:tcPr>
            <w:tcW w:w="1258" w:type="pct"/>
          </w:tcPr>
          <w:p w14:paraId="296979A1" w14:textId="77777777" w:rsidR="00A430FE" w:rsidRPr="00245C5B" w:rsidRDefault="00A430FE" w:rsidP="00261574">
            <w:pPr>
              <w:pStyle w:val="TableText"/>
              <w:jc w:val="center"/>
              <w:rPr>
                <w:color w:val="000000"/>
              </w:rPr>
            </w:pPr>
            <w:r w:rsidRPr="00617604">
              <w:rPr>
                <w:color w:val="000000"/>
              </w:rPr>
              <w:t>$2,645.74</w:t>
            </w:r>
          </w:p>
        </w:tc>
        <w:tc>
          <w:tcPr>
            <w:tcW w:w="993" w:type="pct"/>
          </w:tcPr>
          <w:p w14:paraId="4E6BE2D0" w14:textId="77777777" w:rsidR="00A430FE" w:rsidRPr="007F38B3" w:rsidRDefault="00A430FE" w:rsidP="00261574">
            <w:pPr>
              <w:pStyle w:val="TableText"/>
              <w:jc w:val="center"/>
              <w:rPr>
                <w:color w:val="000000"/>
              </w:rPr>
            </w:pPr>
            <w:r w:rsidRPr="007F38B3">
              <w:rPr>
                <w:color w:val="000000"/>
              </w:rPr>
              <w:t>-$534.72</w:t>
            </w:r>
          </w:p>
        </w:tc>
      </w:tr>
      <w:tr w:rsidR="00A430FE" w:rsidRPr="00617604" w14:paraId="02EC4DA9" w14:textId="463EFC46" w:rsidTr="005534DC">
        <w:tc>
          <w:tcPr>
            <w:tcW w:w="1806" w:type="pct"/>
          </w:tcPr>
          <w:p w14:paraId="5C016616" w14:textId="77777777" w:rsidR="00A430FE" w:rsidRPr="00245C5B" w:rsidRDefault="00A430FE" w:rsidP="00F056DC">
            <w:pPr>
              <w:pStyle w:val="TableText"/>
              <w:rPr>
                <w:color w:val="000000"/>
              </w:rPr>
            </w:pPr>
            <w:r w:rsidRPr="00245C5B">
              <w:rPr>
                <w:color w:val="000000"/>
              </w:rPr>
              <w:t>Subsequent treatment (TLR)</w:t>
            </w:r>
          </w:p>
        </w:tc>
        <w:tc>
          <w:tcPr>
            <w:tcW w:w="943" w:type="pct"/>
          </w:tcPr>
          <w:p w14:paraId="3CB63661" w14:textId="77777777" w:rsidR="00A430FE" w:rsidRPr="00245C5B" w:rsidRDefault="00A430FE" w:rsidP="00261574">
            <w:pPr>
              <w:pStyle w:val="TableText"/>
              <w:jc w:val="center"/>
              <w:rPr>
                <w:color w:val="000000"/>
              </w:rPr>
            </w:pPr>
            <w:r w:rsidRPr="00245C5B">
              <w:rPr>
                <w:color w:val="000000"/>
              </w:rPr>
              <w:t>$633.53</w:t>
            </w:r>
          </w:p>
        </w:tc>
        <w:tc>
          <w:tcPr>
            <w:tcW w:w="1258" w:type="pct"/>
          </w:tcPr>
          <w:p w14:paraId="3550FFA8" w14:textId="77777777" w:rsidR="00A430FE" w:rsidRPr="00245C5B" w:rsidRDefault="00A430FE" w:rsidP="00261574">
            <w:pPr>
              <w:pStyle w:val="TableText"/>
              <w:jc w:val="center"/>
              <w:rPr>
                <w:color w:val="000000"/>
              </w:rPr>
            </w:pPr>
            <w:r w:rsidRPr="00245C5B">
              <w:rPr>
                <w:color w:val="000000"/>
              </w:rPr>
              <w:t>$1,056.18</w:t>
            </w:r>
          </w:p>
        </w:tc>
        <w:tc>
          <w:tcPr>
            <w:tcW w:w="993" w:type="pct"/>
          </w:tcPr>
          <w:p w14:paraId="7F6C9064" w14:textId="77777777" w:rsidR="00A430FE" w:rsidRPr="007F38B3" w:rsidRDefault="00A430FE" w:rsidP="00261574">
            <w:pPr>
              <w:pStyle w:val="TableText"/>
              <w:jc w:val="center"/>
              <w:rPr>
                <w:color w:val="000000"/>
              </w:rPr>
            </w:pPr>
            <w:r w:rsidRPr="00245C5B">
              <w:rPr>
                <w:color w:val="000000"/>
              </w:rPr>
              <w:t>-$422.65</w:t>
            </w:r>
          </w:p>
        </w:tc>
      </w:tr>
      <w:tr w:rsidR="00A430FE" w:rsidRPr="00617604" w14:paraId="307345AF" w14:textId="14F02042" w:rsidTr="005534DC">
        <w:tc>
          <w:tcPr>
            <w:tcW w:w="1806" w:type="pct"/>
          </w:tcPr>
          <w:p w14:paraId="3E6BED4A" w14:textId="77777777" w:rsidR="00A430FE" w:rsidRPr="00617604" w:rsidRDefault="00A430FE" w:rsidP="00F056DC">
            <w:pPr>
              <w:pStyle w:val="TableText"/>
              <w:rPr>
                <w:color w:val="000000"/>
              </w:rPr>
            </w:pPr>
            <w:r w:rsidRPr="00617604">
              <w:rPr>
                <w:color w:val="000000"/>
              </w:rPr>
              <w:t>Amputation (initial)</w:t>
            </w:r>
          </w:p>
        </w:tc>
        <w:tc>
          <w:tcPr>
            <w:tcW w:w="943" w:type="pct"/>
          </w:tcPr>
          <w:p w14:paraId="4D7AFFC2" w14:textId="77777777" w:rsidR="00A430FE" w:rsidRPr="00617604" w:rsidRDefault="00A430FE" w:rsidP="00261574">
            <w:pPr>
              <w:pStyle w:val="TableText"/>
              <w:jc w:val="center"/>
              <w:rPr>
                <w:color w:val="000000"/>
              </w:rPr>
            </w:pPr>
            <w:r w:rsidRPr="00245C5B">
              <w:rPr>
                <w:color w:val="000000"/>
              </w:rPr>
              <w:t>$50.93</w:t>
            </w:r>
          </w:p>
        </w:tc>
        <w:tc>
          <w:tcPr>
            <w:tcW w:w="1258" w:type="pct"/>
          </w:tcPr>
          <w:p w14:paraId="02B29816" w14:textId="77777777" w:rsidR="00A430FE" w:rsidRPr="00617604" w:rsidRDefault="00A430FE" w:rsidP="00261574">
            <w:pPr>
              <w:pStyle w:val="TableText"/>
              <w:jc w:val="center"/>
              <w:rPr>
                <w:color w:val="000000"/>
              </w:rPr>
            </w:pPr>
            <w:r w:rsidRPr="00245C5B">
              <w:rPr>
                <w:color w:val="000000"/>
              </w:rPr>
              <w:t>$52.66</w:t>
            </w:r>
          </w:p>
        </w:tc>
        <w:tc>
          <w:tcPr>
            <w:tcW w:w="993" w:type="pct"/>
          </w:tcPr>
          <w:p w14:paraId="188138F8" w14:textId="77777777" w:rsidR="00A430FE" w:rsidRPr="007F38B3" w:rsidRDefault="00A430FE" w:rsidP="00261574">
            <w:pPr>
              <w:pStyle w:val="TableText"/>
              <w:jc w:val="center"/>
              <w:rPr>
                <w:color w:val="000000"/>
              </w:rPr>
            </w:pPr>
            <w:r w:rsidRPr="00245C5B">
              <w:rPr>
                <w:color w:val="000000"/>
              </w:rPr>
              <w:t>-$1.73</w:t>
            </w:r>
          </w:p>
        </w:tc>
      </w:tr>
      <w:tr w:rsidR="00A430FE" w:rsidRPr="00617604" w14:paraId="0F5C3C57" w14:textId="675312E0" w:rsidTr="005534DC">
        <w:tc>
          <w:tcPr>
            <w:tcW w:w="1806" w:type="pct"/>
          </w:tcPr>
          <w:p w14:paraId="51450EE8" w14:textId="77777777" w:rsidR="00A430FE" w:rsidRPr="00617604" w:rsidRDefault="00A430FE" w:rsidP="00F056DC">
            <w:pPr>
              <w:pStyle w:val="TableText"/>
              <w:rPr>
                <w:color w:val="000000"/>
              </w:rPr>
            </w:pPr>
            <w:r w:rsidRPr="00245C5B">
              <w:rPr>
                <w:color w:val="000000"/>
              </w:rPr>
              <w:t>Patent</w:t>
            </w:r>
          </w:p>
        </w:tc>
        <w:tc>
          <w:tcPr>
            <w:tcW w:w="943" w:type="pct"/>
          </w:tcPr>
          <w:p w14:paraId="6159CD4B" w14:textId="77777777" w:rsidR="00A430FE" w:rsidRPr="00617604" w:rsidRDefault="00A430FE" w:rsidP="00261574">
            <w:pPr>
              <w:pStyle w:val="TableText"/>
              <w:jc w:val="center"/>
              <w:rPr>
                <w:color w:val="000000"/>
              </w:rPr>
            </w:pPr>
            <w:r w:rsidRPr="00245C5B">
              <w:rPr>
                <w:color w:val="000000"/>
              </w:rPr>
              <w:t>$471.53</w:t>
            </w:r>
          </w:p>
        </w:tc>
        <w:tc>
          <w:tcPr>
            <w:tcW w:w="1258" w:type="pct"/>
          </w:tcPr>
          <w:p w14:paraId="4D25AF7B" w14:textId="77777777" w:rsidR="00A430FE" w:rsidRPr="00617604" w:rsidRDefault="00A430FE" w:rsidP="00261574">
            <w:pPr>
              <w:pStyle w:val="TableText"/>
              <w:jc w:val="center"/>
              <w:rPr>
                <w:color w:val="000000"/>
              </w:rPr>
            </w:pPr>
            <w:r w:rsidRPr="00245C5B">
              <w:rPr>
                <w:color w:val="000000"/>
              </w:rPr>
              <w:t>$298.15</w:t>
            </w:r>
          </w:p>
        </w:tc>
        <w:tc>
          <w:tcPr>
            <w:tcW w:w="993" w:type="pct"/>
          </w:tcPr>
          <w:p w14:paraId="39C9D77A" w14:textId="77777777" w:rsidR="00A430FE" w:rsidRPr="007F38B3" w:rsidRDefault="00A430FE" w:rsidP="00261574">
            <w:pPr>
              <w:pStyle w:val="TableText"/>
              <w:jc w:val="center"/>
              <w:rPr>
                <w:color w:val="000000"/>
              </w:rPr>
            </w:pPr>
            <w:r w:rsidRPr="00245C5B">
              <w:rPr>
                <w:color w:val="000000"/>
              </w:rPr>
              <w:t>$173.38</w:t>
            </w:r>
          </w:p>
        </w:tc>
      </w:tr>
      <w:tr w:rsidR="00A430FE" w:rsidRPr="00617604" w14:paraId="3123CFFE" w14:textId="45DA9CAA" w:rsidTr="005534DC">
        <w:tc>
          <w:tcPr>
            <w:tcW w:w="1806" w:type="pct"/>
          </w:tcPr>
          <w:p w14:paraId="608380FD" w14:textId="77777777" w:rsidR="00A430FE" w:rsidRPr="00617604" w:rsidRDefault="00A430FE" w:rsidP="00F056DC">
            <w:pPr>
              <w:pStyle w:val="TableText"/>
              <w:rPr>
                <w:color w:val="000000"/>
              </w:rPr>
            </w:pPr>
            <w:r w:rsidRPr="00245C5B">
              <w:rPr>
                <w:color w:val="000000"/>
              </w:rPr>
              <w:t>Off patent</w:t>
            </w:r>
          </w:p>
        </w:tc>
        <w:tc>
          <w:tcPr>
            <w:tcW w:w="943" w:type="pct"/>
          </w:tcPr>
          <w:p w14:paraId="2FF84A45" w14:textId="77777777" w:rsidR="00A430FE" w:rsidRPr="00617604" w:rsidRDefault="00A430FE" w:rsidP="00261574">
            <w:pPr>
              <w:pStyle w:val="TableText"/>
              <w:jc w:val="center"/>
              <w:rPr>
                <w:color w:val="000000"/>
              </w:rPr>
            </w:pPr>
            <w:r w:rsidRPr="00245C5B">
              <w:rPr>
                <w:color w:val="000000"/>
              </w:rPr>
              <w:t>$450.25</w:t>
            </w:r>
          </w:p>
        </w:tc>
        <w:tc>
          <w:tcPr>
            <w:tcW w:w="1258" w:type="pct"/>
          </w:tcPr>
          <w:p w14:paraId="6346032B" w14:textId="77777777" w:rsidR="00A430FE" w:rsidRPr="00617604" w:rsidRDefault="00A430FE" w:rsidP="00261574">
            <w:pPr>
              <w:pStyle w:val="TableText"/>
              <w:jc w:val="center"/>
              <w:rPr>
                <w:color w:val="000000"/>
              </w:rPr>
            </w:pPr>
            <w:r w:rsidRPr="00245C5B">
              <w:rPr>
                <w:color w:val="000000"/>
              </w:rPr>
              <w:t>$1,062.89</w:t>
            </w:r>
          </w:p>
        </w:tc>
        <w:tc>
          <w:tcPr>
            <w:tcW w:w="993" w:type="pct"/>
          </w:tcPr>
          <w:p w14:paraId="0FF47B1D" w14:textId="77777777" w:rsidR="00A430FE" w:rsidRPr="007F38B3" w:rsidRDefault="00A430FE" w:rsidP="00261574">
            <w:pPr>
              <w:pStyle w:val="TableText"/>
              <w:jc w:val="center"/>
              <w:rPr>
                <w:color w:val="000000"/>
              </w:rPr>
            </w:pPr>
            <w:r w:rsidRPr="00245C5B">
              <w:rPr>
                <w:color w:val="000000"/>
              </w:rPr>
              <w:t>-$612.64</w:t>
            </w:r>
          </w:p>
        </w:tc>
      </w:tr>
      <w:tr w:rsidR="00A430FE" w:rsidRPr="00617604" w14:paraId="27A97896" w14:textId="4912EF30" w:rsidTr="005534DC">
        <w:tc>
          <w:tcPr>
            <w:tcW w:w="1806" w:type="pct"/>
          </w:tcPr>
          <w:p w14:paraId="45EF0F8D" w14:textId="77777777" w:rsidR="00A430FE" w:rsidRPr="00617604" w:rsidRDefault="00A430FE" w:rsidP="00F056DC">
            <w:pPr>
              <w:pStyle w:val="TableText"/>
              <w:rPr>
                <w:color w:val="000000"/>
              </w:rPr>
            </w:pPr>
            <w:r w:rsidRPr="00245C5B">
              <w:rPr>
                <w:color w:val="000000"/>
              </w:rPr>
              <w:t>CLI</w:t>
            </w:r>
          </w:p>
        </w:tc>
        <w:tc>
          <w:tcPr>
            <w:tcW w:w="943" w:type="pct"/>
          </w:tcPr>
          <w:p w14:paraId="7F346A9D" w14:textId="77777777" w:rsidR="00A430FE" w:rsidRPr="00617604" w:rsidRDefault="00A430FE" w:rsidP="00261574">
            <w:pPr>
              <w:pStyle w:val="TableText"/>
              <w:jc w:val="center"/>
              <w:rPr>
                <w:color w:val="000000"/>
              </w:rPr>
            </w:pPr>
            <w:r w:rsidRPr="00245C5B">
              <w:rPr>
                <w:color w:val="000000"/>
              </w:rPr>
              <w:t>$122.72</w:t>
            </w:r>
          </w:p>
        </w:tc>
        <w:tc>
          <w:tcPr>
            <w:tcW w:w="1258" w:type="pct"/>
          </w:tcPr>
          <w:p w14:paraId="18EAF370" w14:textId="77777777" w:rsidR="00A430FE" w:rsidRPr="00617604" w:rsidRDefault="00A430FE" w:rsidP="00261574">
            <w:pPr>
              <w:pStyle w:val="TableText"/>
              <w:jc w:val="center"/>
              <w:rPr>
                <w:color w:val="000000"/>
              </w:rPr>
            </w:pPr>
            <w:r w:rsidRPr="00245C5B">
              <w:rPr>
                <w:color w:val="000000"/>
              </w:rPr>
              <w:t>$126.86</w:t>
            </w:r>
          </w:p>
        </w:tc>
        <w:tc>
          <w:tcPr>
            <w:tcW w:w="993" w:type="pct"/>
          </w:tcPr>
          <w:p w14:paraId="0889C078" w14:textId="77777777" w:rsidR="00A430FE" w:rsidRPr="007F38B3" w:rsidRDefault="00A430FE" w:rsidP="00261574">
            <w:pPr>
              <w:pStyle w:val="TableText"/>
              <w:jc w:val="center"/>
              <w:rPr>
                <w:color w:val="000000"/>
              </w:rPr>
            </w:pPr>
            <w:r w:rsidRPr="00245C5B">
              <w:rPr>
                <w:color w:val="000000"/>
              </w:rPr>
              <w:t>-$4.15</w:t>
            </w:r>
          </w:p>
        </w:tc>
      </w:tr>
      <w:tr w:rsidR="00A430FE" w:rsidRPr="00617604" w14:paraId="7DC311A8" w14:textId="14CB2D0E" w:rsidTr="005534DC">
        <w:tc>
          <w:tcPr>
            <w:tcW w:w="1806" w:type="pct"/>
          </w:tcPr>
          <w:p w14:paraId="2B83E6CA" w14:textId="77777777" w:rsidR="00A430FE" w:rsidRPr="00617604" w:rsidRDefault="00A430FE" w:rsidP="00F056DC">
            <w:pPr>
              <w:pStyle w:val="TableText"/>
              <w:rPr>
                <w:color w:val="000000"/>
              </w:rPr>
            </w:pPr>
            <w:r w:rsidRPr="00245C5B">
              <w:rPr>
                <w:color w:val="000000"/>
              </w:rPr>
              <w:t>Amputation (ongoing)</w:t>
            </w:r>
          </w:p>
        </w:tc>
        <w:tc>
          <w:tcPr>
            <w:tcW w:w="943" w:type="pct"/>
          </w:tcPr>
          <w:p w14:paraId="7E39941E" w14:textId="77777777" w:rsidR="00A430FE" w:rsidRPr="00617604" w:rsidRDefault="00A430FE" w:rsidP="00261574">
            <w:pPr>
              <w:pStyle w:val="TableText"/>
              <w:jc w:val="center"/>
              <w:rPr>
                <w:color w:val="000000"/>
              </w:rPr>
            </w:pPr>
            <w:r w:rsidRPr="00245C5B">
              <w:rPr>
                <w:color w:val="000000"/>
              </w:rPr>
              <w:t>$7.13</w:t>
            </w:r>
          </w:p>
        </w:tc>
        <w:tc>
          <w:tcPr>
            <w:tcW w:w="1258" w:type="pct"/>
          </w:tcPr>
          <w:p w14:paraId="01F440B5" w14:textId="77777777" w:rsidR="00A430FE" w:rsidRPr="00617604" w:rsidRDefault="00A430FE" w:rsidP="00261574">
            <w:pPr>
              <w:pStyle w:val="TableText"/>
              <w:jc w:val="center"/>
              <w:rPr>
                <w:color w:val="000000"/>
              </w:rPr>
            </w:pPr>
            <w:r w:rsidRPr="00245C5B">
              <w:rPr>
                <w:color w:val="000000"/>
              </w:rPr>
              <w:t>$7.38</w:t>
            </w:r>
          </w:p>
        </w:tc>
        <w:tc>
          <w:tcPr>
            <w:tcW w:w="993" w:type="pct"/>
          </w:tcPr>
          <w:p w14:paraId="12631255" w14:textId="77777777" w:rsidR="00A430FE" w:rsidRPr="007F38B3" w:rsidRDefault="00A430FE" w:rsidP="00261574">
            <w:pPr>
              <w:pStyle w:val="TableText"/>
              <w:jc w:val="center"/>
              <w:rPr>
                <w:color w:val="000000"/>
              </w:rPr>
            </w:pPr>
            <w:r w:rsidRPr="00245C5B">
              <w:rPr>
                <w:color w:val="000000"/>
              </w:rPr>
              <w:t>-$0.25</w:t>
            </w:r>
          </w:p>
        </w:tc>
      </w:tr>
      <w:tr w:rsidR="00A430FE" w:rsidRPr="00245C5B" w14:paraId="26B01D83" w14:textId="0BFF2F28" w:rsidTr="005534DC">
        <w:tc>
          <w:tcPr>
            <w:tcW w:w="1806" w:type="pct"/>
          </w:tcPr>
          <w:p w14:paraId="3F895583" w14:textId="71A12BA3" w:rsidR="00A430FE" w:rsidRPr="004446E5" w:rsidRDefault="00036B27" w:rsidP="00F056DC">
            <w:pPr>
              <w:pStyle w:val="TableText"/>
              <w:rPr>
                <w:b/>
                <w:bCs/>
                <w:color w:val="000000"/>
              </w:rPr>
            </w:pPr>
            <w:r w:rsidRPr="004446E5">
              <w:rPr>
                <w:b/>
                <w:bCs/>
                <w:color w:val="000000"/>
              </w:rPr>
              <w:t>T</w:t>
            </w:r>
            <w:r>
              <w:rPr>
                <w:b/>
                <w:bCs/>
                <w:color w:val="000000"/>
              </w:rPr>
              <w:t xml:space="preserve">otal </w:t>
            </w:r>
            <w:r w:rsidR="000E547A">
              <w:rPr>
                <w:b/>
                <w:bCs/>
                <w:color w:val="000000"/>
              </w:rPr>
              <w:t>cost overall over two years</w:t>
            </w:r>
          </w:p>
        </w:tc>
        <w:tc>
          <w:tcPr>
            <w:tcW w:w="943" w:type="pct"/>
          </w:tcPr>
          <w:p w14:paraId="12A2699F" w14:textId="10AF7E5D" w:rsidR="00A430FE" w:rsidRPr="004446E5" w:rsidRDefault="00A430FE" w:rsidP="00261574">
            <w:pPr>
              <w:pStyle w:val="TableText"/>
              <w:jc w:val="center"/>
              <w:rPr>
                <w:b/>
                <w:bCs/>
                <w:color w:val="000000"/>
              </w:rPr>
            </w:pPr>
            <w:r w:rsidRPr="004446E5">
              <w:rPr>
                <w:b/>
                <w:bCs/>
                <w:color w:val="000000"/>
              </w:rPr>
              <w:t>$</w:t>
            </w:r>
            <w:r w:rsidR="00F86611" w:rsidRPr="00B73D4C">
              <w:rPr>
                <w:b/>
                <w:bCs/>
              </w:rPr>
              <w:t xml:space="preserve"> redacted</w:t>
            </w:r>
            <w:r w:rsidR="00F86611" w:rsidRPr="004446E5" w:rsidDel="00F86611">
              <w:rPr>
                <w:b/>
                <w:bCs/>
                <w:color w:val="000000"/>
              </w:rPr>
              <w:t xml:space="preserve"> </w:t>
            </w:r>
          </w:p>
        </w:tc>
        <w:tc>
          <w:tcPr>
            <w:tcW w:w="1258" w:type="pct"/>
          </w:tcPr>
          <w:p w14:paraId="7BBAA2DE" w14:textId="77777777" w:rsidR="00A430FE" w:rsidRPr="004446E5" w:rsidRDefault="00A430FE" w:rsidP="00261574">
            <w:pPr>
              <w:pStyle w:val="TableText"/>
              <w:jc w:val="center"/>
              <w:rPr>
                <w:b/>
                <w:bCs/>
                <w:color w:val="000000"/>
              </w:rPr>
            </w:pPr>
            <w:r w:rsidRPr="004446E5">
              <w:rPr>
                <w:b/>
                <w:bCs/>
                <w:color w:val="000000"/>
              </w:rPr>
              <w:t>$7,367.01</w:t>
            </w:r>
          </w:p>
        </w:tc>
        <w:tc>
          <w:tcPr>
            <w:tcW w:w="993" w:type="pct"/>
          </w:tcPr>
          <w:p w14:paraId="420721FF" w14:textId="378F6584" w:rsidR="00A430FE" w:rsidRPr="004446E5" w:rsidRDefault="00A430FE" w:rsidP="00261574">
            <w:pPr>
              <w:pStyle w:val="TableText"/>
              <w:jc w:val="center"/>
              <w:rPr>
                <w:b/>
                <w:bCs/>
                <w:color w:val="000000"/>
              </w:rPr>
            </w:pPr>
            <w:r w:rsidRPr="004446E5">
              <w:rPr>
                <w:b/>
                <w:bCs/>
                <w:color w:val="000000"/>
              </w:rPr>
              <w:t>$</w:t>
            </w:r>
            <w:r w:rsidR="00F86611" w:rsidRPr="00B73D4C">
              <w:rPr>
                <w:b/>
                <w:bCs/>
              </w:rPr>
              <w:t xml:space="preserve"> redacted</w:t>
            </w:r>
            <w:r w:rsidR="00F86611" w:rsidRPr="004446E5" w:rsidDel="00F86611">
              <w:rPr>
                <w:b/>
                <w:bCs/>
                <w:color w:val="000000"/>
              </w:rPr>
              <w:t xml:space="preserve"> </w:t>
            </w:r>
          </w:p>
        </w:tc>
      </w:tr>
      <w:tr w:rsidR="00A430FE" w:rsidRPr="00A41E84" w14:paraId="4EE4B844" w14:textId="18C2F5DE" w:rsidTr="002633A1">
        <w:tc>
          <w:tcPr>
            <w:tcW w:w="5000" w:type="pct"/>
            <w:gridSpan w:val="4"/>
            <w:tcBorders>
              <w:bottom w:val="single" w:sz="4" w:space="0" w:color="auto"/>
            </w:tcBorders>
          </w:tcPr>
          <w:p w14:paraId="4D68F751" w14:textId="77777777" w:rsidR="00A430FE" w:rsidRPr="0066128C" w:rsidRDefault="00A430FE" w:rsidP="00F056DC">
            <w:pPr>
              <w:pStyle w:val="TableText"/>
              <w:rPr>
                <w:b/>
                <w:bCs/>
                <w:i/>
                <w:color w:val="000000"/>
              </w:rPr>
            </w:pPr>
            <w:r w:rsidRPr="0066128C">
              <w:rPr>
                <w:b/>
                <w:bCs/>
                <w:i/>
                <w:color w:val="000000"/>
              </w:rPr>
              <w:t>Outcomes</w:t>
            </w:r>
          </w:p>
        </w:tc>
      </w:tr>
      <w:tr w:rsidR="00A430FE" w:rsidRPr="00617604" w14:paraId="60A47BF5" w14:textId="7A98FA7F" w:rsidTr="002633A1">
        <w:tc>
          <w:tcPr>
            <w:tcW w:w="1806" w:type="pct"/>
            <w:tcBorders>
              <w:top w:val="single" w:sz="4" w:space="0" w:color="auto"/>
              <w:left w:val="single" w:sz="4" w:space="0" w:color="auto"/>
              <w:bottom w:val="single" w:sz="4" w:space="0" w:color="auto"/>
              <w:right w:val="single" w:sz="4" w:space="0" w:color="auto"/>
            </w:tcBorders>
          </w:tcPr>
          <w:p w14:paraId="377DDA60" w14:textId="3DE8E505" w:rsidR="00A430FE" w:rsidRPr="00245C5B" w:rsidRDefault="00A430FE" w:rsidP="00FC3AA4">
            <w:pPr>
              <w:pStyle w:val="TableText"/>
              <w:rPr>
                <w:color w:val="000000"/>
              </w:rPr>
            </w:pPr>
            <w:r w:rsidRPr="00245C5B">
              <w:rPr>
                <w:color w:val="000000"/>
              </w:rPr>
              <w:t xml:space="preserve">Provisional stents </w:t>
            </w:r>
            <w:r w:rsidR="000C4528">
              <w:rPr>
                <w:color w:val="000000"/>
              </w:rPr>
              <w:t xml:space="preserve">at the procedure </w:t>
            </w:r>
            <w:r w:rsidRPr="00245C5B">
              <w:rPr>
                <w:color w:val="000000"/>
              </w:rPr>
              <w:t>(trial-based)</w:t>
            </w:r>
          </w:p>
        </w:tc>
        <w:tc>
          <w:tcPr>
            <w:tcW w:w="943" w:type="pct"/>
            <w:tcBorders>
              <w:top w:val="single" w:sz="4" w:space="0" w:color="auto"/>
              <w:left w:val="single" w:sz="4" w:space="0" w:color="auto"/>
              <w:bottom w:val="single" w:sz="4" w:space="0" w:color="auto"/>
              <w:right w:val="single" w:sz="4" w:space="0" w:color="auto"/>
            </w:tcBorders>
          </w:tcPr>
          <w:p w14:paraId="722F6E43" w14:textId="77777777" w:rsidR="00A430FE" w:rsidRPr="00245C5B" w:rsidRDefault="00A430FE" w:rsidP="00261574">
            <w:pPr>
              <w:pStyle w:val="TableText"/>
              <w:jc w:val="center"/>
              <w:rPr>
                <w:color w:val="000000"/>
              </w:rPr>
            </w:pPr>
            <w:r w:rsidRPr="00245C5B">
              <w:rPr>
                <w:color w:val="000000"/>
              </w:rPr>
              <w:t>4.6%</w:t>
            </w:r>
          </w:p>
        </w:tc>
        <w:tc>
          <w:tcPr>
            <w:tcW w:w="1258" w:type="pct"/>
            <w:tcBorders>
              <w:top w:val="single" w:sz="4" w:space="0" w:color="auto"/>
              <w:left w:val="single" w:sz="4" w:space="0" w:color="auto"/>
              <w:bottom w:val="single" w:sz="4" w:space="0" w:color="auto"/>
              <w:right w:val="single" w:sz="4" w:space="0" w:color="auto"/>
            </w:tcBorders>
          </w:tcPr>
          <w:p w14:paraId="20A5F4EE" w14:textId="77777777" w:rsidR="00A430FE" w:rsidRPr="00245C5B" w:rsidRDefault="00A430FE" w:rsidP="00261574">
            <w:pPr>
              <w:pStyle w:val="TableText"/>
              <w:jc w:val="center"/>
              <w:rPr>
                <w:color w:val="000000"/>
              </w:rPr>
            </w:pPr>
            <w:r w:rsidRPr="00245C5B">
              <w:rPr>
                <w:color w:val="000000"/>
              </w:rPr>
              <w:t>18.3%</w:t>
            </w:r>
          </w:p>
        </w:tc>
        <w:tc>
          <w:tcPr>
            <w:tcW w:w="993" w:type="pct"/>
            <w:tcBorders>
              <w:top w:val="single" w:sz="4" w:space="0" w:color="auto"/>
              <w:left w:val="single" w:sz="4" w:space="0" w:color="auto"/>
              <w:bottom w:val="single" w:sz="4" w:space="0" w:color="auto"/>
              <w:right w:val="single" w:sz="4" w:space="0" w:color="auto"/>
            </w:tcBorders>
          </w:tcPr>
          <w:p w14:paraId="19B21A37" w14:textId="77777777" w:rsidR="00A430FE" w:rsidRPr="007F38B3" w:rsidRDefault="00A430FE" w:rsidP="00261574">
            <w:pPr>
              <w:pStyle w:val="TableText"/>
              <w:jc w:val="center"/>
              <w:rPr>
                <w:color w:val="000000"/>
              </w:rPr>
            </w:pPr>
            <w:r w:rsidRPr="00245C5B">
              <w:rPr>
                <w:color w:val="000000"/>
              </w:rPr>
              <w:t>-13.7%</w:t>
            </w:r>
          </w:p>
        </w:tc>
      </w:tr>
      <w:tr w:rsidR="00A430FE" w:rsidRPr="00617604" w14:paraId="57BE4A99" w14:textId="70E2BE9B" w:rsidTr="002633A1">
        <w:tc>
          <w:tcPr>
            <w:tcW w:w="1806" w:type="pct"/>
            <w:tcBorders>
              <w:top w:val="single" w:sz="4" w:space="0" w:color="auto"/>
              <w:left w:val="single" w:sz="4" w:space="0" w:color="auto"/>
              <w:bottom w:val="single" w:sz="4" w:space="0" w:color="auto"/>
              <w:right w:val="single" w:sz="4" w:space="0" w:color="auto"/>
            </w:tcBorders>
          </w:tcPr>
          <w:p w14:paraId="213446E3" w14:textId="2AA6D645" w:rsidR="00A430FE" w:rsidRPr="00245C5B" w:rsidRDefault="00A430FE" w:rsidP="00FC3AA4">
            <w:pPr>
              <w:pStyle w:val="TableText"/>
              <w:rPr>
                <w:color w:val="000000"/>
              </w:rPr>
            </w:pPr>
            <w:r w:rsidRPr="00245C5B">
              <w:rPr>
                <w:color w:val="000000"/>
              </w:rPr>
              <w:t xml:space="preserve">Provisional stents </w:t>
            </w:r>
            <w:r w:rsidR="000C4528">
              <w:rPr>
                <w:color w:val="000000"/>
              </w:rPr>
              <w:t xml:space="preserve">performed </w:t>
            </w:r>
            <w:r w:rsidRPr="00245C5B">
              <w:rPr>
                <w:color w:val="000000"/>
              </w:rPr>
              <w:t>(Australian practice based on trial RR)</w:t>
            </w:r>
          </w:p>
        </w:tc>
        <w:tc>
          <w:tcPr>
            <w:tcW w:w="943" w:type="pct"/>
            <w:tcBorders>
              <w:top w:val="single" w:sz="4" w:space="0" w:color="auto"/>
              <w:left w:val="single" w:sz="4" w:space="0" w:color="auto"/>
              <w:bottom w:val="single" w:sz="4" w:space="0" w:color="auto"/>
              <w:right w:val="single" w:sz="4" w:space="0" w:color="auto"/>
            </w:tcBorders>
          </w:tcPr>
          <w:p w14:paraId="6D9046FB" w14:textId="77777777" w:rsidR="00A430FE" w:rsidRPr="00245C5B" w:rsidRDefault="00A430FE" w:rsidP="00261574">
            <w:pPr>
              <w:pStyle w:val="TableText"/>
              <w:jc w:val="center"/>
              <w:rPr>
                <w:color w:val="000000"/>
              </w:rPr>
            </w:pPr>
            <w:r w:rsidRPr="00FE5EC9">
              <w:rPr>
                <w:color w:val="000000"/>
              </w:rPr>
              <w:t>11.3%</w:t>
            </w:r>
          </w:p>
        </w:tc>
        <w:tc>
          <w:tcPr>
            <w:tcW w:w="1258" w:type="pct"/>
            <w:tcBorders>
              <w:top w:val="single" w:sz="4" w:space="0" w:color="auto"/>
              <w:left w:val="single" w:sz="4" w:space="0" w:color="auto"/>
              <w:bottom w:val="single" w:sz="4" w:space="0" w:color="auto"/>
              <w:right w:val="single" w:sz="4" w:space="0" w:color="auto"/>
            </w:tcBorders>
          </w:tcPr>
          <w:p w14:paraId="53000730" w14:textId="77777777" w:rsidR="00A430FE" w:rsidRPr="00245C5B" w:rsidRDefault="00A430FE" w:rsidP="00261574">
            <w:pPr>
              <w:pStyle w:val="TableText"/>
              <w:jc w:val="center"/>
              <w:rPr>
                <w:color w:val="000000"/>
              </w:rPr>
            </w:pPr>
            <w:r w:rsidRPr="00FE5EC9">
              <w:rPr>
                <w:color w:val="000000"/>
              </w:rPr>
              <w:t>45.0%</w:t>
            </w:r>
          </w:p>
        </w:tc>
        <w:tc>
          <w:tcPr>
            <w:tcW w:w="993" w:type="pct"/>
            <w:tcBorders>
              <w:top w:val="single" w:sz="4" w:space="0" w:color="auto"/>
              <w:left w:val="single" w:sz="4" w:space="0" w:color="auto"/>
              <w:bottom w:val="single" w:sz="4" w:space="0" w:color="auto"/>
              <w:right w:val="single" w:sz="4" w:space="0" w:color="auto"/>
            </w:tcBorders>
          </w:tcPr>
          <w:p w14:paraId="4320ADF4" w14:textId="77777777" w:rsidR="00A430FE" w:rsidRPr="007F38B3" w:rsidRDefault="00A430FE" w:rsidP="00261574">
            <w:pPr>
              <w:pStyle w:val="TableText"/>
              <w:jc w:val="center"/>
              <w:rPr>
                <w:color w:val="000000"/>
              </w:rPr>
            </w:pPr>
            <w:r w:rsidRPr="00245C5B">
              <w:rPr>
                <w:color w:val="000000"/>
              </w:rPr>
              <w:t>-</w:t>
            </w:r>
            <w:r>
              <w:rPr>
                <w:color w:val="000000"/>
              </w:rPr>
              <w:t>3</w:t>
            </w:r>
            <w:r w:rsidRPr="00245C5B">
              <w:rPr>
                <w:color w:val="000000"/>
              </w:rPr>
              <w:t>3.8%</w:t>
            </w:r>
          </w:p>
        </w:tc>
      </w:tr>
      <w:tr w:rsidR="00A430FE" w:rsidRPr="00617604" w14:paraId="489B95FD" w14:textId="21C2984F" w:rsidTr="002633A1">
        <w:tc>
          <w:tcPr>
            <w:tcW w:w="1806" w:type="pct"/>
            <w:tcBorders>
              <w:top w:val="single" w:sz="4" w:space="0" w:color="auto"/>
              <w:left w:val="single" w:sz="4" w:space="0" w:color="auto"/>
              <w:bottom w:val="single" w:sz="4" w:space="0" w:color="auto"/>
              <w:right w:val="single" w:sz="4" w:space="0" w:color="auto"/>
            </w:tcBorders>
          </w:tcPr>
          <w:p w14:paraId="3A40AB12" w14:textId="5D76ECA8" w:rsidR="00A430FE" w:rsidRPr="00617604" w:rsidRDefault="00A430FE" w:rsidP="00FC3AA4">
            <w:pPr>
              <w:pStyle w:val="TableText"/>
              <w:rPr>
                <w:color w:val="000000"/>
              </w:rPr>
            </w:pPr>
            <w:r w:rsidRPr="00245C5B">
              <w:rPr>
                <w:color w:val="000000"/>
              </w:rPr>
              <w:t xml:space="preserve">Dissections </w:t>
            </w:r>
          </w:p>
        </w:tc>
        <w:tc>
          <w:tcPr>
            <w:tcW w:w="943" w:type="pct"/>
            <w:tcBorders>
              <w:top w:val="single" w:sz="4" w:space="0" w:color="auto"/>
              <w:left w:val="single" w:sz="4" w:space="0" w:color="auto"/>
              <w:bottom w:val="single" w:sz="4" w:space="0" w:color="auto"/>
              <w:right w:val="single" w:sz="4" w:space="0" w:color="auto"/>
            </w:tcBorders>
          </w:tcPr>
          <w:p w14:paraId="5DEFA30F" w14:textId="77777777" w:rsidR="00A430FE" w:rsidRPr="00617604" w:rsidRDefault="00A430FE" w:rsidP="00261574">
            <w:pPr>
              <w:pStyle w:val="TableText"/>
              <w:jc w:val="center"/>
              <w:rPr>
                <w:color w:val="000000"/>
              </w:rPr>
            </w:pPr>
            <w:r w:rsidRPr="00245C5B">
              <w:rPr>
                <w:color w:val="000000"/>
              </w:rPr>
              <w:t>18.5%</w:t>
            </w:r>
          </w:p>
        </w:tc>
        <w:tc>
          <w:tcPr>
            <w:tcW w:w="1258" w:type="pct"/>
            <w:tcBorders>
              <w:top w:val="single" w:sz="4" w:space="0" w:color="auto"/>
              <w:left w:val="single" w:sz="4" w:space="0" w:color="auto"/>
              <w:bottom w:val="single" w:sz="4" w:space="0" w:color="auto"/>
              <w:right w:val="single" w:sz="4" w:space="0" w:color="auto"/>
            </w:tcBorders>
          </w:tcPr>
          <w:p w14:paraId="4D4F6844" w14:textId="77777777" w:rsidR="00A430FE" w:rsidRPr="00617604" w:rsidRDefault="00A430FE" w:rsidP="00261574">
            <w:pPr>
              <w:pStyle w:val="TableText"/>
              <w:jc w:val="center"/>
              <w:rPr>
                <w:color w:val="000000"/>
              </w:rPr>
            </w:pPr>
            <w:r w:rsidRPr="00245C5B">
              <w:rPr>
                <w:color w:val="000000"/>
              </w:rPr>
              <w:t>32.3%</w:t>
            </w:r>
          </w:p>
        </w:tc>
        <w:tc>
          <w:tcPr>
            <w:tcW w:w="993" w:type="pct"/>
            <w:tcBorders>
              <w:top w:val="single" w:sz="4" w:space="0" w:color="auto"/>
              <w:left w:val="single" w:sz="4" w:space="0" w:color="auto"/>
              <w:bottom w:val="single" w:sz="4" w:space="0" w:color="auto"/>
              <w:right w:val="single" w:sz="4" w:space="0" w:color="auto"/>
            </w:tcBorders>
          </w:tcPr>
          <w:p w14:paraId="7A5FCF2B" w14:textId="77777777" w:rsidR="00A430FE" w:rsidRPr="007F38B3" w:rsidRDefault="00A430FE" w:rsidP="00261574">
            <w:pPr>
              <w:pStyle w:val="TableText"/>
              <w:jc w:val="center"/>
              <w:rPr>
                <w:color w:val="000000"/>
              </w:rPr>
            </w:pPr>
            <w:r w:rsidRPr="00245C5B">
              <w:rPr>
                <w:color w:val="000000"/>
              </w:rPr>
              <w:t>-5.4%</w:t>
            </w:r>
          </w:p>
        </w:tc>
      </w:tr>
      <w:tr w:rsidR="00A430FE" w:rsidRPr="00617604" w14:paraId="04719864" w14:textId="2C809E41" w:rsidTr="002633A1">
        <w:tc>
          <w:tcPr>
            <w:tcW w:w="1806" w:type="pct"/>
            <w:tcBorders>
              <w:top w:val="single" w:sz="4" w:space="0" w:color="auto"/>
              <w:left w:val="single" w:sz="4" w:space="0" w:color="auto"/>
              <w:bottom w:val="single" w:sz="4" w:space="0" w:color="auto"/>
              <w:right w:val="single" w:sz="4" w:space="0" w:color="auto"/>
            </w:tcBorders>
          </w:tcPr>
          <w:p w14:paraId="13D5DE02" w14:textId="3661CFD5" w:rsidR="00A430FE" w:rsidRPr="00617604" w:rsidRDefault="00A430FE" w:rsidP="00FC3AA4">
            <w:pPr>
              <w:pStyle w:val="TableText"/>
              <w:rPr>
                <w:color w:val="000000"/>
              </w:rPr>
            </w:pPr>
            <w:r w:rsidRPr="00245C5B">
              <w:rPr>
                <w:color w:val="000000"/>
              </w:rPr>
              <w:t xml:space="preserve">Flow-limiting dissections </w:t>
            </w:r>
          </w:p>
        </w:tc>
        <w:tc>
          <w:tcPr>
            <w:tcW w:w="943" w:type="pct"/>
            <w:tcBorders>
              <w:top w:val="single" w:sz="4" w:space="0" w:color="auto"/>
              <w:left w:val="single" w:sz="4" w:space="0" w:color="auto"/>
              <w:bottom w:val="single" w:sz="4" w:space="0" w:color="auto"/>
              <w:right w:val="single" w:sz="4" w:space="0" w:color="auto"/>
            </w:tcBorders>
          </w:tcPr>
          <w:p w14:paraId="0EB2B711" w14:textId="77777777" w:rsidR="00A430FE" w:rsidRPr="00617604" w:rsidRDefault="00A430FE" w:rsidP="00261574">
            <w:pPr>
              <w:pStyle w:val="TableText"/>
              <w:jc w:val="center"/>
              <w:rPr>
                <w:color w:val="000000"/>
              </w:rPr>
            </w:pPr>
            <w:r w:rsidRPr="00245C5B">
              <w:rPr>
                <w:color w:val="000000"/>
              </w:rPr>
              <w:t>1.4%</w:t>
            </w:r>
          </w:p>
        </w:tc>
        <w:tc>
          <w:tcPr>
            <w:tcW w:w="1258" w:type="pct"/>
            <w:tcBorders>
              <w:top w:val="single" w:sz="4" w:space="0" w:color="auto"/>
              <w:left w:val="single" w:sz="4" w:space="0" w:color="auto"/>
              <w:bottom w:val="single" w:sz="4" w:space="0" w:color="auto"/>
              <w:right w:val="single" w:sz="4" w:space="0" w:color="auto"/>
            </w:tcBorders>
          </w:tcPr>
          <w:p w14:paraId="7925AD76" w14:textId="77777777" w:rsidR="00A430FE" w:rsidRPr="00617604" w:rsidRDefault="00A430FE" w:rsidP="00261574">
            <w:pPr>
              <w:pStyle w:val="TableText"/>
              <w:jc w:val="center"/>
              <w:rPr>
                <w:color w:val="000000"/>
              </w:rPr>
            </w:pPr>
            <w:r w:rsidRPr="00245C5B">
              <w:rPr>
                <w:color w:val="000000"/>
              </w:rPr>
              <w:t>6.8%</w:t>
            </w:r>
          </w:p>
        </w:tc>
        <w:tc>
          <w:tcPr>
            <w:tcW w:w="993" w:type="pct"/>
            <w:tcBorders>
              <w:top w:val="single" w:sz="4" w:space="0" w:color="auto"/>
              <w:left w:val="single" w:sz="4" w:space="0" w:color="auto"/>
              <w:bottom w:val="single" w:sz="4" w:space="0" w:color="auto"/>
              <w:right w:val="single" w:sz="4" w:space="0" w:color="auto"/>
            </w:tcBorders>
          </w:tcPr>
          <w:p w14:paraId="357C811A" w14:textId="77777777" w:rsidR="00A430FE" w:rsidRPr="007F38B3" w:rsidRDefault="00A430FE" w:rsidP="00261574">
            <w:pPr>
              <w:pStyle w:val="TableText"/>
              <w:jc w:val="center"/>
              <w:rPr>
                <w:color w:val="000000"/>
              </w:rPr>
            </w:pPr>
            <w:r w:rsidRPr="00245C5B">
              <w:rPr>
                <w:color w:val="000000"/>
              </w:rPr>
              <w:t>-17.0%</w:t>
            </w:r>
          </w:p>
        </w:tc>
      </w:tr>
      <w:tr w:rsidR="00A430FE" w:rsidRPr="00617604" w14:paraId="7727A973" w14:textId="0FD8B0EF" w:rsidTr="002633A1">
        <w:tc>
          <w:tcPr>
            <w:tcW w:w="1806" w:type="pct"/>
            <w:tcBorders>
              <w:top w:val="single" w:sz="4" w:space="0" w:color="auto"/>
              <w:left w:val="single" w:sz="4" w:space="0" w:color="auto"/>
              <w:bottom w:val="single" w:sz="4" w:space="0" w:color="auto"/>
              <w:right w:val="single" w:sz="4" w:space="0" w:color="auto"/>
            </w:tcBorders>
          </w:tcPr>
          <w:p w14:paraId="14EFF4EB" w14:textId="77777777" w:rsidR="00A430FE" w:rsidRPr="00617604" w:rsidRDefault="00A430FE" w:rsidP="00FC3AA4">
            <w:pPr>
              <w:pStyle w:val="TableText"/>
              <w:rPr>
                <w:color w:val="000000"/>
              </w:rPr>
            </w:pPr>
            <w:r w:rsidRPr="00245C5B">
              <w:rPr>
                <w:color w:val="000000"/>
              </w:rPr>
              <w:t>Primary patency progression</w:t>
            </w:r>
          </w:p>
        </w:tc>
        <w:tc>
          <w:tcPr>
            <w:tcW w:w="943" w:type="pct"/>
            <w:tcBorders>
              <w:top w:val="single" w:sz="4" w:space="0" w:color="auto"/>
              <w:left w:val="single" w:sz="4" w:space="0" w:color="auto"/>
              <w:bottom w:val="single" w:sz="4" w:space="0" w:color="auto"/>
              <w:right w:val="single" w:sz="4" w:space="0" w:color="auto"/>
            </w:tcBorders>
          </w:tcPr>
          <w:p w14:paraId="5493A4E0" w14:textId="77777777" w:rsidR="00A430FE" w:rsidRPr="00617604" w:rsidRDefault="00A430FE" w:rsidP="00261574">
            <w:pPr>
              <w:pStyle w:val="TableText"/>
              <w:jc w:val="center"/>
              <w:rPr>
                <w:color w:val="000000"/>
              </w:rPr>
            </w:pPr>
            <w:r w:rsidRPr="00245C5B">
              <w:rPr>
                <w:color w:val="000000"/>
              </w:rPr>
              <w:t>29.6%</w:t>
            </w:r>
          </w:p>
        </w:tc>
        <w:tc>
          <w:tcPr>
            <w:tcW w:w="1258" w:type="pct"/>
            <w:tcBorders>
              <w:top w:val="single" w:sz="4" w:space="0" w:color="auto"/>
              <w:left w:val="single" w:sz="4" w:space="0" w:color="auto"/>
              <w:bottom w:val="single" w:sz="4" w:space="0" w:color="auto"/>
              <w:right w:val="single" w:sz="4" w:space="0" w:color="auto"/>
            </w:tcBorders>
          </w:tcPr>
          <w:p w14:paraId="3F29067C" w14:textId="77777777" w:rsidR="00A430FE" w:rsidRPr="00617604" w:rsidRDefault="00A430FE" w:rsidP="00261574">
            <w:pPr>
              <w:pStyle w:val="TableText"/>
              <w:jc w:val="center"/>
              <w:rPr>
                <w:color w:val="000000"/>
              </w:rPr>
            </w:pPr>
            <w:r w:rsidRPr="00245C5B">
              <w:rPr>
                <w:color w:val="000000"/>
              </w:rPr>
              <w:t>46.6%</w:t>
            </w:r>
          </w:p>
        </w:tc>
        <w:tc>
          <w:tcPr>
            <w:tcW w:w="993" w:type="pct"/>
            <w:tcBorders>
              <w:top w:val="single" w:sz="4" w:space="0" w:color="auto"/>
              <w:left w:val="single" w:sz="4" w:space="0" w:color="auto"/>
              <w:bottom w:val="single" w:sz="4" w:space="0" w:color="auto"/>
              <w:right w:val="single" w:sz="4" w:space="0" w:color="auto"/>
            </w:tcBorders>
          </w:tcPr>
          <w:p w14:paraId="23EA861C" w14:textId="77777777" w:rsidR="00A430FE" w:rsidRPr="007F38B3" w:rsidRDefault="00A430FE" w:rsidP="00261574">
            <w:pPr>
              <w:pStyle w:val="TableText"/>
              <w:jc w:val="center"/>
              <w:rPr>
                <w:color w:val="000000"/>
              </w:rPr>
            </w:pPr>
            <w:r w:rsidRPr="00245C5B">
              <w:rPr>
                <w:color w:val="000000"/>
              </w:rPr>
              <w:t>-1.7%</w:t>
            </w:r>
          </w:p>
        </w:tc>
      </w:tr>
      <w:tr w:rsidR="00A430FE" w:rsidRPr="00617604" w14:paraId="0DCBEBAA" w14:textId="6BFD8D26" w:rsidTr="002633A1">
        <w:tc>
          <w:tcPr>
            <w:tcW w:w="1806" w:type="pct"/>
            <w:tcBorders>
              <w:top w:val="single" w:sz="4" w:space="0" w:color="auto"/>
              <w:left w:val="single" w:sz="4" w:space="0" w:color="auto"/>
              <w:bottom w:val="single" w:sz="4" w:space="0" w:color="auto"/>
              <w:right w:val="single" w:sz="4" w:space="0" w:color="auto"/>
            </w:tcBorders>
          </w:tcPr>
          <w:p w14:paraId="479C9358" w14:textId="77777777" w:rsidR="00A430FE" w:rsidRPr="00617604" w:rsidRDefault="00A430FE" w:rsidP="00FC3AA4">
            <w:pPr>
              <w:pStyle w:val="TableText"/>
              <w:rPr>
                <w:color w:val="000000"/>
              </w:rPr>
            </w:pPr>
            <w:r w:rsidRPr="00245C5B">
              <w:rPr>
                <w:color w:val="000000"/>
              </w:rPr>
              <w:t>MAEs</w:t>
            </w:r>
          </w:p>
        </w:tc>
        <w:tc>
          <w:tcPr>
            <w:tcW w:w="943" w:type="pct"/>
            <w:tcBorders>
              <w:top w:val="single" w:sz="4" w:space="0" w:color="auto"/>
              <w:left w:val="single" w:sz="4" w:space="0" w:color="auto"/>
              <w:bottom w:val="single" w:sz="4" w:space="0" w:color="auto"/>
              <w:right w:val="single" w:sz="4" w:space="0" w:color="auto"/>
            </w:tcBorders>
          </w:tcPr>
          <w:p w14:paraId="5CCD6677" w14:textId="77777777" w:rsidR="00A430FE" w:rsidRPr="00617604" w:rsidRDefault="00A430FE" w:rsidP="00261574">
            <w:pPr>
              <w:pStyle w:val="TableText"/>
              <w:jc w:val="center"/>
              <w:rPr>
                <w:color w:val="000000"/>
              </w:rPr>
            </w:pPr>
            <w:r w:rsidRPr="00245C5B">
              <w:rPr>
                <w:color w:val="000000"/>
              </w:rPr>
              <w:t>0.0%</w:t>
            </w:r>
          </w:p>
        </w:tc>
        <w:tc>
          <w:tcPr>
            <w:tcW w:w="1258" w:type="pct"/>
            <w:tcBorders>
              <w:top w:val="single" w:sz="4" w:space="0" w:color="auto"/>
              <w:left w:val="single" w:sz="4" w:space="0" w:color="auto"/>
              <w:bottom w:val="single" w:sz="4" w:space="0" w:color="auto"/>
              <w:right w:val="single" w:sz="4" w:space="0" w:color="auto"/>
            </w:tcBorders>
          </w:tcPr>
          <w:p w14:paraId="4EE0D8B8" w14:textId="77777777" w:rsidR="00A430FE" w:rsidRPr="00617604" w:rsidRDefault="00A430FE" w:rsidP="00261574">
            <w:pPr>
              <w:pStyle w:val="TableText"/>
              <w:jc w:val="center"/>
              <w:rPr>
                <w:color w:val="000000"/>
              </w:rPr>
            </w:pPr>
            <w:r w:rsidRPr="00245C5B">
              <w:rPr>
                <w:color w:val="000000"/>
              </w:rPr>
              <w:t>1.7%</w:t>
            </w:r>
          </w:p>
        </w:tc>
        <w:tc>
          <w:tcPr>
            <w:tcW w:w="993" w:type="pct"/>
            <w:tcBorders>
              <w:top w:val="single" w:sz="4" w:space="0" w:color="auto"/>
              <w:left w:val="single" w:sz="4" w:space="0" w:color="auto"/>
              <w:bottom w:val="single" w:sz="4" w:space="0" w:color="auto"/>
              <w:right w:val="single" w:sz="4" w:space="0" w:color="auto"/>
            </w:tcBorders>
          </w:tcPr>
          <w:p w14:paraId="22E6DD7E" w14:textId="77777777" w:rsidR="00A430FE" w:rsidRPr="007F38B3" w:rsidRDefault="00A430FE" w:rsidP="00261574">
            <w:pPr>
              <w:pStyle w:val="TableText"/>
              <w:jc w:val="center"/>
              <w:rPr>
                <w:color w:val="000000"/>
              </w:rPr>
            </w:pPr>
            <w:r w:rsidRPr="00245C5B">
              <w:rPr>
                <w:color w:val="000000"/>
              </w:rPr>
              <w:t>-13.7%</w:t>
            </w:r>
          </w:p>
        </w:tc>
      </w:tr>
    </w:tbl>
    <w:p w14:paraId="3DBBAD35" w14:textId="6222770E" w:rsidR="00EB6499" w:rsidRDefault="00EB6499" w:rsidP="004B6C1B">
      <w:pPr>
        <w:pStyle w:val="Tablenotes"/>
      </w:pPr>
      <w:r w:rsidRPr="00EB6499">
        <w:t xml:space="preserve">Abbreviations: CLI = critical limb </w:t>
      </w:r>
      <w:proofErr w:type="spellStart"/>
      <w:r w:rsidRPr="00EB6499">
        <w:t>ischaemia</w:t>
      </w:r>
      <w:proofErr w:type="spellEnd"/>
      <w:r w:rsidRPr="00EB6499">
        <w:t>; DCB = drug-coated balloon; IVL = intravascular lithotripsy; MBS = Medicare Benefits Schedule, RR = relative risk; SBA = standard balloon angioplasty; TLR = target limb revascularisation; MAEs = major adverse events</w:t>
      </w:r>
    </w:p>
    <w:p w14:paraId="708E1907" w14:textId="099DAAAC" w:rsidR="0016604D" w:rsidRPr="00996E36" w:rsidRDefault="002D28EC" w:rsidP="00FD0F2A">
      <w:pPr>
        <w:rPr>
          <w:color w:val="000000"/>
        </w:rPr>
      </w:pPr>
      <w:r w:rsidRPr="00996E36">
        <w:t>The commentary</w:t>
      </w:r>
      <w:r w:rsidR="00F15E45" w:rsidRPr="00996E36">
        <w:t xml:space="preserve"> noted that the </w:t>
      </w:r>
      <w:r w:rsidR="008B0EE3" w:rsidRPr="00996E36">
        <w:t xml:space="preserve">cost calculations for the angioplasty or stent insertion (MBS fee) and the stent (device) cost were based on MBS utilisation data </w:t>
      </w:r>
      <w:r w:rsidR="00C11902" w:rsidRPr="00996E36">
        <w:t>instead of the stenting probabilities reported in the DISRUPT PAD III trial</w:t>
      </w:r>
      <w:r w:rsidR="008B0EE3" w:rsidRPr="00996E36">
        <w:rPr>
          <w:color w:val="000000"/>
        </w:rPr>
        <w:t>.</w:t>
      </w:r>
      <w:r w:rsidR="00036B27" w:rsidRPr="00996E36">
        <w:rPr>
          <w:color w:val="000000"/>
        </w:rPr>
        <w:t xml:space="preserve"> </w:t>
      </w:r>
      <w:r w:rsidR="000C4528" w:rsidRPr="00996E36">
        <w:rPr>
          <w:color w:val="000000"/>
        </w:rPr>
        <w:t>Hence, CCA presented here is not relevant for the trial-based analysis, and therefore, the results are uncertain.</w:t>
      </w:r>
    </w:p>
    <w:p w14:paraId="4011CED6" w14:textId="376AD789" w:rsidR="00EB56BA" w:rsidRDefault="00EB56BA" w:rsidP="00FD0F2A">
      <w:pPr>
        <w:rPr>
          <w:i/>
          <w:iCs/>
          <w:color w:val="000000"/>
        </w:rPr>
      </w:pPr>
      <w:r>
        <w:t xml:space="preserve">The commentary noted that </w:t>
      </w:r>
      <w:r w:rsidR="00753A15">
        <w:t xml:space="preserve">there was </w:t>
      </w:r>
      <w:r>
        <w:t>double counting</w:t>
      </w:r>
      <w:r w:rsidR="00753A15">
        <w:t xml:space="preserve"> in the CCA as the </w:t>
      </w:r>
      <w:r w:rsidR="00753A15" w:rsidRPr="004D0849">
        <w:rPr>
          <w:color w:val="000000"/>
        </w:rPr>
        <w:t>incremental cost of IVL vs SBA</w:t>
      </w:r>
      <w:r w:rsidR="00753A15">
        <w:rPr>
          <w:color w:val="000000"/>
        </w:rPr>
        <w:t>,</w:t>
      </w:r>
      <w:r w:rsidR="00753A15" w:rsidRPr="004D0849">
        <w:rPr>
          <w:color w:val="000000"/>
        </w:rPr>
        <w:t xml:space="preserve"> inclusive of </w:t>
      </w:r>
      <w:r w:rsidR="00753A15">
        <w:rPr>
          <w:color w:val="000000"/>
        </w:rPr>
        <w:t>various</w:t>
      </w:r>
      <w:r w:rsidR="00753A15" w:rsidRPr="004D0849">
        <w:rPr>
          <w:color w:val="000000"/>
        </w:rPr>
        <w:t xml:space="preserve"> procedure costs</w:t>
      </w:r>
      <w:r w:rsidR="00036B27">
        <w:rPr>
          <w:color w:val="000000"/>
        </w:rPr>
        <w:t>,</w:t>
      </w:r>
      <w:r w:rsidR="00753A15" w:rsidRPr="004D0849">
        <w:rPr>
          <w:color w:val="000000"/>
        </w:rPr>
        <w:t xml:space="preserve"> </w:t>
      </w:r>
      <w:r w:rsidR="00753A15">
        <w:rPr>
          <w:color w:val="000000"/>
        </w:rPr>
        <w:t xml:space="preserve">were compared </w:t>
      </w:r>
      <w:r w:rsidR="00753A15" w:rsidRPr="004D0849">
        <w:rPr>
          <w:color w:val="000000"/>
        </w:rPr>
        <w:t>against outcomes</w:t>
      </w:r>
      <w:r w:rsidR="00753A15">
        <w:rPr>
          <w:color w:val="000000"/>
        </w:rPr>
        <w:t xml:space="preserve"> specified</w:t>
      </w:r>
      <w:r w:rsidR="00753A15" w:rsidRPr="004D0849">
        <w:rPr>
          <w:color w:val="000000"/>
        </w:rPr>
        <w:t xml:space="preserve"> in terms of avoiding those same procedures</w:t>
      </w:r>
      <w:r w:rsidR="003E08F1">
        <w:rPr>
          <w:color w:val="000000"/>
        </w:rPr>
        <w:t>.</w:t>
      </w:r>
    </w:p>
    <w:p w14:paraId="0E21955C" w14:textId="3678C416" w:rsidR="0016604D" w:rsidRPr="00996E36" w:rsidRDefault="0016604D" w:rsidP="00FD0F2A">
      <w:pPr>
        <w:keepNext/>
        <w:keepLines/>
        <w:rPr>
          <w:iCs/>
        </w:rPr>
      </w:pPr>
      <w:r w:rsidRPr="00996E36">
        <w:rPr>
          <w:iCs/>
          <w:color w:val="000000"/>
        </w:rPr>
        <w:lastRenderedPageBreak/>
        <w:t xml:space="preserve">Therefore, </w:t>
      </w:r>
      <w:r w:rsidR="008A7925">
        <w:rPr>
          <w:iCs/>
          <w:color w:val="000000"/>
        </w:rPr>
        <w:t xml:space="preserve">the commentary conducted </w:t>
      </w:r>
      <w:r w:rsidRPr="00996E36">
        <w:rPr>
          <w:iCs/>
          <w:color w:val="000000"/>
        </w:rPr>
        <w:t xml:space="preserve">an additional </w:t>
      </w:r>
      <w:r w:rsidR="008A7925">
        <w:rPr>
          <w:iCs/>
          <w:color w:val="000000"/>
        </w:rPr>
        <w:t xml:space="preserve">analysis to explore the possibility of providing </w:t>
      </w:r>
      <w:r w:rsidR="00EB6499" w:rsidRPr="00996E36">
        <w:rPr>
          <w:iCs/>
          <w:color w:val="000000"/>
        </w:rPr>
        <w:t>cost-effectiveness analysis (CEA)</w:t>
      </w:r>
      <w:r w:rsidRPr="00996E36">
        <w:rPr>
          <w:iCs/>
        </w:rPr>
        <w:t xml:space="preserve"> </w:t>
      </w:r>
      <w:r w:rsidR="000D3D9C">
        <w:rPr>
          <w:iCs/>
        </w:rPr>
        <w:t>and</w:t>
      </w:r>
      <w:r w:rsidR="008A7925">
        <w:rPr>
          <w:iCs/>
        </w:rPr>
        <w:t xml:space="preserve"> </w:t>
      </w:r>
      <w:r w:rsidR="00BB66BC">
        <w:rPr>
          <w:iCs/>
        </w:rPr>
        <w:t xml:space="preserve">an </w:t>
      </w:r>
      <w:r w:rsidR="008A7925">
        <w:rPr>
          <w:iCs/>
        </w:rPr>
        <w:t xml:space="preserve">ICER to provide more </w:t>
      </w:r>
      <w:r w:rsidR="00BB66BC">
        <w:rPr>
          <w:iCs/>
        </w:rPr>
        <w:t>clarity</w:t>
      </w:r>
      <w:r w:rsidR="008A7925">
        <w:rPr>
          <w:iCs/>
        </w:rPr>
        <w:t xml:space="preserve">. The </w:t>
      </w:r>
      <w:r w:rsidR="00BB66BC">
        <w:rPr>
          <w:iCs/>
        </w:rPr>
        <w:t xml:space="preserve">additional </w:t>
      </w:r>
      <w:r w:rsidR="008A7925">
        <w:rPr>
          <w:iCs/>
        </w:rPr>
        <w:t xml:space="preserve">analysis included a stepped </w:t>
      </w:r>
      <w:r w:rsidR="001917F9">
        <w:rPr>
          <w:iCs/>
        </w:rPr>
        <w:t>economic evaluation</w:t>
      </w:r>
      <w:r w:rsidR="008A7925">
        <w:rPr>
          <w:iCs/>
        </w:rPr>
        <w:t xml:space="preserve"> </w:t>
      </w:r>
      <w:r w:rsidRPr="00996E36">
        <w:rPr>
          <w:iCs/>
          <w:color w:val="000000"/>
        </w:rPr>
        <w:t>based on the following outcomes</w:t>
      </w:r>
      <w:r w:rsidR="008A3EC8" w:rsidRPr="00996E36">
        <w:rPr>
          <w:iCs/>
          <w:color w:val="000000"/>
        </w:rPr>
        <w:t>:</w:t>
      </w:r>
    </w:p>
    <w:p w14:paraId="1B22D328" w14:textId="06702F97" w:rsidR="0016604D" w:rsidRPr="00996E36" w:rsidRDefault="0016604D" w:rsidP="00FD0F2A">
      <w:pPr>
        <w:keepNext/>
        <w:keepLines/>
        <w:spacing w:after="0"/>
        <w:rPr>
          <w:iCs/>
          <w:color w:val="000000"/>
        </w:rPr>
      </w:pPr>
      <w:r w:rsidRPr="00996E36">
        <w:rPr>
          <w:iCs/>
          <w:color w:val="000000"/>
        </w:rPr>
        <w:t xml:space="preserve">- Provisional stents avoided relevant to the 30-days </w:t>
      </w:r>
    </w:p>
    <w:p w14:paraId="1C90F97C" w14:textId="2FA5B5E8" w:rsidR="0016604D" w:rsidRPr="00996E36" w:rsidRDefault="0016604D" w:rsidP="00FD0F2A">
      <w:pPr>
        <w:keepNext/>
        <w:keepLines/>
        <w:spacing w:before="0"/>
        <w:rPr>
          <w:iCs/>
          <w:color w:val="000000"/>
        </w:rPr>
      </w:pPr>
      <w:r w:rsidRPr="00996E36">
        <w:rPr>
          <w:iCs/>
          <w:color w:val="000000"/>
        </w:rPr>
        <w:t xml:space="preserve">- CD-TLR and restenosis avoided at 2 years </w:t>
      </w:r>
    </w:p>
    <w:p w14:paraId="01299527" w14:textId="735DDE0E" w:rsidR="00036B27" w:rsidRDefault="00036B27" w:rsidP="00FD0F2A">
      <w:pPr>
        <w:rPr>
          <w:iCs/>
          <w:color w:val="000000"/>
        </w:rPr>
      </w:pPr>
      <w:r>
        <w:rPr>
          <w:iCs/>
          <w:color w:val="000000"/>
        </w:rPr>
        <w:t xml:space="preserve">The additional CEA was based on </w:t>
      </w:r>
      <w:r w:rsidR="001917F9" w:rsidRPr="00552C0F">
        <w:t xml:space="preserve">DISRUPT PAD III </w:t>
      </w:r>
      <w:r w:rsidR="001917F9" w:rsidRPr="00A05D1B">
        <w:t>trial</w:t>
      </w:r>
      <w:r w:rsidR="001917F9" w:rsidDel="001917F9">
        <w:rPr>
          <w:iCs/>
          <w:color w:val="000000"/>
        </w:rPr>
        <w:t xml:space="preserve"> </w:t>
      </w:r>
      <w:r>
        <w:rPr>
          <w:iCs/>
          <w:color w:val="000000"/>
        </w:rPr>
        <w:t>data</w:t>
      </w:r>
      <w:r w:rsidR="001917F9">
        <w:rPr>
          <w:iCs/>
          <w:color w:val="000000"/>
        </w:rPr>
        <w:t xml:space="preserve"> with the probability of</w:t>
      </w:r>
      <w:r>
        <w:rPr>
          <w:iCs/>
          <w:color w:val="000000"/>
        </w:rPr>
        <w:t xml:space="preserve"> p</w:t>
      </w:r>
      <w:r w:rsidRPr="00036B27">
        <w:rPr>
          <w:iCs/>
          <w:color w:val="000000"/>
        </w:rPr>
        <w:t>rovisional stent</w:t>
      </w:r>
      <w:r w:rsidR="001917F9">
        <w:rPr>
          <w:iCs/>
          <w:color w:val="000000"/>
        </w:rPr>
        <w:t>ing</w:t>
      </w:r>
      <w:r w:rsidRPr="00036B27">
        <w:rPr>
          <w:iCs/>
          <w:color w:val="000000"/>
        </w:rPr>
        <w:t xml:space="preserve"> </w:t>
      </w:r>
      <w:r w:rsidR="001917F9">
        <w:rPr>
          <w:iCs/>
          <w:color w:val="000000"/>
        </w:rPr>
        <w:t xml:space="preserve">being </w:t>
      </w:r>
      <w:r>
        <w:rPr>
          <w:iCs/>
          <w:color w:val="000000"/>
        </w:rPr>
        <w:t>4.6% in the IVL arm vs 18.3% in the SBA arm.</w:t>
      </w:r>
    </w:p>
    <w:p w14:paraId="07F7817B" w14:textId="2419E063" w:rsidR="002D28EC" w:rsidRDefault="00404EAD" w:rsidP="00FD0F2A">
      <w:pPr>
        <w:rPr>
          <w:iCs/>
          <w:color w:val="000000"/>
        </w:rPr>
      </w:pPr>
      <w:r w:rsidRPr="00996E36">
        <w:rPr>
          <w:iCs/>
          <w:color w:val="000000"/>
        </w:rPr>
        <w:t>Stenting cost</w:t>
      </w:r>
      <w:r w:rsidR="0016604D" w:rsidRPr="00996E36">
        <w:rPr>
          <w:iCs/>
          <w:color w:val="000000"/>
        </w:rPr>
        <w:t xml:space="preserve"> was not included </w:t>
      </w:r>
      <w:r w:rsidRPr="00996E36">
        <w:rPr>
          <w:iCs/>
          <w:color w:val="000000"/>
        </w:rPr>
        <w:t xml:space="preserve">in the CEA that was based on </w:t>
      </w:r>
      <w:r w:rsidR="009E7FEF">
        <w:rPr>
          <w:iCs/>
          <w:color w:val="000000"/>
        </w:rPr>
        <w:t xml:space="preserve">the </w:t>
      </w:r>
      <w:r w:rsidR="0016604D" w:rsidRPr="00996E36">
        <w:rPr>
          <w:iCs/>
          <w:color w:val="000000"/>
        </w:rPr>
        <w:t xml:space="preserve">provisional stent </w:t>
      </w:r>
      <w:r w:rsidR="009E7FEF">
        <w:rPr>
          <w:iCs/>
          <w:color w:val="000000"/>
        </w:rPr>
        <w:t xml:space="preserve">outcome </w:t>
      </w:r>
      <w:r w:rsidR="001917F9">
        <w:rPr>
          <w:iCs/>
          <w:color w:val="000000"/>
        </w:rPr>
        <w:t>to avoid double counting</w:t>
      </w:r>
      <w:r w:rsidR="0016604D" w:rsidRPr="00996E36">
        <w:rPr>
          <w:iCs/>
          <w:color w:val="000000"/>
        </w:rPr>
        <w:t>.</w:t>
      </w:r>
      <w:r w:rsidR="00EB6499" w:rsidRPr="003D0DFA">
        <w:rPr>
          <w:iCs/>
        </w:rPr>
        <w:t xml:space="preserve"> </w:t>
      </w:r>
      <w:r w:rsidR="00EB6499" w:rsidRPr="00996E36">
        <w:rPr>
          <w:iCs/>
          <w:color w:val="000000"/>
        </w:rPr>
        <w:t xml:space="preserve">However, the cost of stenting was used in the </w:t>
      </w:r>
      <w:r w:rsidRPr="00996E36">
        <w:rPr>
          <w:iCs/>
          <w:color w:val="000000"/>
        </w:rPr>
        <w:t xml:space="preserve">CEA related to </w:t>
      </w:r>
      <w:r w:rsidR="00EB6499" w:rsidRPr="00996E36">
        <w:rPr>
          <w:iCs/>
          <w:color w:val="000000"/>
        </w:rPr>
        <w:t>CD-TLR and restenosis avoided at 2 years.</w:t>
      </w:r>
    </w:p>
    <w:p w14:paraId="7E09B6EB" w14:textId="2013A3F9" w:rsidR="000A22D0" w:rsidRDefault="00036B27" w:rsidP="00FD0F2A">
      <w:pPr>
        <w:rPr>
          <w:iCs/>
          <w:color w:val="000000"/>
        </w:rPr>
      </w:pPr>
      <w:r>
        <w:rPr>
          <w:iCs/>
          <w:color w:val="000000"/>
        </w:rPr>
        <w:t xml:space="preserve">The ADAR included </w:t>
      </w:r>
      <w:r w:rsidRPr="00036B27">
        <w:rPr>
          <w:iCs/>
          <w:color w:val="000000"/>
        </w:rPr>
        <w:t>DCB (device)</w:t>
      </w:r>
      <w:r>
        <w:rPr>
          <w:iCs/>
          <w:color w:val="000000"/>
        </w:rPr>
        <w:t xml:space="preserve"> cost based on the percentage of patients who require DCB other than the stent ($900 </w:t>
      </w:r>
      <w:r w:rsidR="006F5C2E">
        <w:rPr>
          <w:iCs/>
          <w:color w:val="000000"/>
        </w:rPr>
        <w:t xml:space="preserve">DCB </w:t>
      </w:r>
      <w:r>
        <w:rPr>
          <w:iCs/>
          <w:color w:val="000000"/>
        </w:rPr>
        <w:t>device cost*</w:t>
      </w:r>
      <w:r w:rsidR="006F5C2E">
        <w:rPr>
          <w:iCs/>
          <w:color w:val="000000"/>
        </w:rPr>
        <w:t>(</w:t>
      </w:r>
      <w:r>
        <w:rPr>
          <w:iCs/>
          <w:color w:val="000000"/>
        </w:rPr>
        <w:t>100-11.</w:t>
      </w:r>
      <w:proofErr w:type="gramStart"/>
      <w:r>
        <w:rPr>
          <w:iCs/>
          <w:color w:val="000000"/>
        </w:rPr>
        <w:t>3)%</w:t>
      </w:r>
      <w:proofErr w:type="gramEnd"/>
      <w:r>
        <w:rPr>
          <w:iCs/>
          <w:color w:val="000000"/>
        </w:rPr>
        <w:t xml:space="preserve"> and the 11.3% was the rate of stenting based on </w:t>
      </w:r>
      <w:r w:rsidR="008A7925">
        <w:rPr>
          <w:iCs/>
          <w:color w:val="000000"/>
        </w:rPr>
        <w:t>p</w:t>
      </w:r>
      <w:r w:rsidRPr="00036B27">
        <w:rPr>
          <w:iCs/>
          <w:color w:val="000000"/>
        </w:rPr>
        <w:t>rovisional stents performed (Australian practice based on trial RR)</w:t>
      </w:r>
      <w:r>
        <w:rPr>
          <w:iCs/>
          <w:color w:val="000000"/>
        </w:rPr>
        <w:t xml:space="preserve">. The DISRUPT PAD III RCT evaluated IVL and SBA as a vessel preparation strategy prior to DCB and/or stent. For the </w:t>
      </w:r>
      <w:r w:rsidRPr="00036B27">
        <w:rPr>
          <w:iCs/>
          <w:color w:val="000000"/>
        </w:rPr>
        <w:t xml:space="preserve">35 patients (28 PTA, 7 IVL) </w:t>
      </w:r>
      <w:r>
        <w:rPr>
          <w:iCs/>
          <w:color w:val="000000"/>
        </w:rPr>
        <w:t>who received stents, the</w:t>
      </w:r>
      <w:r w:rsidRPr="00036B27">
        <w:rPr>
          <w:iCs/>
          <w:color w:val="000000"/>
        </w:rPr>
        <w:t xml:space="preserve"> stent placement occurred with 15 stents placed prior to DCB treatment and 20 stents placed after DCB treatment.</w:t>
      </w:r>
      <w:r>
        <w:rPr>
          <w:rStyle w:val="FootnoteReference"/>
          <w:iCs/>
          <w:color w:val="000000"/>
        </w:rPr>
        <w:t>1</w:t>
      </w:r>
      <w:r>
        <w:rPr>
          <w:iCs/>
          <w:color w:val="000000"/>
        </w:rPr>
        <w:t xml:space="preserve"> Therefore, the</w:t>
      </w:r>
      <w:r w:rsidR="00BB66BC">
        <w:rPr>
          <w:iCs/>
          <w:color w:val="000000"/>
        </w:rPr>
        <w:t xml:space="preserve"> analysis conducted during</w:t>
      </w:r>
      <w:r>
        <w:rPr>
          <w:iCs/>
          <w:color w:val="000000"/>
        </w:rPr>
        <w:t xml:space="preserve"> evaluation included DCB cost </w:t>
      </w:r>
      <w:r w:rsidR="009E7FEF">
        <w:rPr>
          <w:iCs/>
          <w:color w:val="000000"/>
        </w:rPr>
        <w:t>regardless of</w:t>
      </w:r>
      <w:r>
        <w:rPr>
          <w:iCs/>
          <w:color w:val="000000"/>
        </w:rPr>
        <w:t xml:space="preserve"> stent insertion.</w:t>
      </w:r>
    </w:p>
    <w:p w14:paraId="765F7D19" w14:textId="2C863910" w:rsidR="0016604D" w:rsidRPr="003D0DFA" w:rsidRDefault="007A7D26" w:rsidP="00FD0F2A">
      <w:pPr>
        <w:rPr>
          <w:iCs/>
          <w:color w:val="000000"/>
        </w:rPr>
      </w:pPr>
      <w:r>
        <w:rPr>
          <w:iCs/>
          <w:color w:val="000000"/>
        </w:rPr>
        <w:t>MBS costs for IVL and SBA arms were calculated based on the weighted average of relevant MBS items.</w:t>
      </w:r>
      <w:r w:rsidR="000A22D0">
        <w:rPr>
          <w:iCs/>
          <w:color w:val="000000"/>
        </w:rPr>
        <w:t xml:space="preserve"> </w:t>
      </w:r>
      <w:r w:rsidR="00494174" w:rsidRPr="00996E36">
        <w:rPr>
          <w:iCs/>
          <w:color w:val="000000"/>
        </w:rPr>
        <w:t xml:space="preserve">Table </w:t>
      </w:r>
      <w:r w:rsidR="00EB6499" w:rsidRPr="00996E36">
        <w:rPr>
          <w:iCs/>
          <w:color w:val="000000"/>
        </w:rPr>
        <w:t xml:space="preserve">9 </w:t>
      </w:r>
      <w:r w:rsidR="0016604D" w:rsidRPr="00996E36">
        <w:rPr>
          <w:iCs/>
          <w:color w:val="000000"/>
        </w:rPr>
        <w:t xml:space="preserve">summarises the additional </w:t>
      </w:r>
      <w:r w:rsidR="002B49E2" w:rsidRPr="00996E36">
        <w:rPr>
          <w:iCs/>
          <w:color w:val="000000"/>
        </w:rPr>
        <w:t xml:space="preserve">CEA </w:t>
      </w:r>
      <w:r w:rsidR="0016604D" w:rsidRPr="00996E36">
        <w:rPr>
          <w:iCs/>
          <w:color w:val="000000"/>
        </w:rPr>
        <w:t xml:space="preserve">analysis performed </w:t>
      </w:r>
      <w:r w:rsidR="00EB6499" w:rsidRPr="00996E36">
        <w:rPr>
          <w:iCs/>
          <w:color w:val="000000"/>
        </w:rPr>
        <w:t>during the evaluation.</w:t>
      </w:r>
      <w:r w:rsidR="00EB6499" w:rsidRPr="003D0DFA">
        <w:rPr>
          <w:iCs/>
          <w:color w:val="000000"/>
        </w:rPr>
        <w:t xml:space="preserve"> </w:t>
      </w:r>
    </w:p>
    <w:p w14:paraId="40E197EF" w14:textId="3520EE37" w:rsidR="007A7D26" w:rsidRDefault="00494174" w:rsidP="00FD0F2A">
      <w:pPr>
        <w:pStyle w:val="Caption"/>
        <w:spacing w:before="0" w:after="0"/>
      </w:pPr>
      <w:r w:rsidRPr="0016604D">
        <w:rPr>
          <w:i/>
          <w:iCs/>
        </w:rPr>
        <w:t xml:space="preserve">Table </w:t>
      </w:r>
      <w:r w:rsidR="009328F4" w:rsidRPr="0016604D">
        <w:rPr>
          <w:i/>
          <w:iCs/>
        </w:rPr>
        <w:fldChar w:fldCharType="begin"/>
      </w:r>
      <w:r w:rsidR="009328F4" w:rsidRPr="0016604D">
        <w:rPr>
          <w:i/>
          <w:iCs/>
        </w:rPr>
        <w:instrText xml:space="preserve"> SEQ Table \* ARABIC </w:instrText>
      </w:r>
      <w:r w:rsidR="009328F4" w:rsidRPr="0016604D">
        <w:rPr>
          <w:i/>
          <w:iCs/>
        </w:rPr>
        <w:fldChar w:fldCharType="separate"/>
      </w:r>
      <w:r w:rsidR="009A5224">
        <w:rPr>
          <w:i/>
          <w:iCs/>
          <w:noProof/>
        </w:rPr>
        <w:t>9</w:t>
      </w:r>
      <w:r w:rsidR="009328F4" w:rsidRPr="0016604D">
        <w:rPr>
          <w:i/>
          <w:iCs/>
          <w:noProof/>
        </w:rPr>
        <w:fldChar w:fldCharType="end"/>
      </w:r>
      <w:r w:rsidRPr="0016604D">
        <w:rPr>
          <w:i/>
          <w:iCs/>
        </w:rPr>
        <w:t xml:space="preserve">: </w:t>
      </w:r>
      <w:r w:rsidR="006B7024">
        <w:rPr>
          <w:i/>
          <w:iCs/>
        </w:rPr>
        <w:t>Commentary</w:t>
      </w:r>
      <w:r w:rsidR="006B7024" w:rsidRPr="0016604D">
        <w:rPr>
          <w:i/>
          <w:iCs/>
        </w:rPr>
        <w:t xml:space="preserve"> </w:t>
      </w:r>
      <w:r w:rsidR="00EB6499" w:rsidRPr="0016604D">
        <w:rPr>
          <w:i/>
          <w:iCs/>
        </w:rPr>
        <w:t>C</w:t>
      </w:r>
      <w:r w:rsidR="00DA2D33">
        <w:rPr>
          <w:i/>
          <w:iCs/>
        </w:rPr>
        <w:t>EA</w:t>
      </w:r>
      <w:r w:rsidR="00EB6499" w:rsidRPr="0016604D">
        <w:rPr>
          <w:i/>
          <w:iCs/>
        </w:rPr>
        <w:t xml:space="preserve"> </w:t>
      </w:r>
      <w:r w:rsidR="0016604D" w:rsidRPr="0016604D">
        <w:rPr>
          <w:i/>
          <w:iCs/>
        </w:rPr>
        <w:t xml:space="preserve">performed </w:t>
      </w:r>
      <w:r w:rsidR="00EB6499">
        <w:rPr>
          <w:i/>
          <w:iCs/>
        </w:rPr>
        <w:t xml:space="preserve">during the </w:t>
      </w:r>
      <w:proofErr w:type="gramStart"/>
      <w:r w:rsidR="00EB6499">
        <w:rPr>
          <w:i/>
          <w:iCs/>
        </w:rPr>
        <w:t>evaluation</w:t>
      </w:r>
      <w:proofErr w:type="gramEnd"/>
    </w:p>
    <w:tbl>
      <w:tblPr>
        <w:tblStyle w:val="MSAC"/>
        <w:tblW w:w="5107" w:type="pct"/>
        <w:tblLook w:val="04A0" w:firstRow="1" w:lastRow="0" w:firstColumn="1" w:lastColumn="0" w:noHBand="0" w:noVBand="1"/>
      </w:tblPr>
      <w:tblGrid>
        <w:gridCol w:w="3823"/>
        <w:gridCol w:w="1984"/>
        <w:gridCol w:w="1558"/>
        <w:gridCol w:w="1844"/>
      </w:tblGrid>
      <w:tr w:rsidR="00D070C7" w:rsidRPr="000A22D0" w14:paraId="15CD9052" w14:textId="77777777">
        <w:trPr>
          <w:cnfStyle w:val="100000000000" w:firstRow="1" w:lastRow="0" w:firstColumn="0" w:lastColumn="0" w:oddVBand="0" w:evenVBand="0" w:oddHBand="0" w:evenHBand="0" w:firstRowFirstColumn="0" w:firstRowLastColumn="0" w:lastRowFirstColumn="0" w:lastRowLastColumn="0"/>
          <w:cantSplit/>
          <w:trHeight w:val="283"/>
        </w:trPr>
        <w:tc>
          <w:tcPr>
            <w:tcW w:w="5000" w:type="pct"/>
            <w:gridSpan w:val="4"/>
            <w:tcBorders>
              <w:top w:val="single" w:sz="4" w:space="0" w:color="auto"/>
              <w:left w:val="single" w:sz="4" w:space="0" w:color="auto"/>
              <w:bottom w:val="single" w:sz="4" w:space="0" w:color="auto"/>
              <w:right w:val="single" w:sz="4" w:space="0" w:color="auto"/>
            </w:tcBorders>
            <w:hideMark/>
          </w:tcPr>
          <w:p w14:paraId="457788F2" w14:textId="77777777" w:rsidR="00D070C7" w:rsidRPr="00563350" w:rsidRDefault="00D070C7" w:rsidP="00FD0F2A">
            <w:pPr>
              <w:pStyle w:val="In-tableHeading"/>
              <w:spacing w:before="0"/>
            </w:pPr>
            <w:r w:rsidRPr="00563350">
              <w:t>Provisional stents avoided (30 days)</w:t>
            </w:r>
          </w:p>
        </w:tc>
      </w:tr>
      <w:tr w:rsidR="00D070C7" w:rsidRPr="000A22D0" w14:paraId="455E3E6F"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0A265C8E" w14:textId="77777777" w:rsidR="00D070C7" w:rsidRPr="000A22D0" w:rsidRDefault="00D070C7" w:rsidP="00FD0F2A">
            <w:pPr>
              <w:pStyle w:val="In-tableHeading"/>
              <w:spacing w:before="0"/>
            </w:pPr>
            <w:r w:rsidRPr="000A22D0">
              <w:t>Costs</w:t>
            </w:r>
          </w:p>
        </w:tc>
        <w:tc>
          <w:tcPr>
            <w:tcW w:w="1077" w:type="pct"/>
            <w:tcBorders>
              <w:top w:val="single" w:sz="4" w:space="0" w:color="auto"/>
              <w:left w:val="single" w:sz="4" w:space="0" w:color="auto"/>
              <w:bottom w:val="single" w:sz="4" w:space="0" w:color="auto"/>
              <w:right w:val="single" w:sz="4" w:space="0" w:color="auto"/>
            </w:tcBorders>
            <w:hideMark/>
          </w:tcPr>
          <w:p w14:paraId="7CB960FD" w14:textId="77777777" w:rsidR="00D070C7" w:rsidRPr="000A22D0" w:rsidRDefault="00D070C7" w:rsidP="00FD0F2A">
            <w:pPr>
              <w:pStyle w:val="In-tableHeading"/>
              <w:spacing w:before="0"/>
              <w:jc w:val="center"/>
            </w:pPr>
            <w:r w:rsidRPr="000A22D0">
              <w:t>IVL</w:t>
            </w:r>
          </w:p>
        </w:tc>
        <w:tc>
          <w:tcPr>
            <w:tcW w:w="846" w:type="pct"/>
            <w:tcBorders>
              <w:top w:val="single" w:sz="4" w:space="0" w:color="auto"/>
              <w:left w:val="single" w:sz="4" w:space="0" w:color="auto"/>
              <w:bottom w:val="single" w:sz="4" w:space="0" w:color="auto"/>
              <w:right w:val="single" w:sz="4" w:space="0" w:color="auto"/>
            </w:tcBorders>
            <w:hideMark/>
          </w:tcPr>
          <w:p w14:paraId="6ECACCF5" w14:textId="77777777" w:rsidR="00D070C7" w:rsidRPr="000A22D0" w:rsidRDefault="00D070C7" w:rsidP="00FD0F2A">
            <w:pPr>
              <w:pStyle w:val="In-tableHeading"/>
              <w:spacing w:before="0"/>
              <w:jc w:val="center"/>
            </w:pPr>
            <w:r w:rsidRPr="000A22D0">
              <w:t>SBA</w:t>
            </w:r>
          </w:p>
        </w:tc>
        <w:tc>
          <w:tcPr>
            <w:tcW w:w="1001" w:type="pct"/>
            <w:tcBorders>
              <w:top w:val="single" w:sz="4" w:space="0" w:color="auto"/>
              <w:left w:val="single" w:sz="4" w:space="0" w:color="auto"/>
              <w:bottom w:val="single" w:sz="4" w:space="0" w:color="auto"/>
              <w:right w:val="single" w:sz="4" w:space="0" w:color="auto"/>
            </w:tcBorders>
            <w:hideMark/>
          </w:tcPr>
          <w:p w14:paraId="7525C75D" w14:textId="77777777" w:rsidR="00D070C7" w:rsidRPr="000A22D0" w:rsidRDefault="00D070C7" w:rsidP="00FD0F2A">
            <w:pPr>
              <w:pStyle w:val="In-tableHeading"/>
              <w:spacing w:before="0"/>
              <w:jc w:val="center"/>
            </w:pPr>
            <w:r w:rsidRPr="000A22D0">
              <w:t>Incremental</w:t>
            </w:r>
          </w:p>
        </w:tc>
      </w:tr>
      <w:tr w:rsidR="00D070C7" w:rsidRPr="000A22D0" w14:paraId="26E13A4B"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4B8E07B5" w14:textId="77777777" w:rsidR="00D070C7" w:rsidRPr="00563350" w:rsidRDefault="00D070C7" w:rsidP="00FD0F2A">
            <w:pPr>
              <w:pStyle w:val="TableText"/>
              <w:spacing w:before="0" w:after="0"/>
            </w:pPr>
            <w:r w:rsidRPr="00563350">
              <w:t>IVL (MBS)</w:t>
            </w:r>
            <w:r w:rsidRPr="00563350">
              <w:rPr>
                <w:vertAlign w:val="superscript"/>
              </w:rPr>
              <w:t>a</w:t>
            </w:r>
          </w:p>
        </w:tc>
        <w:tc>
          <w:tcPr>
            <w:tcW w:w="1077" w:type="pct"/>
            <w:tcBorders>
              <w:top w:val="single" w:sz="4" w:space="0" w:color="auto"/>
              <w:left w:val="single" w:sz="4" w:space="0" w:color="auto"/>
              <w:bottom w:val="single" w:sz="4" w:space="0" w:color="auto"/>
              <w:right w:val="single" w:sz="4" w:space="0" w:color="auto"/>
            </w:tcBorders>
            <w:hideMark/>
          </w:tcPr>
          <w:p w14:paraId="22CA8D5D" w14:textId="77777777" w:rsidR="00D070C7" w:rsidRPr="00563350" w:rsidRDefault="00D070C7" w:rsidP="00FD0F2A">
            <w:pPr>
              <w:pStyle w:val="TableText"/>
              <w:spacing w:before="0" w:after="0"/>
              <w:jc w:val="center"/>
            </w:pPr>
            <w:r w:rsidRPr="00563350">
              <w:t>$736.25</w:t>
            </w:r>
          </w:p>
        </w:tc>
        <w:tc>
          <w:tcPr>
            <w:tcW w:w="846" w:type="pct"/>
            <w:tcBorders>
              <w:top w:val="single" w:sz="4" w:space="0" w:color="auto"/>
              <w:left w:val="single" w:sz="4" w:space="0" w:color="auto"/>
              <w:bottom w:val="single" w:sz="4" w:space="0" w:color="auto"/>
              <w:right w:val="single" w:sz="4" w:space="0" w:color="auto"/>
            </w:tcBorders>
            <w:hideMark/>
          </w:tcPr>
          <w:p w14:paraId="4F9DDDC2" w14:textId="77777777" w:rsidR="00D070C7" w:rsidRPr="00563350" w:rsidRDefault="00D070C7" w:rsidP="00FD0F2A">
            <w:pPr>
              <w:pStyle w:val="TableText"/>
              <w:spacing w:before="0" w:after="0"/>
              <w:jc w:val="center"/>
            </w:pPr>
            <w:r w:rsidRPr="00563350">
              <w:t>$0.00</w:t>
            </w:r>
          </w:p>
        </w:tc>
        <w:tc>
          <w:tcPr>
            <w:tcW w:w="1001" w:type="pct"/>
            <w:tcBorders>
              <w:top w:val="single" w:sz="4" w:space="0" w:color="auto"/>
              <w:left w:val="single" w:sz="4" w:space="0" w:color="auto"/>
              <w:bottom w:val="single" w:sz="4" w:space="0" w:color="auto"/>
              <w:right w:val="single" w:sz="4" w:space="0" w:color="auto"/>
            </w:tcBorders>
            <w:hideMark/>
          </w:tcPr>
          <w:p w14:paraId="7651456C" w14:textId="77777777" w:rsidR="00D070C7" w:rsidRPr="00563350" w:rsidRDefault="00D070C7" w:rsidP="00FD0F2A">
            <w:pPr>
              <w:pStyle w:val="TableText"/>
              <w:spacing w:before="0" w:after="0"/>
              <w:jc w:val="center"/>
            </w:pPr>
            <w:r w:rsidRPr="00563350">
              <w:t>$736.25</w:t>
            </w:r>
          </w:p>
        </w:tc>
      </w:tr>
      <w:tr w:rsidR="00D070C7" w:rsidRPr="000A22D0" w14:paraId="593645BB"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2986250A" w14:textId="77777777" w:rsidR="00D070C7" w:rsidRPr="00563350" w:rsidRDefault="00D070C7" w:rsidP="00FD0F2A">
            <w:pPr>
              <w:pStyle w:val="TableText"/>
              <w:spacing w:before="0" w:after="0"/>
            </w:pPr>
            <w:r w:rsidRPr="00563350">
              <w:t>IVL (device)</w:t>
            </w:r>
          </w:p>
        </w:tc>
        <w:tc>
          <w:tcPr>
            <w:tcW w:w="1077" w:type="pct"/>
            <w:tcBorders>
              <w:top w:val="single" w:sz="4" w:space="0" w:color="auto"/>
              <w:left w:val="single" w:sz="4" w:space="0" w:color="auto"/>
              <w:bottom w:val="single" w:sz="4" w:space="0" w:color="auto"/>
              <w:right w:val="single" w:sz="4" w:space="0" w:color="auto"/>
            </w:tcBorders>
            <w:hideMark/>
          </w:tcPr>
          <w:p w14:paraId="1A47C9A6" w14:textId="53329DAB" w:rsidR="00D070C7" w:rsidRPr="00563350" w:rsidRDefault="00D070C7" w:rsidP="00FD0F2A">
            <w:pPr>
              <w:pStyle w:val="TableText"/>
              <w:spacing w:before="0" w:after="0"/>
              <w:jc w:val="center"/>
            </w:pPr>
            <w:r w:rsidRPr="00563350">
              <w:t>$</w:t>
            </w:r>
            <w:r w:rsidR="00F86611" w:rsidRPr="00B73D4C">
              <w:rPr>
                <w:b/>
                <w:bCs/>
              </w:rPr>
              <w:t xml:space="preserve"> redacted</w:t>
            </w:r>
          </w:p>
        </w:tc>
        <w:tc>
          <w:tcPr>
            <w:tcW w:w="846" w:type="pct"/>
            <w:tcBorders>
              <w:top w:val="single" w:sz="4" w:space="0" w:color="auto"/>
              <w:left w:val="single" w:sz="4" w:space="0" w:color="auto"/>
              <w:bottom w:val="single" w:sz="4" w:space="0" w:color="auto"/>
              <w:right w:val="single" w:sz="4" w:space="0" w:color="auto"/>
            </w:tcBorders>
            <w:hideMark/>
          </w:tcPr>
          <w:p w14:paraId="4F0FB70D" w14:textId="77777777" w:rsidR="00D070C7" w:rsidRPr="00563350" w:rsidRDefault="00D070C7" w:rsidP="00FD0F2A">
            <w:pPr>
              <w:pStyle w:val="TableText"/>
              <w:spacing w:before="0" w:after="0"/>
              <w:jc w:val="center"/>
            </w:pPr>
            <w:r w:rsidRPr="00563350">
              <w:t>$0.00</w:t>
            </w:r>
          </w:p>
        </w:tc>
        <w:tc>
          <w:tcPr>
            <w:tcW w:w="1001" w:type="pct"/>
            <w:tcBorders>
              <w:top w:val="single" w:sz="4" w:space="0" w:color="auto"/>
              <w:left w:val="single" w:sz="4" w:space="0" w:color="auto"/>
              <w:bottom w:val="single" w:sz="4" w:space="0" w:color="auto"/>
              <w:right w:val="single" w:sz="4" w:space="0" w:color="auto"/>
            </w:tcBorders>
            <w:hideMark/>
          </w:tcPr>
          <w:p w14:paraId="28EE4E15" w14:textId="0420AE04" w:rsidR="00D070C7" w:rsidRPr="00563350" w:rsidRDefault="00D070C7" w:rsidP="00FD0F2A">
            <w:pPr>
              <w:pStyle w:val="TableText"/>
              <w:spacing w:before="0" w:after="0"/>
              <w:jc w:val="center"/>
            </w:pPr>
            <w:r w:rsidRPr="00563350">
              <w:t>$</w:t>
            </w:r>
            <w:r w:rsidR="00F86611" w:rsidRPr="00B73D4C">
              <w:rPr>
                <w:b/>
                <w:bCs/>
              </w:rPr>
              <w:t xml:space="preserve"> redacted</w:t>
            </w:r>
          </w:p>
        </w:tc>
      </w:tr>
      <w:tr w:rsidR="00D070C7" w:rsidRPr="000A22D0" w14:paraId="071A52C0"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121E096D" w14:textId="77777777" w:rsidR="00D070C7" w:rsidRPr="00563350" w:rsidRDefault="00D070C7" w:rsidP="00FD0F2A">
            <w:pPr>
              <w:pStyle w:val="TableText"/>
              <w:spacing w:before="0" w:after="0"/>
            </w:pPr>
            <w:r w:rsidRPr="00563350">
              <w:t>SBA (MBS)</w:t>
            </w:r>
            <w:r w:rsidRPr="00563350">
              <w:rPr>
                <w:vertAlign w:val="superscript"/>
              </w:rPr>
              <w:t>b</w:t>
            </w:r>
          </w:p>
        </w:tc>
        <w:tc>
          <w:tcPr>
            <w:tcW w:w="1077" w:type="pct"/>
            <w:tcBorders>
              <w:top w:val="single" w:sz="4" w:space="0" w:color="auto"/>
              <w:left w:val="single" w:sz="4" w:space="0" w:color="auto"/>
              <w:bottom w:val="single" w:sz="4" w:space="0" w:color="auto"/>
              <w:right w:val="single" w:sz="4" w:space="0" w:color="auto"/>
            </w:tcBorders>
            <w:hideMark/>
          </w:tcPr>
          <w:p w14:paraId="255C630E" w14:textId="77777777" w:rsidR="00D070C7" w:rsidRPr="00563350" w:rsidRDefault="00D070C7" w:rsidP="00FD0F2A">
            <w:pPr>
              <w:pStyle w:val="TableText"/>
              <w:spacing w:before="0" w:after="0"/>
              <w:jc w:val="center"/>
            </w:pPr>
            <w:r w:rsidRPr="00563350">
              <w:t>$0</w:t>
            </w:r>
          </w:p>
        </w:tc>
        <w:tc>
          <w:tcPr>
            <w:tcW w:w="846" w:type="pct"/>
            <w:tcBorders>
              <w:top w:val="single" w:sz="4" w:space="0" w:color="auto"/>
              <w:left w:val="single" w:sz="4" w:space="0" w:color="auto"/>
              <w:bottom w:val="single" w:sz="4" w:space="0" w:color="auto"/>
              <w:right w:val="single" w:sz="4" w:space="0" w:color="auto"/>
            </w:tcBorders>
            <w:hideMark/>
          </w:tcPr>
          <w:p w14:paraId="6450DC5C" w14:textId="77777777" w:rsidR="00D070C7" w:rsidRPr="00563350" w:rsidRDefault="00D070C7" w:rsidP="00FD0F2A">
            <w:pPr>
              <w:pStyle w:val="TableText"/>
              <w:spacing w:before="0" w:after="0"/>
              <w:jc w:val="center"/>
            </w:pPr>
            <w:r w:rsidRPr="00563350">
              <w:t>$642.41</w:t>
            </w:r>
          </w:p>
        </w:tc>
        <w:tc>
          <w:tcPr>
            <w:tcW w:w="1001" w:type="pct"/>
            <w:tcBorders>
              <w:top w:val="single" w:sz="4" w:space="0" w:color="auto"/>
              <w:left w:val="single" w:sz="4" w:space="0" w:color="auto"/>
              <w:bottom w:val="single" w:sz="4" w:space="0" w:color="auto"/>
              <w:right w:val="single" w:sz="4" w:space="0" w:color="auto"/>
            </w:tcBorders>
            <w:hideMark/>
          </w:tcPr>
          <w:p w14:paraId="0D22B22E" w14:textId="77777777" w:rsidR="00D070C7" w:rsidRPr="00563350" w:rsidRDefault="00D070C7" w:rsidP="00FD0F2A">
            <w:pPr>
              <w:pStyle w:val="TableText"/>
              <w:spacing w:before="0" w:after="0"/>
              <w:jc w:val="center"/>
            </w:pPr>
            <w:r w:rsidRPr="00563350">
              <w:t>-$642.41</w:t>
            </w:r>
          </w:p>
        </w:tc>
      </w:tr>
      <w:tr w:rsidR="00D070C7" w:rsidRPr="000A22D0" w14:paraId="662E3DC3"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17E54088" w14:textId="77777777" w:rsidR="00D070C7" w:rsidRPr="00563350" w:rsidRDefault="00D070C7" w:rsidP="00FD0F2A">
            <w:pPr>
              <w:pStyle w:val="TableText"/>
              <w:spacing w:before="0" w:after="0"/>
            </w:pPr>
            <w:r w:rsidRPr="00563350">
              <w:t>DCB</w:t>
            </w:r>
          </w:p>
        </w:tc>
        <w:tc>
          <w:tcPr>
            <w:tcW w:w="1077" w:type="pct"/>
            <w:tcBorders>
              <w:top w:val="single" w:sz="4" w:space="0" w:color="auto"/>
              <w:left w:val="single" w:sz="4" w:space="0" w:color="auto"/>
              <w:bottom w:val="single" w:sz="4" w:space="0" w:color="auto"/>
              <w:right w:val="single" w:sz="4" w:space="0" w:color="auto"/>
            </w:tcBorders>
            <w:hideMark/>
          </w:tcPr>
          <w:p w14:paraId="50E95E66" w14:textId="77777777" w:rsidR="00D070C7" w:rsidRPr="00563350" w:rsidRDefault="00D070C7" w:rsidP="00FD0F2A">
            <w:pPr>
              <w:pStyle w:val="TableText"/>
              <w:spacing w:before="0" w:after="0"/>
              <w:jc w:val="center"/>
            </w:pPr>
            <w:r w:rsidRPr="00563350">
              <w:t>$900.00</w:t>
            </w:r>
          </w:p>
        </w:tc>
        <w:tc>
          <w:tcPr>
            <w:tcW w:w="846" w:type="pct"/>
            <w:tcBorders>
              <w:top w:val="single" w:sz="4" w:space="0" w:color="auto"/>
              <w:left w:val="single" w:sz="4" w:space="0" w:color="auto"/>
              <w:bottom w:val="single" w:sz="4" w:space="0" w:color="auto"/>
              <w:right w:val="single" w:sz="4" w:space="0" w:color="auto"/>
            </w:tcBorders>
            <w:hideMark/>
          </w:tcPr>
          <w:p w14:paraId="23D7435A" w14:textId="77777777" w:rsidR="00D070C7" w:rsidRPr="00563350" w:rsidRDefault="00D070C7" w:rsidP="00FD0F2A">
            <w:pPr>
              <w:pStyle w:val="TableText"/>
              <w:spacing w:before="0" w:after="0"/>
              <w:jc w:val="center"/>
            </w:pPr>
            <w:r w:rsidRPr="00563350">
              <w:t>$900.00</w:t>
            </w:r>
          </w:p>
        </w:tc>
        <w:tc>
          <w:tcPr>
            <w:tcW w:w="1001" w:type="pct"/>
            <w:tcBorders>
              <w:top w:val="single" w:sz="4" w:space="0" w:color="auto"/>
              <w:left w:val="single" w:sz="4" w:space="0" w:color="auto"/>
              <w:bottom w:val="single" w:sz="4" w:space="0" w:color="auto"/>
              <w:right w:val="single" w:sz="4" w:space="0" w:color="auto"/>
            </w:tcBorders>
            <w:hideMark/>
          </w:tcPr>
          <w:p w14:paraId="143F9470" w14:textId="77777777" w:rsidR="00D070C7" w:rsidRPr="00563350" w:rsidRDefault="00D070C7" w:rsidP="00FD0F2A">
            <w:pPr>
              <w:pStyle w:val="TableText"/>
              <w:spacing w:before="0" w:after="0"/>
              <w:jc w:val="center"/>
            </w:pPr>
            <w:r w:rsidRPr="00563350">
              <w:t>$0.00</w:t>
            </w:r>
          </w:p>
        </w:tc>
      </w:tr>
      <w:tr w:rsidR="00D070C7" w:rsidRPr="000A22D0" w14:paraId="270FD6E2"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17046112" w14:textId="77777777" w:rsidR="00D070C7" w:rsidRPr="00563350" w:rsidRDefault="00D070C7" w:rsidP="00FD0F2A">
            <w:pPr>
              <w:pStyle w:val="TableText"/>
              <w:spacing w:before="0" w:after="0"/>
            </w:pPr>
            <w:r w:rsidRPr="00563350">
              <w:t>Total</w:t>
            </w:r>
          </w:p>
        </w:tc>
        <w:tc>
          <w:tcPr>
            <w:tcW w:w="1077" w:type="pct"/>
            <w:tcBorders>
              <w:top w:val="single" w:sz="4" w:space="0" w:color="auto"/>
              <w:left w:val="single" w:sz="4" w:space="0" w:color="auto"/>
              <w:bottom w:val="single" w:sz="4" w:space="0" w:color="auto"/>
              <w:right w:val="single" w:sz="4" w:space="0" w:color="auto"/>
            </w:tcBorders>
            <w:hideMark/>
          </w:tcPr>
          <w:p w14:paraId="1E0CB35A" w14:textId="74C0712B" w:rsidR="00D070C7" w:rsidRPr="00563350" w:rsidRDefault="00D070C7" w:rsidP="00FD0F2A">
            <w:pPr>
              <w:pStyle w:val="TableText"/>
              <w:spacing w:before="0" w:after="0"/>
              <w:jc w:val="center"/>
            </w:pPr>
            <w:r w:rsidRPr="00563350">
              <w:t>$</w:t>
            </w:r>
            <w:r w:rsidR="00F86611" w:rsidRPr="00B73D4C">
              <w:rPr>
                <w:b/>
                <w:bCs/>
              </w:rPr>
              <w:t xml:space="preserve"> redacted</w:t>
            </w:r>
            <w:r w:rsidR="00F86611" w:rsidRPr="00563350" w:rsidDel="00F86611">
              <w:t xml:space="preserve"> </w:t>
            </w:r>
          </w:p>
        </w:tc>
        <w:tc>
          <w:tcPr>
            <w:tcW w:w="846" w:type="pct"/>
            <w:tcBorders>
              <w:top w:val="single" w:sz="4" w:space="0" w:color="auto"/>
              <w:left w:val="single" w:sz="4" w:space="0" w:color="auto"/>
              <w:bottom w:val="single" w:sz="4" w:space="0" w:color="auto"/>
              <w:right w:val="single" w:sz="4" w:space="0" w:color="auto"/>
            </w:tcBorders>
            <w:hideMark/>
          </w:tcPr>
          <w:p w14:paraId="684945EE" w14:textId="77777777" w:rsidR="00D070C7" w:rsidRPr="00563350" w:rsidRDefault="00D070C7" w:rsidP="00FD0F2A">
            <w:pPr>
              <w:pStyle w:val="TableText"/>
              <w:spacing w:before="0" w:after="0"/>
              <w:jc w:val="center"/>
            </w:pPr>
            <w:r w:rsidRPr="00563350">
              <w:t>$1,542.41</w:t>
            </w:r>
          </w:p>
        </w:tc>
        <w:tc>
          <w:tcPr>
            <w:tcW w:w="1001" w:type="pct"/>
            <w:tcBorders>
              <w:top w:val="single" w:sz="4" w:space="0" w:color="auto"/>
              <w:left w:val="single" w:sz="4" w:space="0" w:color="auto"/>
              <w:bottom w:val="single" w:sz="4" w:space="0" w:color="auto"/>
              <w:right w:val="single" w:sz="4" w:space="0" w:color="auto"/>
            </w:tcBorders>
            <w:hideMark/>
          </w:tcPr>
          <w:p w14:paraId="5E0CAB2D" w14:textId="15C274C9" w:rsidR="00D070C7" w:rsidRPr="00563350" w:rsidRDefault="00D070C7" w:rsidP="00FD0F2A">
            <w:pPr>
              <w:pStyle w:val="TableText"/>
              <w:spacing w:before="0" w:after="0"/>
              <w:jc w:val="center"/>
            </w:pPr>
            <w:r w:rsidRPr="00563350">
              <w:t>$</w:t>
            </w:r>
            <w:r w:rsidR="00F86611" w:rsidRPr="00B73D4C">
              <w:rPr>
                <w:b/>
                <w:bCs/>
              </w:rPr>
              <w:t xml:space="preserve"> redacted</w:t>
            </w:r>
            <w:r w:rsidR="00F86611" w:rsidRPr="00563350" w:rsidDel="00F86611">
              <w:t xml:space="preserve"> </w:t>
            </w:r>
          </w:p>
        </w:tc>
      </w:tr>
      <w:tr w:rsidR="00D070C7" w:rsidRPr="000A22D0" w14:paraId="650B39BC"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25B36768" w14:textId="77777777" w:rsidR="00D070C7" w:rsidRPr="00563350" w:rsidRDefault="00D070C7" w:rsidP="00FD0F2A">
            <w:pPr>
              <w:pStyle w:val="TableText"/>
              <w:spacing w:before="0" w:after="0"/>
              <w:rPr>
                <w:b/>
                <w:bCs/>
              </w:rPr>
            </w:pPr>
            <w:r w:rsidRPr="00563350">
              <w:rPr>
                <w:b/>
                <w:bCs/>
              </w:rPr>
              <w:t>Outcomes</w:t>
            </w:r>
          </w:p>
        </w:tc>
        <w:tc>
          <w:tcPr>
            <w:tcW w:w="1077" w:type="pct"/>
            <w:tcBorders>
              <w:top w:val="single" w:sz="4" w:space="0" w:color="auto"/>
              <w:left w:val="single" w:sz="4" w:space="0" w:color="auto"/>
              <w:bottom w:val="single" w:sz="4" w:space="0" w:color="auto"/>
              <w:right w:val="single" w:sz="4" w:space="0" w:color="auto"/>
            </w:tcBorders>
            <w:hideMark/>
          </w:tcPr>
          <w:p w14:paraId="6E92C94F" w14:textId="77777777" w:rsidR="00D070C7" w:rsidRPr="00563350" w:rsidRDefault="00D070C7" w:rsidP="00FD0F2A">
            <w:pPr>
              <w:pStyle w:val="TableText"/>
              <w:spacing w:before="0" w:after="0"/>
              <w:jc w:val="center"/>
              <w:rPr>
                <w:b/>
                <w:bCs/>
              </w:rPr>
            </w:pPr>
            <w:r w:rsidRPr="00563350">
              <w:rPr>
                <w:b/>
                <w:bCs/>
              </w:rPr>
              <w:t>IVL</w:t>
            </w:r>
          </w:p>
        </w:tc>
        <w:tc>
          <w:tcPr>
            <w:tcW w:w="846" w:type="pct"/>
            <w:tcBorders>
              <w:top w:val="single" w:sz="4" w:space="0" w:color="auto"/>
              <w:left w:val="single" w:sz="4" w:space="0" w:color="auto"/>
              <w:bottom w:val="single" w:sz="4" w:space="0" w:color="auto"/>
              <w:right w:val="single" w:sz="4" w:space="0" w:color="auto"/>
            </w:tcBorders>
            <w:hideMark/>
          </w:tcPr>
          <w:p w14:paraId="1041D550" w14:textId="77777777" w:rsidR="00D070C7" w:rsidRPr="00563350" w:rsidRDefault="00D070C7" w:rsidP="00FD0F2A">
            <w:pPr>
              <w:pStyle w:val="TableText"/>
              <w:spacing w:before="0" w:after="0"/>
              <w:jc w:val="center"/>
              <w:rPr>
                <w:b/>
                <w:bCs/>
              </w:rPr>
            </w:pPr>
            <w:r w:rsidRPr="00563350">
              <w:rPr>
                <w:b/>
                <w:bCs/>
              </w:rPr>
              <w:t>SBA</w:t>
            </w:r>
          </w:p>
        </w:tc>
        <w:tc>
          <w:tcPr>
            <w:tcW w:w="1001" w:type="pct"/>
            <w:tcBorders>
              <w:top w:val="single" w:sz="4" w:space="0" w:color="auto"/>
              <w:left w:val="single" w:sz="4" w:space="0" w:color="auto"/>
              <w:bottom w:val="single" w:sz="4" w:space="0" w:color="auto"/>
              <w:right w:val="single" w:sz="4" w:space="0" w:color="auto"/>
            </w:tcBorders>
            <w:hideMark/>
          </w:tcPr>
          <w:p w14:paraId="48A10A0C" w14:textId="77777777" w:rsidR="00D070C7" w:rsidRPr="00563350" w:rsidRDefault="00D070C7" w:rsidP="00FD0F2A">
            <w:pPr>
              <w:pStyle w:val="TableText"/>
              <w:spacing w:before="0" w:after="0"/>
              <w:jc w:val="center"/>
              <w:rPr>
                <w:b/>
                <w:bCs/>
              </w:rPr>
            </w:pPr>
            <w:r w:rsidRPr="00563350">
              <w:rPr>
                <w:b/>
                <w:bCs/>
              </w:rPr>
              <w:t>Incremental</w:t>
            </w:r>
          </w:p>
        </w:tc>
      </w:tr>
      <w:tr w:rsidR="00D070C7" w:rsidRPr="000A22D0" w14:paraId="2264CF47"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7AB2D728" w14:textId="77777777" w:rsidR="00D070C7" w:rsidRPr="00563350" w:rsidRDefault="00D070C7" w:rsidP="00FD0F2A">
            <w:pPr>
              <w:pStyle w:val="TableText"/>
              <w:spacing w:before="0" w:after="0"/>
            </w:pPr>
            <w:r w:rsidRPr="00563350">
              <w:t>Provisional stents at 30 days</w:t>
            </w:r>
          </w:p>
        </w:tc>
        <w:tc>
          <w:tcPr>
            <w:tcW w:w="1077" w:type="pct"/>
            <w:tcBorders>
              <w:top w:val="single" w:sz="4" w:space="0" w:color="auto"/>
              <w:left w:val="single" w:sz="4" w:space="0" w:color="auto"/>
              <w:bottom w:val="single" w:sz="4" w:space="0" w:color="auto"/>
              <w:right w:val="single" w:sz="4" w:space="0" w:color="auto"/>
            </w:tcBorders>
            <w:hideMark/>
          </w:tcPr>
          <w:p w14:paraId="39F50F05" w14:textId="77777777" w:rsidR="00D070C7" w:rsidRPr="00563350" w:rsidRDefault="00D070C7" w:rsidP="00FD0F2A">
            <w:pPr>
              <w:pStyle w:val="TableText"/>
              <w:spacing w:before="0" w:after="0"/>
              <w:jc w:val="center"/>
            </w:pPr>
            <w:r w:rsidRPr="00563350">
              <w:t>4.6%</w:t>
            </w:r>
          </w:p>
        </w:tc>
        <w:tc>
          <w:tcPr>
            <w:tcW w:w="846" w:type="pct"/>
            <w:tcBorders>
              <w:top w:val="single" w:sz="4" w:space="0" w:color="auto"/>
              <w:left w:val="single" w:sz="4" w:space="0" w:color="auto"/>
              <w:bottom w:val="single" w:sz="4" w:space="0" w:color="auto"/>
              <w:right w:val="single" w:sz="4" w:space="0" w:color="auto"/>
            </w:tcBorders>
            <w:hideMark/>
          </w:tcPr>
          <w:p w14:paraId="094E0577" w14:textId="77777777" w:rsidR="00D070C7" w:rsidRPr="00563350" w:rsidRDefault="00D070C7" w:rsidP="00FD0F2A">
            <w:pPr>
              <w:pStyle w:val="TableText"/>
              <w:spacing w:before="0" w:after="0"/>
              <w:jc w:val="center"/>
            </w:pPr>
            <w:r w:rsidRPr="00563350">
              <w:t>18.3%</w:t>
            </w:r>
          </w:p>
        </w:tc>
        <w:tc>
          <w:tcPr>
            <w:tcW w:w="1001" w:type="pct"/>
            <w:tcBorders>
              <w:top w:val="single" w:sz="4" w:space="0" w:color="auto"/>
              <w:left w:val="single" w:sz="4" w:space="0" w:color="auto"/>
              <w:bottom w:val="single" w:sz="4" w:space="0" w:color="auto"/>
              <w:right w:val="single" w:sz="4" w:space="0" w:color="auto"/>
            </w:tcBorders>
            <w:hideMark/>
          </w:tcPr>
          <w:p w14:paraId="1134671F" w14:textId="77777777" w:rsidR="00D070C7" w:rsidRPr="00563350" w:rsidRDefault="00D070C7" w:rsidP="00FD0F2A">
            <w:pPr>
              <w:pStyle w:val="TableText"/>
              <w:spacing w:before="0" w:after="0"/>
              <w:jc w:val="center"/>
            </w:pPr>
            <w:r w:rsidRPr="00563350">
              <w:t>-13.7%</w:t>
            </w:r>
          </w:p>
        </w:tc>
      </w:tr>
      <w:tr w:rsidR="00D070C7" w:rsidRPr="000A22D0" w14:paraId="4CD3786E" w14:textId="77777777">
        <w:trPr>
          <w:cantSplit/>
          <w:trHeight w:val="283"/>
        </w:trPr>
        <w:tc>
          <w:tcPr>
            <w:tcW w:w="5000" w:type="pct"/>
            <w:gridSpan w:val="4"/>
            <w:tcBorders>
              <w:top w:val="single" w:sz="4" w:space="0" w:color="auto"/>
              <w:left w:val="single" w:sz="4" w:space="0" w:color="auto"/>
              <w:bottom w:val="single" w:sz="4" w:space="0" w:color="auto"/>
              <w:right w:val="single" w:sz="4" w:space="0" w:color="auto"/>
            </w:tcBorders>
            <w:hideMark/>
          </w:tcPr>
          <w:p w14:paraId="1070A76B" w14:textId="77777777" w:rsidR="00D070C7" w:rsidRPr="00563350" w:rsidRDefault="00D070C7" w:rsidP="00FD0F2A">
            <w:pPr>
              <w:pStyle w:val="In-tableHeading"/>
              <w:spacing w:before="0"/>
            </w:pPr>
            <w:r w:rsidRPr="00563350">
              <w:t>CD-TLR and restenosis avoided (two years)</w:t>
            </w:r>
          </w:p>
        </w:tc>
      </w:tr>
      <w:tr w:rsidR="00D070C7" w:rsidRPr="000A22D0" w14:paraId="0F899512"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67BFF584" w14:textId="77777777" w:rsidR="00D070C7" w:rsidRPr="00563350" w:rsidRDefault="00D070C7" w:rsidP="00FD0F2A">
            <w:pPr>
              <w:pStyle w:val="In-tableHeading"/>
              <w:spacing w:before="0"/>
            </w:pPr>
            <w:r w:rsidRPr="00563350">
              <w:t>Costs</w:t>
            </w:r>
          </w:p>
        </w:tc>
        <w:tc>
          <w:tcPr>
            <w:tcW w:w="1077" w:type="pct"/>
            <w:tcBorders>
              <w:top w:val="single" w:sz="4" w:space="0" w:color="auto"/>
              <w:left w:val="single" w:sz="4" w:space="0" w:color="auto"/>
              <w:bottom w:val="single" w:sz="4" w:space="0" w:color="auto"/>
              <w:right w:val="single" w:sz="4" w:space="0" w:color="auto"/>
            </w:tcBorders>
            <w:hideMark/>
          </w:tcPr>
          <w:p w14:paraId="4A3AB5D3" w14:textId="77777777" w:rsidR="00D070C7" w:rsidRPr="00563350" w:rsidRDefault="00D070C7" w:rsidP="00FD0F2A">
            <w:pPr>
              <w:pStyle w:val="In-tableHeading"/>
              <w:spacing w:before="0"/>
              <w:jc w:val="center"/>
            </w:pPr>
            <w:r w:rsidRPr="00563350">
              <w:t>IVL</w:t>
            </w:r>
          </w:p>
        </w:tc>
        <w:tc>
          <w:tcPr>
            <w:tcW w:w="846" w:type="pct"/>
            <w:tcBorders>
              <w:top w:val="single" w:sz="4" w:space="0" w:color="auto"/>
              <w:left w:val="single" w:sz="4" w:space="0" w:color="auto"/>
              <w:bottom w:val="single" w:sz="4" w:space="0" w:color="auto"/>
              <w:right w:val="single" w:sz="4" w:space="0" w:color="auto"/>
            </w:tcBorders>
            <w:hideMark/>
          </w:tcPr>
          <w:p w14:paraId="495E3692" w14:textId="77777777" w:rsidR="00D070C7" w:rsidRPr="00563350" w:rsidRDefault="00D070C7" w:rsidP="00FD0F2A">
            <w:pPr>
              <w:pStyle w:val="In-tableHeading"/>
              <w:spacing w:before="0"/>
              <w:jc w:val="center"/>
            </w:pPr>
            <w:r w:rsidRPr="00563350">
              <w:t>SBA</w:t>
            </w:r>
          </w:p>
        </w:tc>
        <w:tc>
          <w:tcPr>
            <w:tcW w:w="1001" w:type="pct"/>
            <w:tcBorders>
              <w:top w:val="single" w:sz="4" w:space="0" w:color="auto"/>
              <w:left w:val="single" w:sz="4" w:space="0" w:color="auto"/>
              <w:bottom w:val="single" w:sz="4" w:space="0" w:color="auto"/>
              <w:right w:val="single" w:sz="4" w:space="0" w:color="auto"/>
            </w:tcBorders>
            <w:hideMark/>
          </w:tcPr>
          <w:p w14:paraId="3E604D7D" w14:textId="77777777" w:rsidR="00D070C7" w:rsidRPr="00563350" w:rsidRDefault="00D070C7" w:rsidP="00FD0F2A">
            <w:pPr>
              <w:pStyle w:val="In-tableHeading"/>
              <w:spacing w:before="0"/>
              <w:jc w:val="center"/>
            </w:pPr>
            <w:r w:rsidRPr="00563350">
              <w:t>Incremental</w:t>
            </w:r>
          </w:p>
        </w:tc>
      </w:tr>
      <w:tr w:rsidR="00D070C7" w:rsidRPr="000A22D0" w14:paraId="70056EBD"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2C289328" w14:textId="77777777" w:rsidR="00D070C7" w:rsidRPr="00563350" w:rsidRDefault="00D070C7" w:rsidP="00FD0F2A">
            <w:pPr>
              <w:pStyle w:val="TableText"/>
              <w:spacing w:before="0" w:after="0"/>
            </w:pPr>
            <w:r w:rsidRPr="00563350">
              <w:t>IVL (MBS)</w:t>
            </w:r>
          </w:p>
        </w:tc>
        <w:tc>
          <w:tcPr>
            <w:tcW w:w="1077" w:type="pct"/>
            <w:tcBorders>
              <w:top w:val="single" w:sz="4" w:space="0" w:color="auto"/>
              <w:left w:val="single" w:sz="4" w:space="0" w:color="auto"/>
              <w:bottom w:val="single" w:sz="4" w:space="0" w:color="auto"/>
              <w:right w:val="single" w:sz="4" w:space="0" w:color="auto"/>
            </w:tcBorders>
            <w:hideMark/>
          </w:tcPr>
          <w:p w14:paraId="2BA2212D" w14:textId="77777777" w:rsidR="00D070C7" w:rsidRPr="00563350" w:rsidRDefault="00D070C7" w:rsidP="00FD0F2A">
            <w:pPr>
              <w:pStyle w:val="TableText"/>
              <w:spacing w:before="0" w:after="0"/>
              <w:jc w:val="center"/>
            </w:pPr>
            <w:r w:rsidRPr="00563350">
              <w:t>$736.25</w:t>
            </w:r>
          </w:p>
        </w:tc>
        <w:tc>
          <w:tcPr>
            <w:tcW w:w="846" w:type="pct"/>
            <w:tcBorders>
              <w:top w:val="single" w:sz="4" w:space="0" w:color="auto"/>
              <w:left w:val="single" w:sz="4" w:space="0" w:color="auto"/>
              <w:bottom w:val="single" w:sz="4" w:space="0" w:color="auto"/>
              <w:right w:val="single" w:sz="4" w:space="0" w:color="auto"/>
            </w:tcBorders>
            <w:hideMark/>
          </w:tcPr>
          <w:p w14:paraId="05DF854E" w14:textId="77777777" w:rsidR="00D070C7" w:rsidRPr="00563350" w:rsidRDefault="00D070C7" w:rsidP="00FD0F2A">
            <w:pPr>
              <w:pStyle w:val="TableText"/>
              <w:spacing w:before="0" w:after="0"/>
              <w:jc w:val="center"/>
            </w:pPr>
            <w:r w:rsidRPr="00563350">
              <w:t>$0.00</w:t>
            </w:r>
          </w:p>
        </w:tc>
        <w:tc>
          <w:tcPr>
            <w:tcW w:w="1001" w:type="pct"/>
            <w:tcBorders>
              <w:top w:val="single" w:sz="4" w:space="0" w:color="auto"/>
              <w:left w:val="single" w:sz="4" w:space="0" w:color="auto"/>
              <w:bottom w:val="single" w:sz="4" w:space="0" w:color="auto"/>
              <w:right w:val="single" w:sz="4" w:space="0" w:color="auto"/>
            </w:tcBorders>
            <w:hideMark/>
          </w:tcPr>
          <w:p w14:paraId="6B09BF86" w14:textId="77777777" w:rsidR="00D070C7" w:rsidRPr="00563350" w:rsidRDefault="00D070C7" w:rsidP="00FD0F2A">
            <w:pPr>
              <w:pStyle w:val="TableText"/>
              <w:spacing w:before="0" w:after="0"/>
              <w:jc w:val="center"/>
            </w:pPr>
            <w:r w:rsidRPr="00563350">
              <w:t>$</w:t>
            </w:r>
            <w:r>
              <w:t>736.25</w:t>
            </w:r>
            <w:r w:rsidRPr="00563350" w:rsidDel="0077615E">
              <w:t xml:space="preserve"> </w:t>
            </w:r>
          </w:p>
        </w:tc>
      </w:tr>
      <w:tr w:rsidR="00D070C7" w:rsidRPr="000A22D0" w14:paraId="7D432E37"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1B763AA1" w14:textId="77777777" w:rsidR="00D070C7" w:rsidRPr="00563350" w:rsidRDefault="00D070C7" w:rsidP="00FD0F2A">
            <w:pPr>
              <w:pStyle w:val="TableText"/>
              <w:spacing w:before="0" w:after="0"/>
            </w:pPr>
            <w:r w:rsidRPr="00563350">
              <w:t>IVL (device)</w:t>
            </w:r>
          </w:p>
        </w:tc>
        <w:tc>
          <w:tcPr>
            <w:tcW w:w="1077" w:type="pct"/>
            <w:tcBorders>
              <w:top w:val="single" w:sz="4" w:space="0" w:color="auto"/>
              <w:left w:val="single" w:sz="4" w:space="0" w:color="auto"/>
              <w:bottom w:val="single" w:sz="4" w:space="0" w:color="auto"/>
              <w:right w:val="single" w:sz="4" w:space="0" w:color="auto"/>
            </w:tcBorders>
            <w:hideMark/>
          </w:tcPr>
          <w:p w14:paraId="21B3F09B" w14:textId="600707BA" w:rsidR="00D070C7" w:rsidRPr="00563350" w:rsidRDefault="00D070C7" w:rsidP="00FD0F2A">
            <w:pPr>
              <w:pStyle w:val="TableText"/>
              <w:spacing w:before="0" w:after="0"/>
              <w:jc w:val="center"/>
            </w:pPr>
            <w:r w:rsidRPr="00563350">
              <w:t>$</w:t>
            </w:r>
            <w:r w:rsidR="00F86611" w:rsidRPr="00B73D4C">
              <w:rPr>
                <w:b/>
                <w:bCs/>
              </w:rPr>
              <w:t xml:space="preserve"> redacted</w:t>
            </w:r>
            <w:r w:rsidR="00F86611" w:rsidRPr="00563350" w:rsidDel="00F86611">
              <w:t xml:space="preserve"> </w:t>
            </w:r>
          </w:p>
        </w:tc>
        <w:tc>
          <w:tcPr>
            <w:tcW w:w="846" w:type="pct"/>
            <w:tcBorders>
              <w:top w:val="single" w:sz="4" w:space="0" w:color="auto"/>
              <w:left w:val="single" w:sz="4" w:space="0" w:color="auto"/>
              <w:bottom w:val="single" w:sz="4" w:space="0" w:color="auto"/>
              <w:right w:val="single" w:sz="4" w:space="0" w:color="auto"/>
            </w:tcBorders>
            <w:hideMark/>
          </w:tcPr>
          <w:p w14:paraId="0F22340B" w14:textId="77777777" w:rsidR="00D070C7" w:rsidRPr="00563350" w:rsidRDefault="00D070C7" w:rsidP="00FD0F2A">
            <w:pPr>
              <w:pStyle w:val="TableText"/>
              <w:spacing w:before="0" w:after="0"/>
              <w:jc w:val="center"/>
            </w:pPr>
            <w:r w:rsidRPr="00563350">
              <w:t>$0.00</w:t>
            </w:r>
          </w:p>
        </w:tc>
        <w:tc>
          <w:tcPr>
            <w:tcW w:w="1001" w:type="pct"/>
            <w:tcBorders>
              <w:top w:val="single" w:sz="4" w:space="0" w:color="auto"/>
              <w:left w:val="single" w:sz="4" w:space="0" w:color="auto"/>
              <w:bottom w:val="single" w:sz="4" w:space="0" w:color="auto"/>
              <w:right w:val="single" w:sz="4" w:space="0" w:color="auto"/>
            </w:tcBorders>
            <w:hideMark/>
          </w:tcPr>
          <w:p w14:paraId="2E333348" w14:textId="08C05A11" w:rsidR="00D070C7" w:rsidRPr="00563350" w:rsidRDefault="00D070C7" w:rsidP="00FD0F2A">
            <w:pPr>
              <w:pStyle w:val="TableText"/>
              <w:spacing w:before="0" w:after="0"/>
              <w:jc w:val="center"/>
            </w:pPr>
            <w:r w:rsidRPr="00563350">
              <w:t>$</w:t>
            </w:r>
            <w:r w:rsidR="00F86611" w:rsidRPr="00B73D4C">
              <w:rPr>
                <w:b/>
                <w:bCs/>
              </w:rPr>
              <w:t xml:space="preserve"> redacted</w:t>
            </w:r>
            <w:r w:rsidR="00F86611" w:rsidRPr="00563350" w:rsidDel="00F86611">
              <w:t xml:space="preserve"> </w:t>
            </w:r>
          </w:p>
        </w:tc>
      </w:tr>
      <w:tr w:rsidR="00D070C7" w:rsidRPr="000A22D0" w14:paraId="4CE99442"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1550E4C0" w14:textId="0171849E" w:rsidR="00D070C7" w:rsidRPr="00563350" w:rsidRDefault="00D070C7" w:rsidP="00FD0F2A">
            <w:pPr>
              <w:pStyle w:val="TableText"/>
              <w:spacing w:before="0" w:after="0"/>
            </w:pPr>
            <w:r w:rsidRPr="00563350">
              <w:t>SBA and stent insertion (MBS)</w:t>
            </w:r>
            <w:r w:rsidR="006D0365">
              <w:rPr>
                <w:vertAlign w:val="superscript"/>
              </w:rPr>
              <w:t>c</w:t>
            </w:r>
          </w:p>
        </w:tc>
        <w:tc>
          <w:tcPr>
            <w:tcW w:w="1077" w:type="pct"/>
            <w:tcBorders>
              <w:top w:val="single" w:sz="4" w:space="0" w:color="auto"/>
              <w:left w:val="single" w:sz="4" w:space="0" w:color="auto"/>
              <w:bottom w:val="single" w:sz="4" w:space="0" w:color="auto"/>
              <w:right w:val="single" w:sz="4" w:space="0" w:color="auto"/>
            </w:tcBorders>
            <w:hideMark/>
          </w:tcPr>
          <w:p w14:paraId="5B645B76" w14:textId="77777777" w:rsidR="00D070C7" w:rsidRPr="00563350" w:rsidRDefault="00D070C7" w:rsidP="00FD0F2A">
            <w:pPr>
              <w:pStyle w:val="TableText"/>
              <w:spacing w:before="0" w:after="0"/>
              <w:jc w:val="center"/>
            </w:pPr>
            <w:r w:rsidRPr="00563350">
              <w:t>$</w:t>
            </w:r>
            <w:r>
              <w:t>34.62</w:t>
            </w:r>
          </w:p>
        </w:tc>
        <w:tc>
          <w:tcPr>
            <w:tcW w:w="846" w:type="pct"/>
            <w:tcBorders>
              <w:top w:val="single" w:sz="4" w:space="0" w:color="auto"/>
              <w:left w:val="single" w:sz="4" w:space="0" w:color="auto"/>
              <w:bottom w:val="single" w:sz="4" w:space="0" w:color="auto"/>
              <w:right w:val="single" w:sz="4" w:space="0" w:color="auto"/>
            </w:tcBorders>
            <w:hideMark/>
          </w:tcPr>
          <w:p w14:paraId="3415A32C" w14:textId="77777777" w:rsidR="00D070C7" w:rsidRPr="00563350" w:rsidRDefault="00D070C7" w:rsidP="00FD0F2A">
            <w:pPr>
              <w:pStyle w:val="TableText"/>
              <w:spacing w:before="0" w:after="0"/>
              <w:jc w:val="center"/>
            </w:pPr>
            <w:r w:rsidRPr="00563350">
              <w:t>$663.31</w:t>
            </w:r>
          </w:p>
        </w:tc>
        <w:tc>
          <w:tcPr>
            <w:tcW w:w="1001" w:type="pct"/>
            <w:tcBorders>
              <w:top w:val="single" w:sz="4" w:space="0" w:color="auto"/>
              <w:left w:val="single" w:sz="4" w:space="0" w:color="auto"/>
              <w:bottom w:val="single" w:sz="4" w:space="0" w:color="auto"/>
              <w:right w:val="single" w:sz="4" w:space="0" w:color="auto"/>
            </w:tcBorders>
            <w:hideMark/>
          </w:tcPr>
          <w:p w14:paraId="3D2198A4" w14:textId="77777777" w:rsidR="00D070C7" w:rsidRPr="00563350" w:rsidRDefault="00D070C7" w:rsidP="00FD0F2A">
            <w:pPr>
              <w:pStyle w:val="TableText"/>
              <w:spacing w:before="0" w:after="0"/>
              <w:jc w:val="center"/>
            </w:pPr>
            <w:r w:rsidRPr="00563350">
              <w:t>-$6</w:t>
            </w:r>
            <w:r>
              <w:t>28.69</w:t>
            </w:r>
          </w:p>
        </w:tc>
      </w:tr>
      <w:tr w:rsidR="00D070C7" w:rsidRPr="000A22D0" w14:paraId="7D64D37C"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37E98929" w14:textId="77777777" w:rsidR="00D070C7" w:rsidRPr="00563350" w:rsidRDefault="00D070C7" w:rsidP="00FD0F2A">
            <w:pPr>
              <w:pStyle w:val="TableText"/>
              <w:spacing w:before="0" w:after="0"/>
            </w:pPr>
            <w:r w:rsidRPr="00563350">
              <w:t>Stent</w:t>
            </w:r>
          </w:p>
        </w:tc>
        <w:tc>
          <w:tcPr>
            <w:tcW w:w="1077" w:type="pct"/>
            <w:tcBorders>
              <w:top w:val="single" w:sz="4" w:space="0" w:color="auto"/>
              <w:left w:val="single" w:sz="4" w:space="0" w:color="auto"/>
              <w:bottom w:val="single" w:sz="4" w:space="0" w:color="auto"/>
              <w:right w:val="single" w:sz="4" w:space="0" w:color="auto"/>
            </w:tcBorders>
            <w:hideMark/>
          </w:tcPr>
          <w:p w14:paraId="153FB3ED" w14:textId="77777777" w:rsidR="00D070C7" w:rsidRPr="00563350" w:rsidRDefault="00D070C7" w:rsidP="00FD0F2A">
            <w:pPr>
              <w:pStyle w:val="TableText"/>
              <w:spacing w:before="0" w:after="0"/>
              <w:jc w:val="center"/>
            </w:pPr>
            <w:r w:rsidRPr="00563350">
              <w:t>$94.39</w:t>
            </w:r>
          </w:p>
        </w:tc>
        <w:tc>
          <w:tcPr>
            <w:tcW w:w="846" w:type="pct"/>
            <w:tcBorders>
              <w:top w:val="single" w:sz="4" w:space="0" w:color="auto"/>
              <w:left w:val="single" w:sz="4" w:space="0" w:color="auto"/>
              <w:bottom w:val="single" w:sz="4" w:space="0" w:color="auto"/>
              <w:right w:val="single" w:sz="4" w:space="0" w:color="auto"/>
            </w:tcBorders>
            <w:hideMark/>
          </w:tcPr>
          <w:p w14:paraId="47E65042" w14:textId="77777777" w:rsidR="00D070C7" w:rsidRPr="00563350" w:rsidRDefault="00D070C7" w:rsidP="00FD0F2A">
            <w:pPr>
              <w:pStyle w:val="TableText"/>
              <w:spacing w:before="0" w:after="0"/>
              <w:jc w:val="center"/>
            </w:pPr>
            <w:r w:rsidRPr="00563350">
              <w:t>$377.54</w:t>
            </w:r>
          </w:p>
        </w:tc>
        <w:tc>
          <w:tcPr>
            <w:tcW w:w="1001" w:type="pct"/>
            <w:tcBorders>
              <w:top w:val="single" w:sz="4" w:space="0" w:color="auto"/>
              <w:left w:val="single" w:sz="4" w:space="0" w:color="auto"/>
              <w:bottom w:val="single" w:sz="4" w:space="0" w:color="auto"/>
              <w:right w:val="single" w:sz="4" w:space="0" w:color="auto"/>
            </w:tcBorders>
            <w:hideMark/>
          </w:tcPr>
          <w:p w14:paraId="69A1C08D" w14:textId="77777777" w:rsidR="00D070C7" w:rsidRPr="00563350" w:rsidRDefault="00D070C7" w:rsidP="00FD0F2A">
            <w:pPr>
              <w:pStyle w:val="TableText"/>
              <w:spacing w:before="0" w:after="0"/>
              <w:jc w:val="center"/>
            </w:pPr>
            <w:r w:rsidRPr="00563350">
              <w:t>-$283.16</w:t>
            </w:r>
          </w:p>
        </w:tc>
      </w:tr>
      <w:tr w:rsidR="00D070C7" w:rsidRPr="000A22D0" w14:paraId="541BD60F"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20123C54" w14:textId="77777777" w:rsidR="00D070C7" w:rsidRPr="00563350" w:rsidRDefault="00D070C7" w:rsidP="00FD0F2A">
            <w:pPr>
              <w:pStyle w:val="TableText"/>
              <w:spacing w:before="0" w:after="0"/>
            </w:pPr>
            <w:r w:rsidRPr="00563350">
              <w:t>DCB</w:t>
            </w:r>
          </w:p>
        </w:tc>
        <w:tc>
          <w:tcPr>
            <w:tcW w:w="1077" w:type="pct"/>
            <w:tcBorders>
              <w:top w:val="single" w:sz="4" w:space="0" w:color="auto"/>
              <w:left w:val="single" w:sz="4" w:space="0" w:color="auto"/>
              <w:bottom w:val="single" w:sz="4" w:space="0" w:color="auto"/>
              <w:right w:val="single" w:sz="4" w:space="0" w:color="auto"/>
            </w:tcBorders>
            <w:hideMark/>
          </w:tcPr>
          <w:p w14:paraId="76A114CA" w14:textId="77777777" w:rsidR="00D070C7" w:rsidRPr="00563350" w:rsidRDefault="00D070C7" w:rsidP="00FD0F2A">
            <w:pPr>
              <w:pStyle w:val="TableText"/>
              <w:spacing w:before="0" w:after="0"/>
              <w:jc w:val="center"/>
            </w:pPr>
            <w:r w:rsidRPr="00563350">
              <w:t>$900</w:t>
            </w:r>
          </w:p>
        </w:tc>
        <w:tc>
          <w:tcPr>
            <w:tcW w:w="846" w:type="pct"/>
            <w:tcBorders>
              <w:top w:val="single" w:sz="4" w:space="0" w:color="auto"/>
              <w:left w:val="single" w:sz="4" w:space="0" w:color="auto"/>
              <w:bottom w:val="single" w:sz="4" w:space="0" w:color="auto"/>
              <w:right w:val="single" w:sz="4" w:space="0" w:color="auto"/>
            </w:tcBorders>
            <w:hideMark/>
          </w:tcPr>
          <w:p w14:paraId="1CA78504" w14:textId="77777777" w:rsidR="00D070C7" w:rsidRPr="00563350" w:rsidRDefault="00D070C7" w:rsidP="00FD0F2A">
            <w:pPr>
              <w:pStyle w:val="TableText"/>
              <w:spacing w:before="0" w:after="0"/>
              <w:jc w:val="center"/>
            </w:pPr>
            <w:r w:rsidRPr="00563350">
              <w:t>$900</w:t>
            </w:r>
          </w:p>
        </w:tc>
        <w:tc>
          <w:tcPr>
            <w:tcW w:w="1001" w:type="pct"/>
            <w:tcBorders>
              <w:top w:val="single" w:sz="4" w:space="0" w:color="auto"/>
              <w:left w:val="single" w:sz="4" w:space="0" w:color="auto"/>
              <w:bottom w:val="single" w:sz="4" w:space="0" w:color="auto"/>
              <w:right w:val="single" w:sz="4" w:space="0" w:color="auto"/>
            </w:tcBorders>
            <w:hideMark/>
          </w:tcPr>
          <w:p w14:paraId="61A6B933" w14:textId="77777777" w:rsidR="00D070C7" w:rsidRPr="00563350" w:rsidRDefault="00D070C7" w:rsidP="00FD0F2A">
            <w:pPr>
              <w:pStyle w:val="TableText"/>
              <w:spacing w:before="0" w:after="0"/>
              <w:jc w:val="center"/>
            </w:pPr>
            <w:r w:rsidRPr="00563350">
              <w:t>$</w:t>
            </w:r>
            <w:r>
              <w:t>0.00</w:t>
            </w:r>
          </w:p>
        </w:tc>
      </w:tr>
      <w:tr w:rsidR="00D070C7" w:rsidRPr="000A22D0" w14:paraId="4B93EC95"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4AEFD2F1" w14:textId="77777777" w:rsidR="00D070C7" w:rsidRPr="00563350" w:rsidRDefault="00D070C7" w:rsidP="00FD0F2A">
            <w:pPr>
              <w:pStyle w:val="TableText"/>
              <w:spacing w:before="0" w:after="0"/>
            </w:pPr>
            <w:r w:rsidRPr="00563350">
              <w:t>Total</w:t>
            </w:r>
          </w:p>
        </w:tc>
        <w:tc>
          <w:tcPr>
            <w:tcW w:w="1077" w:type="pct"/>
            <w:tcBorders>
              <w:top w:val="single" w:sz="4" w:space="0" w:color="auto"/>
              <w:left w:val="single" w:sz="4" w:space="0" w:color="auto"/>
              <w:bottom w:val="single" w:sz="4" w:space="0" w:color="auto"/>
              <w:right w:val="single" w:sz="4" w:space="0" w:color="auto"/>
            </w:tcBorders>
          </w:tcPr>
          <w:p w14:paraId="6D7C4B0E" w14:textId="564BFC71" w:rsidR="00D070C7" w:rsidRPr="00563350" w:rsidRDefault="00D070C7" w:rsidP="00FD0F2A">
            <w:pPr>
              <w:pStyle w:val="TableText"/>
              <w:spacing w:before="0" w:after="0"/>
              <w:jc w:val="center"/>
            </w:pPr>
            <w:r w:rsidRPr="00563350">
              <w:t>$</w:t>
            </w:r>
            <w:r w:rsidR="00DB6C8F" w:rsidRPr="00B73D4C">
              <w:rPr>
                <w:b/>
                <w:bCs/>
              </w:rPr>
              <w:t xml:space="preserve"> redacted</w:t>
            </w:r>
            <w:r w:rsidR="00DB6C8F" w:rsidDel="00DB6C8F">
              <w:t xml:space="preserve"> </w:t>
            </w:r>
          </w:p>
        </w:tc>
        <w:tc>
          <w:tcPr>
            <w:tcW w:w="846" w:type="pct"/>
            <w:tcBorders>
              <w:top w:val="single" w:sz="4" w:space="0" w:color="auto"/>
              <w:left w:val="single" w:sz="4" w:space="0" w:color="auto"/>
              <w:bottom w:val="single" w:sz="4" w:space="0" w:color="auto"/>
              <w:right w:val="single" w:sz="4" w:space="0" w:color="auto"/>
            </w:tcBorders>
          </w:tcPr>
          <w:p w14:paraId="54583A51" w14:textId="77777777" w:rsidR="00D070C7" w:rsidRPr="00563350" w:rsidRDefault="00D070C7" w:rsidP="00FD0F2A">
            <w:pPr>
              <w:pStyle w:val="TableText"/>
              <w:spacing w:before="0" w:after="0"/>
              <w:jc w:val="center"/>
            </w:pPr>
            <w:r w:rsidRPr="00563350">
              <w:t>$1,940.85</w:t>
            </w:r>
            <w:r w:rsidRPr="00563350" w:rsidDel="0077615E">
              <w:t xml:space="preserve"> </w:t>
            </w:r>
          </w:p>
        </w:tc>
        <w:tc>
          <w:tcPr>
            <w:tcW w:w="1001" w:type="pct"/>
            <w:tcBorders>
              <w:top w:val="single" w:sz="4" w:space="0" w:color="auto"/>
              <w:left w:val="single" w:sz="4" w:space="0" w:color="auto"/>
              <w:bottom w:val="single" w:sz="4" w:space="0" w:color="auto"/>
              <w:right w:val="single" w:sz="4" w:space="0" w:color="auto"/>
            </w:tcBorders>
          </w:tcPr>
          <w:p w14:paraId="57C2145C" w14:textId="3F122440" w:rsidR="00D070C7" w:rsidRPr="00563350" w:rsidRDefault="00D070C7" w:rsidP="00FD0F2A">
            <w:pPr>
              <w:pStyle w:val="TableText"/>
              <w:spacing w:before="0" w:after="0"/>
              <w:jc w:val="center"/>
            </w:pPr>
            <w:r w:rsidRPr="00563350">
              <w:t>$</w:t>
            </w:r>
            <w:r w:rsidR="00DB6C8F" w:rsidRPr="00B73D4C">
              <w:rPr>
                <w:b/>
                <w:bCs/>
              </w:rPr>
              <w:t xml:space="preserve"> redacted</w:t>
            </w:r>
            <w:r w:rsidR="00DB6C8F" w:rsidRPr="00563350" w:rsidDel="00DB6C8F">
              <w:t xml:space="preserve"> </w:t>
            </w:r>
          </w:p>
        </w:tc>
      </w:tr>
      <w:tr w:rsidR="00D070C7" w:rsidRPr="000A22D0" w14:paraId="3A04D064"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04E7DDD5" w14:textId="77777777" w:rsidR="00D070C7" w:rsidRPr="00563350" w:rsidRDefault="00D070C7" w:rsidP="00FD0F2A">
            <w:pPr>
              <w:pStyle w:val="TableText"/>
              <w:spacing w:before="0" w:after="0"/>
              <w:rPr>
                <w:b/>
                <w:bCs/>
              </w:rPr>
            </w:pPr>
            <w:r w:rsidRPr="00563350">
              <w:rPr>
                <w:b/>
                <w:bCs/>
              </w:rPr>
              <w:t>Outcomes</w:t>
            </w:r>
          </w:p>
        </w:tc>
        <w:tc>
          <w:tcPr>
            <w:tcW w:w="1077" w:type="pct"/>
            <w:tcBorders>
              <w:top w:val="single" w:sz="4" w:space="0" w:color="auto"/>
              <w:left w:val="single" w:sz="4" w:space="0" w:color="auto"/>
              <w:bottom w:val="single" w:sz="4" w:space="0" w:color="auto"/>
              <w:right w:val="single" w:sz="4" w:space="0" w:color="auto"/>
            </w:tcBorders>
            <w:hideMark/>
          </w:tcPr>
          <w:p w14:paraId="4E35F5B7" w14:textId="77777777" w:rsidR="00D070C7" w:rsidRPr="00563350" w:rsidRDefault="00D070C7" w:rsidP="00FD0F2A">
            <w:pPr>
              <w:pStyle w:val="TableText"/>
              <w:spacing w:before="0" w:after="0"/>
              <w:jc w:val="center"/>
              <w:rPr>
                <w:b/>
                <w:bCs/>
              </w:rPr>
            </w:pPr>
            <w:r w:rsidRPr="00563350">
              <w:rPr>
                <w:b/>
                <w:bCs/>
              </w:rPr>
              <w:t>IVL</w:t>
            </w:r>
          </w:p>
        </w:tc>
        <w:tc>
          <w:tcPr>
            <w:tcW w:w="846" w:type="pct"/>
            <w:tcBorders>
              <w:top w:val="single" w:sz="4" w:space="0" w:color="auto"/>
              <w:left w:val="single" w:sz="4" w:space="0" w:color="auto"/>
              <w:bottom w:val="single" w:sz="4" w:space="0" w:color="auto"/>
              <w:right w:val="single" w:sz="4" w:space="0" w:color="auto"/>
            </w:tcBorders>
            <w:hideMark/>
          </w:tcPr>
          <w:p w14:paraId="0720564F" w14:textId="77777777" w:rsidR="00D070C7" w:rsidRPr="00563350" w:rsidRDefault="00D070C7" w:rsidP="00FD0F2A">
            <w:pPr>
              <w:pStyle w:val="TableText"/>
              <w:spacing w:before="0" w:after="0"/>
              <w:jc w:val="center"/>
              <w:rPr>
                <w:b/>
                <w:bCs/>
              </w:rPr>
            </w:pPr>
            <w:r w:rsidRPr="00563350">
              <w:rPr>
                <w:b/>
                <w:bCs/>
              </w:rPr>
              <w:t>SBA</w:t>
            </w:r>
          </w:p>
        </w:tc>
        <w:tc>
          <w:tcPr>
            <w:tcW w:w="1001" w:type="pct"/>
            <w:tcBorders>
              <w:top w:val="single" w:sz="4" w:space="0" w:color="auto"/>
              <w:left w:val="single" w:sz="4" w:space="0" w:color="auto"/>
              <w:bottom w:val="single" w:sz="4" w:space="0" w:color="auto"/>
              <w:right w:val="single" w:sz="4" w:space="0" w:color="auto"/>
            </w:tcBorders>
            <w:hideMark/>
          </w:tcPr>
          <w:p w14:paraId="7E9BCC98" w14:textId="77777777" w:rsidR="00D070C7" w:rsidRPr="00563350" w:rsidRDefault="00D070C7" w:rsidP="00FD0F2A">
            <w:pPr>
              <w:pStyle w:val="TableText"/>
              <w:spacing w:before="0" w:after="0"/>
              <w:jc w:val="center"/>
              <w:rPr>
                <w:b/>
                <w:bCs/>
              </w:rPr>
            </w:pPr>
            <w:r w:rsidRPr="00563350">
              <w:rPr>
                <w:b/>
                <w:bCs/>
              </w:rPr>
              <w:t>Incremental</w:t>
            </w:r>
          </w:p>
        </w:tc>
      </w:tr>
      <w:tr w:rsidR="00D070C7" w:rsidRPr="000A22D0" w14:paraId="5B784545"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65BB58D4" w14:textId="77777777" w:rsidR="00D070C7" w:rsidRPr="00563350" w:rsidRDefault="00D070C7" w:rsidP="00FD0F2A">
            <w:pPr>
              <w:pStyle w:val="TableText"/>
              <w:spacing w:before="0" w:after="0"/>
            </w:pPr>
            <w:r w:rsidRPr="00563350">
              <w:t xml:space="preserve">CD-TLR at 2 </w:t>
            </w:r>
            <w:proofErr w:type="spellStart"/>
            <w:r w:rsidRPr="00563350">
              <w:t>years</w:t>
            </w:r>
            <w:r>
              <w:rPr>
                <w:vertAlign w:val="superscript"/>
              </w:rPr>
              <w:t>d</w:t>
            </w:r>
            <w:proofErr w:type="spellEnd"/>
          </w:p>
        </w:tc>
        <w:tc>
          <w:tcPr>
            <w:tcW w:w="1077" w:type="pct"/>
            <w:tcBorders>
              <w:top w:val="single" w:sz="4" w:space="0" w:color="auto"/>
              <w:left w:val="single" w:sz="4" w:space="0" w:color="auto"/>
              <w:bottom w:val="single" w:sz="4" w:space="0" w:color="auto"/>
              <w:right w:val="single" w:sz="4" w:space="0" w:color="auto"/>
            </w:tcBorders>
            <w:hideMark/>
          </w:tcPr>
          <w:p w14:paraId="5F4BA850" w14:textId="77777777" w:rsidR="00D070C7" w:rsidRPr="00563350" w:rsidRDefault="00D070C7" w:rsidP="00FD0F2A">
            <w:pPr>
              <w:pStyle w:val="TableText"/>
              <w:spacing w:before="0" w:after="0"/>
              <w:jc w:val="center"/>
            </w:pPr>
            <w:r w:rsidRPr="00563350">
              <w:t>8.5%</w:t>
            </w:r>
          </w:p>
        </w:tc>
        <w:tc>
          <w:tcPr>
            <w:tcW w:w="846" w:type="pct"/>
            <w:tcBorders>
              <w:top w:val="single" w:sz="4" w:space="0" w:color="auto"/>
              <w:left w:val="single" w:sz="4" w:space="0" w:color="auto"/>
              <w:bottom w:val="single" w:sz="4" w:space="0" w:color="auto"/>
              <w:right w:val="single" w:sz="4" w:space="0" w:color="auto"/>
            </w:tcBorders>
            <w:hideMark/>
          </w:tcPr>
          <w:p w14:paraId="7484E318" w14:textId="77777777" w:rsidR="00D070C7" w:rsidRPr="00563350" w:rsidRDefault="00D070C7" w:rsidP="00FD0F2A">
            <w:pPr>
              <w:pStyle w:val="TableText"/>
              <w:spacing w:before="0" w:after="0"/>
              <w:jc w:val="center"/>
            </w:pPr>
            <w:r w:rsidRPr="00563350">
              <w:t>8.8%</w:t>
            </w:r>
          </w:p>
        </w:tc>
        <w:tc>
          <w:tcPr>
            <w:tcW w:w="1001" w:type="pct"/>
            <w:tcBorders>
              <w:top w:val="single" w:sz="4" w:space="0" w:color="auto"/>
              <w:left w:val="single" w:sz="4" w:space="0" w:color="auto"/>
              <w:bottom w:val="single" w:sz="4" w:space="0" w:color="auto"/>
              <w:right w:val="single" w:sz="4" w:space="0" w:color="auto"/>
            </w:tcBorders>
            <w:hideMark/>
          </w:tcPr>
          <w:p w14:paraId="29090E59" w14:textId="77777777" w:rsidR="00D070C7" w:rsidRPr="00563350" w:rsidRDefault="00D070C7" w:rsidP="00FD0F2A">
            <w:pPr>
              <w:pStyle w:val="TableText"/>
              <w:spacing w:before="0" w:after="0"/>
              <w:jc w:val="center"/>
            </w:pPr>
            <w:r w:rsidRPr="00563350">
              <w:t>-0.3%</w:t>
            </w:r>
          </w:p>
        </w:tc>
      </w:tr>
      <w:tr w:rsidR="00D070C7" w:rsidRPr="000A22D0" w14:paraId="585A18DC" w14:textId="77777777">
        <w:trPr>
          <w:cantSplit/>
          <w:trHeight w:val="283"/>
        </w:trPr>
        <w:tc>
          <w:tcPr>
            <w:tcW w:w="2076" w:type="pct"/>
            <w:tcBorders>
              <w:top w:val="single" w:sz="4" w:space="0" w:color="auto"/>
              <w:left w:val="single" w:sz="4" w:space="0" w:color="auto"/>
              <w:bottom w:val="single" w:sz="4" w:space="0" w:color="auto"/>
              <w:right w:val="single" w:sz="4" w:space="0" w:color="auto"/>
            </w:tcBorders>
            <w:hideMark/>
          </w:tcPr>
          <w:p w14:paraId="30065936" w14:textId="77777777" w:rsidR="00D070C7" w:rsidRPr="00563350" w:rsidRDefault="00D070C7" w:rsidP="00FD0F2A">
            <w:pPr>
              <w:pStyle w:val="TableText"/>
              <w:spacing w:before="0" w:after="0"/>
            </w:pPr>
            <w:r w:rsidRPr="00563350">
              <w:t xml:space="preserve">Restenosis at 2 </w:t>
            </w:r>
            <w:proofErr w:type="spellStart"/>
            <w:r w:rsidRPr="00563350">
              <w:t>years</w:t>
            </w:r>
            <w:r>
              <w:rPr>
                <w:vertAlign w:val="superscript"/>
              </w:rPr>
              <w:t>e</w:t>
            </w:r>
            <w:proofErr w:type="spellEnd"/>
          </w:p>
        </w:tc>
        <w:tc>
          <w:tcPr>
            <w:tcW w:w="1077" w:type="pct"/>
            <w:tcBorders>
              <w:top w:val="single" w:sz="4" w:space="0" w:color="auto"/>
              <w:left w:val="single" w:sz="4" w:space="0" w:color="auto"/>
              <w:bottom w:val="single" w:sz="4" w:space="0" w:color="auto"/>
              <w:right w:val="single" w:sz="4" w:space="0" w:color="auto"/>
            </w:tcBorders>
            <w:hideMark/>
          </w:tcPr>
          <w:p w14:paraId="7E992ABB" w14:textId="77777777" w:rsidR="00D070C7" w:rsidRPr="00563350" w:rsidRDefault="00D070C7" w:rsidP="00FD0F2A">
            <w:pPr>
              <w:pStyle w:val="TableText"/>
              <w:spacing w:before="0" w:after="0"/>
              <w:jc w:val="center"/>
            </w:pPr>
            <w:r w:rsidRPr="00563350">
              <w:t>17.0%</w:t>
            </w:r>
          </w:p>
        </w:tc>
        <w:tc>
          <w:tcPr>
            <w:tcW w:w="846" w:type="pct"/>
            <w:tcBorders>
              <w:top w:val="single" w:sz="4" w:space="0" w:color="auto"/>
              <w:left w:val="single" w:sz="4" w:space="0" w:color="auto"/>
              <w:bottom w:val="single" w:sz="4" w:space="0" w:color="auto"/>
              <w:right w:val="single" w:sz="4" w:space="0" w:color="auto"/>
            </w:tcBorders>
            <w:hideMark/>
          </w:tcPr>
          <w:p w14:paraId="55093806" w14:textId="77777777" w:rsidR="00D070C7" w:rsidRPr="00563350" w:rsidRDefault="00D070C7" w:rsidP="00FD0F2A">
            <w:pPr>
              <w:pStyle w:val="TableText"/>
              <w:spacing w:before="0" w:after="0"/>
              <w:jc w:val="center"/>
            </w:pPr>
            <w:r w:rsidRPr="00563350">
              <w:t>23.7%</w:t>
            </w:r>
          </w:p>
        </w:tc>
        <w:tc>
          <w:tcPr>
            <w:tcW w:w="1001" w:type="pct"/>
            <w:tcBorders>
              <w:top w:val="single" w:sz="4" w:space="0" w:color="auto"/>
              <w:left w:val="single" w:sz="4" w:space="0" w:color="auto"/>
              <w:bottom w:val="single" w:sz="4" w:space="0" w:color="auto"/>
              <w:right w:val="single" w:sz="4" w:space="0" w:color="auto"/>
            </w:tcBorders>
            <w:hideMark/>
          </w:tcPr>
          <w:p w14:paraId="5DB73431" w14:textId="77777777" w:rsidR="00D070C7" w:rsidRPr="00563350" w:rsidRDefault="00D070C7" w:rsidP="00FD0F2A">
            <w:pPr>
              <w:pStyle w:val="TableText"/>
              <w:spacing w:before="0" w:after="0"/>
              <w:jc w:val="center"/>
            </w:pPr>
            <w:r w:rsidRPr="00563350">
              <w:t>-5.7%</w:t>
            </w:r>
          </w:p>
        </w:tc>
      </w:tr>
    </w:tbl>
    <w:p w14:paraId="052ED519" w14:textId="2D7AB243" w:rsidR="007B394C" w:rsidRPr="00FD0F2A" w:rsidRDefault="002633A1" w:rsidP="00996E36">
      <w:pPr>
        <w:pStyle w:val="Tablenotes0"/>
        <w:rPr>
          <w:sz w:val="16"/>
          <w:szCs w:val="16"/>
        </w:rPr>
      </w:pPr>
      <w:r w:rsidRPr="00FD0F2A">
        <w:rPr>
          <w:sz w:val="16"/>
          <w:szCs w:val="16"/>
        </w:rPr>
        <w:t>Abbreviations: CD-TLR = clinically driven target lesion revascularization; DCB = drug-coated balloon; IVL = intravascular lithotripsy; SBA = standard balloon angioplasty; MAEs = major adverse events, MBS = Medicare Benefits Schedule</w:t>
      </w:r>
    </w:p>
    <w:p w14:paraId="7D5EDD85" w14:textId="4B5F8055" w:rsidR="00AD106C" w:rsidRPr="00FD0F2A" w:rsidRDefault="007B394C" w:rsidP="00996E36">
      <w:pPr>
        <w:pStyle w:val="Tablenotes0"/>
        <w:rPr>
          <w:sz w:val="16"/>
          <w:szCs w:val="16"/>
        </w:rPr>
      </w:pPr>
      <w:r w:rsidRPr="00FD0F2A">
        <w:rPr>
          <w:sz w:val="16"/>
          <w:szCs w:val="16"/>
        </w:rPr>
        <w:t>Notes: Device costs were modified, and trial-based percentages were used for the rate of stents.</w:t>
      </w:r>
    </w:p>
    <w:p w14:paraId="2371ED93" w14:textId="77777777" w:rsidR="00D070C7" w:rsidRPr="00FD0F2A" w:rsidRDefault="00D070C7" w:rsidP="00D070C7">
      <w:pPr>
        <w:pStyle w:val="Tablenotes0"/>
        <w:rPr>
          <w:sz w:val="16"/>
          <w:szCs w:val="16"/>
        </w:rPr>
      </w:pPr>
      <w:r w:rsidRPr="00FD0F2A">
        <w:rPr>
          <w:sz w:val="16"/>
          <w:szCs w:val="16"/>
          <w:vertAlign w:val="superscript"/>
        </w:rPr>
        <w:t xml:space="preserve">a </w:t>
      </w:r>
      <w:r w:rsidRPr="00FD0F2A">
        <w:rPr>
          <w:sz w:val="16"/>
          <w:szCs w:val="16"/>
        </w:rPr>
        <w:t xml:space="preserve">IVL MBS item fee included associated balloon dilatation as well. </w:t>
      </w:r>
    </w:p>
    <w:p w14:paraId="64B3E02A" w14:textId="77777777" w:rsidR="00D070C7" w:rsidRPr="00FD0F2A" w:rsidRDefault="00D070C7" w:rsidP="00D070C7">
      <w:pPr>
        <w:pStyle w:val="Tablenotes0"/>
        <w:rPr>
          <w:color w:val="000000"/>
          <w:sz w:val="16"/>
          <w:szCs w:val="16"/>
        </w:rPr>
      </w:pPr>
      <w:r w:rsidRPr="00FD0F2A">
        <w:rPr>
          <w:color w:val="000000"/>
          <w:sz w:val="16"/>
          <w:szCs w:val="16"/>
          <w:vertAlign w:val="superscript"/>
        </w:rPr>
        <w:t xml:space="preserve">b </w:t>
      </w:r>
      <w:r w:rsidRPr="00FD0F2A">
        <w:rPr>
          <w:color w:val="000000"/>
          <w:sz w:val="16"/>
          <w:szCs w:val="16"/>
        </w:rPr>
        <w:t>SBA (MBS) cost was based on the weighted average of MBS fee for items 35300 and 35303</w:t>
      </w:r>
    </w:p>
    <w:p w14:paraId="63AB9B33" w14:textId="77777777" w:rsidR="00D070C7" w:rsidRPr="00FD0F2A" w:rsidRDefault="00D070C7" w:rsidP="00D070C7">
      <w:pPr>
        <w:pStyle w:val="Tablenotes0"/>
        <w:rPr>
          <w:color w:val="000000"/>
          <w:sz w:val="16"/>
          <w:szCs w:val="16"/>
        </w:rPr>
      </w:pPr>
      <w:r w:rsidRPr="00FD0F2A">
        <w:rPr>
          <w:color w:val="000000"/>
          <w:sz w:val="16"/>
          <w:szCs w:val="16"/>
          <w:vertAlign w:val="superscript"/>
        </w:rPr>
        <w:t xml:space="preserve">c </w:t>
      </w:r>
      <w:r w:rsidRPr="00FD0F2A">
        <w:rPr>
          <w:color w:val="000000"/>
          <w:sz w:val="16"/>
          <w:szCs w:val="16"/>
        </w:rPr>
        <w:t>SBA and stent insertion (MBS) cast was based on the weighted average of the MBS fee for items 35306 and 35309</w:t>
      </w:r>
    </w:p>
    <w:p w14:paraId="496DDB9A" w14:textId="77777777" w:rsidR="00D070C7" w:rsidRPr="00FD0F2A" w:rsidRDefault="00D070C7" w:rsidP="00D070C7">
      <w:pPr>
        <w:pStyle w:val="Tablenotes0"/>
        <w:rPr>
          <w:sz w:val="16"/>
          <w:szCs w:val="16"/>
        </w:rPr>
      </w:pPr>
      <w:r w:rsidRPr="00FD0F2A">
        <w:rPr>
          <w:color w:val="000000"/>
          <w:sz w:val="16"/>
          <w:szCs w:val="16"/>
          <w:vertAlign w:val="superscript"/>
        </w:rPr>
        <w:t xml:space="preserve">d </w:t>
      </w:r>
      <w:r w:rsidRPr="00FD0F2A">
        <w:rPr>
          <w:sz w:val="16"/>
          <w:szCs w:val="16"/>
        </w:rPr>
        <w:t xml:space="preserve">Subjects with provisional stenting at procedure are not included </w:t>
      </w:r>
    </w:p>
    <w:p w14:paraId="168E8840" w14:textId="77777777" w:rsidR="00D070C7" w:rsidRPr="00FD0F2A" w:rsidRDefault="00D070C7" w:rsidP="00D070C7">
      <w:pPr>
        <w:pStyle w:val="Tablenotes0"/>
        <w:rPr>
          <w:sz w:val="16"/>
          <w:szCs w:val="16"/>
        </w:rPr>
      </w:pPr>
      <w:proofErr w:type="spellStart"/>
      <w:r w:rsidRPr="00FD0F2A">
        <w:rPr>
          <w:sz w:val="16"/>
          <w:szCs w:val="16"/>
          <w:vertAlign w:val="superscript"/>
        </w:rPr>
        <w:t>e</w:t>
      </w:r>
      <w:r w:rsidRPr="00FD0F2A">
        <w:rPr>
          <w:sz w:val="16"/>
          <w:szCs w:val="16"/>
        </w:rPr>
        <w:t>Subjects</w:t>
      </w:r>
      <w:proofErr w:type="spellEnd"/>
      <w:r w:rsidRPr="00FD0F2A">
        <w:rPr>
          <w:sz w:val="16"/>
          <w:szCs w:val="16"/>
        </w:rPr>
        <w:t xml:space="preserve"> with provisional stenting at the procedure or CD-TLR are not included. </w:t>
      </w:r>
    </w:p>
    <w:p w14:paraId="2CBC9EE3" w14:textId="4F8B899E" w:rsidR="007A7D26" w:rsidRDefault="007A7D26" w:rsidP="00FD0F2A">
      <w:r w:rsidRPr="00154741">
        <w:lastRenderedPageBreak/>
        <w:t>The additional CEA in the commentary showed that the IVL was associated with an incremental cost of $</w:t>
      </w:r>
      <w:r w:rsidR="00EF6A77" w:rsidRPr="00F5227E">
        <w:rPr>
          <w:b/>
          <w:bCs/>
        </w:rPr>
        <w:t>redacted</w:t>
      </w:r>
      <w:r w:rsidRPr="00154741">
        <w:t xml:space="preserve"> and 13.7% provisional stent avoided ($</w:t>
      </w:r>
      <w:r w:rsidR="00EF6A77" w:rsidRPr="006010AB">
        <w:rPr>
          <w:b/>
          <w:bCs/>
        </w:rPr>
        <w:t>redacted</w:t>
      </w:r>
      <w:r w:rsidR="00EF6A77" w:rsidDel="00EF6A77">
        <w:t xml:space="preserve"> </w:t>
      </w:r>
      <w:r w:rsidRPr="00154741">
        <w:t>/stent avoided), and $</w:t>
      </w:r>
      <w:r w:rsidR="00EF6A77" w:rsidRPr="00EF6A77">
        <w:rPr>
          <w:b/>
          <w:bCs/>
        </w:rPr>
        <w:t xml:space="preserve"> </w:t>
      </w:r>
      <w:r w:rsidR="00EF6A77" w:rsidRPr="006010AB">
        <w:rPr>
          <w:b/>
          <w:bCs/>
        </w:rPr>
        <w:t>redacted</w:t>
      </w:r>
      <w:r w:rsidR="00EF6A77" w:rsidDel="00EF6A77">
        <w:t xml:space="preserve"> </w:t>
      </w:r>
      <w:r w:rsidRPr="00154741">
        <w:t>(undiscounted) for 0.3% CD-TLR avoided in 2 years ($</w:t>
      </w:r>
      <w:r w:rsidR="00EF6A77" w:rsidRPr="006010AB">
        <w:rPr>
          <w:b/>
          <w:bCs/>
        </w:rPr>
        <w:t>redacted</w:t>
      </w:r>
      <w:r w:rsidR="00EF6A77" w:rsidRPr="00154741" w:rsidDel="00EF6A77">
        <w:t xml:space="preserve"> </w:t>
      </w:r>
      <w:r w:rsidRPr="00154741">
        <w:t xml:space="preserve">/CD-TLR avoided) and </w:t>
      </w:r>
      <w:r w:rsidR="008A7925">
        <w:t>5</w:t>
      </w:r>
      <w:r w:rsidRPr="00154741">
        <w:t>.7% restenosis avoided in 2 years ($</w:t>
      </w:r>
      <w:r w:rsidR="00EF6A77" w:rsidRPr="006010AB">
        <w:rPr>
          <w:b/>
          <w:bCs/>
        </w:rPr>
        <w:t>redacted</w:t>
      </w:r>
      <w:r w:rsidR="00EF6A77" w:rsidDel="00EF6A77">
        <w:t xml:space="preserve"> </w:t>
      </w:r>
      <w:r w:rsidRPr="00154741">
        <w:t>/restenosis case avoided).</w:t>
      </w:r>
    </w:p>
    <w:p w14:paraId="46B08E29" w14:textId="5C49371B" w:rsidR="004E2862" w:rsidRPr="008D1CD7" w:rsidRDefault="004E2862" w:rsidP="00FD0F2A">
      <w:pPr>
        <w:rPr>
          <w:b/>
          <w:bCs/>
        </w:rPr>
      </w:pPr>
      <w:r w:rsidRPr="008D1CD7">
        <w:rPr>
          <w:b/>
          <w:bCs/>
        </w:rPr>
        <w:t>Results of the base-case economic evaluation</w:t>
      </w:r>
    </w:p>
    <w:p w14:paraId="3405A18A" w14:textId="372B4B7D" w:rsidR="004E2862" w:rsidRDefault="004E2862" w:rsidP="00FD0F2A">
      <w:r>
        <w:t xml:space="preserve">The base-case economic evaluation is related to the PICO set 2. The ADAR reported that treatment with IVL compared with SBA resulted in an ICER of </w:t>
      </w:r>
      <w:r w:rsidRPr="00865F71">
        <w:t>$</w:t>
      </w:r>
      <w:r w:rsidR="00EF6A77" w:rsidRPr="00EF6A77">
        <w:rPr>
          <w:b/>
          <w:bCs/>
        </w:rPr>
        <w:t xml:space="preserve"> </w:t>
      </w:r>
      <w:r w:rsidR="00EF6A77" w:rsidRPr="006010AB">
        <w:rPr>
          <w:b/>
          <w:bCs/>
        </w:rPr>
        <w:t>redacted</w:t>
      </w:r>
      <w:r w:rsidR="00EF6A77" w:rsidRPr="00865F71" w:rsidDel="00EF6A77">
        <w:t xml:space="preserve"> </w:t>
      </w:r>
      <w:r>
        <w:t xml:space="preserve">/QALY. Table </w:t>
      </w:r>
      <w:r w:rsidR="00EB6499">
        <w:t xml:space="preserve">10 </w:t>
      </w:r>
      <w:r>
        <w:t>summarise</w:t>
      </w:r>
      <w:r w:rsidR="00C90312">
        <w:t>s</w:t>
      </w:r>
      <w:r>
        <w:t xml:space="preserve"> the results of the base case analysis.</w:t>
      </w:r>
    </w:p>
    <w:p w14:paraId="1B770181" w14:textId="0F6573ED" w:rsidR="002F32FB" w:rsidRPr="00CE28E3" w:rsidRDefault="002F32FB" w:rsidP="00135FC9">
      <w:pPr>
        <w:pStyle w:val="Caption"/>
      </w:pPr>
      <w:r w:rsidRPr="00CE28E3">
        <w:t>Table</w:t>
      </w:r>
      <w:r w:rsidR="003571C2">
        <w:t> </w:t>
      </w:r>
      <w:r w:rsidR="00340D39">
        <w:fldChar w:fldCharType="begin"/>
      </w:r>
      <w:r w:rsidR="00340D39">
        <w:instrText xml:space="preserve"> SEQ Table \* ARABIC </w:instrText>
      </w:r>
      <w:r w:rsidR="00340D39">
        <w:fldChar w:fldCharType="separate"/>
      </w:r>
      <w:r w:rsidR="009A5224">
        <w:rPr>
          <w:noProof/>
        </w:rPr>
        <w:t>10</w:t>
      </w:r>
      <w:r w:rsidR="00340D39">
        <w:rPr>
          <w:noProof/>
        </w:rPr>
        <w:fldChar w:fldCharType="end"/>
      </w:r>
      <w:bookmarkEnd w:id="35"/>
      <w:r w:rsidR="000C6399">
        <w:rPr>
          <w:noProof/>
        </w:rPr>
        <w:t xml:space="preserve">: </w:t>
      </w:r>
      <w:r w:rsidRPr="00CE28E3">
        <w:t xml:space="preserve">Results of the </w:t>
      </w:r>
      <w:r w:rsidR="008D1CD7">
        <w:t xml:space="preserve">base case </w:t>
      </w:r>
      <w:r w:rsidRPr="00CE28E3">
        <w:t>economic evaluation</w:t>
      </w:r>
    </w:p>
    <w:tbl>
      <w:tblPr>
        <w:tblStyle w:val="MSAC"/>
        <w:tblW w:w="5000" w:type="pct"/>
        <w:shd w:val="clear" w:color="auto" w:fill="FFFFFF"/>
        <w:tblLayout w:type="fixed"/>
        <w:tblLook w:val="04A0" w:firstRow="1" w:lastRow="0" w:firstColumn="1" w:lastColumn="0" w:noHBand="0" w:noVBand="1"/>
      </w:tblPr>
      <w:tblGrid>
        <w:gridCol w:w="1699"/>
        <w:gridCol w:w="2440"/>
        <w:gridCol w:w="2378"/>
        <w:gridCol w:w="2499"/>
      </w:tblGrid>
      <w:tr w:rsidR="002F32FB" w:rsidRPr="00CE28E3" w14:paraId="6C9AAE3F" w14:textId="77777777" w:rsidTr="00135FC9">
        <w:trPr>
          <w:cnfStyle w:val="100000000000" w:firstRow="1" w:lastRow="0" w:firstColumn="0" w:lastColumn="0" w:oddVBand="0" w:evenVBand="0" w:oddHBand="0" w:evenHBand="0" w:firstRowFirstColumn="0" w:firstRowLastColumn="0" w:lastRowFirstColumn="0" w:lastRowLastColumn="0"/>
          <w:cantSplit/>
        </w:trPr>
        <w:tc>
          <w:tcPr>
            <w:tcW w:w="942" w:type="pct"/>
            <w:shd w:val="clear" w:color="auto" w:fill="FFFFFF"/>
          </w:tcPr>
          <w:p w14:paraId="3F81650A" w14:textId="7A14EC83" w:rsidR="002F32FB" w:rsidRPr="000C6399" w:rsidRDefault="00037302" w:rsidP="000C6399">
            <w:pPr>
              <w:pStyle w:val="In-tableHeading"/>
              <w:jc w:val="center"/>
            </w:pPr>
            <w:bookmarkStart w:id="39" w:name="Title_Table9" w:colFirst="0" w:colLast="0"/>
            <w:bookmarkStart w:id="40" w:name="_Hlk68276590"/>
            <w:r w:rsidRPr="000C6399">
              <w:t>Parameter</w:t>
            </w:r>
          </w:p>
        </w:tc>
        <w:tc>
          <w:tcPr>
            <w:tcW w:w="1353" w:type="pct"/>
            <w:shd w:val="clear" w:color="auto" w:fill="FFFFFF"/>
          </w:tcPr>
          <w:p w14:paraId="620E0CCB" w14:textId="3E4F7E25" w:rsidR="002F32FB" w:rsidRPr="000C6399" w:rsidRDefault="004C1460" w:rsidP="000C6399">
            <w:pPr>
              <w:pStyle w:val="In-tableHeading"/>
              <w:jc w:val="center"/>
            </w:pPr>
            <w:r w:rsidRPr="000C6399">
              <w:t>IVL</w:t>
            </w:r>
          </w:p>
        </w:tc>
        <w:tc>
          <w:tcPr>
            <w:tcW w:w="1319" w:type="pct"/>
            <w:shd w:val="clear" w:color="auto" w:fill="FFFFFF"/>
          </w:tcPr>
          <w:p w14:paraId="500DB19E" w14:textId="6448A077" w:rsidR="002F32FB" w:rsidRPr="000C6399" w:rsidRDefault="004C1460" w:rsidP="000C6399">
            <w:pPr>
              <w:pStyle w:val="In-tableHeading"/>
              <w:jc w:val="center"/>
            </w:pPr>
            <w:r w:rsidRPr="000C6399">
              <w:t>SBA</w:t>
            </w:r>
          </w:p>
        </w:tc>
        <w:tc>
          <w:tcPr>
            <w:tcW w:w="1386" w:type="pct"/>
            <w:shd w:val="clear" w:color="auto" w:fill="FFFFFF"/>
          </w:tcPr>
          <w:p w14:paraId="3863ED7D" w14:textId="77777777" w:rsidR="002F32FB" w:rsidRPr="000C6399" w:rsidRDefault="002F32FB" w:rsidP="000C6399">
            <w:pPr>
              <w:pStyle w:val="In-tableHeading"/>
              <w:jc w:val="center"/>
            </w:pPr>
            <w:r w:rsidRPr="000C6399">
              <w:t>Increment</w:t>
            </w:r>
          </w:p>
        </w:tc>
      </w:tr>
      <w:bookmarkEnd w:id="39"/>
      <w:tr w:rsidR="002F32FB" w:rsidRPr="00CE28E3" w14:paraId="369EE6BC" w14:textId="77777777" w:rsidTr="00135FC9">
        <w:trPr>
          <w:cantSplit/>
        </w:trPr>
        <w:tc>
          <w:tcPr>
            <w:tcW w:w="942" w:type="pct"/>
            <w:shd w:val="clear" w:color="auto" w:fill="auto"/>
          </w:tcPr>
          <w:p w14:paraId="051B9EED" w14:textId="77777777" w:rsidR="002F32FB" w:rsidRPr="00CE28E3" w:rsidRDefault="002F32FB" w:rsidP="00B8535F">
            <w:pPr>
              <w:pStyle w:val="TableText"/>
              <w:keepNext/>
            </w:pPr>
            <w:r w:rsidRPr="00CE28E3">
              <w:t>Costs</w:t>
            </w:r>
          </w:p>
        </w:tc>
        <w:tc>
          <w:tcPr>
            <w:tcW w:w="1353" w:type="pct"/>
            <w:shd w:val="clear" w:color="auto" w:fill="auto"/>
          </w:tcPr>
          <w:p w14:paraId="0FAC9D47" w14:textId="201A5955" w:rsidR="002F32FB" w:rsidRPr="00CE28E3" w:rsidRDefault="004C1460" w:rsidP="00B8535F">
            <w:pPr>
              <w:pStyle w:val="TableText"/>
              <w:keepNext/>
              <w:jc w:val="center"/>
            </w:pPr>
            <w:r w:rsidRPr="00CE28E3">
              <w:t>$</w:t>
            </w:r>
            <w:r w:rsidR="00DB6C8F" w:rsidRPr="00B73D4C">
              <w:rPr>
                <w:b/>
                <w:bCs/>
              </w:rPr>
              <w:t xml:space="preserve"> redacted</w:t>
            </w:r>
          </w:p>
        </w:tc>
        <w:tc>
          <w:tcPr>
            <w:tcW w:w="1319" w:type="pct"/>
            <w:shd w:val="clear" w:color="auto" w:fill="auto"/>
          </w:tcPr>
          <w:p w14:paraId="6C1A6297" w14:textId="199B86AA" w:rsidR="002F32FB" w:rsidRPr="00CE28E3" w:rsidRDefault="002F32FB" w:rsidP="00B8535F">
            <w:pPr>
              <w:pStyle w:val="TableText"/>
              <w:keepNext/>
              <w:jc w:val="center"/>
            </w:pPr>
            <w:r w:rsidRPr="00CE28E3">
              <w:t>$</w:t>
            </w:r>
            <w:r w:rsidR="004C1460" w:rsidRPr="00C93235">
              <w:t>17,064.47</w:t>
            </w:r>
          </w:p>
        </w:tc>
        <w:tc>
          <w:tcPr>
            <w:tcW w:w="1386" w:type="pct"/>
            <w:shd w:val="clear" w:color="auto" w:fill="auto"/>
          </w:tcPr>
          <w:p w14:paraId="4B4524BB" w14:textId="4A9097E4" w:rsidR="002F32FB" w:rsidRPr="00CE28E3" w:rsidRDefault="002F32FB" w:rsidP="00B8535F">
            <w:pPr>
              <w:pStyle w:val="TableText"/>
              <w:keepNext/>
              <w:jc w:val="center"/>
            </w:pPr>
            <w:r w:rsidRPr="00CE28E3">
              <w:t>$</w:t>
            </w:r>
            <w:r w:rsidR="00DB6C8F" w:rsidRPr="00B73D4C">
              <w:rPr>
                <w:b/>
                <w:bCs/>
              </w:rPr>
              <w:t xml:space="preserve"> redacted</w:t>
            </w:r>
          </w:p>
        </w:tc>
      </w:tr>
      <w:tr w:rsidR="002F32FB" w:rsidRPr="00CE28E3" w14:paraId="6A9B9196" w14:textId="77777777" w:rsidTr="00135FC9">
        <w:trPr>
          <w:cantSplit/>
        </w:trPr>
        <w:tc>
          <w:tcPr>
            <w:tcW w:w="942" w:type="pct"/>
            <w:shd w:val="clear" w:color="auto" w:fill="auto"/>
          </w:tcPr>
          <w:p w14:paraId="09069B1C" w14:textId="77777777" w:rsidR="002F32FB" w:rsidRPr="00CE28E3" w:rsidRDefault="002F32FB" w:rsidP="00B8535F">
            <w:pPr>
              <w:pStyle w:val="TableText"/>
              <w:keepNext/>
            </w:pPr>
            <w:r w:rsidRPr="00CE28E3">
              <w:t>Life years</w:t>
            </w:r>
          </w:p>
        </w:tc>
        <w:tc>
          <w:tcPr>
            <w:tcW w:w="1353" w:type="pct"/>
            <w:shd w:val="clear" w:color="auto" w:fill="auto"/>
          </w:tcPr>
          <w:p w14:paraId="5D79285C" w14:textId="5B8EE0C7" w:rsidR="002F32FB" w:rsidRPr="00CE28E3" w:rsidRDefault="004C1460" w:rsidP="00B8535F">
            <w:pPr>
              <w:pStyle w:val="TableText"/>
              <w:keepNext/>
              <w:jc w:val="center"/>
            </w:pPr>
            <w:r>
              <w:t>NA</w:t>
            </w:r>
          </w:p>
        </w:tc>
        <w:tc>
          <w:tcPr>
            <w:tcW w:w="1319" w:type="pct"/>
            <w:shd w:val="clear" w:color="auto" w:fill="auto"/>
          </w:tcPr>
          <w:p w14:paraId="0C0E2B31" w14:textId="0E2F4974" w:rsidR="002F32FB" w:rsidRPr="00CE28E3" w:rsidRDefault="004C1460" w:rsidP="00B8535F">
            <w:pPr>
              <w:pStyle w:val="TableText"/>
              <w:keepNext/>
              <w:jc w:val="center"/>
            </w:pPr>
            <w:r>
              <w:t>NA</w:t>
            </w:r>
          </w:p>
        </w:tc>
        <w:tc>
          <w:tcPr>
            <w:tcW w:w="1386" w:type="pct"/>
            <w:shd w:val="clear" w:color="auto" w:fill="auto"/>
          </w:tcPr>
          <w:p w14:paraId="169B9B25" w14:textId="6BD63F44" w:rsidR="002F32FB" w:rsidRPr="00CE28E3" w:rsidRDefault="004C1460" w:rsidP="00B8535F">
            <w:pPr>
              <w:pStyle w:val="TableText"/>
              <w:keepNext/>
              <w:jc w:val="center"/>
            </w:pPr>
            <w:r>
              <w:t>NA</w:t>
            </w:r>
          </w:p>
        </w:tc>
      </w:tr>
      <w:tr w:rsidR="002F32FB" w:rsidRPr="00CE28E3" w14:paraId="24736DA2" w14:textId="77777777" w:rsidTr="00135FC9">
        <w:trPr>
          <w:cantSplit/>
        </w:trPr>
        <w:tc>
          <w:tcPr>
            <w:tcW w:w="942" w:type="pct"/>
            <w:shd w:val="clear" w:color="auto" w:fill="auto"/>
          </w:tcPr>
          <w:p w14:paraId="6D2D1BB4" w14:textId="1292AD7E" w:rsidR="002F32FB" w:rsidRPr="00CE28E3" w:rsidRDefault="002F32FB" w:rsidP="00B8535F">
            <w:pPr>
              <w:pStyle w:val="TableText"/>
              <w:keepNext/>
            </w:pPr>
            <w:r w:rsidRPr="00CE28E3">
              <w:t>QALY</w:t>
            </w:r>
            <w:r w:rsidR="000A280B">
              <w:t>s</w:t>
            </w:r>
          </w:p>
        </w:tc>
        <w:tc>
          <w:tcPr>
            <w:tcW w:w="1353" w:type="pct"/>
            <w:shd w:val="clear" w:color="auto" w:fill="auto"/>
          </w:tcPr>
          <w:p w14:paraId="768CBE06" w14:textId="0407F443" w:rsidR="002F32FB" w:rsidRPr="00CE28E3" w:rsidRDefault="004C1460" w:rsidP="00B8535F">
            <w:pPr>
              <w:pStyle w:val="TableText"/>
              <w:keepNext/>
              <w:jc w:val="center"/>
            </w:pPr>
            <w:r w:rsidRPr="00C93235">
              <w:t>5.61</w:t>
            </w:r>
          </w:p>
        </w:tc>
        <w:tc>
          <w:tcPr>
            <w:tcW w:w="1319" w:type="pct"/>
            <w:shd w:val="clear" w:color="auto" w:fill="auto"/>
          </w:tcPr>
          <w:p w14:paraId="1062F347" w14:textId="12CCC9D4" w:rsidR="002F32FB" w:rsidRPr="00CE28E3" w:rsidRDefault="004C1460" w:rsidP="00B8535F">
            <w:pPr>
              <w:pStyle w:val="TableText"/>
              <w:keepNext/>
              <w:jc w:val="center"/>
            </w:pPr>
            <w:r w:rsidRPr="00C93235">
              <w:t>5.45</w:t>
            </w:r>
          </w:p>
        </w:tc>
        <w:tc>
          <w:tcPr>
            <w:tcW w:w="1386" w:type="pct"/>
            <w:shd w:val="clear" w:color="auto" w:fill="auto"/>
          </w:tcPr>
          <w:p w14:paraId="3F1BB173" w14:textId="64C41BF9" w:rsidR="002F32FB" w:rsidRPr="00CE28E3" w:rsidRDefault="004C1460" w:rsidP="00B8535F">
            <w:pPr>
              <w:pStyle w:val="TableText"/>
              <w:keepNext/>
              <w:jc w:val="center"/>
            </w:pPr>
            <w:r w:rsidRPr="00C93235">
              <w:t>0.16</w:t>
            </w:r>
          </w:p>
        </w:tc>
      </w:tr>
      <w:tr w:rsidR="002F32FB" w:rsidRPr="00CE28E3" w14:paraId="4685A67E" w14:textId="77777777" w:rsidTr="000C6399">
        <w:trPr>
          <w:cantSplit/>
          <w:trHeight w:val="389"/>
        </w:trPr>
        <w:tc>
          <w:tcPr>
            <w:tcW w:w="3614" w:type="pct"/>
            <w:gridSpan w:val="3"/>
            <w:tcBorders>
              <w:right w:val="single" w:sz="4" w:space="0" w:color="000000"/>
            </w:tcBorders>
            <w:shd w:val="clear" w:color="auto" w:fill="auto"/>
          </w:tcPr>
          <w:p w14:paraId="7B41A60E" w14:textId="77777777" w:rsidR="002F32FB" w:rsidRPr="00CE28E3" w:rsidRDefault="002F32FB" w:rsidP="000C6399">
            <w:pPr>
              <w:pStyle w:val="In-tableHeading"/>
            </w:pPr>
            <w:r w:rsidRPr="00CE28E3">
              <w:t>Incremental cost per life year gained</w:t>
            </w:r>
          </w:p>
        </w:tc>
        <w:tc>
          <w:tcPr>
            <w:tcW w:w="1386" w:type="pct"/>
            <w:tcBorders>
              <w:left w:val="single" w:sz="4" w:space="0" w:color="000000"/>
            </w:tcBorders>
            <w:shd w:val="clear" w:color="auto" w:fill="auto"/>
          </w:tcPr>
          <w:p w14:paraId="208C6EDC" w14:textId="3763A3D8" w:rsidR="002F32FB" w:rsidRPr="00CE28E3" w:rsidRDefault="004C1460" w:rsidP="00B8535F">
            <w:pPr>
              <w:keepNext/>
              <w:keepLines/>
              <w:jc w:val="center"/>
              <w:rPr>
                <w:rFonts w:ascii="Arial Narrow" w:eastAsia="Calibri" w:hAnsi="Arial Narrow"/>
                <w:b/>
              </w:rPr>
            </w:pPr>
            <w:r>
              <w:rPr>
                <w:rFonts w:ascii="Arial Narrow" w:eastAsia="Calibri" w:hAnsi="Arial Narrow"/>
                <w:b/>
              </w:rPr>
              <w:t>NA</w:t>
            </w:r>
          </w:p>
        </w:tc>
      </w:tr>
      <w:tr w:rsidR="002F32FB" w:rsidRPr="00CE28E3" w14:paraId="4C386061" w14:textId="77777777" w:rsidTr="000C6399">
        <w:trPr>
          <w:cantSplit/>
          <w:trHeight w:val="127"/>
        </w:trPr>
        <w:tc>
          <w:tcPr>
            <w:tcW w:w="3614" w:type="pct"/>
            <w:gridSpan w:val="3"/>
            <w:tcBorders>
              <w:right w:val="single" w:sz="4" w:space="0" w:color="000000"/>
            </w:tcBorders>
            <w:shd w:val="clear" w:color="auto" w:fill="auto"/>
          </w:tcPr>
          <w:p w14:paraId="10510EF0" w14:textId="77777777" w:rsidR="002F32FB" w:rsidRPr="00CE28E3" w:rsidRDefault="002F32FB" w:rsidP="000C6399">
            <w:pPr>
              <w:pStyle w:val="In-tableHeading"/>
            </w:pPr>
            <w:r w:rsidRPr="00CE28E3">
              <w:t>Incremental cost per QALY gained</w:t>
            </w:r>
          </w:p>
        </w:tc>
        <w:tc>
          <w:tcPr>
            <w:tcW w:w="1386" w:type="pct"/>
            <w:tcBorders>
              <w:left w:val="single" w:sz="4" w:space="0" w:color="000000"/>
            </w:tcBorders>
            <w:shd w:val="clear" w:color="auto" w:fill="auto"/>
          </w:tcPr>
          <w:p w14:paraId="10B6B487" w14:textId="281FF2A0" w:rsidR="002F32FB" w:rsidRPr="00CE28E3" w:rsidRDefault="002F32FB" w:rsidP="00B8535F">
            <w:pPr>
              <w:keepNext/>
              <w:keepLines/>
              <w:jc w:val="center"/>
              <w:rPr>
                <w:rFonts w:ascii="Arial Narrow" w:eastAsia="Calibri" w:hAnsi="Arial Narrow"/>
                <w:b/>
              </w:rPr>
            </w:pPr>
            <w:r w:rsidRPr="00CE28E3">
              <w:rPr>
                <w:rFonts w:ascii="Arial Narrow" w:eastAsia="Calibri" w:hAnsi="Arial Narrow"/>
                <w:b/>
              </w:rPr>
              <w:t>$</w:t>
            </w:r>
            <w:r w:rsidR="00DB6C8F" w:rsidRPr="00B73D4C">
              <w:rPr>
                <w:b/>
                <w:bCs/>
              </w:rPr>
              <w:t xml:space="preserve"> redacted</w:t>
            </w:r>
          </w:p>
        </w:tc>
      </w:tr>
    </w:tbl>
    <w:p w14:paraId="29D65211" w14:textId="3FFDA0D6" w:rsidR="002F32FB" w:rsidRPr="004E2862" w:rsidRDefault="004E2862" w:rsidP="004E2862">
      <w:pPr>
        <w:pStyle w:val="Tablenotes"/>
      </w:pPr>
      <w:bookmarkStart w:id="41" w:name="_Hlk68276600"/>
      <w:bookmarkEnd w:id="40"/>
      <w:r>
        <w:t xml:space="preserve">Abbreviations: </w:t>
      </w:r>
      <w:r w:rsidR="004C1460" w:rsidRPr="00C96462">
        <w:t>IVL</w:t>
      </w:r>
      <w:r w:rsidR="004C1460">
        <w:t xml:space="preserve"> =</w:t>
      </w:r>
      <w:r w:rsidR="004C1460" w:rsidRPr="00C96462">
        <w:t xml:space="preserve"> intravascular lithotripsy</w:t>
      </w:r>
      <w:r w:rsidR="002633A1">
        <w:t>;</w:t>
      </w:r>
      <w:r w:rsidR="004C1460" w:rsidRPr="00CE28E3">
        <w:rPr>
          <w:rFonts w:eastAsia="Calibri"/>
        </w:rPr>
        <w:t xml:space="preserve"> </w:t>
      </w:r>
      <w:r w:rsidR="002633A1" w:rsidRPr="002633A1">
        <w:rPr>
          <w:rFonts w:eastAsia="Calibri"/>
        </w:rPr>
        <w:t>NA = not applicable</w:t>
      </w:r>
      <w:r w:rsidR="002633A1">
        <w:rPr>
          <w:rFonts w:eastAsia="Calibri"/>
        </w:rPr>
        <w:t>;</w:t>
      </w:r>
      <w:r w:rsidR="002633A1" w:rsidRPr="002633A1">
        <w:rPr>
          <w:rFonts w:eastAsia="Calibri"/>
        </w:rPr>
        <w:t xml:space="preserve"> </w:t>
      </w:r>
      <w:r w:rsidR="002F32FB" w:rsidRPr="00CE28E3">
        <w:rPr>
          <w:rFonts w:eastAsia="Calibri"/>
        </w:rPr>
        <w:t>QALY = quality</w:t>
      </w:r>
      <w:r w:rsidR="0045093D">
        <w:rPr>
          <w:rFonts w:eastAsia="Calibri"/>
        </w:rPr>
        <w:t>-</w:t>
      </w:r>
      <w:r w:rsidR="002F32FB" w:rsidRPr="00CE28E3">
        <w:rPr>
          <w:rFonts w:eastAsia="Calibri"/>
        </w:rPr>
        <w:t>adjusted life year</w:t>
      </w:r>
      <w:r w:rsidR="002633A1">
        <w:rPr>
          <w:rFonts w:eastAsia="Calibri"/>
        </w:rPr>
        <w:t>;</w:t>
      </w:r>
      <w:r w:rsidR="004C1460">
        <w:rPr>
          <w:rFonts w:eastAsia="Calibri"/>
        </w:rPr>
        <w:t xml:space="preserve"> </w:t>
      </w:r>
      <w:r w:rsidR="004C1460" w:rsidRPr="004C1460">
        <w:rPr>
          <w:rFonts w:eastAsia="Calibri"/>
        </w:rPr>
        <w:t>SBA</w:t>
      </w:r>
      <w:r w:rsidR="004C1460">
        <w:rPr>
          <w:rFonts w:eastAsia="Calibri"/>
        </w:rPr>
        <w:t xml:space="preserve"> =</w:t>
      </w:r>
      <w:r w:rsidR="004C1460" w:rsidRPr="004C1460">
        <w:rPr>
          <w:rFonts w:eastAsia="Calibri"/>
        </w:rPr>
        <w:t xml:space="preserve"> standard balloon angioplasty</w:t>
      </w:r>
    </w:p>
    <w:p w14:paraId="11A25E33" w14:textId="137FB175" w:rsidR="004E2862" w:rsidRPr="00996E36" w:rsidRDefault="00F94218" w:rsidP="00FD0F2A">
      <w:bookmarkStart w:id="42" w:name="_Hlk141533043"/>
      <w:bookmarkEnd w:id="41"/>
      <w:r w:rsidRPr="00996E36">
        <w:t xml:space="preserve">The commentary </w:t>
      </w:r>
      <w:r w:rsidR="004E2862" w:rsidRPr="00996E36">
        <w:t xml:space="preserve">noted that the estimated ICER </w:t>
      </w:r>
      <w:r w:rsidR="008D1CD7" w:rsidRPr="00996E36">
        <w:t xml:space="preserve">for PICO set 2 </w:t>
      </w:r>
      <w:r w:rsidR="004E2862" w:rsidRPr="00996E36">
        <w:t>is highly uncertain due to</w:t>
      </w:r>
      <w:r w:rsidR="001F1304">
        <w:t xml:space="preserve"> the following issues</w:t>
      </w:r>
      <w:r w:rsidR="00BB66BC">
        <w:t>:</w:t>
      </w:r>
      <w:r w:rsidR="004E2862" w:rsidRPr="00996E36">
        <w:t xml:space="preserve"> </w:t>
      </w:r>
    </w:p>
    <w:p w14:paraId="090C0855" w14:textId="4A01E1D6" w:rsidR="000C4528" w:rsidRPr="000C4528" w:rsidRDefault="000C4528" w:rsidP="00FD0F2A">
      <w:pPr>
        <w:rPr>
          <w:b/>
          <w:bCs/>
        </w:rPr>
      </w:pPr>
      <w:bookmarkStart w:id="43" w:name="_Hlk143691703"/>
      <w:bookmarkEnd w:id="42"/>
      <w:r w:rsidRPr="000C4528">
        <w:rPr>
          <w:b/>
          <w:bCs/>
        </w:rPr>
        <w:t>•</w:t>
      </w:r>
      <w:r w:rsidR="000E547A">
        <w:rPr>
          <w:b/>
          <w:bCs/>
        </w:rPr>
        <w:t xml:space="preserve"> </w:t>
      </w:r>
      <w:r>
        <w:t>T</w:t>
      </w:r>
      <w:r w:rsidRPr="00996E36">
        <w:t>he</w:t>
      </w:r>
      <w:r>
        <w:t xml:space="preserve"> </w:t>
      </w:r>
      <w:r w:rsidRPr="00996E36">
        <w:t>model structure presented in the CUA did not accurately represent the PAD disease pathways.</w:t>
      </w:r>
      <w:r w:rsidRPr="000C4528">
        <w:rPr>
          <w:b/>
          <w:bCs/>
        </w:rPr>
        <w:t xml:space="preserve"> </w:t>
      </w:r>
    </w:p>
    <w:p w14:paraId="2DA84BFE" w14:textId="6977F20B" w:rsidR="000C4528" w:rsidRPr="000C4528" w:rsidRDefault="000C4528" w:rsidP="00FD0F2A">
      <w:pPr>
        <w:rPr>
          <w:b/>
          <w:bCs/>
        </w:rPr>
      </w:pPr>
      <w:r w:rsidRPr="000C4528">
        <w:rPr>
          <w:b/>
          <w:bCs/>
        </w:rPr>
        <w:t>•</w:t>
      </w:r>
      <w:r w:rsidR="000E547A">
        <w:rPr>
          <w:b/>
          <w:bCs/>
        </w:rPr>
        <w:t xml:space="preserve"> </w:t>
      </w:r>
      <w:r w:rsidRPr="00996E36">
        <w:t xml:space="preserve">The ADAR did not use the baseline rate for stenting from the DISRUPT PAD III trial but rather used MBS data that is not specific to the PICO population and applied the </w:t>
      </w:r>
      <w:r w:rsidR="006F5C2E">
        <w:t>RR</w:t>
      </w:r>
      <w:r w:rsidRPr="00996E36">
        <w:t xml:space="preserve"> from the trial, overestimating the percentage of stenting avoided with the use of IVL.</w:t>
      </w:r>
    </w:p>
    <w:p w14:paraId="2C782212" w14:textId="3B665544" w:rsidR="000C4528" w:rsidRPr="000C4528" w:rsidRDefault="000C4528" w:rsidP="00FD0F2A">
      <w:pPr>
        <w:rPr>
          <w:b/>
          <w:bCs/>
        </w:rPr>
      </w:pPr>
      <w:r w:rsidRPr="000C4528">
        <w:rPr>
          <w:b/>
          <w:bCs/>
        </w:rPr>
        <w:t>•</w:t>
      </w:r>
      <w:r w:rsidR="000E547A">
        <w:rPr>
          <w:b/>
          <w:bCs/>
        </w:rPr>
        <w:t xml:space="preserve"> </w:t>
      </w:r>
      <w:r w:rsidRPr="00996E36">
        <w:t xml:space="preserve">The 30-year time horizon </w:t>
      </w:r>
      <w:r>
        <w:t xml:space="preserve">used in the model </w:t>
      </w:r>
      <w:r w:rsidRPr="00996E36">
        <w:t>is too long for this population given that the starting age in the model is 72 years.</w:t>
      </w:r>
    </w:p>
    <w:p w14:paraId="28F298C9" w14:textId="77777777" w:rsidR="000E547A" w:rsidRDefault="000C4528" w:rsidP="00FD0F2A">
      <w:pPr>
        <w:rPr>
          <w:b/>
          <w:bCs/>
        </w:rPr>
      </w:pPr>
      <w:r w:rsidRPr="000C4528">
        <w:rPr>
          <w:b/>
          <w:bCs/>
        </w:rPr>
        <w:t>•</w:t>
      </w:r>
      <w:r w:rsidR="000E547A">
        <w:rPr>
          <w:b/>
          <w:bCs/>
        </w:rPr>
        <w:t xml:space="preserve"> </w:t>
      </w:r>
      <w:r w:rsidRPr="00996E36">
        <w:t>The ADAR assumed baseline utility values from the DISRUPT PAD III RCT to represent the health state for loss of patency.</w:t>
      </w:r>
      <w:r w:rsidRPr="000C4528">
        <w:rPr>
          <w:b/>
          <w:bCs/>
        </w:rPr>
        <w:t xml:space="preserve"> </w:t>
      </w:r>
      <w:bookmarkEnd w:id="43"/>
    </w:p>
    <w:p w14:paraId="62935071" w14:textId="689B4D55" w:rsidR="008D1CD7" w:rsidRDefault="008D1CD7" w:rsidP="00FD0F2A">
      <w:pPr>
        <w:rPr>
          <w:b/>
          <w:bCs/>
        </w:rPr>
      </w:pPr>
      <w:r w:rsidRPr="008D1CD7">
        <w:rPr>
          <w:b/>
          <w:bCs/>
        </w:rPr>
        <w:t xml:space="preserve">Results of the </w:t>
      </w:r>
      <w:r w:rsidR="00C90312">
        <w:rPr>
          <w:b/>
          <w:bCs/>
        </w:rPr>
        <w:t>Scenario A</w:t>
      </w:r>
      <w:r w:rsidRPr="008D1CD7">
        <w:rPr>
          <w:b/>
          <w:bCs/>
        </w:rPr>
        <w:t>nalysis</w:t>
      </w:r>
    </w:p>
    <w:p w14:paraId="593B7BE0" w14:textId="0C1293DF" w:rsidR="008D1CD7" w:rsidRPr="008D1CD7" w:rsidRDefault="008D1CD7" w:rsidP="00FD0F2A">
      <w:r w:rsidRPr="008D1CD7">
        <w:t>The scenario analysis is relevant for the PICO set 1. The ADAR reported an ICER of $</w:t>
      </w:r>
      <w:r w:rsidR="007B591F" w:rsidRPr="00F5227E">
        <w:rPr>
          <w:b/>
          <w:bCs/>
        </w:rPr>
        <w:t>redacted</w:t>
      </w:r>
      <w:r w:rsidRPr="008D1CD7">
        <w:t xml:space="preserve">/QALY with treatment of IVL compared to SBA. Table </w:t>
      </w:r>
      <w:r w:rsidR="00EB6499">
        <w:t xml:space="preserve">11 </w:t>
      </w:r>
      <w:r w:rsidRPr="008D1CD7">
        <w:t>provide</w:t>
      </w:r>
      <w:r w:rsidR="00C90312">
        <w:t>s</w:t>
      </w:r>
      <w:r w:rsidRPr="008D1CD7">
        <w:t xml:space="preserve"> a summary of scenario analysis results.</w:t>
      </w:r>
    </w:p>
    <w:p w14:paraId="78AACAA5" w14:textId="6A1DE312" w:rsidR="008D1CD7" w:rsidRDefault="008D1CD7" w:rsidP="00FD0F2A">
      <w:pPr>
        <w:pStyle w:val="Caption"/>
        <w:spacing w:before="0"/>
      </w:pPr>
      <w:r>
        <w:t xml:space="preserve">Table </w:t>
      </w:r>
      <w:r w:rsidR="00340D39">
        <w:fldChar w:fldCharType="begin"/>
      </w:r>
      <w:r w:rsidR="00340D39">
        <w:instrText xml:space="preserve"> SEQ Table \* ARABIC </w:instrText>
      </w:r>
      <w:r w:rsidR="00340D39">
        <w:fldChar w:fldCharType="separate"/>
      </w:r>
      <w:r w:rsidR="009A5224">
        <w:rPr>
          <w:noProof/>
        </w:rPr>
        <w:t>11</w:t>
      </w:r>
      <w:r w:rsidR="00340D39">
        <w:rPr>
          <w:noProof/>
        </w:rPr>
        <w:fldChar w:fldCharType="end"/>
      </w:r>
      <w:r>
        <w:t>: Results of the scenario analysis</w:t>
      </w:r>
    </w:p>
    <w:tbl>
      <w:tblPr>
        <w:tblStyle w:val="MSAC"/>
        <w:tblW w:w="5000" w:type="pct"/>
        <w:shd w:val="clear" w:color="auto" w:fill="FFFFFF"/>
        <w:tblLayout w:type="fixed"/>
        <w:tblLook w:val="04A0" w:firstRow="1" w:lastRow="0" w:firstColumn="1" w:lastColumn="0" w:noHBand="0" w:noVBand="1"/>
      </w:tblPr>
      <w:tblGrid>
        <w:gridCol w:w="1699"/>
        <w:gridCol w:w="2440"/>
        <w:gridCol w:w="2378"/>
        <w:gridCol w:w="2499"/>
      </w:tblGrid>
      <w:tr w:rsidR="008D1CD7" w:rsidRPr="00CE28E3" w14:paraId="470AA589" w14:textId="77777777">
        <w:trPr>
          <w:cnfStyle w:val="100000000000" w:firstRow="1" w:lastRow="0" w:firstColumn="0" w:lastColumn="0" w:oddVBand="0" w:evenVBand="0" w:oddHBand="0" w:evenHBand="0" w:firstRowFirstColumn="0" w:firstRowLastColumn="0" w:lastRowFirstColumn="0" w:lastRowLastColumn="0"/>
          <w:cantSplit/>
        </w:trPr>
        <w:tc>
          <w:tcPr>
            <w:tcW w:w="942" w:type="pct"/>
            <w:shd w:val="clear" w:color="auto" w:fill="FFFFFF"/>
          </w:tcPr>
          <w:p w14:paraId="533EA671" w14:textId="77777777" w:rsidR="008D1CD7" w:rsidRPr="00CE28E3" w:rsidRDefault="008D1CD7">
            <w:pPr>
              <w:pStyle w:val="In-tableHeading"/>
            </w:pPr>
            <w:r>
              <w:t xml:space="preserve">Parameter </w:t>
            </w:r>
          </w:p>
        </w:tc>
        <w:tc>
          <w:tcPr>
            <w:tcW w:w="1353" w:type="pct"/>
            <w:shd w:val="clear" w:color="auto" w:fill="FFFFFF"/>
          </w:tcPr>
          <w:p w14:paraId="258413BF" w14:textId="77777777" w:rsidR="008D1CD7" w:rsidRPr="00CE28E3" w:rsidRDefault="008D1CD7">
            <w:pPr>
              <w:pStyle w:val="In-tableHeading"/>
              <w:jc w:val="center"/>
            </w:pPr>
            <w:r>
              <w:t>IVL</w:t>
            </w:r>
          </w:p>
        </w:tc>
        <w:tc>
          <w:tcPr>
            <w:tcW w:w="1319" w:type="pct"/>
            <w:shd w:val="clear" w:color="auto" w:fill="FFFFFF"/>
          </w:tcPr>
          <w:p w14:paraId="56F63FEE" w14:textId="77777777" w:rsidR="008D1CD7" w:rsidRPr="00CE28E3" w:rsidRDefault="008D1CD7">
            <w:pPr>
              <w:pStyle w:val="In-tableHeading"/>
              <w:jc w:val="center"/>
            </w:pPr>
            <w:r>
              <w:t>SBA</w:t>
            </w:r>
          </w:p>
        </w:tc>
        <w:tc>
          <w:tcPr>
            <w:tcW w:w="1386" w:type="pct"/>
            <w:shd w:val="clear" w:color="auto" w:fill="FFFFFF"/>
          </w:tcPr>
          <w:p w14:paraId="3FFF7A7B" w14:textId="77777777" w:rsidR="008D1CD7" w:rsidRPr="00CE28E3" w:rsidRDefault="008D1CD7">
            <w:pPr>
              <w:pStyle w:val="In-tableHeading"/>
              <w:jc w:val="center"/>
            </w:pPr>
            <w:r w:rsidRPr="00CE28E3">
              <w:t>Increment</w:t>
            </w:r>
          </w:p>
        </w:tc>
      </w:tr>
      <w:tr w:rsidR="008D1CD7" w:rsidRPr="00CE28E3" w14:paraId="0B73D64F" w14:textId="77777777">
        <w:trPr>
          <w:cantSplit/>
        </w:trPr>
        <w:tc>
          <w:tcPr>
            <w:tcW w:w="942" w:type="pct"/>
            <w:shd w:val="clear" w:color="auto" w:fill="auto"/>
          </w:tcPr>
          <w:p w14:paraId="7E7D6556" w14:textId="77777777" w:rsidR="008D1CD7" w:rsidRPr="00CE28E3" w:rsidRDefault="008D1CD7">
            <w:pPr>
              <w:pStyle w:val="TableText"/>
              <w:keepNext/>
            </w:pPr>
            <w:r w:rsidRPr="00CE28E3">
              <w:t>Costs</w:t>
            </w:r>
          </w:p>
        </w:tc>
        <w:tc>
          <w:tcPr>
            <w:tcW w:w="1353" w:type="pct"/>
            <w:shd w:val="clear" w:color="auto" w:fill="auto"/>
          </w:tcPr>
          <w:p w14:paraId="2BA59C04" w14:textId="3FBF851D" w:rsidR="008D1CD7" w:rsidRPr="00CE28E3" w:rsidRDefault="008D1CD7">
            <w:pPr>
              <w:pStyle w:val="TableText"/>
              <w:keepNext/>
              <w:jc w:val="center"/>
            </w:pPr>
            <w:r w:rsidRPr="008D1CD7">
              <w:t>$</w:t>
            </w:r>
            <w:r w:rsidR="00DB6C8F" w:rsidRPr="00B73D4C">
              <w:rPr>
                <w:b/>
                <w:bCs/>
              </w:rPr>
              <w:t xml:space="preserve"> redacted</w:t>
            </w:r>
          </w:p>
        </w:tc>
        <w:tc>
          <w:tcPr>
            <w:tcW w:w="1319" w:type="pct"/>
            <w:shd w:val="clear" w:color="auto" w:fill="auto"/>
          </w:tcPr>
          <w:p w14:paraId="0B5EFE07" w14:textId="5EDF92EE" w:rsidR="008D1CD7" w:rsidRPr="00CE28E3" w:rsidRDefault="008D1CD7">
            <w:pPr>
              <w:pStyle w:val="TableText"/>
              <w:keepNext/>
              <w:jc w:val="center"/>
            </w:pPr>
            <w:r w:rsidRPr="008D1CD7">
              <w:t>$17,314.14</w:t>
            </w:r>
          </w:p>
        </w:tc>
        <w:tc>
          <w:tcPr>
            <w:tcW w:w="1386" w:type="pct"/>
            <w:shd w:val="clear" w:color="auto" w:fill="auto"/>
          </w:tcPr>
          <w:p w14:paraId="56440B56" w14:textId="31627EBB" w:rsidR="008D1CD7" w:rsidRPr="00CE28E3" w:rsidRDefault="008D1CD7">
            <w:pPr>
              <w:pStyle w:val="TableText"/>
              <w:keepNext/>
              <w:jc w:val="center"/>
            </w:pPr>
            <w:r w:rsidRPr="008D1CD7">
              <w:t>$</w:t>
            </w:r>
            <w:r w:rsidR="00DB6C8F" w:rsidRPr="00B73D4C">
              <w:rPr>
                <w:b/>
                <w:bCs/>
              </w:rPr>
              <w:t xml:space="preserve"> redacted</w:t>
            </w:r>
          </w:p>
        </w:tc>
      </w:tr>
      <w:tr w:rsidR="008D1CD7" w:rsidRPr="00CE28E3" w14:paraId="0AFC63BF" w14:textId="77777777">
        <w:trPr>
          <w:cantSplit/>
        </w:trPr>
        <w:tc>
          <w:tcPr>
            <w:tcW w:w="942" w:type="pct"/>
            <w:shd w:val="clear" w:color="auto" w:fill="auto"/>
          </w:tcPr>
          <w:p w14:paraId="75F15609" w14:textId="77777777" w:rsidR="008D1CD7" w:rsidRPr="00CE28E3" w:rsidRDefault="008D1CD7">
            <w:pPr>
              <w:pStyle w:val="TableText"/>
              <w:keepNext/>
            </w:pPr>
            <w:r w:rsidRPr="00CE28E3">
              <w:t>Life years</w:t>
            </w:r>
          </w:p>
        </w:tc>
        <w:tc>
          <w:tcPr>
            <w:tcW w:w="1353" w:type="pct"/>
            <w:shd w:val="clear" w:color="auto" w:fill="auto"/>
          </w:tcPr>
          <w:p w14:paraId="467E8018" w14:textId="77777777" w:rsidR="008D1CD7" w:rsidRPr="00CE28E3" w:rsidRDefault="008D1CD7">
            <w:pPr>
              <w:pStyle w:val="TableText"/>
              <w:keepNext/>
              <w:jc w:val="center"/>
            </w:pPr>
            <w:r>
              <w:t>NA</w:t>
            </w:r>
          </w:p>
        </w:tc>
        <w:tc>
          <w:tcPr>
            <w:tcW w:w="1319" w:type="pct"/>
            <w:shd w:val="clear" w:color="auto" w:fill="auto"/>
          </w:tcPr>
          <w:p w14:paraId="7E04F70D" w14:textId="77777777" w:rsidR="008D1CD7" w:rsidRPr="00CE28E3" w:rsidRDefault="008D1CD7">
            <w:pPr>
              <w:pStyle w:val="TableText"/>
              <w:keepNext/>
              <w:jc w:val="center"/>
            </w:pPr>
            <w:r>
              <w:t>NA</w:t>
            </w:r>
          </w:p>
        </w:tc>
        <w:tc>
          <w:tcPr>
            <w:tcW w:w="1386" w:type="pct"/>
            <w:shd w:val="clear" w:color="auto" w:fill="auto"/>
          </w:tcPr>
          <w:p w14:paraId="1F86A1DD" w14:textId="77777777" w:rsidR="008D1CD7" w:rsidRPr="00CE28E3" w:rsidRDefault="008D1CD7">
            <w:pPr>
              <w:pStyle w:val="TableText"/>
              <w:keepNext/>
              <w:jc w:val="center"/>
            </w:pPr>
            <w:r>
              <w:t>NA</w:t>
            </w:r>
          </w:p>
        </w:tc>
      </w:tr>
      <w:tr w:rsidR="008D1CD7" w:rsidRPr="00CE28E3" w14:paraId="0E2B4157" w14:textId="77777777">
        <w:trPr>
          <w:cantSplit/>
        </w:trPr>
        <w:tc>
          <w:tcPr>
            <w:tcW w:w="942" w:type="pct"/>
            <w:shd w:val="clear" w:color="auto" w:fill="auto"/>
          </w:tcPr>
          <w:p w14:paraId="0F8B3C4E" w14:textId="76F97A15" w:rsidR="008D1CD7" w:rsidRPr="00CE28E3" w:rsidRDefault="008D1CD7">
            <w:pPr>
              <w:pStyle w:val="TableText"/>
              <w:keepNext/>
            </w:pPr>
            <w:r w:rsidRPr="00CE28E3">
              <w:t>QALY</w:t>
            </w:r>
          </w:p>
        </w:tc>
        <w:tc>
          <w:tcPr>
            <w:tcW w:w="1353" w:type="pct"/>
            <w:shd w:val="clear" w:color="auto" w:fill="auto"/>
          </w:tcPr>
          <w:p w14:paraId="6B952C5D" w14:textId="328C617D" w:rsidR="008D1CD7" w:rsidRPr="00CE28E3" w:rsidRDefault="008D1CD7">
            <w:pPr>
              <w:pStyle w:val="TableText"/>
              <w:keepNext/>
              <w:jc w:val="center"/>
            </w:pPr>
            <w:r w:rsidRPr="008D1CD7">
              <w:t>5.41</w:t>
            </w:r>
          </w:p>
        </w:tc>
        <w:tc>
          <w:tcPr>
            <w:tcW w:w="1319" w:type="pct"/>
            <w:shd w:val="clear" w:color="auto" w:fill="auto"/>
          </w:tcPr>
          <w:p w14:paraId="54D3D62F" w14:textId="1E792C60" w:rsidR="008D1CD7" w:rsidRPr="00CE28E3" w:rsidRDefault="008D1CD7">
            <w:pPr>
              <w:pStyle w:val="TableText"/>
              <w:keepNext/>
              <w:jc w:val="center"/>
            </w:pPr>
            <w:r w:rsidRPr="008D1CD7">
              <w:t>5.34</w:t>
            </w:r>
          </w:p>
        </w:tc>
        <w:tc>
          <w:tcPr>
            <w:tcW w:w="1386" w:type="pct"/>
            <w:shd w:val="clear" w:color="auto" w:fill="auto"/>
          </w:tcPr>
          <w:p w14:paraId="5DCCA037" w14:textId="360D1019" w:rsidR="008D1CD7" w:rsidRPr="00CE28E3" w:rsidRDefault="008D1CD7">
            <w:pPr>
              <w:pStyle w:val="TableText"/>
              <w:keepNext/>
              <w:jc w:val="center"/>
            </w:pPr>
            <w:r w:rsidRPr="008D1CD7">
              <w:t>0.07</w:t>
            </w:r>
          </w:p>
        </w:tc>
      </w:tr>
      <w:tr w:rsidR="008D1CD7" w:rsidRPr="00CE28E3" w14:paraId="5D932C74" w14:textId="77777777" w:rsidTr="002B49E2">
        <w:trPr>
          <w:cantSplit/>
        </w:trPr>
        <w:tc>
          <w:tcPr>
            <w:tcW w:w="3614" w:type="pct"/>
            <w:gridSpan w:val="3"/>
            <w:shd w:val="clear" w:color="auto" w:fill="auto"/>
          </w:tcPr>
          <w:p w14:paraId="2C76548A" w14:textId="77777777" w:rsidR="008D1CD7" w:rsidRPr="00CE28E3" w:rsidRDefault="008D1CD7" w:rsidP="000C6399">
            <w:pPr>
              <w:pStyle w:val="In-tableHeading"/>
            </w:pPr>
            <w:r w:rsidRPr="00CE28E3">
              <w:t>Incremental cost per life year gained</w:t>
            </w:r>
          </w:p>
        </w:tc>
        <w:tc>
          <w:tcPr>
            <w:tcW w:w="1386" w:type="pct"/>
            <w:shd w:val="clear" w:color="auto" w:fill="auto"/>
          </w:tcPr>
          <w:p w14:paraId="5295F2DF" w14:textId="77777777" w:rsidR="008D1CD7" w:rsidRPr="00CE28E3" w:rsidRDefault="008D1CD7">
            <w:pPr>
              <w:keepNext/>
              <w:keepLines/>
              <w:jc w:val="center"/>
              <w:rPr>
                <w:rFonts w:ascii="Arial Narrow" w:eastAsia="Calibri" w:hAnsi="Arial Narrow"/>
                <w:b/>
              </w:rPr>
            </w:pPr>
            <w:r>
              <w:rPr>
                <w:rFonts w:ascii="Arial Narrow" w:eastAsia="Calibri" w:hAnsi="Arial Narrow"/>
                <w:b/>
              </w:rPr>
              <w:t>NA</w:t>
            </w:r>
          </w:p>
        </w:tc>
      </w:tr>
      <w:tr w:rsidR="008D1CD7" w:rsidRPr="00CE28E3" w14:paraId="12CB6F73" w14:textId="77777777" w:rsidTr="002B49E2">
        <w:trPr>
          <w:cantSplit/>
        </w:trPr>
        <w:tc>
          <w:tcPr>
            <w:tcW w:w="3614" w:type="pct"/>
            <w:gridSpan w:val="3"/>
            <w:shd w:val="clear" w:color="auto" w:fill="auto"/>
          </w:tcPr>
          <w:p w14:paraId="721D3701" w14:textId="77777777" w:rsidR="008D1CD7" w:rsidRPr="00CE28E3" w:rsidRDefault="008D1CD7" w:rsidP="000C6399">
            <w:pPr>
              <w:pStyle w:val="In-tableHeading"/>
            </w:pPr>
            <w:r w:rsidRPr="00CE28E3">
              <w:t>Incremental cost per QALY gained</w:t>
            </w:r>
          </w:p>
        </w:tc>
        <w:tc>
          <w:tcPr>
            <w:tcW w:w="1386" w:type="pct"/>
            <w:shd w:val="clear" w:color="auto" w:fill="auto"/>
          </w:tcPr>
          <w:p w14:paraId="65D40B89" w14:textId="2AA49391" w:rsidR="008D1CD7" w:rsidRPr="00CE28E3" w:rsidRDefault="008D1CD7">
            <w:pPr>
              <w:keepNext/>
              <w:keepLines/>
              <w:jc w:val="center"/>
              <w:rPr>
                <w:rFonts w:ascii="Arial Narrow" w:eastAsia="Calibri" w:hAnsi="Arial Narrow"/>
                <w:b/>
              </w:rPr>
            </w:pPr>
            <w:r w:rsidRPr="008D1CD7">
              <w:rPr>
                <w:rFonts w:ascii="Arial Narrow" w:eastAsia="Calibri" w:hAnsi="Arial Narrow"/>
                <w:b/>
              </w:rPr>
              <w:t>$</w:t>
            </w:r>
            <w:r w:rsidR="00DB6C8F" w:rsidRPr="00B73D4C">
              <w:rPr>
                <w:b/>
                <w:bCs/>
              </w:rPr>
              <w:t xml:space="preserve"> redacted</w:t>
            </w:r>
          </w:p>
        </w:tc>
      </w:tr>
    </w:tbl>
    <w:p w14:paraId="36FFCA86" w14:textId="220A0AB8" w:rsidR="008D1CD7" w:rsidRPr="004E2862" w:rsidRDefault="008D1CD7" w:rsidP="008D1CD7">
      <w:pPr>
        <w:pStyle w:val="Tablenotes"/>
      </w:pPr>
      <w:r>
        <w:t xml:space="preserve">Abbreviations: </w:t>
      </w:r>
      <w:r w:rsidRPr="00C96462">
        <w:t>IVL</w:t>
      </w:r>
      <w:r>
        <w:t xml:space="preserve"> =</w:t>
      </w:r>
      <w:r w:rsidRPr="00C96462">
        <w:t xml:space="preserve"> intravascular lithotripsy</w:t>
      </w:r>
      <w:r w:rsidR="002633A1">
        <w:t>;</w:t>
      </w:r>
      <w:r w:rsidR="002633A1" w:rsidRPr="00CE28E3">
        <w:rPr>
          <w:rFonts w:eastAsia="Calibri"/>
        </w:rPr>
        <w:t xml:space="preserve"> </w:t>
      </w:r>
      <w:r w:rsidR="002633A1" w:rsidRPr="002633A1">
        <w:rPr>
          <w:rFonts w:eastAsia="Calibri"/>
        </w:rPr>
        <w:t>NA = not applicable</w:t>
      </w:r>
      <w:r w:rsidR="002633A1">
        <w:rPr>
          <w:rFonts w:eastAsia="Calibri"/>
        </w:rPr>
        <w:t>;</w:t>
      </w:r>
      <w:r w:rsidR="002633A1" w:rsidRPr="002633A1">
        <w:rPr>
          <w:rFonts w:eastAsia="Calibri"/>
        </w:rPr>
        <w:t xml:space="preserve"> </w:t>
      </w:r>
      <w:r w:rsidRPr="00CE28E3">
        <w:rPr>
          <w:rFonts w:eastAsia="Calibri"/>
        </w:rPr>
        <w:t>QALY = quality</w:t>
      </w:r>
      <w:r>
        <w:rPr>
          <w:rFonts w:eastAsia="Calibri"/>
        </w:rPr>
        <w:t>-</w:t>
      </w:r>
      <w:r w:rsidRPr="00CE28E3">
        <w:rPr>
          <w:rFonts w:eastAsia="Calibri"/>
        </w:rPr>
        <w:t>adjusted life year</w:t>
      </w:r>
      <w:r w:rsidR="002633A1">
        <w:rPr>
          <w:rFonts w:eastAsia="Calibri"/>
        </w:rPr>
        <w:t xml:space="preserve">; </w:t>
      </w:r>
      <w:r w:rsidRPr="004C1460">
        <w:rPr>
          <w:rFonts w:eastAsia="Calibri"/>
        </w:rPr>
        <w:t>SBA</w:t>
      </w:r>
      <w:r>
        <w:rPr>
          <w:rFonts w:eastAsia="Calibri"/>
        </w:rPr>
        <w:t xml:space="preserve"> =</w:t>
      </w:r>
      <w:r w:rsidRPr="004C1460">
        <w:rPr>
          <w:rFonts w:eastAsia="Calibri"/>
        </w:rPr>
        <w:t xml:space="preserve"> standard balloon angioplasty</w:t>
      </w:r>
    </w:p>
    <w:p w14:paraId="4F7708A4" w14:textId="5BCD80AC" w:rsidR="004E2862" w:rsidRDefault="00EB6499" w:rsidP="00FD0F2A">
      <w:r w:rsidRPr="00996E36">
        <w:t>The commentary</w:t>
      </w:r>
      <w:r w:rsidR="008D1CD7" w:rsidRPr="00996E36">
        <w:t xml:space="preserve"> noted that the estimated ICER for PICO set 1 is highly uncertain due to</w:t>
      </w:r>
      <w:r w:rsidR="00E50543">
        <w:t>:</w:t>
      </w:r>
      <w:r w:rsidR="008D1CD7" w:rsidRPr="00996E36">
        <w:t xml:space="preserve"> </w:t>
      </w:r>
    </w:p>
    <w:p w14:paraId="27718B9D" w14:textId="2CD96C57" w:rsidR="000E547A" w:rsidRPr="000C4528" w:rsidRDefault="000E547A" w:rsidP="00FD0F2A">
      <w:pPr>
        <w:rPr>
          <w:b/>
          <w:bCs/>
        </w:rPr>
      </w:pPr>
      <w:r w:rsidRPr="000C4528">
        <w:rPr>
          <w:b/>
          <w:bCs/>
        </w:rPr>
        <w:lastRenderedPageBreak/>
        <w:t>•</w:t>
      </w:r>
      <w:r w:rsidR="007A7D26">
        <w:rPr>
          <w:b/>
          <w:bCs/>
        </w:rPr>
        <w:t xml:space="preserve">   </w:t>
      </w:r>
      <w:r w:rsidR="009E7FEF">
        <w:t xml:space="preserve">As </w:t>
      </w:r>
      <w:proofErr w:type="spellStart"/>
      <w:r w:rsidR="009E7FEF">
        <w:t>disussed</w:t>
      </w:r>
      <w:proofErr w:type="spellEnd"/>
      <w:r w:rsidR="009E7FEF">
        <w:t xml:space="preserve"> under the base case analysis, t</w:t>
      </w:r>
      <w:r w:rsidRPr="00C00176">
        <w:t>he</w:t>
      </w:r>
      <w:r>
        <w:t xml:space="preserve"> </w:t>
      </w:r>
      <w:r w:rsidRPr="00C00176">
        <w:t>model structure presented in the CUA did not accurately represent the PAD disease pathways</w:t>
      </w:r>
      <w:r w:rsidR="009E7FEF">
        <w:rPr>
          <w:b/>
          <w:bCs/>
        </w:rPr>
        <w:t xml:space="preserve">, </w:t>
      </w:r>
      <w:r w:rsidR="009E7FEF">
        <w:t>and the time horizon is too long for this population.</w:t>
      </w:r>
    </w:p>
    <w:p w14:paraId="00A56439" w14:textId="380B8C51" w:rsidR="000E547A" w:rsidRPr="000C4528" w:rsidRDefault="000E547A" w:rsidP="00FD0F2A">
      <w:pPr>
        <w:rPr>
          <w:b/>
          <w:bCs/>
        </w:rPr>
      </w:pPr>
      <w:r w:rsidRPr="000C4528">
        <w:rPr>
          <w:b/>
          <w:bCs/>
        </w:rPr>
        <w:t>•</w:t>
      </w:r>
      <w:r w:rsidR="007A7D26">
        <w:rPr>
          <w:b/>
          <w:bCs/>
        </w:rPr>
        <w:t xml:space="preserve">   </w:t>
      </w:r>
      <w:r w:rsidRPr="00996E36">
        <w:t>The scenario analysis included the rate of stenting (1.7%) in the IVL arm obtained from the DISRUPT PAD II single-arm trial compared with a rate of 45% obtained from MBS utilisation data in the SBA arm that is not specific to this population</w:t>
      </w:r>
      <w:r w:rsidRPr="000E547A">
        <w:rPr>
          <w:b/>
          <w:bCs/>
        </w:rPr>
        <w:t>.</w:t>
      </w:r>
    </w:p>
    <w:p w14:paraId="2080CD76" w14:textId="0C7B0E72" w:rsidR="00C33469" w:rsidRPr="00C33469" w:rsidRDefault="00C33469" w:rsidP="00FD0F2A">
      <w:pPr>
        <w:keepNext/>
        <w:rPr>
          <w:b/>
          <w:bCs/>
        </w:rPr>
      </w:pPr>
      <w:r w:rsidRPr="00C33469">
        <w:rPr>
          <w:b/>
          <w:bCs/>
        </w:rPr>
        <w:t xml:space="preserve">Uncertainty analysis: </w:t>
      </w:r>
      <w:r w:rsidR="00C90312">
        <w:rPr>
          <w:b/>
          <w:bCs/>
        </w:rPr>
        <w:t>M</w:t>
      </w:r>
      <w:r w:rsidRPr="00C33469">
        <w:rPr>
          <w:b/>
          <w:bCs/>
        </w:rPr>
        <w:t>odel inputs and assumptions</w:t>
      </w:r>
    </w:p>
    <w:p w14:paraId="39BAF341" w14:textId="751A2DA7" w:rsidR="00C33469" w:rsidRPr="003251C2" w:rsidRDefault="00C33469" w:rsidP="00FD0F2A">
      <w:pPr>
        <w:keepNext/>
      </w:pPr>
      <w:r>
        <w:t xml:space="preserve">The </w:t>
      </w:r>
      <w:r w:rsidR="00E80CEA">
        <w:t>ADAR</w:t>
      </w:r>
      <w:r>
        <w:t xml:space="preserve"> performed a sensitivity analysis based on several model input parameters</w:t>
      </w:r>
      <w:r w:rsidR="00C90312">
        <w:t>:</w:t>
      </w:r>
      <w:r w:rsidR="00224288">
        <w:t xml:space="preserve"> </w:t>
      </w:r>
      <w:r w:rsidR="00224288" w:rsidRPr="00224288">
        <w:t>the rate of stenting in the SBA and IVL arms, the cost of IVL and utility values used in the patency and loss of patency health states.</w:t>
      </w:r>
      <w:r w:rsidR="00224288">
        <w:t xml:space="preserve"> </w:t>
      </w:r>
      <w:r>
        <w:t xml:space="preserve">The </w:t>
      </w:r>
      <w:r w:rsidR="00053C18">
        <w:t>ADAR</w:t>
      </w:r>
      <w:r>
        <w:t xml:space="preserve"> stated that the ICER remains cost-effective in all sensitivity analysis scenarios. </w:t>
      </w:r>
      <w:r w:rsidRPr="00996E36">
        <w:t>However, no justifications were provided for the ranges used in the different parameters in sensitivity analysis.</w:t>
      </w:r>
      <w:r w:rsidR="00494174">
        <w:t xml:space="preserve"> Table </w:t>
      </w:r>
      <w:r w:rsidR="00EB6499">
        <w:t xml:space="preserve">12 </w:t>
      </w:r>
      <w:r w:rsidR="00494174">
        <w:t>summarise the key drivers of the model.</w:t>
      </w:r>
    </w:p>
    <w:p w14:paraId="708EBBC4" w14:textId="1AA6280A" w:rsidR="002F32FB" w:rsidRPr="00CE28E3" w:rsidRDefault="002F32FB" w:rsidP="002F32FB">
      <w:pPr>
        <w:pStyle w:val="Caption"/>
      </w:pPr>
      <w:bookmarkStart w:id="44" w:name="_Ref69726321"/>
      <w:r w:rsidRPr="00CE28E3">
        <w:t>Table</w:t>
      </w:r>
      <w:r w:rsidR="003571C2">
        <w:t> </w:t>
      </w:r>
      <w:r w:rsidR="00340D39">
        <w:fldChar w:fldCharType="begin"/>
      </w:r>
      <w:r w:rsidR="00340D39">
        <w:instrText xml:space="preserve"> SEQ Table \* ARABIC </w:instrText>
      </w:r>
      <w:r w:rsidR="00340D39">
        <w:fldChar w:fldCharType="separate"/>
      </w:r>
      <w:r w:rsidR="009A5224">
        <w:rPr>
          <w:noProof/>
        </w:rPr>
        <w:t>12</w:t>
      </w:r>
      <w:r w:rsidR="00340D39">
        <w:rPr>
          <w:noProof/>
        </w:rPr>
        <w:fldChar w:fldCharType="end"/>
      </w:r>
      <w:bookmarkEnd w:id="44"/>
      <w:r w:rsidRPr="00CE28E3">
        <w:tab/>
        <w:t>Key drivers of the model</w:t>
      </w:r>
    </w:p>
    <w:tbl>
      <w:tblPr>
        <w:tblStyle w:val="MSAC"/>
        <w:tblW w:w="5000" w:type="pct"/>
        <w:tblCellMar>
          <w:left w:w="28" w:type="dxa"/>
          <w:right w:w="28" w:type="dxa"/>
        </w:tblCellMar>
        <w:tblLook w:val="04A0" w:firstRow="1" w:lastRow="0" w:firstColumn="1" w:lastColumn="0" w:noHBand="0" w:noVBand="1"/>
      </w:tblPr>
      <w:tblGrid>
        <w:gridCol w:w="1129"/>
        <w:gridCol w:w="5103"/>
        <w:gridCol w:w="2784"/>
      </w:tblGrid>
      <w:tr w:rsidR="002F32FB" w:rsidRPr="00CE28E3" w14:paraId="11B0BC91" w14:textId="77777777" w:rsidTr="0066128C">
        <w:trPr>
          <w:cnfStyle w:val="100000000000" w:firstRow="1" w:lastRow="0" w:firstColumn="0" w:lastColumn="0" w:oddVBand="0" w:evenVBand="0" w:oddHBand="0" w:evenHBand="0" w:firstRowFirstColumn="0" w:firstRowLastColumn="0" w:lastRowFirstColumn="0" w:lastRowLastColumn="0"/>
        </w:trPr>
        <w:tc>
          <w:tcPr>
            <w:tcW w:w="626" w:type="pct"/>
            <w:shd w:val="clear" w:color="auto" w:fill="auto"/>
          </w:tcPr>
          <w:p w14:paraId="2EC6365B" w14:textId="77777777" w:rsidR="002F32FB" w:rsidRPr="00CE28E3" w:rsidRDefault="002F32FB" w:rsidP="003B61B7">
            <w:pPr>
              <w:pStyle w:val="In-tableHeading"/>
              <w:jc w:val="center"/>
            </w:pPr>
            <w:bookmarkStart w:id="45" w:name="Title_Table10" w:colFirst="0" w:colLast="0"/>
            <w:bookmarkStart w:id="46" w:name="_Hlk68276626"/>
            <w:r w:rsidRPr="00CE28E3">
              <w:t>Description</w:t>
            </w:r>
          </w:p>
        </w:tc>
        <w:tc>
          <w:tcPr>
            <w:tcW w:w="2830" w:type="pct"/>
            <w:shd w:val="clear" w:color="auto" w:fill="auto"/>
          </w:tcPr>
          <w:p w14:paraId="0520071F" w14:textId="77777777" w:rsidR="002F32FB" w:rsidRPr="00CE28E3" w:rsidRDefault="002F32FB" w:rsidP="003B61B7">
            <w:pPr>
              <w:pStyle w:val="In-tableHeading"/>
              <w:jc w:val="center"/>
            </w:pPr>
            <w:r w:rsidRPr="00CE28E3">
              <w:t>Method/Value</w:t>
            </w:r>
          </w:p>
        </w:tc>
        <w:tc>
          <w:tcPr>
            <w:tcW w:w="1544" w:type="pct"/>
            <w:shd w:val="clear" w:color="auto" w:fill="auto"/>
          </w:tcPr>
          <w:p w14:paraId="38BDDD5F" w14:textId="77777777" w:rsidR="002F32FB" w:rsidRPr="00CE28E3" w:rsidRDefault="002F32FB" w:rsidP="003B61B7">
            <w:pPr>
              <w:pStyle w:val="In-tableHeading"/>
              <w:jc w:val="center"/>
            </w:pPr>
            <w:r w:rsidRPr="00CE28E3">
              <w:t>Impact</w:t>
            </w:r>
          </w:p>
          <w:p w14:paraId="66E24653" w14:textId="2FC3B30D" w:rsidR="002F32FB" w:rsidRPr="00CE28E3" w:rsidRDefault="002F32FB" w:rsidP="003251C2">
            <w:pPr>
              <w:pStyle w:val="In-tableHeading"/>
              <w:spacing w:after="160"/>
              <w:jc w:val="center"/>
            </w:pPr>
            <w:r w:rsidRPr="00CE28E3">
              <w:rPr>
                <w:rFonts w:cs="Arial"/>
                <w:szCs w:val="20"/>
              </w:rPr>
              <w:t>Base case: $</w:t>
            </w:r>
            <w:r w:rsidR="001C423F" w:rsidRPr="006010AB">
              <w:rPr>
                <w:b/>
                <w:bCs/>
              </w:rPr>
              <w:t xml:space="preserve"> redacted</w:t>
            </w:r>
            <w:r w:rsidR="001C423F" w:rsidDel="001C423F">
              <w:rPr>
                <w:rFonts w:cs="Arial"/>
                <w:szCs w:val="20"/>
              </w:rPr>
              <w:t xml:space="preserve"> </w:t>
            </w:r>
            <w:r w:rsidRPr="00CE28E3">
              <w:rPr>
                <w:rFonts w:cs="Arial"/>
                <w:szCs w:val="20"/>
              </w:rPr>
              <w:t>/QALY gained</w:t>
            </w:r>
          </w:p>
        </w:tc>
      </w:tr>
      <w:bookmarkEnd w:id="45"/>
      <w:tr w:rsidR="002F32FB" w:rsidRPr="00CE28E3" w14:paraId="65F2DB8D" w14:textId="77777777" w:rsidTr="0066128C">
        <w:tc>
          <w:tcPr>
            <w:tcW w:w="626" w:type="pct"/>
            <w:shd w:val="clear" w:color="auto" w:fill="auto"/>
          </w:tcPr>
          <w:p w14:paraId="443EB50E" w14:textId="77777777" w:rsidR="002F32FB" w:rsidRPr="00CE28E3" w:rsidRDefault="002F32FB" w:rsidP="000C6399">
            <w:pPr>
              <w:pStyle w:val="TableText"/>
              <w:rPr>
                <w:lang w:val="en-US"/>
              </w:rPr>
            </w:pPr>
            <w:r w:rsidRPr="00CE28E3">
              <w:rPr>
                <w:lang w:val="en-US"/>
              </w:rPr>
              <w:t>Extrapolation</w:t>
            </w:r>
          </w:p>
        </w:tc>
        <w:tc>
          <w:tcPr>
            <w:tcW w:w="2830" w:type="pct"/>
            <w:shd w:val="clear" w:color="auto" w:fill="auto"/>
          </w:tcPr>
          <w:p w14:paraId="0EB50894" w14:textId="5646A50B" w:rsidR="002F32FB" w:rsidRPr="00CE28E3" w:rsidRDefault="002F32FB" w:rsidP="003B61B7">
            <w:pPr>
              <w:pStyle w:val="TableText"/>
              <w:rPr>
                <w:lang w:val="en-US"/>
              </w:rPr>
            </w:pPr>
            <w:r w:rsidRPr="00CE28E3">
              <w:rPr>
                <w:lang w:val="en-US"/>
              </w:rPr>
              <w:t xml:space="preserve">Treatment effect continued beyond </w:t>
            </w:r>
            <w:r w:rsidR="00C90312">
              <w:rPr>
                <w:lang w:val="en-US"/>
              </w:rPr>
              <w:t xml:space="preserve">the </w:t>
            </w:r>
            <w:r w:rsidR="006E4EC7">
              <w:rPr>
                <w:lang w:val="en-US"/>
              </w:rPr>
              <w:t>24</w:t>
            </w:r>
            <w:r w:rsidR="00EF1755">
              <w:rPr>
                <w:lang w:val="en-US"/>
              </w:rPr>
              <w:t>-</w:t>
            </w:r>
            <w:r w:rsidRPr="00CE28E3">
              <w:rPr>
                <w:lang w:val="en-US"/>
              </w:rPr>
              <w:t xml:space="preserve">month trial period for up to </w:t>
            </w:r>
            <w:r w:rsidR="006E4EC7">
              <w:rPr>
                <w:lang w:val="en-US"/>
              </w:rPr>
              <w:t>30</w:t>
            </w:r>
            <w:r w:rsidRPr="00CE28E3">
              <w:rPr>
                <w:lang w:val="en-US"/>
              </w:rPr>
              <w:t xml:space="preserve"> years</w:t>
            </w:r>
            <w:r w:rsidR="00C90312">
              <w:rPr>
                <w:lang w:val="en-US"/>
              </w:rPr>
              <w:t>,</w:t>
            </w:r>
            <w:r w:rsidR="002F07F5">
              <w:rPr>
                <w:lang w:val="en-US"/>
              </w:rPr>
              <w:t xml:space="preserve"> and </w:t>
            </w:r>
            <w:r w:rsidR="00C90312">
              <w:rPr>
                <w:lang w:val="en-US"/>
              </w:rPr>
              <w:t>the</w:t>
            </w:r>
            <w:r w:rsidR="002F07F5">
              <w:rPr>
                <w:lang w:val="en-US"/>
              </w:rPr>
              <w:t xml:space="preserve"> rate of patency loss is constant after 2 years</w:t>
            </w:r>
            <w:r w:rsidR="00C90312">
              <w:rPr>
                <w:lang w:val="en-US"/>
              </w:rPr>
              <w:t>.</w:t>
            </w:r>
            <w:r w:rsidR="002F07F5">
              <w:rPr>
                <w:lang w:val="en-US"/>
              </w:rPr>
              <w:t xml:space="preserve"> </w:t>
            </w:r>
          </w:p>
        </w:tc>
        <w:tc>
          <w:tcPr>
            <w:tcW w:w="1544" w:type="pct"/>
            <w:shd w:val="clear" w:color="auto" w:fill="auto"/>
          </w:tcPr>
          <w:p w14:paraId="5ABEFFE7" w14:textId="77777777" w:rsidR="007B394C" w:rsidRPr="00A05D1B" w:rsidRDefault="00053C18" w:rsidP="00053C18">
            <w:pPr>
              <w:pStyle w:val="TableText"/>
              <w:rPr>
                <w:lang w:val="en-US"/>
              </w:rPr>
            </w:pPr>
            <w:r w:rsidRPr="00A05D1B">
              <w:rPr>
                <w:lang w:val="en-US"/>
              </w:rPr>
              <w:t xml:space="preserve">High, </w:t>
            </w:r>
            <w:proofErr w:type="spellStart"/>
            <w:r w:rsidRPr="00A05D1B">
              <w:rPr>
                <w:lang w:val="en-US"/>
              </w:rPr>
              <w:t>favours</w:t>
            </w:r>
            <w:proofErr w:type="spellEnd"/>
            <w:r w:rsidRPr="00A05D1B">
              <w:rPr>
                <w:lang w:val="en-US"/>
              </w:rPr>
              <w:t xml:space="preserve"> IVL</w:t>
            </w:r>
          </w:p>
          <w:p w14:paraId="4E7B2979" w14:textId="01B8BC7D" w:rsidR="002F32FB" w:rsidRPr="00A05D1B" w:rsidRDefault="007B394C" w:rsidP="000C6399">
            <w:pPr>
              <w:pStyle w:val="TableText"/>
              <w:rPr>
                <w:lang w:val="en-US"/>
              </w:rPr>
            </w:pPr>
            <w:r w:rsidRPr="00A05D1B">
              <w:rPr>
                <w:lang w:val="en-US"/>
              </w:rPr>
              <w:t>Using a time horizon of 10 years increased the ICER to $</w:t>
            </w:r>
            <w:r w:rsidR="001C423F" w:rsidRPr="006010AB">
              <w:rPr>
                <w:b/>
                <w:bCs/>
              </w:rPr>
              <w:t xml:space="preserve"> redacted</w:t>
            </w:r>
            <w:r w:rsidR="001C423F" w:rsidRPr="00A05D1B" w:rsidDel="001C423F">
              <w:rPr>
                <w:lang w:val="en-US"/>
              </w:rPr>
              <w:t xml:space="preserve"> </w:t>
            </w:r>
            <w:r w:rsidRPr="00A05D1B">
              <w:rPr>
                <w:lang w:val="en-US"/>
              </w:rPr>
              <w:t>/QALY gained.</w:t>
            </w:r>
          </w:p>
        </w:tc>
      </w:tr>
      <w:tr w:rsidR="00224288" w:rsidRPr="00CE28E3" w14:paraId="52C83850" w14:textId="77777777" w:rsidTr="0066128C">
        <w:tc>
          <w:tcPr>
            <w:tcW w:w="626" w:type="pct"/>
            <w:shd w:val="clear" w:color="auto" w:fill="auto"/>
          </w:tcPr>
          <w:p w14:paraId="4CACE80F" w14:textId="0D9B500E" w:rsidR="00224288" w:rsidRPr="00CE28E3" w:rsidRDefault="005170E9" w:rsidP="000C6399">
            <w:pPr>
              <w:pStyle w:val="TableText"/>
              <w:rPr>
                <w:lang w:val="en-US"/>
              </w:rPr>
            </w:pPr>
            <w:r>
              <w:rPr>
                <w:lang w:val="en-US"/>
              </w:rPr>
              <w:t>R</w:t>
            </w:r>
            <w:r w:rsidR="00224288" w:rsidRPr="00224288">
              <w:rPr>
                <w:lang w:val="en-US"/>
              </w:rPr>
              <w:t>ate of stenting in the SBA and IVL arms</w:t>
            </w:r>
          </w:p>
        </w:tc>
        <w:tc>
          <w:tcPr>
            <w:tcW w:w="2830" w:type="pct"/>
            <w:shd w:val="clear" w:color="auto" w:fill="auto"/>
          </w:tcPr>
          <w:p w14:paraId="204F743F" w14:textId="21AB8334" w:rsidR="00224288" w:rsidRPr="00CE28E3" w:rsidRDefault="005170E9" w:rsidP="003B61B7">
            <w:pPr>
              <w:pStyle w:val="TableText"/>
              <w:rPr>
                <w:lang w:val="en-US"/>
              </w:rPr>
            </w:pPr>
            <w:r>
              <w:t xml:space="preserve">Rate of stenting based on MBS data for SBA arm and </w:t>
            </w:r>
            <w:r w:rsidR="006E4EC7">
              <w:t>RR</w:t>
            </w:r>
            <w:r>
              <w:t xml:space="preserve"> of 0.25 IVL arm based on trial data</w:t>
            </w:r>
          </w:p>
        </w:tc>
        <w:tc>
          <w:tcPr>
            <w:tcW w:w="1544" w:type="pct"/>
            <w:shd w:val="clear" w:color="auto" w:fill="auto"/>
          </w:tcPr>
          <w:p w14:paraId="2B03CAEE" w14:textId="1B3815F4" w:rsidR="005170E9" w:rsidRPr="00A05D1B" w:rsidRDefault="005170E9" w:rsidP="005170E9">
            <w:pPr>
              <w:pStyle w:val="TableText"/>
              <w:rPr>
                <w:lang w:val="en-US"/>
              </w:rPr>
            </w:pPr>
            <w:r w:rsidRPr="00A05D1B">
              <w:rPr>
                <w:lang w:val="en-US"/>
              </w:rPr>
              <w:t xml:space="preserve">High, </w:t>
            </w:r>
            <w:proofErr w:type="spellStart"/>
            <w:r w:rsidRPr="00A05D1B">
              <w:rPr>
                <w:lang w:val="en-US"/>
              </w:rPr>
              <w:t>favours</w:t>
            </w:r>
            <w:proofErr w:type="spellEnd"/>
            <w:r w:rsidRPr="00A05D1B">
              <w:rPr>
                <w:lang w:val="en-US"/>
              </w:rPr>
              <w:t xml:space="preserve"> IVL</w:t>
            </w:r>
          </w:p>
          <w:p w14:paraId="232B64D6" w14:textId="2723B4D2" w:rsidR="00224288" w:rsidRPr="00CE28E3" w:rsidRDefault="00C90312" w:rsidP="005170E9">
            <w:pPr>
              <w:pStyle w:val="TableText"/>
              <w:rPr>
                <w:lang w:val="en-US"/>
              </w:rPr>
            </w:pPr>
            <w:r w:rsidRPr="00A05D1B">
              <w:rPr>
                <w:lang w:val="en-US"/>
              </w:rPr>
              <w:t>The u</w:t>
            </w:r>
            <w:r w:rsidR="005170E9" w:rsidRPr="00A05D1B">
              <w:rPr>
                <w:lang w:val="en-US"/>
              </w:rPr>
              <w:t xml:space="preserve">se of </w:t>
            </w:r>
            <w:r w:rsidRPr="00A05D1B">
              <w:rPr>
                <w:lang w:val="en-US"/>
              </w:rPr>
              <w:t xml:space="preserve">a </w:t>
            </w:r>
            <w:r w:rsidR="005170E9" w:rsidRPr="00A05D1B">
              <w:rPr>
                <w:lang w:val="en-US"/>
              </w:rPr>
              <w:t>stent rate based on trial data for both arms increased the ICER to $</w:t>
            </w:r>
            <w:r w:rsidR="001C423F" w:rsidRPr="006010AB">
              <w:rPr>
                <w:b/>
                <w:bCs/>
              </w:rPr>
              <w:t xml:space="preserve"> redacted</w:t>
            </w:r>
            <w:r w:rsidR="001C423F" w:rsidRPr="000C092D" w:rsidDel="001C423F">
              <w:rPr>
                <w:i/>
                <w:iCs/>
              </w:rPr>
              <w:t xml:space="preserve"> </w:t>
            </w:r>
            <w:r w:rsidR="005170E9" w:rsidRPr="00A05D1B">
              <w:rPr>
                <w:lang w:val="en-US"/>
              </w:rPr>
              <w:t xml:space="preserve">/QALY gained. </w:t>
            </w:r>
          </w:p>
        </w:tc>
      </w:tr>
      <w:tr w:rsidR="006E4EC7" w:rsidRPr="00CE28E3" w14:paraId="617199E0" w14:textId="77777777" w:rsidTr="00996E36">
        <w:tc>
          <w:tcPr>
            <w:tcW w:w="626" w:type="pct"/>
            <w:tcBorders>
              <w:bottom w:val="single" w:sz="4" w:space="0" w:color="auto"/>
            </w:tcBorders>
            <w:shd w:val="clear" w:color="auto" w:fill="auto"/>
          </w:tcPr>
          <w:p w14:paraId="283B6360" w14:textId="4B40F99A" w:rsidR="006E4EC7" w:rsidRDefault="006E4EC7" w:rsidP="000C6399">
            <w:pPr>
              <w:pStyle w:val="TableText"/>
              <w:rPr>
                <w:lang w:val="en-US"/>
              </w:rPr>
            </w:pPr>
            <w:r>
              <w:rPr>
                <w:lang w:val="en-US"/>
              </w:rPr>
              <w:t>SBA index procedure cost</w:t>
            </w:r>
          </w:p>
        </w:tc>
        <w:tc>
          <w:tcPr>
            <w:tcW w:w="2830" w:type="pct"/>
            <w:tcBorders>
              <w:bottom w:val="single" w:sz="4" w:space="0" w:color="auto"/>
            </w:tcBorders>
            <w:shd w:val="clear" w:color="auto" w:fill="auto"/>
          </w:tcPr>
          <w:p w14:paraId="0960251B" w14:textId="44DAF9AD" w:rsidR="006E4EC7" w:rsidRDefault="006E4EC7" w:rsidP="003B61B7">
            <w:pPr>
              <w:pStyle w:val="TableText"/>
            </w:pPr>
            <w:r>
              <w:t xml:space="preserve">SBA index procedure used </w:t>
            </w:r>
            <w:r w:rsidR="00C90312">
              <w:t xml:space="preserve">the </w:t>
            </w:r>
            <w:r>
              <w:t xml:space="preserve">rate of stenting based on MBS data to </w:t>
            </w:r>
            <w:r w:rsidR="00D03020">
              <w:t xml:space="preserve">obtain </w:t>
            </w:r>
            <w:r>
              <w:t xml:space="preserve">the procedure fee as well as calculate the device cost for </w:t>
            </w:r>
            <w:r w:rsidR="00D03020">
              <w:t xml:space="preserve">the </w:t>
            </w:r>
            <w:r>
              <w:t>stent</w:t>
            </w:r>
            <w:r w:rsidR="00D03020">
              <w:t>s</w:t>
            </w:r>
          </w:p>
        </w:tc>
        <w:tc>
          <w:tcPr>
            <w:tcW w:w="1544" w:type="pct"/>
            <w:tcBorders>
              <w:bottom w:val="single" w:sz="4" w:space="0" w:color="auto"/>
            </w:tcBorders>
            <w:shd w:val="clear" w:color="auto" w:fill="auto"/>
          </w:tcPr>
          <w:p w14:paraId="487C3E5F" w14:textId="571F1773" w:rsidR="006E4EC7" w:rsidRPr="00A05D1B" w:rsidRDefault="006E4EC7" w:rsidP="005170E9">
            <w:pPr>
              <w:pStyle w:val="TableText"/>
              <w:rPr>
                <w:lang w:val="en-US"/>
              </w:rPr>
            </w:pPr>
            <w:r w:rsidRPr="00A05D1B">
              <w:rPr>
                <w:lang w:val="en-US"/>
              </w:rPr>
              <w:t xml:space="preserve">High, </w:t>
            </w:r>
            <w:proofErr w:type="spellStart"/>
            <w:r w:rsidRPr="00A05D1B">
              <w:rPr>
                <w:lang w:val="en-US"/>
              </w:rPr>
              <w:t>favours</w:t>
            </w:r>
            <w:proofErr w:type="spellEnd"/>
            <w:r w:rsidRPr="00A05D1B">
              <w:rPr>
                <w:lang w:val="en-US"/>
              </w:rPr>
              <w:t xml:space="preserve"> IVL</w:t>
            </w:r>
          </w:p>
        </w:tc>
      </w:tr>
      <w:tr w:rsidR="00224288" w:rsidRPr="00CE28E3" w14:paraId="516D4D11" w14:textId="77777777" w:rsidTr="00996E36">
        <w:tc>
          <w:tcPr>
            <w:tcW w:w="626" w:type="pct"/>
            <w:tcBorders>
              <w:top w:val="single" w:sz="4" w:space="0" w:color="auto"/>
              <w:left w:val="single" w:sz="4" w:space="0" w:color="auto"/>
              <w:bottom w:val="single" w:sz="4" w:space="0" w:color="auto"/>
              <w:right w:val="single" w:sz="4" w:space="0" w:color="auto"/>
            </w:tcBorders>
            <w:shd w:val="clear" w:color="auto" w:fill="auto"/>
          </w:tcPr>
          <w:p w14:paraId="264ED904" w14:textId="2D9E73E5" w:rsidR="00224288" w:rsidRPr="00CE28E3" w:rsidRDefault="005170E9" w:rsidP="000C6399">
            <w:pPr>
              <w:pStyle w:val="TableText"/>
              <w:rPr>
                <w:lang w:val="en-US"/>
              </w:rPr>
            </w:pPr>
            <w:r>
              <w:rPr>
                <w:lang w:val="en-US"/>
              </w:rPr>
              <w:t>C</w:t>
            </w:r>
            <w:r w:rsidR="00224288" w:rsidRPr="00224288">
              <w:rPr>
                <w:lang w:val="en-US"/>
              </w:rPr>
              <w:t>ost of IVL</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39E83902" w14:textId="361BA10B" w:rsidR="00224288" w:rsidRPr="00CE28E3" w:rsidRDefault="005170E9" w:rsidP="003B61B7">
            <w:pPr>
              <w:pStyle w:val="TableText"/>
              <w:rPr>
                <w:lang w:val="en-US"/>
              </w:rPr>
            </w:pPr>
            <w:r>
              <w:rPr>
                <w:lang w:val="en-US"/>
              </w:rPr>
              <w:t xml:space="preserve">Cost of IVL based on proposed MBS fee and device cost. </w:t>
            </w:r>
          </w:p>
        </w:tc>
        <w:tc>
          <w:tcPr>
            <w:tcW w:w="1544" w:type="pct"/>
            <w:tcBorders>
              <w:top w:val="single" w:sz="4" w:space="0" w:color="auto"/>
              <w:left w:val="single" w:sz="4" w:space="0" w:color="auto"/>
              <w:bottom w:val="single" w:sz="4" w:space="0" w:color="auto"/>
              <w:right w:val="single" w:sz="4" w:space="0" w:color="auto"/>
            </w:tcBorders>
            <w:shd w:val="clear" w:color="auto" w:fill="auto"/>
          </w:tcPr>
          <w:p w14:paraId="1CDFD14E" w14:textId="3D824EC8" w:rsidR="00224288" w:rsidRPr="00A05D1B" w:rsidRDefault="005170E9" w:rsidP="000C6399">
            <w:pPr>
              <w:pStyle w:val="TableText"/>
              <w:rPr>
                <w:lang w:val="en-US"/>
              </w:rPr>
            </w:pPr>
            <w:r w:rsidRPr="00A05D1B">
              <w:rPr>
                <w:lang w:val="en-US"/>
              </w:rPr>
              <w:t xml:space="preserve">High, </w:t>
            </w:r>
            <w:proofErr w:type="spellStart"/>
            <w:r w:rsidRPr="00A05D1B">
              <w:rPr>
                <w:lang w:val="en-US"/>
              </w:rPr>
              <w:t>favours</w:t>
            </w:r>
            <w:proofErr w:type="spellEnd"/>
            <w:r w:rsidRPr="00A05D1B">
              <w:rPr>
                <w:lang w:val="en-US"/>
              </w:rPr>
              <w:t xml:space="preserve"> SBA</w:t>
            </w:r>
          </w:p>
        </w:tc>
      </w:tr>
    </w:tbl>
    <w:p w14:paraId="56B372CD" w14:textId="72EC543F" w:rsidR="0045093D" w:rsidRPr="00CE28E3" w:rsidRDefault="00053C18" w:rsidP="00B8535F">
      <w:pPr>
        <w:pStyle w:val="TableFigureFooter"/>
      </w:pPr>
      <w:bookmarkStart w:id="47" w:name="_Hlk68276635"/>
      <w:bookmarkEnd w:id="46"/>
      <w:r>
        <w:t xml:space="preserve">Abbreviations: </w:t>
      </w:r>
      <w:r w:rsidR="0045093D" w:rsidRPr="00CE28E3">
        <w:t xml:space="preserve">ICER = incremental cost-effectiveness ratio; </w:t>
      </w:r>
      <w:r>
        <w:t xml:space="preserve">IVL= Intravascular lithotripsy; </w:t>
      </w:r>
      <w:r w:rsidR="0045093D" w:rsidRPr="00CE28E3">
        <w:t>QALY = quality-adjusted life year</w:t>
      </w:r>
      <w:r>
        <w:t>; RR</w:t>
      </w:r>
      <w:r w:rsidR="002633A1">
        <w:t xml:space="preserve"> </w:t>
      </w:r>
      <w:r>
        <w:t>=</w:t>
      </w:r>
      <w:r w:rsidR="002633A1">
        <w:t xml:space="preserve"> </w:t>
      </w:r>
      <w:r>
        <w:t>Relative risk; SBA = Standard balloon angioplasty</w:t>
      </w:r>
      <w:r w:rsidR="0045093D" w:rsidRPr="00CE28E3">
        <w:t xml:space="preserve"> </w:t>
      </w:r>
    </w:p>
    <w:bookmarkEnd w:id="47"/>
    <w:p w14:paraId="16038D6E" w14:textId="21556884" w:rsidR="00FD0F2A" w:rsidRPr="00FD0F2A" w:rsidRDefault="00FC3AA4" w:rsidP="00FD0F2A">
      <w:r>
        <w:t xml:space="preserve">As the </w:t>
      </w:r>
      <w:r w:rsidRPr="00330A0A">
        <w:t xml:space="preserve">costs </w:t>
      </w:r>
      <w:r w:rsidR="00D25552">
        <w:t xml:space="preserve">and utilities </w:t>
      </w:r>
      <w:r w:rsidRPr="00330A0A">
        <w:t>are a key issue</w:t>
      </w:r>
      <w:r>
        <w:t xml:space="preserve"> in the economic evaluation</w:t>
      </w:r>
      <w:r w:rsidR="006F305F">
        <w:t>, Table</w:t>
      </w:r>
      <w:r w:rsidR="00C90312">
        <w:t>s</w:t>
      </w:r>
      <w:r w:rsidR="006F305F">
        <w:t xml:space="preserve"> </w:t>
      </w:r>
      <w:r w:rsidR="00EB6499">
        <w:t xml:space="preserve">13 </w:t>
      </w:r>
      <w:r w:rsidR="006F305F">
        <w:t xml:space="preserve">and </w:t>
      </w:r>
      <w:r w:rsidR="00EB6499">
        <w:t xml:space="preserve">14 </w:t>
      </w:r>
      <w:r w:rsidR="006F305F">
        <w:t xml:space="preserve">provided the </w:t>
      </w:r>
      <w:r w:rsidRPr="00330A0A">
        <w:t>disaggregated costs</w:t>
      </w:r>
      <w:r w:rsidR="006F305F">
        <w:t xml:space="preserve"> and </w:t>
      </w:r>
      <w:r w:rsidRPr="00330A0A">
        <w:t>outcomes</w:t>
      </w:r>
      <w:r w:rsidR="006F305F">
        <w:t xml:space="preserve"> associated with the base case results</w:t>
      </w:r>
      <w:r w:rsidR="00C90312">
        <w:t>,</w:t>
      </w:r>
      <w:r w:rsidR="002E38D6">
        <w:t xml:space="preserve"> respectively.</w:t>
      </w:r>
      <w:r w:rsidRPr="00330A0A">
        <w:t xml:space="preserve"> </w:t>
      </w:r>
      <w:bookmarkStart w:id="48" w:name="_Ref136006334"/>
      <w:bookmarkStart w:id="49" w:name="_Toc141476184"/>
      <w:r w:rsidR="00FD0F2A">
        <w:br w:type="page"/>
      </w:r>
    </w:p>
    <w:p w14:paraId="43D5D99E" w14:textId="3BFDE33E" w:rsidR="006F305F" w:rsidRDefault="006F305F" w:rsidP="006F305F">
      <w:pPr>
        <w:pStyle w:val="Caption"/>
      </w:pPr>
      <w:r>
        <w:lastRenderedPageBreak/>
        <w:t xml:space="preserve">Table </w:t>
      </w:r>
      <w:r w:rsidR="00340D39">
        <w:fldChar w:fldCharType="begin"/>
      </w:r>
      <w:r w:rsidR="00340D39">
        <w:instrText xml:space="preserve"> SEQ Table \* ARABIC </w:instrText>
      </w:r>
      <w:r w:rsidR="00340D39">
        <w:fldChar w:fldCharType="separate"/>
      </w:r>
      <w:r w:rsidR="009A5224">
        <w:rPr>
          <w:noProof/>
        </w:rPr>
        <w:t>13</w:t>
      </w:r>
      <w:r w:rsidR="00340D39">
        <w:rPr>
          <w:noProof/>
        </w:rPr>
        <w:fldChar w:fldCharType="end"/>
      </w:r>
      <w:bookmarkEnd w:id="48"/>
      <w:r w:rsidR="0066128C">
        <w:rPr>
          <w:noProof/>
        </w:rPr>
        <w:t xml:space="preserve">: </w:t>
      </w:r>
      <w:r w:rsidRPr="00E60A70">
        <w:t>Disaggregated costs associated with IVL and SBA</w:t>
      </w:r>
      <w:bookmarkEnd w:id="49"/>
      <w:r w:rsidR="007A7D26">
        <w:t xml:space="preserve"> over the 30-year time </w:t>
      </w:r>
      <w:proofErr w:type="gramStart"/>
      <w:r w:rsidR="007A7D26">
        <w:t>horizon</w:t>
      </w:r>
      <w:proofErr w:type="gramEnd"/>
    </w:p>
    <w:tbl>
      <w:tblPr>
        <w:tblStyle w:val="TableGrid"/>
        <w:tblW w:w="5000" w:type="pct"/>
        <w:tblLook w:val="04A0" w:firstRow="1" w:lastRow="0" w:firstColumn="1" w:lastColumn="0" w:noHBand="0" w:noVBand="1"/>
      </w:tblPr>
      <w:tblGrid>
        <w:gridCol w:w="2546"/>
        <w:gridCol w:w="1881"/>
        <w:gridCol w:w="2295"/>
        <w:gridCol w:w="2294"/>
      </w:tblGrid>
      <w:tr w:rsidR="006F305F" w:rsidRPr="00617604" w14:paraId="590B3470" w14:textId="77777777" w:rsidTr="0066128C">
        <w:tc>
          <w:tcPr>
            <w:tcW w:w="1412" w:type="pct"/>
          </w:tcPr>
          <w:p w14:paraId="7E0A5EB5" w14:textId="77777777" w:rsidR="006F305F" w:rsidRPr="00617604" w:rsidRDefault="006F305F" w:rsidP="000C6399">
            <w:pPr>
              <w:pStyle w:val="In-tableHeading"/>
            </w:pPr>
            <w:r w:rsidRPr="00617604">
              <w:t>Description</w:t>
            </w:r>
          </w:p>
        </w:tc>
        <w:tc>
          <w:tcPr>
            <w:tcW w:w="1043" w:type="pct"/>
          </w:tcPr>
          <w:p w14:paraId="6EE03D90" w14:textId="77777777" w:rsidR="006F305F" w:rsidRPr="00617604" w:rsidRDefault="006F305F" w:rsidP="000C6399">
            <w:pPr>
              <w:pStyle w:val="In-tableHeading"/>
              <w:jc w:val="center"/>
            </w:pPr>
            <w:r w:rsidRPr="00617604">
              <w:t>IVL</w:t>
            </w:r>
          </w:p>
        </w:tc>
        <w:tc>
          <w:tcPr>
            <w:tcW w:w="1273" w:type="pct"/>
          </w:tcPr>
          <w:p w14:paraId="2BA6A83D" w14:textId="77777777" w:rsidR="006F305F" w:rsidRPr="00617604" w:rsidRDefault="006F305F" w:rsidP="000C6399">
            <w:pPr>
              <w:pStyle w:val="In-tableHeading"/>
              <w:jc w:val="center"/>
            </w:pPr>
            <w:r w:rsidRPr="00617604">
              <w:t>SBA</w:t>
            </w:r>
          </w:p>
        </w:tc>
        <w:tc>
          <w:tcPr>
            <w:tcW w:w="1272" w:type="pct"/>
          </w:tcPr>
          <w:p w14:paraId="3390E76E" w14:textId="77777777" w:rsidR="006F305F" w:rsidRPr="00617604" w:rsidRDefault="006F305F" w:rsidP="000C6399">
            <w:pPr>
              <w:pStyle w:val="In-tableHeading"/>
              <w:jc w:val="center"/>
            </w:pPr>
            <w:r>
              <w:t>Incremental</w:t>
            </w:r>
          </w:p>
        </w:tc>
      </w:tr>
      <w:tr w:rsidR="006F305F" w:rsidRPr="00A41E84" w14:paraId="551286DF" w14:textId="77777777" w:rsidTr="0066128C">
        <w:tc>
          <w:tcPr>
            <w:tcW w:w="5000" w:type="pct"/>
            <w:gridSpan w:val="4"/>
          </w:tcPr>
          <w:p w14:paraId="1DE77F7C" w14:textId="77777777" w:rsidR="006F305F" w:rsidRPr="00A41E84" w:rsidRDefault="006F305F">
            <w:pPr>
              <w:pStyle w:val="TableText"/>
              <w:rPr>
                <w:i/>
                <w:color w:val="000000"/>
              </w:rPr>
            </w:pPr>
            <w:r w:rsidRPr="00A41E84">
              <w:rPr>
                <w:i/>
                <w:color w:val="000000"/>
              </w:rPr>
              <w:t>Costs</w:t>
            </w:r>
          </w:p>
        </w:tc>
      </w:tr>
      <w:tr w:rsidR="006F305F" w:rsidRPr="00617604" w14:paraId="7B414CE8" w14:textId="77777777" w:rsidTr="0066128C">
        <w:tc>
          <w:tcPr>
            <w:tcW w:w="1412" w:type="pct"/>
          </w:tcPr>
          <w:p w14:paraId="42CCF626" w14:textId="77777777" w:rsidR="006F305F" w:rsidRDefault="006F305F">
            <w:pPr>
              <w:pStyle w:val="TableText"/>
            </w:pPr>
            <w:r w:rsidRPr="00617604">
              <w:rPr>
                <w:color w:val="000000"/>
              </w:rPr>
              <w:t>IVL (MBS</w:t>
            </w:r>
            <w:r>
              <w:rPr>
                <w:color w:val="000000"/>
              </w:rPr>
              <w:t xml:space="preserve"> fee</w:t>
            </w:r>
            <w:r w:rsidRPr="00617604">
              <w:rPr>
                <w:color w:val="000000"/>
              </w:rPr>
              <w:t>)</w:t>
            </w:r>
          </w:p>
        </w:tc>
        <w:tc>
          <w:tcPr>
            <w:tcW w:w="1043" w:type="pct"/>
          </w:tcPr>
          <w:p w14:paraId="4C0BE12D" w14:textId="77777777" w:rsidR="006F305F" w:rsidRPr="004E2D68" w:rsidRDefault="006F305F" w:rsidP="000C6399">
            <w:pPr>
              <w:pStyle w:val="TableText"/>
              <w:jc w:val="center"/>
              <w:rPr>
                <w:color w:val="000000"/>
              </w:rPr>
            </w:pPr>
            <w:r w:rsidRPr="004E2D68">
              <w:rPr>
                <w:color w:val="000000"/>
              </w:rPr>
              <w:t>$736.25</w:t>
            </w:r>
          </w:p>
        </w:tc>
        <w:tc>
          <w:tcPr>
            <w:tcW w:w="1273" w:type="pct"/>
          </w:tcPr>
          <w:p w14:paraId="7ECA5F39" w14:textId="77777777" w:rsidR="006F305F" w:rsidRPr="004E2D68" w:rsidRDefault="006F305F" w:rsidP="000C6399">
            <w:pPr>
              <w:pStyle w:val="TableText"/>
              <w:jc w:val="center"/>
              <w:rPr>
                <w:color w:val="000000"/>
              </w:rPr>
            </w:pPr>
            <w:r w:rsidRPr="004E2D68">
              <w:rPr>
                <w:color w:val="000000"/>
              </w:rPr>
              <w:t>$0.00</w:t>
            </w:r>
          </w:p>
        </w:tc>
        <w:tc>
          <w:tcPr>
            <w:tcW w:w="1272" w:type="pct"/>
          </w:tcPr>
          <w:p w14:paraId="34B412C8" w14:textId="77777777" w:rsidR="006F305F" w:rsidRPr="007F38B3" w:rsidRDefault="006F305F" w:rsidP="000C6399">
            <w:pPr>
              <w:pStyle w:val="TableText"/>
              <w:jc w:val="center"/>
              <w:rPr>
                <w:color w:val="000000"/>
              </w:rPr>
            </w:pPr>
            <w:r w:rsidRPr="004E2D68">
              <w:rPr>
                <w:color w:val="000000"/>
              </w:rPr>
              <w:t>$736.25</w:t>
            </w:r>
          </w:p>
        </w:tc>
      </w:tr>
      <w:tr w:rsidR="006F305F" w:rsidRPr="00617604" w14:paraId="49A01E72" w14:textId="77777777" w:rsidTr="0066128C">
        <w:tc>
          <w:tcPr>
            <w:tcW w:w="1412" w:type="pct"/>
          </w:tcPr>
          <w:p w14:paraId="133060B6" w14:textId="77777777" w:rsidR="006F305F" w:rsidRDefault="006F305F">
            <w:pPr>
              <w:pStyle w:val="TableText"/>
            </w:pPr>
            <w:r w:rsidRPr="00617604">
              <w:rPr>
                <w:color w:val="000000"/>
              </w:rPr>
              <w:t>IVL (</w:t>
            </w:r>
            <w:r>
              <w:rPr>
                <w:color w:val="000000"/>
              </w:rPr>
              <w:t>catheter</w:t>
            </w:r>
            <w:r w:rsidRPr="00617604">
              <w:rPr>
                <w:color w:val="000000"/>
              </w:rPr>
              <w:t>)</w:t>
            </w:r>
          </w:p>
        </w:tc>
        <w:tc>
          <w:tcPr>
            <w:tcW w:w="1043" w:type="pct"/>
          </w:tcPr>
          <w:p w14:paraId="41FAE67B" w14:textId="61D6C77F" w:rsidR="006F305F" w:rsidRPr="004E2D68" w:rsidRDefault="006F305F" w:rsidP="000C6399">
            <w:pPr>
              <w:pStyle w:val="TableText"/>
              <w:jc w:val="center"/>
              <w:rPr>
                <w:color w:val="000000"/>
              </w:rPr>
            </w:pPr>
            <w:r w:rsidRPr="004E2D68">
              <w:rPr>
                <w:color w:val="000000"/>
              </w:rPr>
              <w:t>$</w:t>
            </w:r>
            <w:r w:rsidR="00292AF6" w:rsidRPr="00B73D4C">
              <w:rPr>
                <w:b/>
                <w:bCs/>
              </w:rPr>
              <w:t xml:space="preserve"> redacted</w:t>
            </w:r>
          </w:p>
        </w:tc>
        <w:tc>
          <w:tcPr>
            <w:tcW w:w="1273" w:type="pct"/>
          </w:tcPr>
          <w:p w14:paraId="5168D7A5" w14:textId="77777777" w:rsidR="006F305F" w:rsidRPr="004E2D68" w:rsidRDefault="006F305F" w:rsidP="000C6399">
            <w:pPr>
              <w:pStyle w:val="TableText"/>
              <w:jc w:val="center"/>
              <w:rPr>
                <w:color w:val="000000"/>
              </w:rPr>
            </w:pPr>
            <w:r w:rsidRPr="004E2D68">
              <w:rPr>
                <w:color w:val="000000"/>
              </w:rPr>
              <w:t>$0.00</w:t>
            </w:r>
          </w:p>
        </w:tc>
        <w:tc>
          <w:tcPr>
            <w:tcW w:w="1272" w:type="pct"/>
          </w:tcPr>
          <w:p w14:paraId="3E25C269" w14:textId="0DD117F3" w:rsidR="006F305F" w:rsidRPr="007F38B3" w:rsidRDefault="006F305F" w:rsidP="000C6399">
            <w:pPr>
              <w:pStyle w:val="TableText"/>
              <w:jc w:val="center"/>
              <w:rPr>
                <w:color w:val="000000"/>
              </w:rPr>
            </w:pPr>
            <w:r w:rsidRPr="004E2D68">
              <w:rPr>
                <w:color w:val="000000"/>
              </w:rPr>
              <w:t>$</w:t>
            </w:r>
            <w:r w:rsidR="00292AF6" w:rsidRPr="00B73D4C">
              <w:rPr>
                <w:b/>
                <w:bCs/>
              </w:rPr>
              <w:t xml:space="preserve"> redacted</w:t>
            </w:r>
          </w:p>
        </w:tc>
      </w:tr>
      <w:tr w:rsidR="006F305F" w:rsidRPr="00617604" w14:paraId="00A84240" w14:textId="77777777" w:rsidTr="0066128C">
        <w:tc>
          <w:tcPr>
            <w:tcW w:w="1412" w:type="pct"/>
          </w:tcPr>
          <w:p w14:paraId="1EBCCF43" w14:textId="77777777" w:rsidR="006F305F" w:rsidRPr="00245C5B" w:rsidRDefault="006F305F">
            <w:pPr>
              <w:pStyle w:val="TableText"/>
              <w:rPr>
                <w:color w:val="000000"/>
              </w:rPr>
            </w:pPr>
            <w:r>
              <w:rPr>
                <w:color w:val="000000"/>
              </w:rPr>
              <w:t>Angioplasty or stent insertion (MBS fee)</w:t>
            </w:r>
          </w:p>
        </w:tc>
        <w:tc>
          <w:tcPr>
            <w:tcW w:w="1043" w:type="pct"/>
          </w:tcPr>
          <w:p w14:paraId="4C67FAA1" w14:textId="77777777" w:rsidR="006F305F" w:rsidRPr="00245C5B" w:rsidRDefault="006F305F" w:rsidP="000C6399">
            <w:pPr>
              <w:pStyle w:val="TableText"/>
              <w:jc w:val="center"/>
              <w:rPr>
                <w:color w:val="000000"/>
              </w:rPr>
            </w:pPr>
            <w:r w:rsidRPr="004E2D68">
              <w:rPr>
                <w:color w:val="000000"/>
              </w:rPr>
              <w:t>$85.12</w:t>
            </w:r>
          </w:p>
        </w:tc>
        <w:tc>
          <w:tcPr>
            <w:tcW w:w="1273" w:type="pct"/>
          </w:tcPr>
          <w:p w14:paraId="4C06E2A8" w14:textId="77777777" w:rsidR="006F305F" w:rsidRPr="00245C5B" w:rsidRDefault="006F305F" w:rsidP="000C6399">
            <w:pPr>
              <w:pStyle w:val="TableText"/>
              <w:jc w:val="center"/>
              <w:rPr>
                <w:color w:val="000000"/>
              </w:rPr>
            </w:pPr>
            <w:r w:rsidRPr="004E2D68">
              <w:rPr>
                <w:color w:val="000000"/>
              </w:rPr>
              <w:t>$693.81</w:t>
            </w:r>
          </w:p>
        </w:tc>
        <w:tc>
          <w:tcPr>
            <w:tcW w:w="1272" w:type="pct"/>
          </w:tcPr>
          <w:p w14:paraId="3F321DA6" w14:textId="77777777" w:rsidR="006F305F" w:rsidRPr="007F38B3" w:rsidRDefault="006F305F" w:rsidP="000C6399">
            <w:pPr>
              <w:pStyle w:val="TableText"/>
              <w:jc w:val="center"/>
              <w:rPr>
                <w:color w:val="000000"/>
              </w:rPr>
            </w:pPr>
            <w:r w:rsidRPr="004E2D68">
              <w:rPr>
                <w:color w:val="000000"/>
              </w:rPr>
              <w:t>-$608.69</w:t>
            </w:r>
          </w:p>
        </w:tc>
      </w:tr>
      <w:tr w:rsidR="006F305F" w:rsidRPr="00617604" w14:paraId="15E170A8" w14:textId="77777777" w:rsidTr="0066128C">
        <w:tc>
          <w:tcPr>
            <w:tcW w:w="1412" w:type="pct"/>
          </w:tcPr>
          <w:p w14:paraId="520235AA" w14:textId="77777777" w:rsidR="006F305F" w:rsidRPr="00245C5B" w:rsidRDefault="006F305F">
            <w:pPr>
              <w:pStyle w:val="TableText"/>
              <w:rPr>
                <w:color w:val="000000"/>
              </w:rPr>
            </w:pPr>
            <w:r w:rsidRPr="00617604">
              <w:rPr>
                <w:color w:val="000000"/>
              </w:rPr>
              <w:t>Stent</w:t>
            </w:r>
            <w:r>
              <w:rPr>
                <w:color w:val="000000"/>
              </w:rPr>
              <w:t xml:space="preserve"> (device)</w:t>
            </w:r>
          </w:p>
        </w:tc>
        <w:tc>
          <w:tcPr>
            <w:tcW w:w="1043" w:type="pct"/>
          </w:tcPr>
          <w:p w14:paraId="39D19F3D" w14:textId="77777777" w:rsidR="006F305F" w:rsidRPr="00245C5B" w:rsidRDefault="006F305F" w:rsidP="000C6399">
            <w:pPr>
              <w:pStyle w:val="TableText"/>
              <w:jc w:val="center"/>
              <w:rPr>
                <w:color w:val="000000"/>
              </w:rPr>
            </w:pPr>
            <w:r w:rsidRPr="004E2D68">
              <w:rPr>
                <w:color w:val="000000"/>
              </w:rPr>
              <w:t>$232.09</w:t>
            </w:r>
          </w:p>
        </w:tc>
        <w:tc>
          <w:tcPr>
            <w:tcW w:w="1273" w:type="pct"/>
          </w:tcPr>
          <w:p w14:paraId="39D6BC5B" w14:textId="77777777" w:rsidR="006F305F" w:rsidRPr="00245C5B" w:rsidRDefault="006F305F" w:rsidP="000C6399">
            <w:pPr>
              <w:pStyle w:val="TableText"/>
              <w:jc w:val="center"/>
              <w:rPr>
                <w:color w:val="000000"/>
              </w:rPr>
            </w:pPr>
            <w:r w:rsidRPr="004E2D68">
              <w:rPr>
                <w:color w:val="000000"/>
              </w:rPr>
              <w:t>$928.35</w:t>
            </w:r>
          </w:p>
        </w:tc>
        <w:tc>
          <w:tcPr>
            <w:tcW w:w="1272" w:type="pct"/>
          </w:tcPr>
          <w:p w14:paraId="7E04B6B0" w14:textId="77777777" w:rsidR="006F305F" w:rsidRPr="007F38B3" w:rsidRDefault="006F305F" w:rsidP="000C6399">
            <w:pPr>
              <w:pStyle w:val="TableText"/>
              <w:jc w:val="center"/>
              <w:rPr>
                <w:color w:val="000000"/>
              </w:rPr>
            </w:pPr>
            <w:r w:rsidRPr="004E2D68">
              <w:rPr>
                <w:color w:val="000000"/>
              </w:rPr>
              <w:t>-$696.26</w:t>
            </w:r>
          </w:p>
        </w:tc>
      </w:tr>
      <w:tr w:rsidR="006F305F" w:rsidRPr="00617604" w14:paraId="36F1F88B" w14:textId="77777777" w:rsidTr="0066128C">
        <w:tc>
          <w:tcPr>
            <w:tcW w:w="1412" w:type="pct"/>
          </w:tcPr>
          <w:p w14:paraId="04AB941C" w14:textId="77777777" w:rsidR="006F305F" w:rsidRPr="00245C5B" w:rsidRDefault="006F305F">
            <w:pPr>
              <w:pStyle w:val="TableText"/>
              <w:rPr>
                <w:color w:val="000000"/>
              </w:rPr>
            </w:pPr>
            <w:r w:rsidRPr="00617604">
              <w:rPr>
                <w:color w:val="000000"/>
              </w:rPr>
              <w:t>DCB</w:t>
            </w:r>
            <w:r>
              <w:rPr>
                <w:color w:val="000000"/>
              </w:rPr>
              <w:t xml:space="preserve"> (device)</w:t>
            </w:r>
          </w:p>
        </w:tc>
        <w:tc>
          <w:tcPr>
            <w:tcW w:w="1043" w:type="pct"/>
          </w:tcPr>
          <w:p w14:paraId="455D96B1" w14:textId="77777777" w:rsidR="006F305F" w:rsidRPr="00245C5B" w:rsidRDefault="006F305F" w:rsidP="000C6399">
            <w:pPr>
              <w:pStyle w:val="TableText"/>
              <w:jc w:val="center"/>
              <w:rPr>
                <w:color w:val="000000"/>
              </w:rPr>
            </w:pPr>
            <w:r w:rsidRPr="004E2D68">
              <w:rPr>
                <w:color w:val="000000"/>
              </w:rPr>
              <w:t>$798.75</w:t>
            </w:r>
          </w:p>
        </w:tc>
        <w:tc>
          <w:tcPr>
            <w:tcW w:w="1273" w:type="pct"/>
          </w:tcPr>
          <w:p w14:paraId="326AD7B2" w14:textId="77777777" w:rsidR="006F305F" w:rsidRPr="00245C5B" w:rsidRDefault="006F305F" w:rsidP="000C6399">
            <w:pPr>
              <w:pStyle w:val="TableText"/>
              <w:jc w:val="center"/>
              <w:rPr>
                <w:color w:val="000000"/>
              </w:rPr>
            </w:pPr>
            <w:r w:rsidRPr="004E2D68">
              <w:rPr>
                <w:color w:val="000000"/>
              </w:rPr>
              <w:t>$495.00</w:t>
            </w:r>
          </w:p>
        </w:tc>
        <w:tc>
          <w:tcPr>
            <w:tcW w:w="1272" w:type="pct"/>
          </w:tcPr>
          <w:p w14:paraId="47E1A7DF" w14:textId="77777777" w:rsidR="006F305F" w:rsidRPr="007F38B3" w:rsidRDefault="006F305F" w:rsidP="000C6399">
            <w:pPr>
              <w:pStyle w:val="TableText"/>
              <w:jc w:val="center"/>
              <w:rPr>
                <w:color w:val="000000"/>
              </w:rPr>
            </w:pPr>
            <w:r w:rsidRPr="004E2D68">
              <w:rPr>
                <w:color w:val="000000"/>
              </w:rPr>
              <w:t>$303.75</w:t>
            </w:r>
          </w:p>
        </w:tc>
      </w:tr>
      <w:tr w:rsidR="006F305F" w:rsidRPr="00617604" w14:paraId="0443D4DE" w14:textId="77777777" w:rsidTr="0066128C">
        <w:tc>
          <w:tcPr>
            <w:tcW w:w="1412" w:type="pct"/>
          </w:tcPr>
          <w:p w14:paraId="7BD8C0DD" w14:textId="77777777" w:rsidR="006F305F" w:rsidRPr="00245C5B" w:rsidRDefault="006F305F">
            <w:pPr>
              <w:pStyle w:val="TableText"/>
              <w:rPr>
                <w:color w:val="000000"/>
              </w:rPr>
            </w:pPr>
            <w:r w:rsidRPr="00245C5B">
              <w:rPr>
                <w:color w:val="000000"/>
              </w:rPr>
              <w:t xml:space="preserve">Hospital </w:t>
            </w:r>
            <w:proofErr w:type="gramStart"/>
            <w:r w:rsidRPr="00245C5B">
              <w:rPr>
                <w:color w:val="000000"/>
              </w:rPr>
              <w:t>stay</w:t>
            </w:r>
            <w:proofErr w:type="gramEnd"/>
          </w:p>
        </w:tc>
        <w:tc>
          <w:tcPr>
            <w:tcW w:w="1043" w:type="pct"/>
          </w:tcPr>
          <w:p w14:paraId="456BCC5B" w14:textId="77777777" w:rsidR="006F305F" w:rsidRPr="00245C5B" w:rsidRDefault="006F305F" w:rsidP="000C6399">
            <w:pPr>
              <w:pStyle w:val="TableText"/>
              <w:jc w:val="center"/>
              <w:rPr>
                <w:color w:val="000000"/>
              </w:rPr>
            </w:pPr>
            <w:r w:rsidRPr="004E2D68">
              <w:rPr>
                <w:color w:val="000000"/>
              </w:rPr>
              <w:t>$2,111.03</w:t>
            </w:r>
          </w:p>
        </w:tc>
        <w:tc>
          <w:tcPr>
            <w:tcW w:w="1273" w:type="pct"/>
          </w:tcPr>
          <w:p w14:paraId="538B9274" w14:textId="77777777" w:rsidR="006F305F" w:rsidRPr="00245C5B" w:rsidRDefault="006F305F" w:rsidP="000C6399">
            <w:pPr>
              <w:pStyle w:val="TableText"/>
              <w:jc w:val="center"/>
              <w:rPr>
                <w:color w:val="000000"/>
              </w:rPr>
            </w:pPr>
            <w:r w:rsidRPr="004E2D68">
              <w:rPr>
                <w:color w:val="000000"/>
              </w:rPr>
              <w:t>$2,645.74</w:t>
            </w:r>
          </w:p>
        </w:tc>
        <w:tc>
          <w:tcPr>
            <w:tcW w:w="1272" w:type="pct"/>
          </w:tcPr>
          <w:p w14:paraId="2C7E4C5A" w14:textId="77777777" w:rsidR="006F305F" w:rsidRPr="007F38B3" w:rsidRDefault="006F305F" w:rsidP="000C6399">
            <w:pPr>
              <w:pStyle w:val="TableText"/>
              <w:jc w:val="center"/>
              <w:rPr>
                <w:color w:val="000000"/>
              </w:rPr>
            </w:pPr>
            <w:r w:rsidRPr="004E2D68">
              <w:rPr>
                <w:color w:val="000000"/>
              </w:rPr>
              <w:t>-$534.72</w:t>
            </w:r>
          </w:p>
        </w:tc>
      </w:tr>
      <w:tr w:rsidR="006F305F" w:rsidRPr="00617604" w14:paraId="5A4E9AE3" w14:textId="77777777" w:rsidTr="0066128C">
        <w:tc>
          <w:tcPr>
            <w:tcW w:w="1412" w:type="pct"/>
          </w:tcPr>
          <w:p w14:paraId="3949F6A8" w14:textId="77777777" w:rsidR="006F305F" w:rsidRPr="00245C5B" w:rsidRDefault="006F305F">
            <w:pPr>
              <w:pStyle w:val="TableText"/>
              <w:rPr>
                <w:color w:val="000000"/>
              </w:rPr>
            </w:pPr>
            <w:r w:rsidRPr="00245C5B">
              <w:rPr>
                <w:color w:val="000000"/>
              </w:rPr>
              <w:t>Subsequent treatment (TLR)</w:t>
            </w:r>
          </w:p>
        </w:tc>
        <w:tc>
          <w:tcPr>
            <w:tcW w:w="1043" w:type="pct"/>
          </w:tcPr>
          <w:p w14:paraId="658852BC" w14:textId="77777777" w:rsidR="006F305F" w:rsidRPr="00245C5B" w:rsidRDefault="006F305F" w:rsidP="000C6399">
            <w:pPr>
              <w:pStyle w:val="TableText"/>
              <w:jc w:val="center"/>
              <w:rPr>
                <w:color w:val="000000"/>
              </w:rPr>
            </w:pPr>
            <w:r w:rsidRPr="004E2D68">
              <w:rPr>
                <w:color w:val="000000"/>
              </w:rPr>
              <w:t>$1,207.26</w:t>
            </w:r>
          </w:p>
        </w:tc>
        <w:tc>
          <w:tcPr>
            <w:tcW w:w="1273" w:type="pct"/>
          </w:tcPr>
          <w:p w14:paraId="39DAEFFB" w14:textId="77777777" w:rsidR="006F305F" w:rsidRPr="00245C5B" w:rsidRDefault="006F305F" w:rsidP="000C6399">
            <w:pPr>
              <w:pStyle w:val="TableText"/>
              <w:jc w:val="center"/>
              <w:rPr>
                <w:color w:val="000000"/>
              </w:rPr>
            </w:pPr>
            <w:r w:rsidRPr="004E2D68">
              <w:rPr>
                <w:color w:val="000000"/>
              </w:rPr>
              <w:t>$1,409.24</w:t>
            </w:r>
          </w:p>
        </w:tc>
        <w:tc>
          <w:tcPr>
            <w:tcW w:w="1272" w:type="pct"/>
          </w:tcPr>
          <w:p w14:paraId="1F35496D" w14:textId="77777777" w:rsidR="006F305F" w:rsidRPr="007F38B3" w:rsidRDefault="006F305F" w:rsidP="000C6399">
            <w:pPr>
              <w:pStyle w:val="TableText"/>
              <w:jc w:val="center"/>
              <w:rPr>
                <w:color w:val="000000"/>
              </w:rPr>
            </w:pPr>
            <w:r w:rsidRPr="004E2D68">
              <w:rPr>
                <w:color w:val="000000"/>
              </w:rPr>
              <w:t>-$201.97</w:t>
            </w:r>
          </w:p>
        </w:tc>
      </w:tr>
      <w:tr w:rsidR="006F305F" w:rsidRPr="00617604" w14:paraId="68A42198" w14:textId="77777777" w:rsidTr="0066128C">
        <w:tc>
          <w:tcPr>
            <w:tcW w:w="1412" w:type="pct"/>
          </w:tcPr>
          <w:p w14:paraId="1498CA76" w14:textId="77777777" w:rsidR="006F305F" w:rsidRPr="00617604" w:rsidRDefault="006F305F">
            <w:pPr>
              <w:pStyle w:val="TableText"/>
              <w:rPr>
                <w:color w:val="000000"/>
              </w:rPr>
            </w:pPr>
            <w:r w:rsidRPr="00245C5B">
              <w:rPr>
                <w:color w:val="000000"/>
              </w:rPr>
              <w:t>Amputation (initial)</w:t>
            </w:r>
          </w:p>
        </w:tc>
        <w:tc>
          <w:tcPr>
            <w:tcW w:w="1043" w:type="pct"/>
          </w:tcPr>
          <w:p w14:paraId="449BDC18" w14:textId="77777777" w:rsidR="006F305F" w:rsidRPr="00617604" w:rsidRDefault="006F305F" w:rsidP="000C6399">
            <w:pPr>
              <w:pStyle w:val="TableText"/>
              <w:jc w:val="center"/>
              <w:rPr>
                <w:color w:val="000000"/>
              </w:rPr>
            </w:pPr>
            <w:r w:rsidRPr="004E2D68">
              <w:rPr>
                <w:color w:val="000000"/>
              </w:rPr>
              <w:t>$1,222.71</w:t>
            </w:r>
          </w:p>
        </w:tc>
        <w:tc>
          <w:tcPr>
            <w:tcW w:w="1273" w:type="pct"/>
          </w:tcPr>
          <w:p w14:paraId="2A576CA5" w14:textId="77777777" w:rsidR="006F305F" w:rsidRPr="00617604" w:rsidRDefault="006F305F" w:rsidP="000C6399">
            <w:pPr>
              <w:pStyle w:val="TableText"/>
              <w:jc w:val="center"/>
              <w:rPr>
                <w:color w:val="000000"/>
              </w:rPr>
            </w:pPr>
            <w:r w:rsidRPr="004E2D68">
              <w:rPr>
                <w:color w:val="000000"/>
              </w:rPr>
              <w:t>$1,246.92</w:t>
            </w:r>
          </w:p>
        </w:tc>
        <w:tc>
          <w:tcPr>
            <w:tcW w:w="1272" w:type="pct"/>
          </w:tcPr>
          <w:p w14:paraId="76EFCD4E" w14:textId="77777777" w:rsidR="006F305F" w:rsidRPr="007F38B3" w:rsidRDefault="006F305F" w:rsidP="000C6399">
            <w:pPr>
              <w:pStyle w:val="TableText"/>
              <w:jc w:val="center"/>
              <w:rPr>
                <w:color w:val="000000"/>
              </w:rPr>
            </w:pPr>
            <w:r w:rsidRPr="004E2D68">
              <w:rPr>
                <w:color w:val="000000"/>
              </w:rPr>
              <w:t>-$24.20</w:t>
            </w:r>
          </w:p>
        </w:tc>
      </w:tr>
      <w:tr w:rsidR="006F305F" w:rsidRPr="00617604" w14:paraId="1DECE50D" w14:textId="77777777" w:rsidTr="0066128C">
        <w:tc>
          <w:tcPr>
            <w:tcW w:w="1412" w:type="pct"/>
          </w:tcPr>
          <w:p w14:paraId="7BA9B296" w14:textId="77777777" w:rsidR="006F305F" w:rsidRPr="00617604" w:rsidRDefault="006F305F">
            <w:pPr>
              <w:pStyle w:val="TableText"/>
              <w:rPr>
                <w:color w:val="000000"/>
              </w:rPr>
            </w:pPr>
            <w:r w:rsidRPr="00245C5B">
              <w:rPr>
                <w:color w:val="000000"/>
              </w:rPr>
              <w:t>Patent</w:t>
            </w:r>
          </w:p>
        </w:tc>
        <w:tc>
          <w:tcPr>
            <w:tcW w:w="1043" w:type="pct"/>
          </w:tcPr>
          <w:p w14:paraId="383513B0" w14:textId="77777777" w:rsidR="006F305F" w:rsidRPr="00617604" w:rsidRDefault="006F305F" w:rsidP="000C6399">
            <w:pPr>
              <w:pStyle w:val="TableText"/>
              <w:jc w:val="center"/>
              <w:rPr>
                <w:color w:val="000000"/>
              </w:rPr>
            </w:pPr>
            <w:r w:rsidRPr="004E2D68">
              <w:rPr>
                <w:color w:val="000000"/>
              </w:rPr>
              <w:t>$815.78</w:t>
            </w:r>
          </w:p>
        </w:tc>
        <w:tc>
          <w:tcPr>
            <w:tcW w:w="1273" w:type="pct"/>
          </w:tcPr>
          <w:p w14:paraId="67410FB1" w14:textId="77777777" w:rsidR="006F305F" w:rsidRPr="00617604" w:rsidRDefault="006F305F" w:rsidP="000C6399">
            <w:pPr>
              <w:pStyle w:val="TableText"/>
              <w:jc w:val="center"/>
              <w:rPr>
                <w:color w:val="000000"/>
              </w:rPr>
            </w:pPr>
            <w:r w:rsidRPr="004E2D68">
              <w:rPr>
                <w:color w:val="000000"/>
              </w:rPr>
              <w:t>$474.51</w:t>
            </w:r>
          </w:p>
        </w:tc>
        <w:tc>
          <w:tcPr>
            <w:tcW w:w="1272" w:type="pct"/>
          </w:tcPr>
          <w:p w14:paraId="4603E173" w14:textId="77777777" w:rsidR="006F305F" w:rsidRPr="007F38B3" w:rsidRDefault="006F305F" w:rsidP="000C6399">
            <w:pPr>
              <w:pStyle w:val="TableText"/>
              <w:jc w:val="center"/>
              <w:rPr>
                <w:color w:val="000000"/>
              </w:rPr>
            </w:pPr>
            <w:r w:rsidRPr="004E2D68">
              <w:rPr>
                <w:color w:val="000000"/>
              </w:rPr>
              <w:t>$341.27</w:t>
            </w:r>
          </w:p>
        </w:tc>
      </w:tr>
      <w:tr w:rsidR="006F305F" w:rsidRPr="00617604" w14:paraId="53EF4443" w14:textId="77777777" w:rsidTr="0066128C">
        <w:tc>
          <w:tcPr>
            <w:tcW w:w="1412" w:type="pct"/>
          </w:tcPr>
          <w:p w14:paraId="241BE942" w14:textId="77777777" w:rsidR="006F305F" w:rsidRPr="00617604" w:rsidRDefault="006F305F">
            <w:pPr>
              <w:pStyle w:val="TableText"/>
              <w:rPr>
                <w:color w:val="000000"/>
              </w:rPr>
            </w:pPr>
            <w:r w:rsidRPr="00245C5B">
              <w:rPr>
                <w:color w:val="000000"/>
              </w:rPr>
              <w:t>Off patent</w:t>
            </w:r>
          </w:p>
        </w:tc>
        <w:tc>
          <w:tcPr>
            <w:tcW w:w="1043" w:type="pct"/>
          </w:tcPr>
          <w:p w14:paraId="5DD05208" w14:textId="77777777" w:rsidR="006F305F" w:rsidRPr="00617604" w:rsidRDefault="006F305F" w:rsidP="000C6399">
            <w:pPr>
              <w:pStyle w:val="TableText"/>
              <w:jc w:val="center"/>
              <w:rPr>
                <w:color w:val="000000"/>
              </w:rPr>
            </w:pPr>
            <w:r w:rsidRPr="004E2D68">
              <w:rPr>
                <w:color w:val="000000"/>
              </w:rPr>
              <w:t>$3,600.86</w:t>
            </w:r>
          </w:p>
        </w:tc>
        <w:tc>
          <w:tcPr>
            <w:tcW w:w="1273" w:type="pct"/>
          </w:tcPr>
          <w:p w14:paraId="1BE7DA92" w14:textId="77777777" w:rsidR="006F305F" w:rsidRPr="00617604" w:rsidRDefault="006F305F" w:rsidP="000C6399">
            <w:pPr>
              <w:pStyle w:val="TableText"/>
              <w:jc w:val="center"/>
              <w:rPr>
                <w:color w:val="000000"/>
              </w:rPr>
            </w:pPr>
            <w:r w:rsidRPr="004E2D68">
              <w:rPr>
                <w:color w:val="000000"/>
              </w:rPr>
              <w:t>$5,080.47</w:t>
            </w:r>
          </w:p>
        </w:tc>
        <w:tc>
          <w:tcPr>
            <w:tcW w:w="1272" w:type="pct"/>
          </w:tcPr>
          <w:p w14:paraId="28B8C877" w14:textId="77777777" w:rsidR="006F305F" w:rsidRPr="007F38B3" w:rsidRDefault="006F305F" w:rsidP="000C6399">
            <w:pPr>
              <w:pStyle w:val="TableText"/>
              <w:jc w:val="center"/>
              <w:rPr>
                <w:color w:val="000000"/>
              </w:rPr>
            </w:pPr>
            <w:r w:rsidRPr="004E2D68">
              <w:rPr>
                <w:color w:val="000000"/>
              </w:rPr>
              <w:t>-$1,479.62</w:t>
            </w:r>
          </w:p>
        </w:tc>
      </w:tr>
      <w:tr w:rsidR="006F305F" w:rsidRPr="00617604" w14:paraId="19D92F28" w14:textId="77777777" w:rsidTr="0066128C">
        <w:tc>
          <w:tcPr>
            <w:tcW w:w="1412" w:type="pct"/>
          </w:tcPr>
          <w:p w14:paraId="1D1A9FAD" w14:textId="77777777" w:rsidR="006F305F" w:rsidRPr="00617604" w:rsidRDefault="006F305F">
            <w:pPr>
              <w:pStyle w:val="TableText"/>
              <w:rPr>
                <w:color w:val="000000"/>
              </w:rPr>
            </w:pPr>
            <w:r w:rsidRPr="00245C5B">
              <w:rPr>
                <w:color w:val="000000"/>
              </w:rPr>
              <w:t>CLI</w:t>
            </w:r>
          </w:p>
        </w:tc>
        <w:tc>
          <w:tcPr>
            <w:tcW w:w="1043" w:type="pct"/>
          </w:tcPr>
          <w:p w14:paraId="216C6174" w14:textId="77777777" w:rsidR="006F305F" w:rsidRPr="00617604" w:rsidRDefault="006F305F" w:rsidP="000C6399">
            <w:pPr>
              <w:pStyle w:val="TableText"/>
              <w:jc w:val="center"/>
              <w:rPr>
                <w:color w:val="000000"/>
              </w:rPr>
            </w:pPr>
            <w:r w:rsidRPr="004E2D68">
              <w:rPr>
                <w:color w:val="000000"/>
              </w:rPr>
              <w:t>$2,733.71</w:t>
            </w:r>
          </w:p>
        </w:tc>
        <w:tc>
          <w:tcPr>
            <w:tcW w:w="1273" w:type="pct"/>
          </w:tcPr>
          <w:p w14:paraId="55E35C0E" w14:textId="77777777" w:rsidR="006F305F" w:rsidRPr="00617604" w:rsidRDefault="006F305F" w:rsidP="000C6399">
            <w:pPr>
              <w:pStyle w:val="TableText"/>
              <w:jc w:val="center"/>
              <w:rPr>
                <w:color w:val="000000"/>
              </w:rPr>
            </w:pPr>
            <w:r w:rsidRPr="004E2D68">
              <w:rPr>
                <w:color w:val="000000"/>
              </w:rPr>
              <w:t>$2,787.72</w:t>
            </w:r>
          </w:p>
        </w:tc>
        <w:tc>
          <w:tcPr>
            <w:tcW w:w="1272" w:type="pct"/>
          </w:tcPr>
          <w:p w14:paraId="0E4F78C7" w14:textId="77777777" w:rsidR="006F305F" w:rsidRPr="007F38B3" w:rsidRDefault="006F305F" w:rsidP="000C6399">
            <w:pPr>
              <w:pStyle w:val="TableText"/>
              <w:jc w:val="center"/>
              <w:rPr>
                <w:color w:val="000000"/>
              </w:rPr>
            </w:pPr>
            <w:r w:rsidRPr="004E2D68">
              <w:rPr>
                <w:color w:val="000000"/>
              </w:rPr>
              <w:t>-$54.01</w:t>
            </w:r>
          </w:p>
        </w:tc>
      </w:tr>
      <w:tr w:rsidR="006F305F" w:rsidRPr="00617604" w14:paraId="1ACBD2AE" w14:textId="77777777" w:rsidTr="0066128C">
        <w:tc>
          <w:tcPr>
            <w:tcW w:w="1412" w:type="pct"/>
          </w:tcPr>
          <w:p w14:paraId="3BF2C23C" w14:textId="77777777" w:rsidR="006F305F" w:rsidRPr="00617604" w:rsidRDefault="006F305F">
            <w:pPr>
              <w:pStyle w:val="TableText"/>
              <w:rPr>
                <w:color w:val="000000"/>
              </w:rPr>
            </w:pPr>
            <w:r w:rsidRPr="00245C5B">
              <w:rPr>
                <w:color w:val="000000"/>
              </w:rPr>
              <w:t>Amputation (ongoing)</w:t>
            </w:r>
          </w:p>
        </w:tc>
        <w:tc>
          <w:tcPr>
            <w:tcW w:w="1043" w:type="pct"/>
          </w:tcPr>
          <w:p w14:paraId="6B12542E" w14:textId="77777777" w:rsidR="006F305F" w:rsidRPr="00617604" w:rsidRDefault="006F305F" w:rsidP="000C6399">
            <w:pPr>
              <w:pStyle w:val="TableText"/>
              <w:jc w:val="center"/>
              <w:rPr>
                <w:color w:val="000000"/>
              </w:rPr>
            </w:pPr>
            <w:r w:rsidRPr="004E2D68">
              <w:rPr>
                <w:color w:val="000000"/>
              </w:rPr>
              <w:t>$1,274.92</w:t>
            </w:r>
          </w:p>
        </w:tc>
        <w:tc>
          <w:tcPr>
            <w:tcW w:w="1273" w:type="pct"/>
          </w:tcPr>
          <w:p w14:paraId="3934677E" w14:textId="77777777" w:rsidR="006F305F" w:rsidRPr="00617604" w:rsidRDefault="006F305F" w:rsidP="000C6399">
            <w:pPr>
              <w:pStyle w:val="TableText"/>
              <w:jc w:val="center"/>
              <w:rPr>
                <w:color w:val="000000"/>
              </w:rPr>
            </w:pPr>
            <w:r w:rsidRPr="004E2D68">
              <w:rPr>
                <w:color w:val="000000"/>
              </w:rPr>
              <w:t>$1,302.71</w:t>
            </w:r>
          </w:p>
        </w:tc>
        <w:tc>
          <w:tcPr>
            <w:tcW w:w="1272" w:type="pct"/>
          </w:tcPr>
          <w:p w14:paraId="2A730D23" w14:textId="77777777" w:rsidR="006F305F" w:rsidRPr="007F38B3" w:rsidRDefault="006F305F" w:rsidP="000C6399">
            <w:pPr>
              <w:pStyle w:val="TableText"/>
              <w:jc w:val="center"/>
              <w:rPr>
                <w:color w:val="000000"/>
              </w:rPr>
            </w:pPr>
            <w:r w:rsidRPr="004E2D68">
              <w:rPr>
                <w:color w:val="000000"/>
              </w:rPr>
              <w:t>-$27.79</w:t>
            </w:r>
          </w:p>
        </w:tc>
      </w:tr>
      <w:tr w:rsidR="006F305F" w:rsidRPr="004E2D68" w14:paraId="147608F0" w14:textId="77777777" w:rsidTr="0066128C">
        <w:tc>
          <w:tcPr>
            <w:tcW w:w="1412" w:type="pct"/>
          </w:tcPr>
          <w:p w14:paraId="185E2452" w14:textId="77777777" w:rsidR="006F305F" w:rsidRPr="004E2D68" w:rsidRDefault="006F305F">
            <w:pPr>
              <w:pStyle w:val="TableText"/>
              <w:rPr>
                <w:color w:val="000000"/>
              </w:rPr>
            </w:pPr>
            <w:r w:rsidRPr="004E2D68">
              <w:rPr>
                <w:color w:val="000000"/>
              </w:rPr>
              <w:t>TOTAL</w:t>
            </w:r>
          </w:p>
        </w:tc>
        <w:tc>
          <w:tcPr>
            <w:tcW w:w="1043" w:type="pct"/>
          </w:tcPr>
          <w:p w14:paraId="6EA41FB9" w14:textId="29B9D027" w:rsidR="006F305F" w:rsidRPr="004E2D68" w:rsidRDefault="006F305F" w:rsidP="000C6399">
            <w:pPr>
              <w:pStyle w:val="TableText"/>
              <w:jc w:val="center"/>
              <w:rPr>
                <w:color w:val="000000"/>
              </w:rPr>
            </w:pPr>
            <w:r w:rsidRPr="004E2D68">
              <w:rPr>
                <w:color w:val="000000"/>
              </w:rPr>
              <w:t>$</w:t>
            </w:r>
            <w:r w:rsidR="00292AF6" w:rsidRPr="00B73D4C">
              <w:rPr>
                <w:b/>
                <w:bCs/>
              </w:rPr>
              <w:t xml:space="preserve"> redacted</w:t>
            </w:r>
          </w:p>
        </w:tc>
        <w:tc>
          <w:tcPr>
            <w:tcW w:w="1273" w:type="pct"/>
          </w:tcPr>
          <w:p w14:paraId="2961F66B" w14:textId="77777777" w:rsidR="006F305F" w:rsidRPr="004E2D68" w:rsidRDefault="006F305F" w:rsidP="000C6399">
            <w:pPr>
              <w:pStyle w:val="TableText"/>
              <w:jc w:val="center"/>
              <w:rPr>
                <w:color w:val="000000"/>
              </w:rPr>
            </w:pPr>
            <w:r w:rsidRPr="004E2D68">
              <w:rPr>
                <w:color w:val="000000"/>
              </w:rPr>
              <w:t>$17,064.47</w:t>
            </w:r>
          </w:p>
        </w:tc>
        <w:tc>
          <w:tcPr>
            <w:tcW w:w="1272" w:type="pct"/>
          </w:tcPr>
          <w:p w14:paraId="2E37243D" w14:textId="57288A60" w:rsidR="006F305F" w:rsidRPr="004E2D68" w:rsidRDefault="006F305F" w:rsidP="000C6399">
            <w:pPr>
              <w:pStyle w:val="TableText"/>
              <w:jc w:val="center"/>
              <w:rPr>
                <w:color w:val="000000"/>
              </w:rPr>
            </w:pPr>
            <w:r w:rsidRPr="004E2D68">
              <w:rPr>
                <w:color w:val="000000"/>
              </w:rPr>
              <w:t>$</w:t>
            </w:r>
            <w:r w:rsidR="00292AF6" w:rsidRPr="00B73D4C">
              <w:rPr>
                <w:b/>
                <w:bCs/>
              </w:rPr>
              <w:t xml:space="preserve"> redacted</w:t>
            </w:r>
          </w:p>
        </w:tc>
      </w:tr>
    </w:tbl>
    <w:p w14:paraId="60356150" w14:textId="71DD35BA" w:rsidR="00494174" w:rsidRDefault="006F305F" w:rsidP="00174C60">
      <w:pPr>
        <w:pStyle w:val="Tablenotes"/>
      </w:pPr>
      <w:r>
        <w:t>Abbreviations: CLI</w:t>
      </w:r>
      <w:r w:rsidR="00237C8B">
        <w:t xml:space="preserve"> =</w:t>
      </w:r>
      <w:r>
        <w:t xml:space="preserve"> critical limb </w:t>
      </w:r>
      <w:proofErr w:type="spellStart"/>
      <w:r>
        <w:t>ischaemia</w:t>
      </w:r>
      <w:proofErr w:type="spellEnd"/>
      <w:r>
        <w:t>; DCB</w:t>
      </w:r>
      <w:r w:rsidR="00237C8B">
        <w:t xml:space="preserve"> =</w:t>
      </w:r>
      <w:r>
        <w:t xml:space="preserve"> drug-coated balloon; </w:t>
      </w:r>
      <w:r w:rsidRPr="00C96462">
        <w:t>IVL</w:t>
      </w:r>
      <w:r w:rsidR="00237C8B">
        <w:t xml:space="preserve"> =</w:t>
      </w:r>
      <w:r w:rsidRPr="00C96462">
        <w:t xml:space="preserve"> intravascular lithotripsy; </w:t>
      </w:r>
      <w:r w:rsidR="002633A1" w:rsidRPr="002633A1">
        <w:t>MBS = Medicare Benefits Schedule</w:t>
      </w:r>
      <w:r w:rsidR="002633A1">
        <w:t xml:space="preserve">; </w:t>
      </w:r>
      <w:r w:rsidRPr="00C96462">
        <w:t>SBA</w:t>
      </w:r>
      <w:r w:rsidR="00237C8B">
        <w:t xml:space="preserve"> =</w:t>
      </w:r>
      <w:r w:rsidRPr="00C96462">
        <w:t xml:space="preserve"> standard balloon angioplasty</w:t>
      </w:r>
      <w:r>
        <w:t>; TLR</w:t>
      </w:r>
      <w:r w:rsidR="00237C8B">
        <w:t xml:space="preserve"> =</w:t>
      </w:r>
      <w:r>
        <w:t xml:space="preserve"> target limb revascularisation</w:t>
      </w:r>
      <w:r w:rsidR="00237C8B">
        <w:t>.</w:t>
      </w:r>
    </w:p>
    <w:p w14:paraId="1F6E2AFF" w14:textId="0BBB383B" w:rsidR="00494174" w:rsidRPr="00996E36" w:rsidRDefault="00F94218" w:rsidP="00FD0F2A">
      <w:r w:rsidRPr="00996E36">
        <w:t>The commentary noted that</w:t>
      </w:r>
      <w:r w:rsidR="00494174" w:rsidRPr="00996E36">
        <w:t xml:space="preserve"> the differences in the costs between IVL and SBA are due to inaccurate assumptions (Assuming </w:t>
      </w:r>
      <w:r w:rsidR="002B15C1" w:rsidRPr="00996E36">
        <w:t xml:space="preserve">a </w:t>
      </w:r>
      <w:r w:rsidR="00494174" w:rsidRPr="00996E36">
        <w:t xml:space="preserve">45% rate of stent for </w:t>
      </w:r>
      <w:r w:rsidR="002B15C1" w:rsidRPr="00996E36">
        <w:t xml:space="preserve">the </w:t>
      </w:r>
      <w:r w:rsidR="00494174" w:rsidRPr="00996E36">
        <w:t xml:space="preserve">SBA arm based on the MBS utilisation data).  </w:t>
      </w:r>
    </w:p>
    <w:p w14:paraId="652D03B0" w14:textId="69325CE4" w:rsidR="006F305F" w:rsidRDefault="006F305F" w:rsidP="006F305F">
      <w:pPr>
        <w:pStyle w:val="Caption"/>
      </w:pPr>
      <w:bookmarkStart w:id="50" w:name="_Ref135843904"/>
      <w:bookmarkStart w:id="51" w:name="_Toc141476185"/>
      <w:r>
        <w:t xml:space="preserve">Table </w:t>
      </w:r>
      <w:r w:rsidR="00340D39">
        <w:fldChar w:fldCharType="begin"/>
      </w:r>
      <w:r w:rsidR="00340D39">
        <w:instrText xml:space="preserve"> SEQ Table \* ARABIC </w:instrText>
      </w:r>
      <w:r w:rsidR="00340D39">
        <w:fldChar w:fldCharType="separate"/>
      </w:r>
      <w:r w:rsidR="009A5224">
        <w:rPr>
          <w:noProof/>
        </w:rPr>
        <w:t>14</w:t>
      </w:r>
      <w:r w:rsidR="00340D39">
        <w:rPr>
          <w:noProof/>
        </w:rPr>
        <w:fldChar w:fldCharType="end"/>
      </w:r>
      <w:bookmarkEnd w:id="50"/>
      <w:r w:rsidR="0066128C">
        <w:rPr>
          <w:noProof/>
        </w:rPr>
        <w:t xml:space="preserve">: </w:t>
      </w:r>
      <w:r>
        <w:t>Disaggregated QALYs associated with IVL and SBA</w:t>
      </w:r>
      <w:bookmarkEnd w:id="51"/>
    </w:p>
    <w:tbl>
      <w:tblPr>
        <w:tblStyle w:val="MSAC"/>
        <w:tblW w:w="5000" w:type="pct"/>
        <w:tblLook w:val="04A0" w:firstRow="1" w:lastRow="0" w:firstColumn="1" w:lastColumn="0" w:noHBand="0" w:noVBand="1"/>
      </w:tblPr>
      <w:tblGrid>
        <w:gridCol w:w="3665"/>
        <w:gridCol w:w="1791"/>
        <w:gridCol w:w="1962"/>
        <w:gridCol w:w="1598"/>
      </w:tblGrid>
      <w:tr w:rsidR="006F305F" w:rsidRPr="000F2C54" w14:paraId="3D0312FB" w14:textId="77777777">
        <w:trPr>
          <w:cnfStyle w:val="100000000000" w:firstRow="1" w:lastRow="0" w:firstColumn="0" w:lastColumn="0" w:oddVBand="0" w:evenVBand="0" w:oddHBand="0" w:evenHBand="0" w:firstRowFirstColumn="0" w:firstRowLastColumn="0" w:lastRowFirstColumn="0" w:lastRowLastColumn="0"/>
          <w:trHeight w:val="240"/>
        </w:trPr>
        <w:tc>
          <w:tcPr>
            <w:tcW w:w="2032" w:type="pct"/>
            <w:tcBorders>
              <w:top w:val="single" w:sz="4" w:space="0" w:color="auto"/>
              <w:left w:val="single" w:sz="4" w:space="0" w:color="auto"/>
              <w:bottom w:val="single" w:sz="4" w:space="0" w:color="auto"/>
              <w:right w:val="single" w:sz="4" w:space="0" w:color="auto"/>
            </w:tcBorders>
            <w:shd w:val="clear" w:color="auto" w:fill="auto"/>
            <w:noWrap/>
          </w:tcPr>
          <w:p w14:paraId="0AF37100" w14:textId="77777777" w:rsidR="006F305F" w:rsidRPr="000F2C54" w:rsidRDefault="006F305F">
            <w:pPr>
              <w:pStyle w:val="TableText"/>
              <w:rPr>
                <w:b w:val="0"/>
              </w:rPr>
            </w:pPr>
            <w:r w:rsidRPr="000F2C54">
              <w:t>Health state</w:t>
            </w:r>
          </w:p>
        </w:tc>
        <w:tc>
          <w:tcPr>
            <w:tcW w:w="993" w:type="pct"/>
            <w:tcBorders>
              <w:top w:val="single" w:sz="4" w:space="0" w:color="auto"/>
              <w:left w:val="nil"/>
              <w:bottom w:val="single" w:sz="4" w:space="0" w:color="auto"/>
              <w:right w:val="single" w:sz="4" w:space="0" w:color="auto"/>
            </w:tcBorders>
            <w:shd w:val="clear" w:color="auto" w:fill="auto"/>
            <w:noWrap/>
          </w:tcPr>
          <w:p w14:paraId="3842BC5B" w14:textId="77777777" w:rsidR="006F305F" w:rsidRPr="000F2C54" w:rsidRDefault="006F305F" w:rsidP="000C6399">
            <w:pPr>
              <w:pStyle w:val="TableText"/>
              <w:jc w:val="center"/>
              <w:rPr>
                <w:b w:val="0"/>
              </w:rPr>
            </w:pPr>
            <w:r w:rsidRPr="000F2C54">
              <w:t>IVL</w:t>
            </w:r>
          </w:p>
        </w:tc>
        <w:tc>
          <w:tcPr>
            <w:tcW w:w="1088" w:type="pct"/>
            <w:tcBorders>
              <w:top w:val="single" w:sz="4" w:space="0" w:color="auto"/>
              <w:left w:val="nil"/>
              <w:bottom w:val="single" w:sz="4" w:space="0" w:color="auto"/>
              <w:right w:val="single" w:sz="4" w:space="0" w:color="auto"/>
            </w:tcBorders>
            <w:shd w:val="clear" w:color="auto" w:fill="auto"/>
            <w:noWrap/>
          </w:tcPr>
          <w:p w14:paraId="7340C11A" w14:textId="77777777" w:rsidR="006F305F" w:rsidRPr="000F2C54" w:rsidRDefault="006F305F" w:rsidP="000C6399">
            <w:pPr>
              <w:pStyle w:val="TableText"/>
              <w:jc w:val="center"/>
              <w:rPr>
                <w:b w:val="0"/>
              </w:rPr>
            </w:pPr>
            <w:r w:rsidRPr="000F2C54">
              <w:t>SBA</w:t>
            </w:r>
          </w:p>
        </w:tc>
        <w:tc>
          <w:tcPr>
            <w:tcW w:w="886" w:type="pct"/>
            <w:tcBorders>
              <w:top w:val="single" w:sz="4" w:space="0" w:color="auto"/>
              <w:left w:val="nil"/>
              <w:bottom w:val="single" w:sz="4" w:space="0" w:color="auto"/>
              <w:right w:val="single" w:sz="4" w:space="0" w:color="auto"/>
            </w:tcBorders>
            <w:shd w:val="clear" w:color="auto" w:fill="auto"/>
            <w:noWrap/>
          </w:tcPr>
          <w:p w14:paraId="163CFEAE" w14:textId="77777777" w:rsidR="006F305F" w:rsidRPr="000F2C54" w:rsidRDefault="006F305F" w:rsidP="000C6399">
            <w:pPr>
              <w:pStyle w:val="TableText"/>
              <w:jc w:val="center"/>
              <w:rPr>
                <w:b w:val="0"/>
              </w:rPr>
            </w:pPr>
            <w:r w:rsidRPr="000F2C54">
              <w:t>Increment</w:t>
            </w:r>
          </w:p>
        </w:tc>
      </w:tr>
      <w:tr w:rsidR="006F305F" w:rsidRPr="00223EDA" w14:paraId="27ADE816" w14:textId="77777777">
        <w:trPr>
          <w:trHeight w:val="240"/>
        </w:trPr>
        <w:tc>
          <w:tcPr>
            <w:tcW w:w="2032" w:type="pct"/>
            <w:tcBorders>
              <w:top w:val="single" w:sz="4" w:space="0" w:color="auto"/>
              <w:left w:val="single" w:sz="4" w:space="0" w:color="auto"/>
              <w:bottom w:val="single" w:sz="4" w:space="0" w:color="auto"/>
              <w:right w:val="single" w:sz="4" w:space="0" w:color="auto"/>
            </w:tcBorders>
            <w:shd w:val="clear" w:color="auto" w:fill="auto"/>
            <w:noWrap/>
            <w:hideMark/>
          </w:tcPr>
          <w:p w14:paraId="39FC02BF" w14:textId="77777777" w:rsidR="006F305F" w:rsidRPr="00223EDA" w:rsidRDefault="006F305F">
            <w:pPr>
              <w:pStyle w:val="TableText"/>
            </w:pPr>
            <w:r w:rsidRPr="00223EDA">
              <w:t>Patent</w:t>
            </w:r>
          </w:p>
        </w:tc>
        <w:tc>
          <w:tcPr>
            <w:tcW w:w="993" w:type="pct"/>
            <w:tcBorders>
              <w:top w:val="single" w:sz="4" w:space="0" w:color="auto"/>
              <w:left w:val="nil"/>
              <w:bottom w:val="single" w:sz="4" w:space="0" w:color="auto"/>
              <w:right w:val="single" w:sz="4" w:space="0" w:color="auto"/>
            </w:tcBorders>
            <w:shd w:val="clear" w:color="auto" w:fill="auto"/>
            <w:noWrap/>
            <w:hideMark/>
          </w:tcPr>
          <w:p w14:paraId="140231E1" w14:textId="77777777" w:rsidR="006F305F" w:rsidRPr="00223EDA" w:rsidRDefault="006F305F" w:rsidP="000C6399">
            <w:pPr>
              <w:pStyle w:val="TableText"/>
              <w:jc w:val="center"/>
            </w:pPr>
            <w:r w:rsidRPr="00223EDA">
              <w:t>2.626</w:t>
            </w:r>
          </w:p>
        </w:tc>
        <w:tc>
          <w:tcPr>
            <w:tcW w:w="1088" w:type="pct"/>
            <w:tcBorders>
              <w:top w:val="single" w:sz="4" w:space="0" w:color="auto"/>
              <w:left w:val="nil"/>
              <w:bottom w:val="single" w:sz="4" w:space="0" w:color="auto"/>
              <w:right w:val="single" w:sz="4" w:space="0" w:color="auto"/>
            </w:tcBorders>
            <w:shd w:val="clear" w:color="auto" w:fill="auto"/>
            <w:noWrap/>
            <w:hideMark/>
          </w:tcPr>
          <w:p w14:paraId="33404C12" w14:textId="77777777" w:rsidR="006F305F" w:rsidRPr="00223EDA" w:rsidRDefault="006F305F" w:rsidP="000C6399">
            <w:pPr>
              <w:pStyle w:val="TableText"/>
              <w:jc w:val="center"/>
            </w:pPr>
            <w:r w:rsidRPr="00223EDA">
              <w:t>1.480</w:t>
            </w:r>
          </w:p>
        </w:tc>
        <w:tc>
          <w:tcPr>
            <w:tcW w:w="886" w:type="pct"/>
            <w:tcBorders>
              <w:top w:val="single" w:sz="4" w:space="0" w:color="auto"/>
              <w:left w:val="nil"/>
              <w:bottom w:val="single" w:sz="4" w:space="0" w:color="auto"/>
              <w:right w:val="single" w:sz="4" w:space="0" w:color="auto"/>
            </w:tcBorders>
            <w:shd w:val="clear" w:color="auto" w:fill="auto"/>
            <w:noWrap/>
            <w:hideMark/>
          </w:tcPr>
          <w:p w14:paraId="44B32562" w14:textId="77777777" w:rsidR="006F305F" w:rsidRPr="00223EDA" w:rsidRDefault="006F305F" w:rsidP="000C6399">
            <w:pPr>
              <w:pStyle w:val="TableText"/>
              <w:jc w:val="center"/>
            </w:pPr>
            <w:r w:rsidRPr="00223EDA">
              <w:t>1.145</w:t>
            </w:r>
          </w:p>
        </w:tc>
      </w:tr>
      <w:tr w:rsidR="006F305F" w:rsidRPr="00223EDA" w14:paraId="7D4AA368" w14:textId="77777777">
        <w:trPr>
          <w:trHeight w:val="240"/>
        </w:trPr>
        <w:tc>
          <w:tcPr>
            <w:tcW w:w="2032" w:type="pct"/>
            <w:tcBorders>
              <w:top w:val="nil"/>
              <w:left w:val="single" w:sz="4" w:space="0" w:color="auto"/>
              <w:bottom w:val="single" w:sz="4" w:space="0" w:color="auto"/>
              <w:right w:val="single" w:sz="4" w:space="0" w:color="auto"/>
            </w:tcBorders>
            <w:shd w:val="clear" w:color="auto" w:fill="auto"/>
            <w:noWrap/>
            <w:hideMark/>
          </w:tcPr>
          <w:p w14:paraId="55AD5268" w14:textId="77777777" w:rsidR="006F305F" w:rsidRPr="00223EDA" w:rsidRDefault="006F305F">
            <w:pPr>
              <w:pStyle w:val="TableText"/>
            </w:pPr>
            <w:r w:rsidRPr="00223EDA">
              <w:t>Off patent</w:t>
            </w:r>
          </w:p>
        </w:tc>
        <w:tc>
          <w:tcPr>
            <w:tcW w:w="993" w:type="pct"/>
            <w:tcBorders>
              <w:top w:val="nil"/>
              <w:left w:val="nil"/>
              <w:bottom w:val="single" w:sz="4" w:space="0" w:color="auto"/>
              <w:right w:val="single" w:sz="4" w:space="0" w:color="auto"/>
            </w:tcBorders>
            <w:shd w:val="clear" w:color="auto" w:fill="auto"/>
            <w:noWrap/>
            <w:hideMark/>
          </w:tcPr>
          <w:p w14:paraId="753F4562" w14:textId="77777777" w:rsidR="006F305F" w:rsidRPr="00223EDA" w:rsidRDefault="006F305F" w:rsidP="000C6399">
            <w:pPr>
              <w:pStyle w:val="TableText"/>
              <w:jc w:val="center"/>
            </w:pPr>
            <w:r w:rsidRPr="00223EDA">
              <w:t>2.366</w:t>
            </w:r>
          </w:p>
        </w:tc>
        <w:tc>
          <w:tcPr>
            <w:tcW w:w="1088" w:type="pct"/>
            <w:tcBorders>
              <w:top w:val="nil"/>
              <w:left w:val="nil"/>
              <w:bottom w:val="single" w:sz="4" w:space="0" w:color="auto"/>
              <w:right w:val="single" w:sz="4" w:space="0" w:color="auto"/>
            </w:tcBorders>
            <w:shd w:val="clear" w:color="auto" w:fill="auto"/>
            <w:noWrap/>
            <w:hideMark/>
          </w:tcPr>
          <w:p w14:paraId="1755A622" w14:textId="77777777" w:rsidR="006F305F" w:rsidRPr="00223EDA" w:rsidRDefault="006F305F" w:rsidP="000C6399">
            <w:pPr>
              <w:pStyle w:val="TableText"/>
              <w:jc w:val="center"/>
            </w:pPr>
            <w:r w:rsidRPr="00223EDA">
              <w:t>3.338</w:t>
            </w:r>
          </w:p>
        </w:tc>
        <w:tc>
          <w:tcPr>
            <w:tcW w:w="886" w:type="pct"/>
            <w:tcBorders>
              <w:top w:val="nil"/>
              <w:left w:val="nil"/>
              <w:bottom w:val="single" w:sz="4" w:space="0" w:color="auto"/>
              <w:right w:val="single" w:sz="4" w:space="0" w:color="auto"/>
            </w:tcBorders>
            <w:shd w:val="clear" w:color="auto" w:fill="auto"/>
            <w:noWrap/>
            <w:hideMark/>
          </w:tcPr>
          <w:p w14:paraId="4BD31E9F" w14:textId="77777777" w:rsidR="006F305F" w:rsidRPr="00223EDA" w:rsidRDefault="006F305F" w:rsidP="000C6399">
            <w:pPr>
              <w:pStyle w:val="TableText"/>
              <w:jc w:val="center"/>
            </w:pPr>
            <w:r w:rsidRPr="00223EDA">
              <w:t>-0.972</w:t>
            </w:r>
          </w:p>
        </w:tc>
      </w:tr>
      <w:tr w:rsidR="006F305F" w:rsidRPr="00223EDA" w14:paraId="3C0D280A" w14:textId="77777777">
        <w:trPr>
          <w:trHeight w:val="240"/>
        </w:trPr>
        <w:tc>
          <w:tcPr>
            <w:tcW w:w="2032" w:type="pct"/>
            <w:tcBorders>
              <w:top w:val="nil"/>
              <w:left w:val="single" w:sz="4" w:space="0" w:color="auto"/>
              <w:bottom w:val="single" w:sz="4" w:space="0" w:color="auto"/>
              <w:right w:val="single" w:sz="4" w:space="0" w:color="auto"/>
            </w:tcBorders>
            <w:shd w:val="clear" w:color="auto" w:fill="auto"/>
            <w:noWrap/>
            <w:hideMark/>
          </w:tcPr>
          <w:p w14:paraId="336BD155" w14:textId="77777777" w:rsidR="006F305F" w:rsidRPr="00223EDA" w:rsidRDefault="006F305F">
            <w:pPr>
              <w:pStyle w:val="TableText"/>
            </w:pPr>
            <w:r w:rsidRPr="00223EDA">
              <w:t>CLI</w:t>
            </w:r>
          </w:p>
        </w:tc>
        <w:tc>
          <w:tcPr>
            <w:tcW w:w="993" w:type="pct"/>
            <w:tcBorders>
              <w:top w:val="nil"/>
              <w:left w:val="nil"/>
              <w:bottom w:val="single" w:sz="4" w:space="0" w:color="auto"/>
              <w:right w:val="single" w:sz="4" w:space="0" w:color="auto"/>
            </w:tcBorders>
            <w:shd w:val="clear" w:color="auto" w:fill="auto"/>
            <w:noWrap/>
            <w:hideMark/>
          </w:tcPr>
          <w:p w14:paraId="4A4A69CB" w14:textId="37199C94" w:rsidR="006F305F" w:rsidRPr="00A05D1B" w:rsidRDefault="006F305F" w:rsidP="000C6399">
            <w:pPr>
              <w:pStyle w:val="TableText"/>
              <w:jc w:val="center"/>
            </w:pPr>
            <w:r w:rsidRPr="00A05D1B">
              <w:t>0.556</w:t>
            </w:r>
          </w:p>
        </w:tc>
        <w:tc>
          <w:tcPr>
            <w:tcW w:w="1088" w:type="pct"/>
            <w:tcBorders>
              <w:top w:val="nil"/>
              <w:left w:val="nil"/>
              <w:bottom w:val="single" w:sz="4" w:space="0" w:color="auto"/>
              <w:right w:val="single" w:sz="4" w:space="0" w:color="auto"/>
            </w:tcBorders>
            <w:shd w:val="clear" w:color="auto" w:fill="auto"/>
            <w:noWrap/>
            <w:hideMark/>
          </w:tcPr>
          <w:p w14:paraId="23C96844" w14:textId="0B03FC4E" w:rsidR="006F305F" w:rsidRPr="00A05D1B" w:rsidRDefault="006F305F" w:rsidP="000C6399">
            <w:pPr>
              <w:pStyle w:val="TableText"/>
              <w:jc w:val="center"/>
            </w:pPr>
            <w:r w:rsidRPr="00A05D1B">
              <w:t>0.567</w:t>
            </w:r>
          </w:p>
        </w:tc>
        <w:tc>
          <w:tcPr>
            <w:tcW w:w="886" w:type="pct"/>
            <w:tcBorders>
              <w:top w:val="nil"/>
              <w:left w:val="nil"/>
              <w:bottom w:val="single" w:sz="4" w:space="0" w:color="auto"/>
              <w:right w:val="single" w:sz="4" w:space="0" w:color="auto"/>
            </w:tcBorders>
            <w:shd w:val="clear" w:color="auto" w:fill="auto"/>
            <w:noWrap/>
            <w:hideMark/>
          </w:tcPr>
          <w:p w14:paraId="00B1B22D" w14:textId="21A99B0A" w:rsidR="006F305F" w:rsidRPr="00A05D1B" w:rsidRDefault="006F305F" w:rsidP="000C6399">
            <w:pPr>
              <w:pStyle w:val="TableText"/>
              <w:jc w:val="center"/>
            </w:pPr>
            <w:r w:rsidRPr="00A05D1B">
              <w:t>-0.011</w:t>
            </w:r>
          </w:p>
        </w:tc>
      </w:tr>
      <w:tr w:rsidR="006F305F" w:rsidRPr="00223EDA" w14:paraId="2410341F" w14:textId="77777777">
        <w:trPr>
          <w:trHeight w:val="240"/>
        </w:trPr>
        <w:tc>
          <w:tcPr>
            <w:tcW w:w="2032" w:type="pct"/>
            <w:tcBorders>
              <w:top w:val="nil"/>
              <w:left w:val="single" w:sz="4" w:space="0" w:color="auto"/>
              <w:bottom w:val="single" w:sz="4" w:space="0" w:color="auto"/>
              <w:right w:val="single" w:sz="4" w:space="0" w:color="auto"/>
            </w:tcBorders>
            <w:shd w:val="clear" w:color="auto" w:fill="auto"/>
            <w:noWrap/>
            <w:hideMark/>
          </w:tcPr>
          <w:p w14:paraId="5FC5CA3E" w14:textId="77777777" w:rsidR="006F305F" w:rsidRPr="00223EDA" w:rsidRDefault="006F305F">
            <w:pPr>
              <w:pStyle w:val="TableText"/>
            </w:pPr>
            <w:r w:rsidRPr="00223EDA">
              <w:t>Amputation</w:t>
            </w:r>
          </w:p>
        </w:tc>
        <w:tc>
          <w:tcPr>
            <w:tcW w:w="993" w:type="pct"/>
            <w:tcBorders>
              <w:top w:val="nil"/>
              <w:left w:val="nil"/>
              <w:bottom w:val="single" w:sz="4" w:space="0" w:color="auto"/>
              <w:right w:val="single" w:sz="4" w:space="0" w:color="auto"/>
            </w:tcBorders>
            <w:shd w:val="clear" w:color="auto" w:fill="auto"/>
            <w:noWrap/>
            <w:hideMark/>
          </w:tcPr>
          <w:p w14:paraId="41ECA42F" w14:textId="6C98BC4B" w:rsidR="006F305F" w:rsidRPr="00A05D1B" w:rsidRDefault="006F305F" w:rsidP="000C6399">
            <w:pPr>
              <w:pStyle w:val="TableText"/>
              <w:jc w:val="center"/>
            </w:pPr>
            <w:r w:rsidRPr="00A05D1B">
              <w:t>0.066</w:t>
            </w:r>
          </w:p>
        </w:tc>
        <w:tc>
          <w:tcPr>
            <w:tcW w:w="1088" w:type="pct"/>
            <w:tcBorders>
              <w:top w:val="nil"/>
              <w:left w:val="nil"/>
              <w:bottom w:val="single" w:sz="4" w:space="0" w:color="auto"/>
              <w:right w:val="single" w:sz="4" w:space="0" w:color="auto"/>
            </w:tcBorders>
            <w:shd w:val="clear" w:color="auto" w:fill="auto"/>
            <w:noWrap/>
            <w:hideMark/>
          </w:tcPr>
          <w:p w14:paraId="2E637BFD" w14:textId="59D81241" w:rsidR="006F305F" w:rsidRPr="00D25552" w:rsidRDefault="006F305F" w:rsidP="000C6399">
            <w:pPr>
              <w:pStyle w:val="TableText"/>
              <w:jc w:val="center"/>
            </w:pPr>
            <w:r w:rsidRPr="00A05D1B">
              <w:t>0.068</w:t>
            </w:r>
          </w:p>
        </w:tc>
        <w:tc>
          <w:tcPr>
            <w:tcW w:w="886" w:type="pct"/>
            <w:tcBorders>
              <w:top w:val="nil"/>
              <w:left w:val="nil"/>
              <w:bottom w:val="single" w:sz="4" w:space="0" w:color="auto"/>
              <w:right w:val="single" w:sz="4" w:space="0" w:color="auto"/>
            </w:tcBorders>
            <w:shd w:val="clear" w:color="auto" w:fill="auto"/>
            <w:noWrap/>
            <w:hideMark/>
          </w:tcPr>
          <w:p w14:paraId="39985561" w14:textId="02AD8FD3" w:rsidR="006F305F" w:rsidRPr="00A05D1B" w:rsidRDefault="006F305F" w:rsidP="000C6399">
            <w:pPr>
              <w:pStyle w:val="TableText"/>
              <w:jc w:val="center"/>
            </w:pPr>
            <w:r w:rsidRPr="00A05D1B">
              <w:t>-0.001</w:t>
            </w:r>
          </w:p>
        </w:tc>
      </w:tr>
      <w:tr w:rsidR="006F305F" w:rsidRPr="00223EDA" w14:paraId="4EEC0073" w14:textId="77777777">
        <w:trPr>
          <w:trHeight w:val="270"/>
        </w:trPr>
        <w:tc>
          <w:tcPr>
            <w:tcW w:w="2032" w:type="pct"/>
            <w:tcBorders>
              <w:top w:val="nil"/>
              <w:left w:val="single" w:sz="4" w:space="0" w:color="auto"/>
              <w:bottom w:val="single" w:sz="4" w:space="0" w:color="auto"/>
              <w:right w:val="single" w:sz="4" w:space="0" w:color="auto"/>
            </w:tcBorders>
            <w:shd w:val="clear" w:color="auto" w:fill="auto"/>
            <w:noWrap/>
            <w:hideMark/>
          </w:tcPr>
          <w:p w14:paraId="1CAC407D" w14:textId="77777777" w:rsidR="006F305F" w:rsidRPr="00223EDA" w:rsidRDefault="006F305F">
            <w:pPr>
              <w:pStyle w:val="TableText"/>
            </w:pPr>
            <w:r>
              <w:t>TOTAL</w:t>
            </w:r>
          </w:p>
        </w:tc>
        <w:tc>
          <w:tcPr>
            <w:tcW w:w="993" w:type="pct"/>
            <w:tcBorders>
              <w:top w:val="nil"/>
              <w:left w:val="nil"/>
              <w:bottom w:val="single" w:sz="4" w:space="0" w:color="auto"/>
              <w:right w:val="single" w:sz="4" w:space="0" w:color="auto"/>
            </w:tcBorders>
            <w:shd w:val="clear" w:color="auto" w:fill="auto"/>
            <w:noWrap/>
            <w:hideMark/>
          </w:tcPr>
          <w:p w14:paraId="1732A9DE" w14:textId="3A7C83FB" w:rsidR="006F305F" w:rsidRPr="00A05D1B" w:rsidRDefault="006F305F" w:rsidP="000C6399">
            <w:pPr>
              <w:pStyle w:val="TableText"/>
              <w:jc w:val="center"/>
            </w:pPr>
            <w:r w:rsidRPr="00A05D1B">
              <w:t>5.614</w:t>
            </w:r>
          </w:p>
        </w:tc>
        <w:tc>
          <w:tcPr>
            <w:tcW w:w="1088" w:type="pct"/>
            <w:tcBorders>
              <w:top w:val="nil"/>
              <w:left w:val="nil"/>
              <w:bottom w:val="single" w:sz="4" w:space="0" w:color="auto"/>
              <w:right w:val="single" w:sz="4" w:space="0" w:color="auto"/>
            </w:tcBorders>
            <w:shd w:val="clear" w:color="auto" w:fill="auto"/>
            <w:noWrap/>
            <w:hideMark/>
          </w:tcPr>
          <w:p w14:paraId="0DAB74CE" w14:textId="7C5812D9" w:rsidR="006F305F" w:rsidRPr="00D25552" w:rsidRDefault="006F305F" w:rsidP="000C6399">
            <w:pPr>
              <w:pStyle w:val="TableText"/>
              <w:jc w:val="center"/>
            </w:pPr>
            <w:r w:rsidRPr="00A05D1B">
              <w:t>5.453</w:t>
            </w:r>
          </w:p>
        </w:tc>
        <w:tc>
          <w:tcPr>
            <w:tcW w:w="886" w:type="pct"/>
            <w:tcBorders>
              <w:top w:val="nil"/>
              <w:left w:val="nil"/>
              <w:bottom w:val="single" w:sz="4" w:space="0" w:color="auto"/>
              <w:right w:val="single" w:sz="4" w:space="0" w:color="auto"/>
            </w:tcBorders>
            <w:shd w:val="clear" w:color="auto" w:fill="auto"/>
            <w:noWrap/>
            <w:hideMark/>
          </w:tcPr>
          <w:p w14:paraId="05ACBD6F" w14:textId="5773462D" w:rsidR="006F305F" w:rsidRPr="00A05D1B" w:rsidRDefault="006F305F" w:rsidP="000C6399">
            <w:pPr>
              <w:pStyle w:val="TableText"/>
              <w:jc w:val="center"/>
            </w:pPr>
            <w:r w:rsidRPr="00A05D1B">
              <w:t>0.161</w:t>
            </w:r>
          </w:p>
        </w:tc>
      </w:tr>
    </w:tbl>
    <w:p w14:paraId="1E3D0E6E" w14:textId="7A0561DF" w:rsidR="006F305F" w:rsidRDefault="006F305F" w:rsidP="00174C60">
      <w:pPr>
        <w:pStyle w:val="Tablenotes"/>
      </w:pPr>
      <w:r w:rsidRPr="00C96462">
        <w:t xml:space="preserve">Abbreviations: </w:t>
      </w:r>
      <w:r>
        <w:t>CLI</w:t>
      </w:r>
      <w:r w:rsidR="00237C8B">
        <w:t xml:space="preserve"> =</w:t>
      </w:r>
      <w:r>
        <w:t xml:space="preserve"> critical limb </w:t>
      </w:r>
      <w:proofErr w:type="spellStart"/>
      <w:r>
        <w:t>ischaemia</w:t>
      </w:r>
      <w:proofErr w:type="spellEnd"/>
      <w:r>
        <w:t xml:space="preserve">; </w:t>
      </w:r>
      <w:r w:rsidRPr="00C96462">
        <w:t>IVL</w:t>
      </w:r>
      <w:r w:rsidR="00237C8B">
        <w:t xml:space="preserve"> =</w:t>
      </w:r>
      <w:r w:rsidRPr="00C96462">
        <w:t xml:space="preserve"> intravascular lithotripsy; </w:t>
      </w:r>
      <w:r w:rsidR="002633A1" w:rsidRPr="002633A1">
        <w:t>QALY = quality-adjusted life year</w:t>
      </w:r>
      <w:r w:rsidR="002633A1">
        <w:t xml:space="preserve">; </w:t>
      </w:r>
      <w:r w:rsidRPr="00C96462">
        <w:t>SBA</w:t>
      </w:r>
      <w:r w:rsidR="00237C8B">
        <w:t xml:space="preserve"> =</w:t>
      </w:r>
      <w:r w:rsidRPr="00C96462">
        <w:t xml:space="preserve"> standard balloon angioplasty</w:t>
      </w:r>
    </w:p>
    <w:p w14:paraId="7EB1CE2A" w14:textId="252C8CC1" w:rsidR="00494174" w:rsidRDefault="00494174" w:rsidP="00FD0F2A">
      <w:r>
        <w:t xml:space="preserve">Table </w:t>
      </w:r>
      <w:r w:rsidR="00EB6499">
        <w:t xml:space="preserve">14 </w:t>
      </w:r>
      <w:r>
        <w:t xml:space="preserve">shows that the inaccurate assumption of the transition probability of loss of patency for </w:t>
      </w:r>
      <w:r w:rsidRPr="00494174">
        <w:t xml:space="preserve">cycle 1 </w:t>
      </w:r>
      <w:r>
        <w:t xml:space="preserve">for </w:t>
      </w:r>
      <w:r w:rsidR="002B15C1">
        <w:t xml:space="preserve">the </w:t>
      </w:r>
      <w:r>
        <w:t xml:space="preserve">SBA arm based on MBS utilisation data </w:t>
      </w:r>
      <w:r w:rsidRPr="00494174">
        <w:t xml:space="preserve">is driving the difference in </w:t>
      </w:r>
      <w:r>
        <w:t>QALY.</w:t>
      </w:r>
    </w:p>
    <w:p w14:paraId="19D4A6B4" w14:textId="0E0C15FE" w:rsidR="00FD0F2A" w:rsidRDefault="008B5B67" w:rsidP="00FD0F2A">
      <w:pPr>
        <w:rPr>
          <w:rFonts w:ascii="Arial Narrow" w:eastAsia="Times New Roman" w:hAnsi="Arial Narrow" w:cs="Times New Roman"/>
          <w:b/>
          <w:bCs/>
          <w:sz w:val="20"/>
          <w:szCs w:val="20"/>
        </w:rPr>
      </w:pPr>
      <w:r w:rsidRPr="00174C60">
        <w:t xml:space="preserve">The results of </w:t>
      </w:r>
      <w:r w:rsidR="00174C60">
        <w:t xml:space="preserve">key </w:t>
      </w:r>
      <w:r w:rsidR="00174C60" w:rsidRPr="00174C60">
        <w:rPr>
          <w:rStyle w:val="InstructionaltextChar"/>
          <w:color w:val="auto"/>
        </w:rPr>
        <w:t xml:space="preserve">univariate </w:t>
      </w:r>
      <w:r w:rsidRPr="00174C60">
        <w:t xml:space="preserve">sensitivity analyses </w:t>
      </w:r>
      <w:r w:rsidR="00174C60" w:rsidRPr="00174C60">
        <w:t>provided in the ADAR</w:t>
      </w:r>
      <w:r w:rsidR="00174C60">
        <w:t xml:space="preserve"> </w:t>
      </w:r>
      <w:r w:rsidRPr="00174C60">
        <w:t xml:space="preserve">are summarised </w:t>
      </w:r>
      <w:r w:rsidR="005F4333">
        <w:t xml:space="preserve">in Table </w:t>
      </w:r>
      <w:r w:rsidR="00EB6499">
        <w:t xml:space="preserve">15 </w:t>
      </w:r>
      <w:r w:rsidR="002B15C1" w:rsidRPr="00996E36">
        <w:t xml:space="preserve">(italics denote the additional sensitivity analysis performed </w:t>
      </w:r>
      <w:r w:rsidR="00EB6499" w:rsidRPr="00996E36">
        <w:t>during the evaluation</w:t>
      </w:r>
      <w:r w:rsidR="0019006E">
        <w:t>)</w:t>
      </w:r>
      <w:r w:rsidR="00BB66BC">
        <w:t>.</w:t>
      </w:r>
      <w:bookmarkStart w:id="52" w:name="_Ref69726347"/>
      <w:r w:rsidR="00FD0F2A">
        <w:br w:type="page"/>
      </w:r>
    </w:p>
    <w:p w14:paraId="2C785A4C" w14:textId="6497423A" w:rsidR="008B5B67" w:rsidRPr="00CE28E3" w:rsidRDefault="008B5B67" w:rsidP="00135FC9">
      <w:pPr>
        <w:pStyle w:val="Caption"/>
      </w:pPr>
      <w:r w:rsidRPr="00CE28E3">
        <w:lastRenderedPageBreak/>
        <w:t>Table</w:t>
      </w:r>
      <w:r w:rsidR="003571C2">
        <w:t> </w:t>
      </w:r>
      <w:r w:rsidR="00340D39">
        <w:fldChar w:fldCharType="begin"/>
      </w:r>
      <w:r w:rsidR="00340D39">
        <w:instrText xml:space="preserve"> SEQ Table \* ARABIC </w:instrText>
      </w:r>
      <w:r w:rsidR="00340D39">
        <w:fldChar w:fldCharType="separate"/>
      </w:r>
      <w:r w:rsidR="009A5224">
        <w:rPr>
          <w:noProof/>
        </w:rPr>
        <w:t>15</w:t>
      </w:r>
      <w:r w:rsidR="00340D39">
        <w:rPr>
          <w:noProof/>
        </w:rPr>
        <w:fldChar w:fldCharType="end"/>
      </w:r>
      <w:bookmarkEnd w:id="52"/>
      <w:r w:rsidR="0066128C">
        <w:rPr>
          <w:noProof/>
        </w:rPr>
        <w:t xml:space="preserve">: </w:t>
      </w:r>
      <w:r w:rsidRPr="00CE28E3">
        <w:t>Sensitivity analyses</w:t>
      </w:r>
    </w:p>
    <w:tbl>
      <w:tblPr>
        <w:tblStyle w:val="MSAC"/>
        <w:tblW w:w="5000" w:type="pct"/>
        <w:tblLayout w:type="fixed"/>
        <w:tblLook w:val="04A0" w:firstRow="1" w:lastRow="0" w:firstColumn="1" w:lastColumn="0" w:noHBand="0" w:noVBand="1"/>
      </w:tblPr>
      <w:tblGrid>
        <w:gridCol w:w="4676"/>
        <w:gridCol w:w="1556"/>
        <w:gridCol w:w="1560"/>
        <w:gridCol w:w="1224"/>
      </w:tblGrid>
      <w:tr w:rsidR="008B5B67" w:rsidRPr="00CE28E3" w14:paraId="69171B90" w14:textId="77777777" w:rsidTr="005F4333">
        <w:trPr>
          <w:cnfStyle w:val="100000000000" w:firstRow="1" w:lastRow="0" w:firstColumn="0" w:lastColumn="0" w:oddVBand="0" w:evenVBand="0" w:oddHBand="0" w:evenHBand="0" w:firstRowFirstColumn="0" w:firstRowLastColumn="0" w:lastRowFirstColumn="0" w:lastRowLastColumn="0"/>
          <w:cantSplit/>
          <w:trHeight w:val="420"/>
        </w:trPr>
        <w:tc>
          <w:tcPr>
            <w:tcW w:w="2593" w:type="pct"/>
          </w:tcPr>
          <w:p w14:paraId="202CD84C" w14:textId="77777777" w:rsidR="008B5B67" w:rsidRPr="000C6399" w:rsidRDefault="008B5B67" w:rsidP="000C6399">
            <w:pPr>
              <w:pStyle w:val="TableText"/>
              <w:rPr>
                <w:b w:val="0"/>
                <w:bCs/>
              </w:rPr>
            </w:pPr>
            <w:bookmarkStart w:id="53" w:name="Title_Table11" w:colFirst="0" w:colLast="0"/>
            <w:bookmarkStart w:id="54" w:name="_Hlk68276702"/>
            <w:r w:rsidRPr="000C6399">
              <w:rPr>
                <w:bCs/>
              </w:rPr>
              <w:t>Analyses</w:t>
            </w:r>
          </w:p>
        </w:tc>
        <w:tc>
          <w:tcPr>
            <w:tcW w:w="863" w:type="pct"/>
          </w:tcPr>
          <w:p w14:paraId="7372A868" w14:textId="77777777" w:rsidR="008B5B67" w:rsidRPr="000C6399" w:rsidRDefault="008B5B67" w:rsidP="000C6399">
            <w:pPr>
              <w:pStyle w:val="TableText"/>
              <w:jc w:val="center"/>
              <w:rPr>
                <w:b w:val="0"/>
                <w:bCs/>
              </w:rPr>
            </w:pPr>
            <w:r w:rsidRPr="000C6399">
              <w:rPr>
                <w:bCs/>
              </w:rPr>
              <w:t>Incremental cost</w:t>
            </w:r>
          </w:p>
        </w:tc>
        <w:tc>
          <w:tcPr>
            <w:tcW w:w="865" w:type="pct"/>
          </w:tcPr>
          <w:p w14:paraId="10B3A4F5" w14:textId="77777777" w:rsidR="008B5B67" w:rsidRPr="000C6399" w:rsidRDefault="008B5B67" w:rsidP="000C6399">
            <w:pPr>
              <w:pStyle w:val="TableText"/>
              <w:jc w:val="center"/>
              <w:rPr>
                <w:b w:val="0"/>
                <w:bCs/>
              </w:rPr>
            </w:pPr>
            <w:r w:rsidRPr="000C6399">
              <w:rPr>
                <w:bCs/>
              </w:rPr>
              <w:t>Incremental QALY</w:t>
            </w:r>
          </w:p>
        </w:tc>
        <w:tc>
          <w:tcPr>
            <w:tcW w:w="679" w:type="pct"/>
          </w:tcPr>
          <w:p w14:paraId="56CBF231" w14:textId="77777777" w:rsidR="008B5B67" w:rsidRPr="000C6399" w:rsidRDefault="008B5B67" w:rsidP="000C6399">
            <w:pPr>
              <w:pStyle w:val="TableText"/>
              <w:jc w:val="center"/>
              <w:rPr>
                <w:b w:val="0"/>
                <w:bCs/>
              </w:rPr>
            </w:pPr>
            <w:r w:rsidRPr="000C6399">
              <w:rPr>
                <w:bCs/>
              </w:rPr>
              <w:t>ICER</w:t>
            </w:r>
          </w:p>
        </w:tc>
      </w:tr>
      <w:bookmarkEnd w:id="53"/>
      <w:bookmarkEnd w:id="54"/>
      <w:tr w:rsidR="0068799E" w:rsidRPr="00CE28E3" w14:paraId="451EB8ED" w14:textId="77777777" w:rsidTr="005F4333">
        <w:trPr>
          <w:cantSplit/>
        </w:trPr>
        <w:tc>
          <w:tcPr>
            <w:tcW w:w="2593" w:type="pct"/>
          </w:tcPr>
          <w:p w14:paraId="36895461" w14:textId="77777777" w:rsidR="0068799E" w:rsidRPr="00CE28E3" w:rsidRDefault="0068799E" w:rsidP="000C6399">
            <w:pPr>
              <w:pStyle w:val="TableText"/>
            </w:pPr>
            <w:r w:rsidRPr="00CE28E3">
              <w:t>Base case</w:t>
            </w:r>
          </w:p>
        </w:tc>
        <w:tc>
          <w:tcPr>
            <w:tcW w:w="863" w:type="pct"/>
          </w:tcPr>
          <w:p w14:paraId="4D76EAC0" w14:textId="03261D76" w:rsidR="0068799E" w:rsidRPr="000C6399" w:rsidRDefault="0068799E" w:rsidP="0066128C">
            <w:pPr>
              <w:pStyle w:val="TableText"/>
              <w:jc w:val="center"/>
            </w:pPr>
            <w:r w:rsidRPr="000C6399">
              <w:t>$</w:t>
            </w:r>
            <w:r w:rsidR="00292AF6" w:rsidRPr="00B73D4C">
              <w:rPr>
                <w:b/>
                <w:bCs/>
              </w:rPr>
              <w:t xml:space="preserve"> redacted</w:t>
            </w:r>
          </w:p>
        </w:tc>
        <w:tc>
          <w:tcPr>
            <w:tcW w:w="865" w:type="pct"/>
          </w:tcPr>
          <w:p w14:paraId="66189599" w14:textId="7CB20C1A" w:rsidR="0068799E" w:rsidRPr="00CE28E3" w:rsidRDefault="0068799E" w:rsidP="0066128C">
            <w:pPr>
              <w:pStyle w:val="TableText"/>
              <w:jc w:val="center"/>
            </w:pPr>
            <w:r w:rsidRPr="000C6399">
              <w:t>0.16</w:t>
            </w:r>
          </w:p>
        </w:tc>
        <w:tc>
          <w:tcPr>
            <w:tcW w:w="679" w:type="pct"/>
          </w:tcPr>
          <w:p w14:paraId="58300438" w14:textId="6844E340" w:rsidR="0068799E" w:rsidRPr="000C6399" w:rsidRDefault="0068799E" w:rsidP="0066128C">
            <w:pPr>
              <w:pStyle w:val="TableText"/>
              <w:jc w:val="center"/>
            </w:pPr>
            <w:r w:rsidRPr="000C6399">
              <w:t>$</w:t>
            </w:r>
            <w:r w:rsidR="00BD5DCE" w:rsidRPr="00B73D4C">
              <w:rPr>
                <w:b/>
                <w:bCs/>
              </w:rPr>
              <w:t xml:space="preserve"> redacted</w:t>
            </w:r>
          </w:p>
        </w:tc>
      </w:tr>
      <w:tr w:rsidR="000C6399" w:rsidRPr="00CE28E3" w14:paraId="002B96BB" w14:textId="77777777" w:rsidTr="000C6399">
        <w:trPr>
          <w:cantSplit/>
          <w:trHeight w:val="283"/>
        </w:trPr>
        <w:tc>
          <w:tcPr>
            <w:tcW w:w="5000" w:type="pct"/>
            <w:gridSpan w:val="4"/>
          </w:tcPr>
          <w:p w14:paraId="09A453B2" w14:textId="565A841A" w:rsidR="000C6399" w:rsidRPr="000C6399" w:rsidRDefault="000C6399" w:rsidP="000C6399">
            <w:pPr>
              <w:pStyle w:val="TableText"/>
            </w:pPr>
            <w:r w:rsidRPr="000C6399">
              <w:t>Discount rate (base case 5%)</w:t>
            </w:r>
          </w:p>
        </w:tc>
      </w:tr>
      <w:tr w:rsidR="0068799E" w:rsidRPr="00CE28E3" w14:paraId="27620E87" w14:textId="77777777" w:rsidTr="005F4333">
        <w:trPr>
          <w:cantSplit/>
          <w:trHeight w:val="283"/>
        </w:trPr>
        <w:tc>
          <w:tcPr>
            <w:tcW w:w="2593" w:type="pct"/>
          </w:tcPr>
          <w:p w14:paraId="0C84D61D" w14:textId="10D3C6F4" w:rsidR="0068799E" w:rsidRDefault="0068799E" w:rsidP="000C6399">
            <w:pPr>
              <w:pStyle w:val="TableText"/>
            </w:pPr>
            <w:r w:rsidRPr="000C6399">
              <w:t>Discount rate 0%</w:t>
            </w:r>
          </w:p>
        </w:tc>
        <w:tc>
          <w:tcPr>
            <w:tcW w:w="863" w:type="pct"/>
          </w:tcPr>
          <w:p w14:paraId="5F16BB8C" w14:textId="35CEEE9C" w:rsidR="0068799E" w:rsidRPr="000C6399" w:rsidRDefault="0068799E" w:rsidP="0066128C">
            <w:pPr>
              <w:pStyle w:val="TableText"/>
              <w:jc w:val="center"/>
            </w:pPr>
            <w:r w:rsidRPr="000C6399">
              <w:t>$</w:t>
            </w:r>
            <w:r w:rsidR="00292AF6" w:rsidRPr="00B73D4C">
              <w:rPr>
                <w:b/>
                <w:bCs/>
              </w:rPr>
              <w:t xml:space="preserve"> redacted</w:t>
            </w:r>
          </w:p>
        </w:tc>
        <w:tc>
          <w:tcPr>
            <w:tcW w:w="865" w:type="pct"/>
          </w:tcPr>
          <w:p w14:paraId="0625DFBA" w14:textId="17FEBDFE" w:rsidR="0068799E" w:rsidRPr="000C6399" w:rsidRDefault="0068799E" w:rsidP="0066128C">
            <w:pPr>
              <w:pStyle w:val="TableText"/>
              <w:jc w:val="center"/>
            </w:pPr>
            <w:r w:rsidRPr="000C6399">
              <w:t>0.20</w:t>
            </w:r>
          </w:p>
        </w:tc>
        <w:tc>
          <w:tcPr>
            <w:tcW w:w="679" w:type="pct"/>
          </w:tcPr>
          <w:p w14:paraId="76048B54" w14:textId="5EA4B7C7" w:rsidR="0068799E" w:rsidRPr="000C6399" w:rsidRDefault="0068799E" w:rsidP="0066128C">
            <w:pPr>
              <w:pStyle w:val="TableText"/>
              <w:jc w:val="center"/>
            </w:pPr>
            <w:r w:rsidRPr="000C6399">
              <w:t>$</w:t>
            </w:r>
            <w:r w:rsidR="00BD5DCE" w:rsidRPr="00B73D4C">
              <w:rPr>
                <w:b/>
                <w:bCs/>
              </w:rPr>
              <w:t xml:space="preserve"> redacted</w:t>
            </w:r>
          </w:p>
        </w:tc>
      </w:tr>
      <w:tr w:rsidR="0068799E" w:rsidRPr="00CE28E3" w14:paraId="06A2B727" w14:textId="77777777" w:rsidTr="005F4333">
        <w:trPr>
          <w:cantSplit/>
          <w:trHeight w:val="283"/>
        </w:trPr>
        <w:tc>
          <w:tcPr>
            <w:tcW w:w="2593" w:type="pct"/>
          </w:tcPr>
          <w:p w14:paraId="76080781" w14:textId="7284E2FF" w:rsidR="0068799E" w:rsidRDefault="0068799E" w:rsidP="000C6399">
            <w:pPr>
              <w:pStyle w:val="TableText"/>
            </w:pPr>
            <w:r w:rsidRPr="000C6399">
              <w:t>Discount rate 3.5%</w:t>
            </w:r>
          </w:p>
        </w:tc>
        <w:tc>
          <w:tcPr>
            <w:tcW w:w="863" w:type="pct"/>
          </w:tcPr>
          <w:p w14:paraId="2D14E384" w14:textId="702B36B7" w:rsidR="0068799E" w:rsidRPr="000C6399" w:rsidRDefault="0068799E" w:rsidP="0066128C">
            <w:pPr>
              <w:pStyle w:val="TableText"/>
              <w:jc w:val="center"/>
            </w:pPr>
            <w:r w:rsidRPr="000C6399">
              <w:t>$</w:t>
            </w:r>
            <w:r w:rsidR="00292AF6" w:rsidRPr="00B73D4C">
              <w:rPr>
                <w:b/>
                <w:bCs/>
              </w:rPr>
              <w:t xml:space="preserve"> redacted</w:t>
            </w:r>
            <w:r w:rsidR="00292AF6" w:rsidRPr="000C6399" w:rsidDel="00292AF6">
              <w:t xml:space="preserve"> </w:t>
            </w:r>
          </w:p>
        </w:tc>
        <w:tc>
          <w:tcPr>
            <w:tcW w:w="865" w:type="pct"/>
          </w:tcPr>
          <w:p w14:paraId="1568F7FA" w14:textId="3638251A" w:rsidR="0068799E" w:rsidRPr="000C6399" w:rsidRDefault="0068799E" w:rsidP="0066128C">
            <w:pPr>
              <w:pStyle w:val="TableText"/>
              <w:jc w:val="center"/>
            </w:pPr>
            <w:r w:rsidRPr="000C6399">
              <w:t>0.17</w:t>
            </w:r>
          </w:p>
        </w:tc>
        <w:tc>
          <w:tcPr>
            <w:tcW w:w="679" w:type="pct"/>
          </w:tcPr>
          <w:p w14:paraId="76FDEE0F" w14:textId="44DEFA20" w:rsidR="0068799E" w:rsidRPr="000C6399" w:rsidRDefault="0068799E" w:rsidP="0066128C">
            <w:pPr>
              <w:pStyle w:val="TableText"/>
              <w:jc w:val="center"/>
            </w:pPr>
            <w:r w:rsidRPr="000C6399">
              <w:t>$</w:t>
            </w:r>
            <w:r w:rsidR="00BD5DCE" w:rsidRPr="00B73D4C">
              <w:rPr>
                <w:b/>
                <w:bCs/>
              </w:rPr>
              <w:t xml:space="preserve"> redacted</w:t>
            </w:r>
          </w:p>
        </w:tc>
      </w:tr>
      <w:tr w:rsidR="000C6399" w:rsidRPr="00CE28E3" w14:paraId="6F9E3581" w14:textId="77777777" w:rsidTr="000C6399">
        <w:trPr>
          <w:cantSplit/>
          <w:trHeight w:val="283"/>
        </w:trPr>
        <w:tc>
          <w:tcPr>
            <w:tcW w:w="5000" w:type="pct"/>
            <w:gridSpan w:val="4"/>
          </w:tcPr>
          <w:p w14:paraId="25F2D33B" w14:textId="311B99E3" w:rsidR="000C6399" w:rsidRPr="000C6399" w:rsidRDefault="000C6399" w:rsidP="000C6399">
            <w:pPr>
              <w:pStyle w:val="TableText"/>
            </w:pPr>
            <w:r w:rsidRPr="006212CB">
              <w:t>Time horizon (base case 30 years)</w:t>
            </w:r>
          </w:p>
        </w:tc>
      </w:tr>
      <w:tr w:rsidR="0068799E" w:rsidRPr="00CE28E3" w14:paraId="30D99550" w14:textId="77777777" w:rsidTr="005F4333">
        <w:trPr>
          <w:cantSplit/>
          <w:trHeight w:val="283"/>
        </w:trPr>
        <w:tc>
          <w:tcPr>
            <w:tcW w:w="2593" w:type="pct"/>
          </w:tcPr>
          <w:p w14:paraId="45700029" w14:textId="0CCAB3BF" w:rsidR="0068799E" w:rsidRDefault="0068799E" w:rsidP="000C6399">
            <w:pPr>
              <w:pStyle w:val="TableText"/>
            </w:pPr>
            <w:r w:rsidRPr="000C6399">
              <w:t>Time horizon 20 years</w:t>
            </w:r>
          </w:p>
        </w:tc>
        <w:tc>
          <w:tcPr>
            <w:tcW w:w="863" w:type="pct"/>
          </w:tcPr>
          <w:p w14:paraId="74C2F2E4" w14:textId="392E69FA" w:rsidR="0068799E" w:rsidRPr="000C6399" w:rsidRDefault="0068799E" w:rsidP="0066128C">
            <w:pPr>
              <w:pStyle w:val="TableText"/>
              <w:jc w:val="center"/>
            </w:pPr>
            <w:r w:rsidRPr="000C6399">
              <w:t>$</w:t>
            </w:r>
            <w:r w:rsidR="00292AF6" w:rsidRPr="00B73D4C">
              <w:rPr>
                <w:b/>
                <w:bCs/>
              </w:rPr>
              <w:t xml:space="preserve"> redacted</w:t>
            </w:r>
          </w:p>
        </w:tc>
        <w:tc>
          <w:tcPr>
            <w:tcW w:w="865" w:type="pct"/>
          </w:tcPr>
          <w:p w14:paraId="75ED1866" w14:textId="5B427297" w:rsidR="0068799E" w:rsidRPr="000C6399" w:rsidRDefault="0068799E" w:rsidP="0066128C">
            <w:pPr>
              <w:pStyle w:val="TableText"/>
              <w:jc w:val="center"/>
            </w:pPr>
            <w:r w:rsidRPr="000C6399">
              <w:t>0.16</w:t>
            </w:r>
          </w:p>
        </w:tc>
        <w:tc>
          <w:tcPr>
            <w:tcW w:w="679" w:type="pct"/>
          </w:tcPr>
          <w:p w14:paraId="23CDFFC3" w14:textId="44A4792E" w:rsidR="0068799E" w:rsidRPr="000C6399" w:rsidRDefault="0068799E" w:rsidP="0066128C">
            <w:pPr>
              <w:pStyle w:val="TableText"/>
              <w:jc w:val="center"/>
            </w:pPr>
            <w:r w:rsidRPr="000C6399">
              <w:t>$</w:t>
            </w:r>
            <w:r w:rsidR="00BD5DCE" w:rsidRPr="00B73D4C">
              <w:rPr>
                <w:b/>
                <w:bCs/>
              </w:rPr>
              <w:t xml:space="preserve"> redacted</w:t>
            </w:r>
          </w:p>
        </w:tc>
      </w:tr>
      <w:tr w:rsidR="000C6399" w:rsidRPr="00CE28E3" w14:paraId="49DA3228" w14:textId="77777777" w:rsidTr="000C6399">
        <w:trPr>
          <w:cantSplit/>
          <w:trHeight w:val="283"/>
        </w:trPr>
        <w:tc>
          <w:tcPr>
            <w:tcW w:w="5000" w:type="pct"/>
            <w:gridSpan w:val="4"/>
          </w:tcPr>
          <w:p w14:paraId="25A86FEA" w14:textId="69E2EAE0" w:rsidR="000C6399" w:rsidRPr="000C6399" w:rsidRDefault="000C6399" w:rsidP="000C6399">
            <w:pPr>
              <w:pStyle w:val="TableText"/>
            </w:pPr>
            <w:r w:rsidRPr="000C6399">
              <w:t>Rate of stenting in SBA arm (base case 45%)</w:t>
            </w:r>
          </w:p>
        </w:tc>
      </w:tr>
      <w:tr w:rsidR="0068799E" w:rsidRPr="00CE28E3" w14:paraId="46342457" w14:textId="77777777" w:rsidTr="005F4333">
        <w:trPr>
          <w:cantSplit/>
          <w:trHeight w:val="283"/>
        </w:trPr>
        <w:tc>
          <w:tcPr>
            <w:tcW w:w="2593" w:type="pct"/>
          </w:tcPr>
          <w:p w14:paraId="6E529CA1" w14:textId="02B521B7" w:rsidR="0068799E" w:rsidRDefault="0068799E" w:rsidP="000C6399">
            <w:pPr>
              <w:pStyle w:val="TableText"/>
            </w:pPr>
            <w:r w:rsidRPr="000C6399">
              <w:t>Rate of stenting in SBA arm +10%</w:t>
            </w:r>
          </w:p>
        </w:tc>
        <w:tc>
          <w:tcPr>
            <w:tcW w:w="863" w:type="pct"/>
          </w:tcPr>
          <w:p w14:paraId="724FBDB4" w14:textId="74C9BFFC" w:rsidR="0068799E" w:rsidRPr="000C6399" w:rsidRDefault="0068799E" w:rsidP="0066128C">
            <w:pPr>
              <w:pStyle w:val="TableText"/>
              <w:jc w:val="center"/>
            </w:pPr>
            <w:r w:rsidRPr="000C6399">
              <w:t>$</w:t>
            </w:r>
            <w:r w:rsidR="00292AF6" w:rsidRPr="00B73D4C">
              <w:rPr>
                <w:b/>
                <w:bCs/>
              </w:rPr>
              <w:t xml:space="preserve"> redacted</w:t>
            </w:r>
          </w:p>
        </w:tc>
        <w:tc>
          <w:tcPr>
            <w:tcW w:w="865" w:type="pct"/>
          </w:tcPr>
          <w:p w14:paraId="782D8DE9" w14:textId="63A28F51" w:rsidR="0068799E" w:rsidRPr="000C6399" w:rsidRDefault="0068799E" w:rsidP="0066128C">
            <w:pPr>
              <w:pStyle w:val="TableText"/>
              <w:jc w:val="center"/>
            </w:pPr>
            <w:r w:rsidRPr="000C6399">
              <w:t>0.19</w:t>
            </w:r>
          </w:p>
        </w:tc>
        <w:tc>
          <w:tcPr>
            <w:tcW w:w="679" w:type="pct"/>
          </w:tcPr>
          <w:p w14:paraId="06AA16AA" w14:textId="7AD7246C" w:rsidR="0068799E" w:rsidRPr="000C6399" w:rsidRDefault="0068799E" w:rsidP="0066128C">
            <w:pPr>
              <w:pStyle w:val="TableText"/>
              <w:jc w:val="center"/>
            </w:pPr>
            <w:r w:rsidRPr="000C6399">
              <w:t>$</w:t>
            </w:r>
            <w:r w:rsidR="00BD5DCE" w:rsidRPr="00B73D4C">
              <w:rPr>
                <w:b/>
                <w:bCs/>
              </w:rPr>
              <w:t xml:space="preserve"> redacted</w:t>
            </w:r>
          </w:p>
        </w:tc>
      </w:tr>
      <w:tr w:rsidR="0068799E" w:rsidRPr="00CE28E3" w14:paraId="741841A3" w14:textId="77777777" w:rsidTr="005F4333">
        <w:trPr>
          <w:cantSplit/>
          <w:trHeight w:val="283"/>
        </w:trPr>
        <w:tc>
          <w:tcPr>
            <w:tcW w:w="2593" w:type="pct"/>
          </w:tcPr>
          <w:p w14:paraId="71B39AC0" w14:textId="1C1002C9" w:rsidR="0068799E" w:rsidRDefault="0068799E" w:rsidP="000C6399">
            <w:pPr>
              <w:pStyle w:val="TableText"/>
            </w:pPr>
            <w:r w:rsidRPr="000C6399">
              <w:t>Rate of stenting in SBA arm -10%</w:t>
            </w:r>
          </w:p>
        </w:tc>
        <w:tc>
          <w:tcPr>
            <w:tcW w:w="863" w:type="pct"/>
          </w:tcPr>
          <w:p w14:paraId="1244BBC7" w14:textId="2A9D496F" w:rsidR="0068799E" w:rsidRPr="000C6399" w:rsidRDefault="0068799E" w:rsidP="0066128C">
            <w:pPr>
              <w:pStyle w:val="TableText"/>
              <w:jc w:val="center"/>
            </w:pPr>
            <w:r w:rsidRPr="000C6399">
              <w:t>$</w:t>
            </w:r>
            <w:r w:rsidR="00292AF6" w:rsidRPr="00B73D4C">
              <w:rPr>
                <w:b/>
                <w:bCs/>
              </w:rPr>
              <w:t xml:space="preserve"> redacted</w:t>
            </w:r>
          </w:p>
        </w:tc>
        <w:tc>
          <w:tcPr>
            <w:tcW w:w="865" w:type="pct"/>
          </w:tcPr>
          <w:p w14:paraId="71E476DD" w14:textId="2F8C174A" w:rsidR="0068799E" w:rsidRPr="000C6399" w:rsidRDefault="0068799E" w:rsidP="0066128C">
            <w:pPr>
              <w:pStyle w:val="TableText"/>
              <w:jc w:val="center"/>
            </w:pPr>
            <w:r w:rsidRPr="000C6399">
              <w:t>0.13</w:t>
            </w:r>
          </w:p>
        </w:tc>
        <w:tc>
          <w:tcPr>
            <w:tcW w:w="679" w:type="pct"/>
          </w:tcPr>
          <w:p w14:paraId="64B0F79D" w14:textId="6F16E716" w:rsidR="0068799E" w:rsidRPr="000C6399" w:rsidRDefault="0068799E" w:rsidP="0066128C">
            <w:pPr>
              <w:pStyle w:val="TableText"/>
              <w:jc w:val="center"/>
            </w:pPr>
            <w:r w:rsidRPr="000C6399">
              <w:t>$</w:t>
            </w:r>
            <w:r w:rsidR="00BD5DCE" w:rsidRPr="00B73D4C">
              <w:rPr>
                <w:b/>
                <w:bCs/>
              </w:rPr>
              <w:t xml:space="preserve"> redacted</w:t>
            </w:r>
          </w:p>
        </w:tc>
      </w:tr>
      <w:tr w:rsidR="000C6399" w:rsidRPr="00CE28E3" w14:paraId="10C4A61C" w14:textId="77777777" w:rsidTr="000C6399">
        <w:trPr>
          <w:cantSplit/>
          <w:trHeight w:val="283"/>
        </w:trPr>
        <w:tc>
          <w:tcPr>
            <w:tcW w:w="5000" w:type="pct"/>
            <w:gridSpan w:val="4"/>
          </w:tcPr>
          <w:p w14:paraId="7603F46B" w14:textId="745526BC" w:rsidR="000C6399" w:rsidRPr="000C6399" w:rsidRDefault="000C6399" w:rsidP="000C6399">
            <w:pPr>
              <w:pStyle w:val="TableText"/>
            </w:pPr>
            <w:r w:rsidRPr="000C6399">
              <w:t>RR of stenting in IVL arm (base case 0.25)</w:t>
            </w:r>
          </w:p>
        </w:tc>
      </w:tr>
      <w:tr w:rsidR="0068799E" w:rsidRPr="00CE28E3" w14:paraId="0449A4B1" w14:textId="77777777" w:rsidTr="005F4333">
        <w:trPr>
          <w:cantSplit/>
          <w:trHeight w:val="283"/>
        </w:trPr>
        <w:tc>
          <w:tcPr>
            <w:tcW w:w="2593" w:type="pct"/>
          </w:tcPr>
          <w:p w14:paraId="33E605F4" w14:textId="695D21EE" w:rsidR="0068799E" w:rsidRDefault="0068799E" w:rsidP="000C6399">
            <w:pPr>
              <w:pStyle w:val="TableText"/>
            </w:pPr>
            <w:r w:rsidRPr="000C6399">
              <w:t>RR of stenting in IVL arm +0.1</w:t>
            </w:r>
          </w:p>
        </w:tc>
        <w:tc>
          <w:tcPr>
            <w:tcW w:w="863" w:type="pct"/>
          </w:tcPr>
          <w:p w14:paraId="1A7F3869" w14:textId="5CAC26EF" w:rsidR="0068799E" w:rsidRPr="000C6399" w:rsidRDefault="0068799E" w:rsidP="0066128C">
            <w:pPr>
              <w:pStyle w:val="TableText"/>
              <w:jc w:val="center"/>
            </w:pPr>
            <w:r w:rsidRPr="000C6399">
              <w:t>$</w:t>
            </w:r>
            <w:r w:rsidR="00292AF6" w:rsidRPr="00B73D4C">
              <w:rPr>
                <w:b/>
                <w:bCs/>
              </w:rPr>
              <w:t xml:space="preserve"> redacted</w:t>
            </w:r>
          </w:p>
        </w:tc>
        <w:tc>
          <w:tcPr>
            <w:tcW w:w="865" w:type="pct"/>
          </w:tcPr>
          <w:p w14:paraId="1DA3D4A9" w14:textId="4F5DF880" w:rsidR="0068799E" w:rsidRPr="000C6399" w:rsidRDefault="0068799E" w:rsidP="0066128C">
            <w:pPr>
              <w:pStyle w:val="TableText"/>
              <w:jc w:val="center"/>
            </w:pPr>
            <w:r w:rsidRPr="000C6399">
              <w:t>0.14</w:t>
            </w:r>
          </w:p>
        </w:tc>
        <w:tc>
          <w:tcPr>
            <w:tcW w:w="679" w:type="pct"/>
          </w:tcPr>
          <w:p w14:paraId="312219EF" w14:textId="535E870C" w:rsidR="0068799E" w:rsidRPr="000C6399" w:rsidRDefault="0068799E" w:rsidP="0066128C">
            <w:pPr>
              <w:pStyle w:val="TableText"/>
              <w:jc w:val="center"/>
            </w:pPr>
            <w:r w:rsidRPr="000C6399">
              <w:t>$</w:t>
            </w:r>
            <w:r w:rsidR="00BD5DCE" w:rsidRPr="00B73D4C">
              <w:rPr>
                <w:b/>
                <w:bCs/>
              </w:rPr>
              <w:t xml:space="preserve"> redacted</w:t>
            </w:r>
          </w:p>
        </w:tc>
      </w:tr>
      <w:tr w:rsidR="0068799E" w:rsidRPr="00CE28E3" w14:paraId="1553BFA3" w14:textId="77777777" w:rsidTr="005F4333">
        <w:trPr>
          <w:cantSplit/>
          <w:trHeight w:val="283"/>
        </w:trPr>
        <w:tc>
          <w:tcPr>
            <w:tcW w:w="2593" w:type="pct"/>
          </w:tcPr>
          <w:p w14:paraId="0622D911" w14:textId="6E1D4EAC" w:rsidR="0068799E" w:rsidRDefault="0068799E" w:rsidP="000C6399">
            <w:pPr>
              <w:pStyle w:val="TableText"/>
            </w:pPr>
            <w:r w:rsidRPr="000C6399">
              <w:t>RR of stenting in IVL arm -0.1</w:t>
            </w:r>
          </w:p>
        </w:tc>
        <w:tc>
          <w:tcPr>
            <w:tcW w:w="863" w:type="pct"/>
          </w:tcPr>
          <w:p w14:paraId="01EE13D5" w14:textId="6C6FCA99" w:rsidR="0068799E" w:rsidRPr="000C6399" w:rsidRDefault="0068799E" w:rsidP="0066128C">
            <w:pPr>
              <w:pStyle w:val="TableText"/>
              <w:jc w:val="center"/>
            </w:pPr>
            <w:r w:rsidRPr="000C6399">
              <w:t>$</w:t>
            </w:r>
            <w:r w:rsidR="00292AF6" w:rsidRPr="00B73D4C">
              <w:rPr>
                <w:b/>
                <w:bCs/>
              </w:rPr>
              <w:t xml:space="preserve"> redacted</w:t>
            </w:r>
          </w:p>
        </w:tc>
        <w:tc>
          <w:tcPr>
            <w:tcW w:w="865" w:type="pct"/>
          </w:tcPr>
          <w:p w14:paraId="257B7DC4" w14:textId="03CED6F7" w:rsidR="0068799E" w:rsidRPr="000C6399" w:rsidRDefault="0068799E" w:rsidP="0066128C">
            <w:pPr>
              <w:pStyle w:val="TableText"/>
              <w:jc w:val="center"/>
            </w:pPr>
            <w:r w:rsidRPr="000C6399">
              <w:t>0.18</w:t>
            </w:r>
          </w:p>
        </w:tc>
        <w:tc>
          <w:tcPr>
            <w:tcW w:w="679" w:type="pct"/>
          </w:tcPr>
          <w:p w14:paraId="0D948234" w14:textId="17BC375C" w:rsidR="0068799E" w:rsidRPr="000C6399" w:rsidRDefault="0068799E" w:rsidP="0066128C">
            <w:pPr>
              <w:pStyle w:val="TableText"/>
              <w:jc w:val="center"/>
            </w:pPr>
            <w:r w:rsidRPr="000C6399">
              <w:t>$</w:t>
            </w:r>
            <w:r w:rsidR="00BD5DCE" w:rsidRPr="00B73D4C">
              <w:rPr>
                <w:b/>
                <w:bCs/>
              </w:rPr>
              <w:t xml:space="preserve"> redacted</w:t>
            </w:r>
          </w:p>
        </w:tc>
      </w:tr>
      <w:tr w:rsidR="000C6399" w:rsidRPr="00CE28E3" w14:paraId="2197C48C" w14:textId="77777777" w:rsidTr="000C6399">
        <w:trPr>
          <w:cantSplit/>
          <w:trHeight w:val="283"/>
        </w:trPr>
        <w:tc>
          <w:tcPr>
            <w:tcW w:w="5000" w:type="pct"/>
            <w:gridSpan w:val="4"/>
          </w:tcPr>
          <w:p w14:paraId="31F510F1" w14:textId="36A6DA30" w:rsidR="000C6399" w:rsidRPr="000C6399" w:rsidRDefault="000C6399" w:rsidP="000C6399">
            <w:pPr>
              <w:pStyle w:val="TableText"/>
            </w:pPr>
            <w:r w:rsidRPr="000C6399">
              <w:t>RR of progression to CLI (base case 0.9)</w:t>
            </w:r>
          </w:p>
        </w:tc>
      </w:tr>
      <w:tr w:rsidR="0068799E" w:rsidRPr="00CE28E3" w14:paraId="6F822367" w14:textId="77777777" w:rsidTr="005F4333">
        <w:trPr>
          <w:cantSplit/>
          <w:trHeight w:val="283"/>
        </w:trPr>
        <w:tc>
          <w:tcPr>
            <w:tcW w:w="2593" w:type="pct"/>
          </w:tcPr>
          <w:p w14:paraId="292FF503" w14:textId="3650DF58" w:rsidR="0068799E" w:rsidRDefault="0068799E" w:rsidP="000C6399">
            <w:pPr>
              <w:pStyle w:val="TableText"/>
            </w:pPr>
            <w:r w:rsidRPr="000C6399">
              <w:t>RR progression to CLI of 1.0</w:t>
            </w:r>
          </w:p>
        </w:tc>
        <w:tc>
          <w:tcPr>
            <w:tcW w:w="863" w:type="pct"/>
          </w:tcPr>
          <w:p w14:paraId="2FD73714" w14:textId="2AA48DEE" w:rsidR="0068799E" w:rsidRPr="000C6399" w:rsidRDefault="0068799E" w:rsidP="0066128C">
            <w:pPr>
              <w:pStyle w:val="TableText"/>
              <w:jc w:val="center"/>
            </w:pPr>
            <w:r w:rsidRPr="000C6399">
              <w:t>$</w:t>
            </w:r>
            <w:r w:rsidR="00292AF6" w:rsidRPr="00B73D4C">
              <w:rPr>
                <w:b/>
                <w:bCs/>
              </w:rPr>
              <w:t xml:space="preserve"> redacted</w:t>
            </w:r>
          </w:p>
        </w:tc>
        <w:tc>
          <w:tcPr>
            <w:tcW w:w="865" w:type="pct"/>
          </w:tcPr>
          <w:p w14:paraId="6E68BC93" w14:textId="0ABA82A7" w:rsidR="0068799E" w:rsidRPr="000C6399" w:rsidRDefault="0068799E" w:rsidP="0066128C">
            <w:pPr>
              <w:pStyle w:val="TableText"/>
              <w:jc w:val="center"/>
            </w:pPr>
            <w:r w:rsidRPr="000C6399">
              <w:t>0.15</w:t>
            </w:r>
          </w:p>
        </w:tc>
        <w:tc>
          <w:tcPr>
            <w:tcW w:w="679" w:type="pct"/>
          </w:tcPr>
          <w:p w14:paraId="43174A17" w14:textId="05E59E35" w:rsidR="0068799E" w:rsidRPr="000C6399" w:rsidRDefault="0068799E" w:rsidP="0066128C">
            <w:pPr>
              <w:pStyle w:val="TableText"/>
              <w:jc w:val="center"/>
            </w:pPr>
            <w:r w:rsidRPr="000C6399">
              <w:t>$</w:t>
            </w:r>
            <w:r w:rsidR="00BD5DCE" w:rsidRPr="00B73D4C">
              <w:rPr>
                <w:b/>
                <w:bCs/>
              </w:rPr>
              <w:t xml:space="preserve"> redacted</w:t>
            </w:r>
          </w:p>
        </w:tc>
      </w:tr>
      <w:tr w:rsidR="0068799E" w:rsidRPr="00CE28E3" w14:paraId="25923622" w14:textId="77777777" w:rsidTr="005F4333">
        <w:trPr>
          <w:cantSplit/>
          <w:trHeight w:val="283"/>
        </w:trPr>
        <w:tc>
          <w:tcPr>
            <w:tcW w:w="2593" w:type="pct"/>
          </w:tcPr>
          <w:p w14:paraId="6CA8A9E8" w14:textId="2E56FAE8" w:rsidR="0068799E" w:rsidRDefault="0068799E" w:rsidP="000C6399">
            <w:pPr>
              <w:pStyle w:val="TableText"/>
            </w:pPr>
            <w:r w:rsidRPr="000C6399">
              <w:t>RR progression to CLI of 0.8</w:t>
            </w:r>
          </w:p>
        </w:tc>
        <w:tc>
          <w:tcPr>
            <w:tcW w:w="863" w:type="pct"/>
          </w:tcPr>
          <w:p w14:paraId="1D8B29F0" w14:textId="54F31A50" w:rsidR="0068799E" w:rsidRPr="000C6399" w:rsidRDefault="0068799E" w:rsidP="0066128C">
            <w:pPr>
              <w:pStyle w:val="TableText"/>
              <w:jc w:val="center"/>
            </w:pPr>
            <w:r w:rsidRPr="000C6399">
              <w:t>$</w:t>
            </w:r>
            <w:r w:rsidR="00292AF6" w:rsidRPr="00B73D4C">
              <w:rPr>
                <w:b/>
                <w:bCs/>
              </w:rPr>
              <w:t xml:space="preserve"> redacted</w:t>
            </w:r>
          </w:p>
        </w:tc>
        <w:tc>
          <w:tcPr>
            <w:tcW w:w="865" w:type="pct"/>
          </w:tcPr>
          <w:p w14:paraId="7ED48B04" w14:textId="2AB6F20F" w:rsidR="0068799E" w:rsidRPr="000C6399" w:rsidRDefault="0068799E" w:rsidP="0066128C">
            <w:pPr>
              <w:pStyle w:val="TableText"/>
              <w:jc w:val="center"/>
            </w:pPr>
            <w:r w:rsidRPr="000C6399">
              <w:t>0.18</w:t>
            </w:r>
          </w:p>
        </w:tc>
        <w:tc>
          <w:tcPr>
            <w:tcW w:w="679" w:type="pct"/>
          </w:tcPr>
          <w:p w14:paraId="3AE60673" w14:textId="0D455EB6" w:rsidR="0068799E" w:rsidRPr="000C6399" w:rsidRDefault="0068799E" w:rsidP="0066128C">
            <w:pPr>
              <w:pStyle w:val="TableText"/>
              <w:jc w:val="center"/>
            </w:pPr>
            <w:r w:rsidRPr="000C6399">
              <w:t>$</w:t>
            </w:r>
            <w:r w:rsidR="00BD5DCE" w:rsidRPr="00B73D4C">
              <w:rPr>
                <w:b/>
                <w:bCs/>
              </w:rPr>
              <w:t xml:space="preserve"> redacted</w:t>
            </w:r>
          </w:p>
        </w:tc>
      </w:tr>
      <w:tr w:rsidR="000C6399" w:rsidRPr="00CE28E3" w14:paraId="5F853E7D" w14:textId="77777777" w:rsidTr="000C6399">
        <w:trPr>
          <w:cantSplit/>
          <w:trHeight w:val="283"/>
        </w:trPr>
        <w:tc>
          <w:tcPr>
            <w:tcW w:w="5000" w:type="pct"/>
            <w:gridSpan w:val="4"/>
          </w:tcPr>
          <w:p w14:paraId="7454426D" w14:textId="58DCB41E" w:rsidR="000C6399" w:rsidRPr="000C6399" w:rsidRDefault="000C6399" w:rsidP="000C6399">
            <w:pPr>
              <w:pStyle w:val="TableText"/>
            </w:pPr>
            <w:r w:rsidRPr="000C6399">
              <w:t>Loss of patency utility (base case 0.74 based on baseline trial data)</w:t>
            </w:r>
          </w:p>
        </w:tc>
      </w:tr>
      <w:tr w:rsidR="0068799E" w:rsidRPr="00CE28E3" w14:paraId="1BF2212D" w14:textId="77777777" w:rsidTr="005F4333">
        <w:trPr>
          <w:cantSplit/>
          <w:trHeight w:val="283"/>
        </w:trPr>
        <w:tc>
          <w:tcPr>
            <w:tcW w:w="2593" w:type="pct"/>
          </w:tcPr>
          <w:p w14:paraId="50A61C08" w14:textId="47EE939F" w:rsidR="0068799E" w:rsidRDefault="0068799E" w:rsidP="000C6399">
            <w:pPr>
              <w:pStyle w:val="TableText"/>
            </w:pPr>
            <w:r w:rsidRPr="000C6399">
              <w:t>Loss patency utility 0.70</w:t>
            </w:r>
          </w:p>
        </w:tc>
        <w:tc>
          <w:tcPr>
            <w:tcW w:w="863" w:type="pct"/>
          </w:tcPr>
          <w:p w14:paraId="0F8E3F58" w14:textId="394F11F5" w:rsidR="0068799E" w:rsidRPr="000C6399" w:rsidRDefault="0068799E" w:rsidP="0066128C">
            <w:pPr>
              <w:pStyle w:val="TableText"/>
              <w:jc w:val="center"/>
            </w:pPr>
            <w:r w:rsidRPr="000C6399">
              <w:t>$</w:t>
            </w:r>
            <w:r w:rsidR="00292AF6" w:rsidRPr="00B73D4C">
              <w:rPr>
                <w:b/>
                <w:bCs/>
              </w:rPr>
              <w:t xml:space="preserve"> redacted</w:t>
            </w:r>
          </w:p>
        </w:tc>
        <w:tc>
          <w:tcPr>
            <w:tcW w:w="865" w:type="pct"/>
          </w:tcPr>
          <w:p w14:paraId="5F20BDAD" w14:textId="32D7CB4D" w:rsidR="0068799E" w:rsidRPr="000C6399" w:rsidRDefault="0068799E" w:rsidP="0066128C">
            <w:pPr>
              <w:pStyle w:val="TableText"/>
              <w:jc w:val="center"/>
            </w:pPr>
            <w:r w:rsidRPr="000C6399">
              <w:t>0.21</w:t>
            </w:r>
          </w:p>
        </w:tc>
        <w:tc>
          <w:tcPr>
            <w:tcW w:w="679" w:type="pct"/>
          </w:tcPr>
          <w:p w14:paraId="06198439" w14:textId="2970B36E" w:rsidR="0068799E" w:rsidRPr="000C6399" w:rsidRDefault="0068799E" w:rsidP="0066128C">
            <w:pPr>
              <w:pStyle w:val="TableText"/>
              <w:jc w:val="center"/>
            </w:pPr>
            <w:r w:rsidRPr="000C6399">
              <w:t>$</w:t>
            </w:r>
            <w:r w:rsidR="00BD5DCE" w:rsidRPr="00B73D4C">
              <w:rPr>
                <w:b/>
                <w:bCs/>
              </w:rPr>
              <w:t xml:space="preserve"> redacted</w:t>
            </w:r>
          </w:p>
        </w:tc>
      </w:tr>
      <w:tr w:rsidR="006212CB" w:rsidRPr="00CE28E3" w14:paraId="13DA7863" w14:textId="77777777" w:rsidTr="005F4333">
        <w:trPr>
          <w:cantSplit/>
          <w:trHeight w:val="283"/>
        </w:trPr>
        <w:tc>
          <w:tcPr>
            <w:tcW w:w="2593" w:type="pct"/>
          </w:tcPr>
          <w:p w14:paraId="46875856" w14:textId="3D6564CD" w:rsidR="006212CB" w:rsidRPr="000C6399" w:rsidRDefault="006212CB" w:rsidP="000C6399">
            <w:pPr>
              <w:pStyle w:val="TableText"/>
            </w:pPr>
            <w:r w:rsidRPr="000C6399">
              <w:t>IVL index procedure costs (base case $8913.23)</w:t>
            </w:r>
          </w:p>
        </w:tc>
        <w:tc>
          <w:tcPr>
            <w:tcW w:w="863" w:type="pct"/>
          </w:tcPr>
          <w:p w14:paraId="5154BF32" w14:textId="77777777" w:rsidR="006212CB" w:rsidRPr="000C6399" w:rsidRDefault="006212CB" w:rsidP="000C6399">
            <w:pPr>
              <w:pStyle w:val="TableText"/>
            </w:pPr>
          </w:p>
        </w:tc>
        <w:tc>
          <w:tcPr>
            <w:tcW w:w="865" w:type="pct"/>
          </w:tcPr>
          <w:p w14:paraId="3B37C6D8" w14:textId="77777777" w:rsidR="006212CB" w:rsidRPr="000C6399" w:rsidRDefault="006212CB" w:rsidP="000C6399">
            <w:pPr>
              <w:pStyle w:val="TableText"/>
            </w:pPr>
          </w:p>
        </w:tc>
        <w:tc>
          <w:tcPr>
            <w:tcW w:w="679" w:type="pct"/>
          </w:tcPr>
          <w:p w14:paraId="65D4129A" w14:textId="77777777" w:rsidR="006212CB" w:rsidRPr="000C6399" w:rsidRDefault="006212CB" w:rsidP="000C6399">
            <w:pPr>
              <w:pStyle w:val="TableText"/>
            </w:pPr>
          </w:p>
        </w:tc>
      </w:tr>
      <w:tr w:rsidR="0068799E" w:rsidRPr="00CE28E3" w14:paraId="5A226B77" w14:textId="77777777" w:rsidTr="005F4333">
        <w:trPr>
          <w:cantSplit/>
          <w:trHeight w:val="283"/>
        </w:trPr>
        <w:tc>
          <w:tcPr>
            <w:tcW w:w="2593" w:type="pct"/>
          </w:tcPr>
          <w:p w14:paraId="775B5F90" w14:textId="3F7DDFF9" w:rsidR="0068799E" w:rsidRDefault="0068799E" w:rsidP="000C6399">
            <w:pPr>
              <w:pStyle w:val="TableText"/>
            </w:pPr>
            <w:r w:rsidRPr="000C6399">
              <w:t>IVL index procedure costs +10%</w:t>
            </w:r>
          </w:p>
        </w:tc>
        <w:tc>
          <w:tcPr>
            <w:tcW w:w="863" w:type="pct"/>
          </w:tcPr>
          <w:p w14:paraId="076E1FD6" w14:textId="63A04B1D" w:rsidR="0068799E" w:rsidRPr="000C6399" w:rsidRDefault="0068799E" w:rsidP="0066128C">
            <w:pPr>
              <w:pStyle w:val="TableText"/>
              <w:jc w:val="center"/>
            </w:pPr>
            <w:r w:rsidRPr="000C6399">
              <w:t>$</w:t>
            </w:r>
            <w:r w:rsidR="00BD5DCE" w:rsidRPr="00B73D4C">
              <w:rPr>
                <w:b/>
                <w:bCs/>
              </w:rPr>
              <w:t xml:space="preserve"> redacted</w:t>
            </w:r>
          </w:p>
        </w:tc>
        <w:tc>
          <w:tcPr>
            <w:tcW w:w="865" w:type="pct"/>
          </w:tcPr>
          <w:p w14:paraId="26C8066C" w14:textId="1604B9CB" w:rsidR="0068799E" w:rsidRPr="000C6399" w:rsidRDefault="0068799E" w:rsidP="0066128C">
            <w:pPr>
              <w:pStyle w:val="TableText"/>
              <w:jc w:val="center"/>
            </w:pPr>
            <w:r w:rsidRPr="000C6399">
              <w:t>0.16</w:t>
            </w:r>
          </w:p>
        </w:tc>
        <w:tc>
          <w:tcPr>
            <w:tcW w:w="679" w:type="pct"/>
          </w:tcPr>
          <w:p w14:paraId="62AB211E" w14:textId="176E94AB" w:rsidR="0068799E" w:rsidRPr="000C6399" w:rsidRDefault="0068799E" w:rsidP="0066128C">
            <w:pPr>
              <w:pStyle w:val="TableText"/>
              <w:jc w:val="center"/>
            </w:pPr>
            <w:r w:rsidRPr="000C6399">
              <w:t>$</w:t>
            </w:r>
            <w:r w:rsidR="00521698" w:rsidRPr="00B73D4C">
              <w:rPr>
                <w:b/>
                <w:bCs/>
              </w:rPr>
              <w:t xml:space="preserve"> redacted</w:t>
            </w:r>
          </w:p>
        </w:tc>
      </w:tr>
      <w:tr w:rsidR="0068799E" w:rsidRPr="00CE28E3" w14:paraId="04772558" w14:textId="77777777" w:rsidTr="005F4333">
        <w:trPr>
          <w:cantSplit/>
          <w:trHeight w:val="283"/>
        </w:trPr>
        <w:tc>
          <w:tcPr>
            <w:tcW w:w="2593" w:type="pct"/>
          </w:tcPr>
          <w:p w14:paraId="05C3F7F2" w14:textId="30CB9C0A" w:rsidR="0068799E" w:rsidRDefault="0068799E" w:rsidP="000C6399">
            <w:pPr>
              <w:pStyle w:val="TableText"/>
            </w:pPr>
            <w:r w:rsidRPr="000C6399">
              <w:t>IVL index procedure costs -10%</w:t>
            </w:r>
          </w:p>
        </w:tc>
        <w:tc>
          <w:tcPr>
            <w:tcW w:w="863" w:type="pct"/>
          </w:tcPr>
          <w:p w14:paraId="4A0BB77C" w14:textId="084A24A3" w:rsidR="0068799E" w:rsidRPr="000C6399" w:rsidRDefault="0068799E" w:rsidP="0066128C">
            <w:pPr>
              <w:pStyle w:val="TableText"/>
              <w:jc w:val="center"/>
            </w:pPr>
            <w:r w:rsidRPr="000C6399">
              <w:t>$</w:t>
            </w:r>
            <w:r w:rsidR="00521698" w:rsidRPr="00B73D4C">
              <w:rPr>
                <w:b/>
                <w:bCs/>
              </w:rPr>
              <w:t xml:space="preserve"> redacted</w:t>
            </w:r>
          </w:p>
        </w:tc>
        <w:tc>
          <w:tcPr>
            <w:tcW w:w="865" w:type="pct"/>
          </w:tcPr>
          <w:p w14:paraId="3E8AEF35" w14:textId="157271B2" w:rsidR="0068799E" w:rsidRPr="000C6399" w:rsidRDefault="0068799E" w:rsidP="0066128C">
            <w:pPr>
              <w:pStyle w:val="TableText"/>
              <w:jc w:val="center"/>
            </w:pPr>
            <w:r w:rsidRPr="000C6399">
              <w:t>0.16</w:t>
            </w:r>
          </w:p>
        </w:tc>
        <w:tc>
          <w:tcPr>
            <w:tcW w:w="679" w:type="pct"/>
          </w:tcPr>
          <w:p w14:paraId="730791F4" w14:textId="1F6C43C1" w:rsidR="0068799E" w:rsidRPr="000C6399" w:rsidRDefault="0068799E" w:rsidP="0066128C">
            <w:pPr>
              <w:pStyle w:val="TableText"/>
              <w:jc w:val="center"/>
            </w:pPr>
            <w:r w:rsidRPr="000C6399">
              <w:t>$</w:t>
            </w:r>
            <w:r w:rsidR="00521698" w:rsidRPr="00B73D4C">
              <w:rPr>
                <w:b/>
                <w:bCs/>
              </w:rPr>
              <w:t xml:space="preserve"> redacted</w:t>
            </w:r>
          </w:p>
        </w:tc>
      </w:tr>
      <w:tr w:rsidR="000C6399" w:rsidRPr="00CE28E3" w14:paraId="732B8D9F" w14:textId="77777777" w:rsidTr="000C6399">
        <w:trPr>
          <w:cantSplit/>
          <w:trHeight w:val="283"/>
        </w:trPr>
        <w:tc>
          <w:tcPr>
            <w:tcW w:w="5000" w:type="pct"/>
            <w:gridSpan w:val="4"/>
          </w:tcPr>
          <w:p w14:paraId="7E49E037" w14:textId="21A5A104" w:rsidR="000C6399" w:rsidRPr="000C6399" w:rsidRDefault="000C6399" w:rsidP="000C6399">
            <w:pPr>
              <w:pStyle w:val="TableText"/>
            </w:pPr>
            <w:r w:rsidRPr="000C6399">
              <w:t>SBA index procedure costs (base case $4762.90)</w:t>
            </w:r>
          </w:p>
        </w:tc>
      </w:tr>
      <w:tr w:rsidR="0068799E" w:rsidRPr="00CE28E3" w14:paraId="60B24FA4" w14:textId="77777777" w:rsidTr="005F4333">
        <w:trPr>
          <w:cantSplit/>
          <w:trHeight w:val="283"/>
        </w:trPr>
        <w:tc>
          <w:tcPr>
            <w:tcW w:w="2593" w:type="pct"/>
          </w:tcPr>
          <w:p w14:paraId="41A4284F" w14:textId="72F93A7B" w:rsidR="0068799E" w:rsidRDefault="0068799E" w:rsidP="000C6399">
            <w:pPr>
              <w:pStyle w:val="TableText"/>
            </w:pPr>
            <w:r w:rsidRPr="000C6399">
              <w:t>SBA index procedure costs +10%</w:t>
            </w:r>
          </w:p>
        </w:tc>
        <w:tc>
          <w:tcPr>
            <w:tcW w:w="863" w:type="pct"/>
          </w:tcPr>
          <w:p w14:paraId="51AB41E7" w14:textId="177001FB" w:rsidR="0068799E" w:rsidRPr="000C6399" w:rsidRDefault="0068799E" w:rsidP="0066128C">
            <w:pPr>
              <w:pStyle w:val="TableText"/>
              <w:jc w:val="center"/>
            </w:pPr>
            <w:r w:rsidRPr="000C6399">
              <w:t>$</w:t>
            </w:r>
            <w:r w:rsidR="00521698" w:rsidRPr="00B73D4C">
              <w:rPr>
                <w:b/>
                <w:bCs/>
              </w:rPr>
              <w:t xml:space="preserve"> redacted</w:t>
            </w:r>
          </w:p>
        </w:tc>
        <w:tc>
          <w:tcPr>
            <w:tcW w:w="865" w:type="pct"/>
          </w:tcPr>
          <w:p w14:paraId="320C27A4" w14:textId="2AE17CA0" w:rsidR="0068799E" w:rsidRPr="000C6399" w:rsidRDefault="0068799E" w:rsidP="0066128C">
            <w:pPr>
              <w:pStyle w:val="TableText"/>
              <w:jc w:val="center"/>
            </w:pPr>
            <w:r w:rsidRPr="000C6399">
              <w:t>0.16</w:t>
            </w:r>
          </w:p>
        </w:tc>
        <w:tc>
          <w:tcPr>
            <w:tcW w:w="679" w:type="pct"/>
          </w:tcPr>
          <w:p w14:paraId="17598790" w14:textId="3F08BCDF" w:rsidR="0068799E" w:rsidRPr="000C6399" w:rsidRDefault="0068799E" w:rsidP="0066128C">
            <w:pPr>
              <w:pStyle w:val="TableText"/>
              <w:jc w:val="center"/>
            </w:pPr>
            <w:r w:rsidRPr="000C6399">
              <w:t>$</w:t>
            </w:r>
            <w:r w:rsidR="00521698" w:rsidRPr="00B73D4C">
              <w:rPr>
                <w:b/>
                <w:bCs/>
              </w:rPr>
              <w:t xml:space="preserve"> redacted</w:t>
            </w:r>
          </w:p>
        </w:tc>
      </w:tr>
      <w:tr w:rsidR="0068799E" w:rsidRPr="00CE28E3" w14:paraId="63C867C8" w14:textId="77777777" w:rsidTr="005F4333">
        <w:trPr>
          <w:cantSplit/>
          <w:trHeight w:val="283"/>
        </w:trPr>
        <w:tc>
          <w:tcPr>
            <w:tcW w:w="2593" w:type="pct"/>
          </w:tcPr>
          <w:p w14:paraId="56EF5223" w14:textId="144491E2" w:rsidR="0068799E" w:rsidRDefault="0068799E" w:rsidP="000C6399">
            <w:pPr>
              <w:pStyle w:val="TableText"/>
            </w:pPr>
            <w:r w:rsidRPr="000C6399">
              <w:t>SBA index procedure costs -10%</w:t>
            </w:r>
          </w:p>
        </w:tc>
        <w:tc>
          <w:tcPr>
            <w:tcW w:w="863" w:type="pct"/>
          </w:tcPr>
          <w:p w14:paraId="362EE840" w14:textId="4D4283D0" w:rsidR="0068799E" w:rsidRPr="000C6399" w:rsidRDefault="0068799E" w:rsidP="0066128C">
            <w:pPr>
              <w:pStyle w:val="TableText"/>
              <w:jc w:val="center"/>
            </w:pPr>
            <w:r w:rsidRPr="000C6399">
              <w:t>$</w:t>
            </w:r>
            <w:r w:rsidR="00521698" w:rsidRPr="00B73D4C">
              <w:rPr>
                <w:b/>
                <w:bCs/>
              </w:rPr>
              <w:t xml:space="preserve"> redacted</w:t>
            </w:r>
          </w:p>
        </w:tc>
        <w:tc>
          <w:tcPr>
            <w:tcW w:w="865" w:type="pct"/>
          </w:tcPr>
          <w:p w14:paraId="4090A96E" w14:textId="1D53DB7B" w:rsidR="0068799E" w:rsidRPr="000C6399" w:rsidRDefault="0068799E" w:rsidP="0066128C">
            <w:pPr>
              <w:pStyle w:val="TableText"/>
              <w:jc w:val="center"/>
            </w:pPr>
            <w:r w:rsidRPr="000C6399">
              <w:t>0.16</w:t>
            </w:r>
          </w:p>
        </w:tc>
        <w:tc>
          <w:tcPr>
            <w:tcW w:w="679" w:type="pct"/>
          </w:tcPr>
          <w:p w14:paraId="08C0B40F" w14:textId="0BC7A360" w:rsidR="0068799E" w:rsidRPr="000C6399" w:rsidRDefault="0068799E" w:rsidP="0066128C">
            <w:pPr>
              <w:pStyle w:val="TableText"/>
              <w:jc w:val="center"/>
            </w:pPr>
            <w:r w:rsidRPr="000C6399">
              <w:t>$</w:t>
            </w:r>
            <w:r w:rsidR="00521698" w:rsidRPr="00B73D4C">
              <w:rPr>
                <w:b/>
                <w:bCs/>
              </w:rPr>
              <w:t xml:space="preserve"> redacted</w:t>
            </w:r>
          </w:p>
        </w:tc>
      </w:tr>
      <w:tr w:rsidR="000C6399" w:rsidRPr="00CE28E3" w14:paraId="5CF18573" w14:textId="77777777" w:rsidTr="000C6399">
        <w:trPr>
          <w:cantSplit/>
          <w:trHeight w:val="283"/>
        </w:trPr>
        <w:tc>
          <w:tcPr>
            <w:tcW w:w="5000" w:type="pct"/>
            <w:gridSpan w:val="4"/>
          </w:tcPr>
          <w:p w14:paraId="312E6BFD" w14:textId="027204CB" w:rsidR="000C6399" w:rsidRPr="000C092D" w:rsidRDefault="000C6399" w:rsidP="00494174">
            <w:pPr>
              <w:pStyle w:val="TableText"/>
              <w:rPr>
                <w:i/>
                <w:iCs/>
              </w:rPr>
            </w:pPr>
            <w:r w:rsidRPr="000C092D">
              <w:rPr>
                <w:b/>
                <w:bCs/>
                <w:i/>
                <w:iCs/>
              </w:rPr>
              <w:t xml:space="preserve">Sensitivity analysis </w:t>
            </w:r>
            <w:r w:rsidR="00EB6499">
              <w:rPr>
                <w:b/>
                <w:bCs/>
                <w:i/>
                <w:iCs/>
              </w:rPr>
              <w:t xml:space="preserve">performed during the </w:t>
            </w:r>
            <w:r w:rsidR="000905A5">
              <w:rPr>
                <w:b/>
                <w:bCs/>
                <w:i/>
                <w:iCs/>
              </w:rPr>
              <w:t>commentary</w:t>
            </w:r>
          </w:p>
        </w:tc>
      </w:tr>
      <w:tr w:rsidR="00494174" w:rsidRPr="00CE28E3" w14:paraId="56288FDE" w14:textId="77777777" w:rsidTr="00494174">
        <w:trPr>
          <w:cantSplit/>
          <w:trHeight w:val="283"/>
        </w:trPr>
        <w:tc>
          <w:tcPr>
            <w:tcW w:w="2593" w:type="pct"/>
          </w:tcPr>
          <w:p w14:paraId="7E3428C5" w14:textId="0D5E0B19" w:rsidR="00494174" w:rsidRPr="000C092D" w:rsidRDefault="00494174" w:rsidP="00494174">
            <w:pPr>
              <w:pStyle w:val="TableText"/>
              <w:rPr>
                <w:i/>
                <w:iCs/>
              </w:rPr>
            </w:pPr>
            <w:r w:rsidRPr="000C092D">
              <w:rPr>
                <w:i/>
                <w:iCs/>
              </w:rPr>
              <w:t>Assuming a time horizon of 10 years</w:t>
            </w:r>
          </w:p>
        </w:tc>
        <w:tc>
          <w:tcPr>
            <w:tcW w:w="863" w:type="pct"/>
          </w:tcPr>
          <w:p w14:paraId="320D0108" w14:textId="04D34111" w:rsidR="00494174" w:rsidRPr="000C092D" w:rsidRDefault="00494174" w:rsidP="0066128C">
            <w:pPr>
              <w:pStyle w:val="TableText"/>
              <w:jc w:val="center"/>
              <w:rPr>
                <w:i/>
                <w:iCs/>
              </w:rPr>
            </w:pPr>
            <w:r w:rsidRPr="000C092D">
              <w:rPr>
                <w:i/>
                <w:iCs/>
              </w:rPr>
              <w:t>$</w:t>
            </w:r>
            <w:r w:rsidR="00521698" w:rsidRPr="00B73D4C">
              <w:rPr>
                <w:b/>
                <w:bCs/>
              </w:rPr>
              <w:t xml:space="preserve"> redacted</w:t>
            </w:r>
          </w:p>
        </w:tc>
        <w:tc>
          <w:tcPr>
            <w:tcW w:w="865" w:type="pct"/>
          </w:tcPr>
          <w:p w14:paraId="37ED664D" w14:textId="01F1F8A7" w:rsidR="00494174" w:rsidRPr="000C092D" w:rsidRDefault="00494174" w:rsidP="0066128C">
            <w:pPr>
              <w:pStyle w:val="TableText"/>
              <w:jc w:val="center"/>
              <w:rPr>
                <w:i/>
                <w:iCs/>
              </w:rPr>
            </w:pPr>
            <w:r w:rsidRPr="000C092D">
              <w:rPr>
                <w:i/>
                <w:iCs/>
              </w:rPr>
              <w:t>0.15</w:t>
            </w:r>
          </w:p>
        </w:tc>
        <w:tc>
          <w:tcPr>
            <w:tcW w:w="679" w:type="pct"/>
          </w:tcPr>
          <w:p w14:paraId="297A5C02" w14:textId="3773DC94" w:rsidR="00494174" w:rsidRPr="000C092D" w:rsidRDefault="00494174" w:rsidP="0066128C">
            <w:pPr>
              <w:pStyle w:val="TableText"/>
              <w:jc w:val="center"/>
              <w:rPr>
                <w:i/>
                <w:iCs/>
              </w:rPr>
            </w:pPr>
            <w:r w:rsidRPr="000C092D">
              <w:rPr>
                <w:i/>
                <w:iCs/>
              </w:rPr>
              <w:t>$</w:t>
            </w:r>
            <w:r w:rsidR="00521698" w:rsidRPr="00B73D4C">
              <w:rPr>
                <w:b/>
                <w:bCs/>
              </w:rPr>
              <w:t xml:space="preserve"> redacted</w:t>
            </w:r>
          </w:p>
        </w:tc>
      </w:tr>
      <w:tr w:rsidR="00EB6499" w:rsidRPr="00CE28E3" w14:paraId="154A6A72" w14:textId="77777777" w:rsidTr="00EB6499">
        <w:trPr>
          <w:cantSplit/>
          <w:trHeight w:val="283"/>
        </w:trPr>
        <w:tc>
          <w:tcPr>
            <w:tcW w:w="2593" w:type="pct"/>
          </w:tcPr>
          <w:p w14:paraId="0688D04E" w14:textId="1E9E9ED2" w:rsidR="00EB6499" w:rsidRPr="008D2885" w:rsidRDefault="00EB6499" w:rsidP="00EB6499">
            <w:pPr>
              <w:pStyle w:val="TableText"/>
              <w:rPr>
                <w:i/>
                <w:iCs/>
              </w:rPr>
            </w:pPr>
            <w:r w:rsidRPr="008D2885">
              <w:rPr>
                <w:i/>
                <w:iCs/>
              </w:rPr>
              <w:t>Patency utility 0.82 based on the Australian value set (base case 0.85 based on the USA value set)</w:t>
            </w:r>
          </w:p>
        </w:tc>
        <w:tc>
          <w:tcPr>
            <w:tcW w:w="863" w:type="pct"/>
          </w:tcPr>
          <w:p w14:paraId="49ABFE14" w14:textId="72E1E477" w:rsidR="00EB6499" w:rsidRPr="008D2885" w:rsidRDefault="00EB6499" w:rsidP="00EB6499">
            <w:pPr>
              <w:pStyle w:val="TableText"/>
              <w:jc w:val="center"/>
              <w:rPr>
                <w:i/>
                <w:iCs/>
              </w:rPr>
            </w:pPr>
            <w:r w:rsidRPr="008D2885">
              <w:rPr>
                <w:i/>
                <w:iCs/>
              </w:rPr>
              <w:t>$</w:t>
            </w:r>
            <w:r w:rsidR="00521698" w:rsidRPr="00B73D4C">
              <w:rPr>
                <w:b/>
                <w:bCs/>
              </w:rPr>
              <w:t xml:space="preserve"> redacted</w:t>
            </w:r>
          </w:p>
        </w:tc>
        <w:tc>
          <w:tcPr>
            <w:tcW w:w="865" w:type="pct"/>
          </w:tcPr>
          <w:p w14:paraId="663F1284" w14:textId="35264A37" w:rsidR="00EB6499" w:rsidRPr="008D2885" w:rsidRDefault="00EB6499" w:rsidP="00EB6499">
            <w:pPr>
              <w:pStyle w:val="TableText"/>
              <w:jc w:val="center"/>
              <w:rPr>
                <w:i/>
                <w:iCs/>
              </w:rPr>
            </w:pPr>
            <w:r w:rsidRPr="008D2885">
              <w:rPr>
                <w:i/>
                <w:iCs/>
              </w:rPr>
              <w:t>0.12</w:t>
            </w:r>
          </w:p>
        </w:tc>
        <w:tc>
          <w:tcPr>
            <w:tcW w:w="679" w:type="pct"/>
          </w:tcPr>
          <w:p w14:paraId="1CB63636" w14:textId="5F06AD1A" w:rsidR="00EB6499" w:rsidRPr="008D2885" w:rsidRDefault="00EB6499" w:rsidP="00EB6499">
            <w:pPr>
              <w:pStyle w:val="TableText"/>
              <w:jc w:val="center"/>
              <w:rPr>
                <w:i/>
                <w:iCs/>
              </w:rPr>
            </w:pPr>
            <w:r w:rsidRPr="008D2885">
              <w:rPr>
                <w:i/>
                <w:iCs/>
              </w:rPr>
              <w:t>$</w:t>
            </w:r>
            <w:r w:rsidR="00521698" w:rsidRPr="00B73D4C">
              <w:rPr>
                <w:b/>
                <w:bCs/>
              </w:rPr>
              <w:t xml:space="preserve"> redacted</w:t>
            </w:r>
          </w:p>
        </w:tc>
      </w:tr>
      <w:tr w:rsidR="00EB6499" w:rsidRPr="00CE28E3" w14:paraId="7B1132DE" w14:textId="77777777" w:rsidTr="00494174">
        <w:trPr>
          <w:cantSplit/>
          <w:trHeight w:val="283"/>
        </w:trPr>
        <w:tc>
          <w:tcPr>
            <w:tcW w:w="2593" w:type="pct"/>
          </w:tcPr>
          <w:p w14:paraId="16A0AF8C" w14:textId="77777777" w:rsidR="00EB6499" w:rsidRPr="000C092D" w:rsidRDefault="00EB6499" w:rsidP="00EB6499">
            <w:pPr>
              <w:pStyle w:val="TableText"/>
              <w:rPr>
                <w:i/>
                <w:iCs/>
              </w:rPr>
            </w:pPr>
            <w:r w:rsidRPr="000C092D">
              <w:rPr>
                <w:i/>
                <w:iCs/>
              </w:rPr>
              <w:t xml:space="preserve">Using the rate of stent insertion from the trial </w:t>
            </w:r>
          </w:p>
          <w:p w14:paraId="77D411A2" w14:textId="2D7B5A70" w:rsidR="00EB6499" w:rsidRPr="000C092D" w:rsidRDefault="00EB6499" w:rsidP="00EB6499">
            <w:pPr>
              <w:pStyle w:val="TableText"/>
              <w:rPr>
                <w:i/>
                <w:iCs/>
              </w:rPr>
            </w:pPr>
            <w:r w:rsidRPr="000C092D">
              <w:rPr>
                <w:i/>
                <w:iCs/>
              </w:rPr>
              <w:t>18.3% in the SBA arm and 4.6% in the IVL arm)</w:t>
            </w:r>
          </w:p>
        </w:tc>
        <w:tc>
          <w:tcPr>
            <w:tcW w:w="863" w:type="pct"/>
          </w:tcPr>
          <w:p w14:paraId="1DB57182" w14:textId="1E2BB2A9" w:rsidR="00EB6499" w:rsidRPr="000C092D" w:rsidRDefault="00EB6499" w:rsidP="00EB6499">
            <w:pPr>
              <w:pStyle w:val="TableText"/>
              <w:jc w:val="center"/>
              <w:rPr>
                <w:i/>
                <w:iCs/>
              </w:rPr>
            </w:pPr>
            <w:r w:rsidRPr="000C092D">
              <w:rPr>
                <w:i/>
                <w:iCs/>
              </w:rPr>
              <w:t>$</w:t>
            </w:r>
            <w:r w:rsidR="00521698" w:rsidRPr="00B73D4C">
              <w:rPr>
                <w:b/>
                <w:bCs/>
              </w:rPr>
              <w:t xml:space="preserve"> redacted</w:t>
            </w:r>
          </w:p>
        </w:tc>
        <w:tc>
          <w:tcPr>
            <w:tcW w:w="865" w:type="pct"/>
          </w:tcPr>
          <w:p w14:paraId="54D0533B" w14:textId="4625E8C5" w:rsidR="00EB6499" w:rsidRPr="000C092D" w:rsidRDefault="00EB6499" w:rsidP="00EB6499">
            <w:pPr>
              <w:pStyle w:val="TableText"/>
              <w:jc w:val="center"/>
              <w:rPr>
                <w:i/>
                <w:iCs/>
              </w:rPr>
            </w:pPr>
            <w:r w:rsidRPr="000C092D">
              <w:rPr>
                <w:i/>
                <w:iCs/>
              </w:rPr>
              <w:t>0.09</w:t>
            </w:r>
          </w:p>
        </w:tc>
        <w:tc>
          <w:tcPr>
            <w:tcW w:w="679" w:type="pct"/>
          </w:tcPr>
          <w:p w14:paraId="5715D174" w14:textId="0D71CCAC" w:rsidR="00EB6499" w:rsidRPr="000C092D" w:rsidRDefault="00EB6499" w:rsidP="00EB6499">
            <w:pPr>
              <w:pStyle w:val="TableText"/>
              <w:jc w:val="center"/>
              <w:rPr>
                <w:i/>
                <w:iCs/>
              </w:rPr>
            </w:pPr>
            <w:r w:rsidRPr="000C092D">
              <w:rPr>
                <w:i/>
                <w:iCs/>
              </w:rPr>
              <w:t>$</w:t>
            </w:r>
            <w:r w:rsidR="00521698" w:rsidRPr="00B73D4C">
              <w:rPr>
                <w:b/>
                <w:bCs/>
              </w:rPr>
              <w:t xml:space="preserve"> redacted</w:t>
            </w:r>
          </w:p>
        </w:tc>
      </w:tr>
      <w:tr w:rsidR="00EB6499" w:rsidRPr="00CE28E3" w14:paraId="12265CB1" w14:textId="77777777" w:rsidTr="000C6399">
        <w:trPr>
          <w:cantSplit/>
          <w:trHeight w:val="283"/>
        </w:trPr>
        <w:tc>
          <w:tcPr>
            <w:tcW w:w="5000" w:type="pct"/>
            <w:gridSpan w:val="4"/>
          </w:tcPr>
          <w:p w14:paraId="1C01F525" w14:textId="46744A7C" w:rsidR="00EB6499" w:rsidRPr="000C092D" w:rsidRDefault="00EB6499" w:rsidP="00EB6499">
            <w:pPr>
              <w:pStyle w:val="TableText"/>
              <w:rPr>
                <w:i/>
                <w:iCs/>
              </w:rPr>
            </w:pPr>
            <w:r w:rsidRPr="000C092D">
              <w:rPr>
                <w:b/>
                <w:bCs/>
                <w:i/>
                <w:iCs/>
              </w:rPr>
              <w:t>Multivariate analysis</w:t>
            </w:r>
          </w:p>
        </w:tc>
      </w:tr>
      <w:tr w:rsidR="00EB6499" w:rsidRPr="00CE28E3" w14:paraId="18D36D18" w14:textId="77777777" w:rsidTr="00494174">
        <w:trPr>
          <w:cantSplit/>
          <w:trHeight w:val="283"/>
        </w:trPr>
        <w:tc>
          <w:tcPr>
            <w:tcW w:w="2593" w:type="pct"/>
          </w:tcPr>
          <w:p w14:paraId="08D3A34B" w14:textId="32CCB1A4" w:rsidR="00EB6499" w:rsidRPr="000C092D" w:rsidRDefault="00EB6499" w:rsidP="00EB6499">
            <w:pPr>
              <w:pStyle w:val="TableText"/>
              <w:rPr>
                <w:i/>
                <w:iCs/>
              </w:rPr>
            </w:pPr>
            <w:r w:rsidRPr="000C092D">
              <w:rPr>
                <w:i/>
                <w:iCs/>
              </w:rPr>
              <w:t>Assuming a time horizon of 10 years, patency utility of 0.82, and using the rate of stent insertion from the trial</w:t>
            </w:r>
          </w:p>
        </w:tc>
        <w:tc>
          <w:tcPr>
            <w:tcW w:w="863" w:type="pct"/>
          </w:tcPr>
          <w:p w14:paraId="3A2C349C" w14:textId="61C59CB4" w:rsidR="00EB6499" w:rsidRPr="000C092D" w:rsidRDefault="00EB6499" w:rsidP="00EB6499">
            <w:pPr>
              <w:pStyle w:val="TableText"/>
              <w:jc w:val="center"/>
              <w:rPr>
                <w:i/>
                <w:iCs/>
              </w:rPr>
            </w:pPr>
            <w:r w:rsidRPr="000C092D">
              <w:rPr>
                <w:i/>
                <w:iCs/>
              </w:rPr>
              <w:t>$</w:t>
            </w:r>
            <w:r w:rsidR="00521698" w:rsidRPr="00B73D4C">
              <w:rPr>
                <w:b/>
                <w:bCs/>
              </w:rPr>
              <w:t xml:space="preserve"> redacted</w:t>
            </w:r>
          </w:p>
        </w:tc>
        <w:tc>
          <w:tcPr>
            <w:tcW w:w="865" w:type="pct"/>
          </w:tcPr>
          <w:p w14:paraId="4CEB1FA2" w14:textId="1669EAFE" w:rsidR="00EB6499" w:rsidRPr="000C092D" w:rsidRDefault="00EB6499" w:rsidP="00EB6499">
            <w:pPr>
              <w:pStyle w:val="TableText"/>
              <w:jc w:val="center"/>
              <w:rPr>
                <w:i/>
                <w:iCs/>
              </w:rPr>
            </w:pPr>
            <w:r w:rsidRPr="000C092D">
              <w:rPr>
                <w:i/>
                <w:iCs/>
              </w:rPr>
              <w:t>0.06</w:t>
            </w:r>
          </w:p>
        </w:tc>
        <w:tc>
          <w:tcPr>
            <w:tcW w:w="679" w:type="pct"/>
          </w:tcPr>
          <w:p w14:paraId="73297752" w14:textId="75198466" w:rsidR="00EB6499" w:rsidRPr="000C092D" w:rsidRDefault="00EB6499" w:rsidP="00EB6499">
            <w:pPr>
              <w:pStyle w:val="TableText"/>
              <w:jc w:val="center"/>
              <w:rPr>
                <w:i/>
                <w:iCs/>
              </w:rPr>
            </w:pPr>
            <w:r w:rsidRPr="000C092D">
              <w:rPr>
                <w:i/>
                <w:iCs/>
              </w:rPr>
              <w:t>$</w:t>
            </w:r>
            <w:r w:rsidR="00521698" w:rsidRPr="00B73D4C">
              <w:rPr>
                <w:b/>
                <w:bCs/>
              </w:rPr>
              <w:t xml:space="preserve"> redacted</w:t>
            </w:r>
          </w:p>
        </w:tc>
      </w:tr>
    </w:tbl>
    <w:p w14:paraId="1449AA11" w14:textId="42771EEF" w:rsidR="008B5B67" w:rsidRDefault="00EB6499" w:rsidP="001A58C1">
      <w:pPr>
        <w:pStyle w:val="Tablenotes"/>
        <w:rPr>
          <w:rFonts w:eastAsia="Calibri"/>
        </w:rPr>
      </w:pPr>
      <w:bookmarkStart w:id="55" w:name="_Hlk68276759"/>
      <w:r>
        <w:rPr>
          <w:rFonts w:eastAsia="Calibri"/>
        </w:rPr>
        <w:t xml:space="preserve">Abbreviations: </w:t>
      </w:r>
      <w:r w:rsidRPr="00EB6499">
        <w:rPr>
          <w:rFonts w:eastAsia="Calibri"/>
        </w:rPr>
        <w:t>ICER = incremental cost-effectiveness ratio; IVL = intravascular lithotripsy, QALY = quality-adjusted life year, RR = relative risk, SBA = standard balloon angioplasty.</w:t>
      </w:r>
    </w:p>
    <w:p w14:paraId="46378396" w14:textId="52D0F80D" w:rsidR="007B394C" w:rsidRPr="00996E36" w:rsidRDefault="007B394C" w:rsidP="00FD0F2A">
      <w:r w:rsidRPr="00996E36">
        <w:t xml:space="preserve">The rate of stent insertion is one of the major factors driving the economic model and creating a lower ICER. The additional sensitivity analysis performed </w:t>
      </w:r>
      <w:r w:rsidR="00EB6499" w:rsidRPr="00996E36">
        <w:t xml:space="preserve">during the </w:t>
      </w:r>
      <w:r w:rsidR="008D2885" w:rsidRPr="00996E36">
        <w:t>commentary</w:t>
      </w:r>
      <w:r w:rsidRPr="00996E36">
        <w:t xml:space="preserve"> showed that the use of </w:t>
      </w:r>
      <w:r w:rsidR="00D9769C">
        <w:t>stenting rate</w:t>
      </w:r>
      <w:r w:rsidRPr="00996E36">
        <w:t xml:space="preserve"> from the DISRUPT PAD III RCT (18.3% in the SBA arm and RR of 0.25 for the IVL arm) increased </w:t>
      </w:r>
      <w:r w:rsidR="00D9769C">
        <w:t xml:space="preserve">the </w:t>
      </w:r>
      <w:r w:rsidRPr="00996E36">
        <w:t xml:space="preserve">ICER </w:t>
      </w:r>
      <w:r w:rsidR="00D9769C" w:rsidRPr="00552C0F">
        <w:t>from $</w:t>
      </w:r>
      <w:r w:rsidR="00521698" w:rsidRPr="00521698">
        <w:rPr>
          <w:b/>
          <w:bCs/>
        </w:rPr>
        <w:t xml:space="preserve"> </w:t>
      </w:r>
      <w:r w:rsidR="00521698" w:rsidRPr="00B73D4C">
        <w:rPr>
          <w:b/>
          <w:bCs/>
        </w:rPr>
        <w:t>redacted</w:t>
      </w:r>
      <w:r w:rsidR="00521698" w:rsidRPr="00552C0F" w:rsidDel="00521698">
        <w:t xml:space="preserve"> </w:t>
      </w:r>
      <w:r w:rsidR="00D9769C" w:rsidRPr="00552C0F">
        <w:t xml:space="preserve">(base case) </w:t>
      </w:r>
      <w:r w:rsidRPr="00996E36">
        <w:t>to $</w:t>
      </w:r>
      <w:r w:rsidR="00521698" w:rsidRPr="00521698">
        <w:rPr>
          <w:b/>
          <w:bCs/>
        </w:rPr>
        <w:t xml:space="preserve"> </w:t>
      </w:r>
      <w:r w:rsidR="00521698" w:rsidRPr="00B73D4C">
        <w:rPr>
          <w:b/>
          <w:bCs/>
        </w:rPr>
        <w:t>redacted</w:t>
      </w:r>
      <w:r w:rsidR="00521698" w:rsidRPr="00996E36" w:rsidDel="00521698">
        <w:t xml:space="preserve"> </w:t>
      </w:r>
      <w:r w:rsidRPr="00996E36">
        <w:t>/QALY gained.</w:t>
      </w:r>
      <w:r w:rsidR="00D9769C" w:rsidRPr="00D9769C">
        <w:t xml:space="preserve"> </w:t>
      </w:r>
      <w:r w:rsidR="00D9769C" w:rsidRPr="00AF04AD">
        <w:t xml:space="preserve">The multivariate </w:t>
      </w:r>
      <w:r w:rsidR="00D9769C">
        <w:t xml:space="preserve">sensitivity </w:t>
      </w:r>
      <w:r w:rsidR="00D9769C" w:rsidRPr="00AF04AD">
        <w:t>analysis</w:t>
      </w:r>
      <w:r w:rsidR="00D9769C">
        <w:t xml:space="preserve"> conducted by the commentary showed that using a</w:t>
      </w:r>
      <w:r w:rsidR="00D9769C" w:rsidRPr="00AF04AD">
        <w:t xml:space="preserve"> time horizon of 10 years, patency utility of 0.82, and </w:t>
      </w:r>
      <w:r w:rsidR="00D9769C">
        <w:t>tr</w:t>
      </w:r>
      <w:r w:rsidR="00CE1031">
        <w:t>ia</w:t>
      </w:r>
      <w:r w:rsidR="00D9769C">
        <w:t>l-based stenting rate increased</w:t>
      </w:r>
      <w:r w:rsidR="00D9769C" w:rsidRPr="00AF04AD">
        <w:t xml:space="preserve"> the ICER to </w:t>
      </w:r>
      <w:r w:rsidR="002A4982">
        <w:br/>
      </w:r>
      <w:r w:rsidR="00D9769C" w:rsidRPr="00AF04AD">
        <w:t>$</w:t>
      </w:r>
      <w:r w:rsidR="00521698" w:rsidRPr="00521698">
        <w:rPr>
          <w:b/>
          <w:bCs/>
        </w:rPr>
        <w:t xml:space="preserve"> </w:t>
      </w:r>
      <w:r w:rsidR="00521698" w:rsidRPr="00B73D4C">
        <w:rPr>
          <w:b/>
          <w:bCs/>
        </w:rPr>
        <w:t>redacted</w:t>
      </w:r>
      <w:r w:rsidR="00521698" w:rsidRPr="00AF04AD" w:rsidDel="00521698">
        <w:t xml:space="preserve"> </w:t>
      </w:r>
      <w:r w:rsidR="00D9769C">
        <w:t>/QALY</w:t>
      </w:r>
      <w:r w:rsidR="00D9769C" w:rsidRPr="00AF04AD">
        <w:t xml:space="preserve">. </w:t>
      </w:r>
    </w:p>
    <w:p w14:paraId="25AE2BAC" w14:textId="4971DA55" w:rsidR="00772829" w:rsidRPr="00CE28E3" w:rsidRDefault="00C36633" w:rsidP="002A18BE">
      <w:pPr>
        <w:pStyle w:val="Heading2"/>
        <w:numPr>
          <w:ilvl w:val="0"/>
          <w:numId w:val="0"/>
        </w:numPr>
      </w:pPr>
      <w:bookmarkStart w:id="56" w:name="_Toc69491426"/>
      <w:bookmarkEnd w:id="55"/>
      <w:r>
        <w:lastRenderedPageBreak/>
        <w:t>1</w:t>
      </w:r>
      <w:r w:rsidR="00C73462">
        <w:t>4</w:t>
      </w:r>
      <w:r>
        <w:t>.</w:t>
      </w:r>
      <w:r>
        <w:tab/>
      </w:r>
      <w:r w:rsidR="00772829" w:rsidRPr="00CE28E3">
        <w:t>Financial/budgetary impacts</w:t>
      </w:r>
      <w:bookmarkEnd w:id="56"/>
    </w:p>
    <w:p w14:paraId="0B43E011" w14:textId="663553E4" w:rsidR="00A60360" w:rsidRDefault="002C5768" w:rsidP="00FD0F2A">
      <w:r>
        <w:t xml:space="preserve">The </w:t>
      </w:r>
      <w:r w:rsidR="00A60360">
        <w:t xml:space="preserve">ADAR presented </w:t>
      </w:r>
      <w:r w:rsidR="00C90312">
        <w:t xml:space="preserve">a </w:t>
      </w:r>
      <w:r>
        <w:t xml:space="preserve">financial impact analysis </w:t>
      </w:r>
      <w:r w:rsidR="00A60360">
        <w:t>based on</w:t>
      </w:r>
      <w:r>
        <w:t xml:space="preserve"> </w:t>
      </w:r>
      <w:r w:rsidR="00C90312">
        <w:t xml:space="preserve">a </w:t>
      </w:r>
      <w:r>
        <w:t>market share approach to estimate the net costs of the proposed MBS listing of IVL.</w:t>
      </w:r>
      <w:r w:rsidR="00A60360">
        <w:t xml:space="preserve"> </w:t>
      </w:r>
      <w:r w:rsidR="00A60360" w:rsidRPr="00482BE5">
        <w:t xml:space="preserve">This </w:t>
      </w:r>
      <w:r w:rsidR="00DA5770" w:rsidRPr="00482BE5">
        <w:t>is</w:t>
      </w:r>
      <w:r w:rsidR="00A60360" w:rsidRPr="00482BE5">
        <w:t xml:space="preserve"> appropriate</w:t>
      </w:r>
      <w:r w:rsidR="00C90312" w:rsidRPr="00482BE5">
        <w:t>,</w:t>
      </w:r>
      <w:r w:rsidR="00A60360" w:rsidRPr="00482BE5">
        <w:t xml:space="preserve"> considering the IVL is expected to replace or supplement existing MBS items for lower limb PAD endovascular revascularisation</w:t>
      </w:r>
      <w:r w:rsidR="00A200FB" w:rsidRPr="00482BE5">
        <w:t>.</w:t>
      </w:r>
    </w:p>
    <w:p w14:paraId="743AD501" w14:textId="780F5434" w:rsidR="009A66B0" w:rsidRDefault="00BC33EA" w:rsidP="00FD0F2A">
      <w:pPr>
        <w:rPr>
          <w:rFonts w:cstheme="minorHAnsi"/>
        </w:rPr>
      </w:pPr>
      <w:r w:rsidRPr="00CE28E3">
        <w:t xml:space="preserve">The financial implications to the </w:t>
      </w:r>
      <w:r w:rsidRPr="002D775F">
        <w:t>MBS</w:t>
      </w:r>
      <w:r w:rsidR="002D775F">
        <w:t xml:space="preserve"> </w:t>
      </w:r>
      <w:r w:rsidRPr="00CE28E3">
        <w:t xml:space="preserve">resulting from the proposed listing of </w:t>
      </w:r>
      <w:r w:rsidR="002D775F">
        <w:t>IVL</w:t>
      </w:r>
      <w:r w:rsidRPr="00CE28E3">
        <w:t xml:space="preserve"> are summarised in </w:t>
      </w:r>
      <w:r w:rsidR="002D775F">
        <w:t xml:space="preserve">Table </w:t>
      </w:r>
      <w:r w:rsidR="00EB6499">
        <w:t>16</w:t>
      </w:r>
      <w:r w:rsidR="002D775F">
        <w:t>.</w:t>
      </w:r>
      <w:r w:rsidRPr="00CE28E3">
        <w:t xml:space="preserve"> </w:t>
      </w:r>
      <w:r w:rsidR="00316F46">
        <w:rPr>
          <w:rFonts w:cstheme="minorHAnsi"/>
        </w:rPr>
        <w:t>The net cost to the MBS is expected to be minimal, with a net cost of $</w:t>
      </w:r>
      <w:r w:rsidR="00203FDF" w:rsidRPr="00203FDF">
        <w:rPr>
          <w:b/>
          <w:bCs/>
        </w:rPr>
        <w:t xml:space="preserve"> </w:t>
      </w:r>
      <w:r w:rsidR="00203FDF" w:rsidRPr="00B73D4C">
        <w:rPr>
          <w:b/>
          <w:bCs/>
        </w:rPr>
        <w:t>redacted</w:t>
      </w:r>
      <w:r w:rsidR="00203FDF" w:rsidDel="00203FDF">
        <w:rPr>
          <w:rFonts w:cstheme="minorHAnsi"/>
        </w:rPr>
        <w:t xml:space="preserve"> </w:t>
      </w:r>
      <w:r w:rsidR="00316F46">
        <w:rPr>
          <w:rFonts w:cstheme="minorHAnsi"/>
        </w:rPr>
        <w:t>in Year 1 growing to $</w:t>
      </w:r>
      <w:r w:rsidR="00203FDF" w:rsidRPr="00203FDF">
        <w:rPr>
          <w:b/>
          <w:bCs/>
        </w:rPr>
        <w:t xml:space="preserve"> </w:t>
      </w:r>
      <w:r w:rsidR="00203FDF" w:rsidRPr="00B73D4C">
        <w:rPr>
          <w:b/>
          <w:bCs/>
        </w:rPr>
        <w:t>redacted</w:t>
      </w:r>
      <w:r w:rsidR="00203FDF" w:rsidDel="00203FDF">
        <w:rPr>
          <w:rFonts w:cstheme="minorHAnsi"/>
        </w:rPr>
        <w:t xml:space="preserve"> </w:t>
      </w:r>
      <w:r w:rsidR="00316F46">
        <w:rPr>
          <w:rFonts w:cstheme="minorHAnsi"/>
        </w:rPr>
        <w:t xml:space="preserve">in Year 6. </w:t>
      </w:r>
      <w:r w:rsidR="00316F46" w:rsidRPr="00DE0103">
        <w:rPr>
          <w:rFonts w:cstheme="minorHAnsi"/>
        </w:rPr>
        <w:t xml:space="preserve">The net cost </w:t>
      </w:r>
      <w:r w:rsidR="00316F46">
        <w:rPr>
          <w:rFonts w:cstheme="minorHAnsi"/>
        </w:rPr>
        <w:t xml:space="preserve">to all budgets </w:t>
      </w:r>
      <w:r w:rsidR="00316F46" w:rsidRPr="00DE0103">
        <w:rPr>
          <w:rFonts w:cstheme="minorHAnsi"/>
        </w:rPr>
        <w:t>starts at $</w:t>
      </w:r>
      <w:r w:rsidR="00521698" w:rsidRPr="00521698">
        <w:rPr>
          <w:b/>
          <w:bCs/>
        </w:rPr>
        <w:t xml:space="preserve"> </w:t>
      </w:r>
      <w:r w:rsidR="00521698" w:rsidRPr="00B73D4C">
        <w:rPr>
          <w:b/>
          <w:bCs/>
        </w:rPr>
        <w:t>redacted</w:t>
      </w:r>
      <w:r w:rsidR="00521698" w:rsidRPr="00DE0103" w:rsidDel="00521698">
        <w:rPr>
          <w:rFonts w:cstheme="minorHAnsi"/>
        </w:rPr>
        <w:t xml:space="preserve"> </w:t>
      </w:r>
      <w:r w:rsidR="00316F46" w:rsidRPr="00DE0103">
        <w:rPr>
          <w:rFonts w:cstheme="minorHAnsi"/>
        </w:rPr>
        <w:t>in Year 1 and is expected to increase to $</w:t>
      </w:r>
      <w:r w:rsidR="00521698" w:rsidRPr="00521698">
        <w:rPr>
          <w:b/>
          <w:bCs/>
        </w:rPr>
        <w:t xml:space="preserve"> </w:t>
      </w:r>
      <w:r w:rsidR="00521698" w:rsidRPr="00B73D4C">
        <w:rPr>
          <w:b/>
          <w:bCs/>
        </w:rPr>
        <w:t>redacted</w:t>
      </w:r>
      <w:r w:rsidR="00521698" w:rsidRPr="00DE0103" w:rsidDel="00521698">
        <w:rPr>
          <w:rFonts w:cstheme="minorHAnsi"/>
        </w:rPr>
        <w:t xml:space="preserve"> </w:t>
      </w:r>
      <w:r w:rsidR="00316F46" w:rsidRPr="00DE0103">
        <w:rPr>
          <w:rFonts w:cstheme="minorHAnsi"/>
        </w:rPr>
        <w:t xml:space="preserve">by Year 6. </w:t>
      </w:r>
    </w:p>
    <w:p w14:paraId="21B88634" w14:textId="61BE22A1" w:rsidR="006B1DD7" w:rsidRDefault="006B1DD7" w:rsidP="006B1DD7">
      <w:pPr>
        <w:pStyle w:val="Caption"/>
      </w:pPr>
      <w:r>
        <w:t xml:space="preserve">Table </w:t>
      </w:r>
      <w:r w:rsidR="00340D39">
        <w:fldChar w:fldCharType="begin"/>
      </w:r>
      <w:r w:rsidR="00340D39">
        <w:instrText xml:space="preserve"> SEQ Table \* ARABIC </w:instrText>
      </w:r>
      <w:r w:rsidR="00340D39">
        <w:fldChar w:fldCharType="separate"/>
      </w:r>
      <w:r w:rsidR="009A5224">
        <w:rPr>
          <w:noProof/>
        </w:rPr>
        <w:t>16</w:t>
      </w:r>
      <w:r w:rsidR="00340D39">
        <w:rPr>
          <w:noProof/>
        </w:rPr>
        <w:fldChar w:fldCharType="end"/>
      </w:r>
      <w:r w:rsidR="009A66B0">
        <w:t xml:space="preserve">: Overall financial impact of IVL listing over 6 </w:t>
      </w:r>
      <w:proofErr w:type="gramStart"/>
      <w:r w:rsidR="009A66B0">
        <w:t>years</w:t>
      </w:r>
      <w:proofErr w:type="gramEnd"/>
    </w:p>
    <w:tbl>
      <w:tblPr>
        <w:tblStyle w:val="MSAC"/>
        <w:tblW w:w="9209" w:type="dxa"/>
        <w:tblLayout w:type="fixed"/>
        <w:tblCellMar>
          <w:left w:w="0" w:type="dxa"/>
          <w:right w:w="0" w:type="dxa"/>
        </w:tblCellMar>
        <w:tblLook w:val="04A0" w:firstRow="1" w:lastRow="0" w:firstColumn="1" w:lastColumn="0" w:noHBand="0" w:noVBand="1"/>
      </w:tblPr>
      <w:tblGrid>
        <w:gridCol w:w="2547"/>
        <w:gridCol w:w="1134"/>
        <w:gridCol w:w="1117"/>
        <w:gridCol w:w="1054"/>
        <w:gridCol w:w="1089"/>
        <w:gridCol w:w="1134"/>
        <w:gridCol w:w="1134"/>
      </w:tblGrid>
      <w:tr w:rsidR="00D428B9" w:rsidRPr="00CE28E3" w14:paraId="10C955A8" w14:textId="77777777" w:rsidTr="002C6233">
        <w:trPr>
          <w:cnfStyle w:val="100000000000" w:firstRow="1" w:lastRow="0" w:firstColumn="0" w:lastColumn="0" w:oddVBand="0" w:evenVBand="0" w:oddHBand="0" w:evenHBand="0" w:firstRowFirstColumn="0" w:firstRowLastColumn="0" w:lastRowFirstColumn="0" w:lastRowLastColumn="0"/>
        </w:trPr>
        <w:tc>
          <w:tcPr>
            <w:tcW w:w="2547" w:type="dxa"/>
            <w:tcMar>
              <w:top w:w="0" w:type="dxa"/>
              <w:left w:w="108" w:type="dxa"/>
              <w:bottom w:w="0" w:type="dxa"/>
              <w:right w:w="108" w:type="dxa"/>
            </w:tcMar>
          </w:tcPr>
          <w:p w14:paraId="7F0BEFFF" w14:textId="130CD43F" w:rsidR="00D428B9" w:rsidRPr="006B1DD7" w:rsidRDefault="00211DC3" w:rsidP="006B1DD7">
            <w:pPr>
              <w:pStyle w:val="TableText"/>
              <w:rPr>
                <w:b w:val="0"/>
                <w:bCs/>
              </w:rPr>
            </w:pPr>
            <w:bookmarkStart w:id="57" w:name="Title_Table12" w:colFirst="0" w:colLast="0"/>
            <w:bookmarkStart w:id="58" w:name="_Hlk68276802"/>
            <w:r w:rsidRPr="006B1DD7">
              <w:rPr>
                <w:bCs/>
              </w:rPr>
              <w:t>Parameter</w:t>
            </w:r>
            <w:r w:rsidR="001531D6" w:rsidRPr="006B1DD7">
              <w:rPr>
                <w:bCs/>
              </w:rPr>
              <w:t xml:space="preserve"> </w:t>
            </w:r>
          </w:p>
        </w:tc>
        <w:tc>
          <w:tcPr>
            <w:tcW w:w="1134" w:type="dxa"/>
            <w:tcMar>
              <w:top w:w="0" w:type="dxa"/>
              <w:left w:w="108" w:type="dxa"/>
              <w:bottom w:w="0" w:type="dxa"/>
              <w:right w:w="108" w:type="dxa"/>
            </w:tcMar>
            <w:hideMark/>
          </w:tcPr>
          <w:p w14:paraId="0802FC81" w14:textId="263B2ED7" w:rsidR="00D428B9" w:rsidRPr="006B1DD7" w:rsidRDefault="00D428B9" w:rsidP="000C6399">
            <w:pPr>
              <w:pStyle w:val="TableText"/>
              <w:jc w:val="center"/>
              <w:rPr>
                <w:b w:val="0"/>
                <w:bCs/>
              </w:rPr>
            </w:pPr>
            <w:r w:rsidRPr="006B1DD7">
              <w:rPr>
                <w:bCs/>
              </w:rPr>
              <w:t xml:space="preserve">Year </w:t>
            </w:r>
            <w:r w:rsidR="00D77B20" w:rsidRPr="006B1DD7">
              <w:rPr>
                <w:bCs/>
              </w:rPr>
              <w:t>20</w:t>
            </w:r>
            <w:r w:rsidR="00BC33EA" w:rsidRPr="006B1DD7">
              <w:rPr>
                <w:bCs/>
              </w:rPr>
              <w:t>24</w:t>
            </w:r>
          </w:p>
        </w:tc>
        <w:tc>
          <w:tcPr>
            <w:tcW w:w="1117" w:type="dxa"/>
            <w:tcMar>
              <w:top w:w="0" w:type="dxa"/>
              <w:left w:w="108" w:type="dxa"/>
              <w:bottom w:w="0" w:type="dxa"/>
              <w:right w:w="108" w:type="dxa"/>
            </w:tcMar>
            <w:hideMark/>
          </w:tcPr>
          <w:p w14:paraId="759DA5DF" w14:textId="06F5E71A" w:rsidR="00D428B9" w:rsidRPr="006B1DD7" w:rsidRDefault="00D428B9" w:rsidP="000C6399">
            <w:pPr>
              <w:pStyle w:val="TableText"/>
              <w:jc w:val="center"/>
              <w:rPr>
                <w:b w:val="0"/>
                <w:bCs/>
              </w:rPr>
            </w:pPr>
            <w:r w:rsidRPr="006B1DD7">
              <w:rPr>
                <w:bCs/>
              </w:rPr>
              <w:t xml:space="preserve">Year </w:t>
            </w:r>
            <w:r w:rsidR="00D77B20" w:rsidRPr="006B1DD7">
              <w:rPr>
                <w:bCs/>
              </w:rPr>
              <w:t>20</w:t>
            </w:r>
            <w:r w:rsidR="00BC33EA" w:rsidRPr="006B1DD7">
              <w:rPr>
                <w:bCs/>
              </w:rPr>
              <w:t>25</w:t>
            </w:r>
          </w:p>
        </w:tc>
        <w:tc>
          <w:tcPr>
            <w:tcW w:w="1054" w:type="dxa"/>
            <w:tcMar>
              <w:top w:w="0" w:type="dxa"/>
              <w:left w:w="108" w:type="dxa"/>
              <w:bottom w:w="0" w:type="dxa"/>
              <w:right w:w="108" w:type="dxa"/>
            </w:tcMar>
            <w:hideMark/>
          </w:tcPr>
          <w:p w14:paraId="3BF14104" w14:textId="50898838" w:rsidR="00D428B9" w:rsidRPr="006B1DD7" w:rsidRDefault="00D428B9" w:rsidP="000C6399">
            <w:pPr>
              <w:pStyle w:val="TableText"/>
              <w:jc w:val="center"/>
              <w:rPr>
                <w:b w:val="0"/>
                <w:bCs/>
              </w:rPr>
            </w:pPr>
            <w:r w:rsidRPr="006B1DD7">
              <w:rPr>
                <w:bCs/>
              </w:rPr>
              <w:t xml:space="preserve">Year </w:t>
            </w:r>
            <w:r w:rsidR="00D77B20" w:rsidRPr="006B1DD7">
              <w:rPr>
                <w:bCs/>
              </w:rPr>
              <w:t>20</w:t>
            </w:r>
            <w:r w:rsidR="00BC33EA" w:rsidRPr="006B1DD7">
              <w:rPr>
                <w:bCs/>
              </w:rPr>
              <w:t>26</w:t>
            </w:r>
          </w:p>
        </w:tc>
        <w:tc>
          <w:tcPr>
            <w:tcW w:w="1089" w:type="dxa"/>
            <w:tcMar>
              <w:top w:w="0" w:type="dxa"/>
              <w:left w:w="108" w:type="dxa"/>
              <w:bottom w:w="0" w:type="dxa"/>
              <w:right w:w="108" w:type="dxa"/>
            </w:tcMar>
            <w:hideMark/>
          </w:tcPr>
          <w:p w14:paraId="31580A99" w14:textId="17EB74F7" w:rsidR="00D428B9" w:rsidRPr="006B1DD7" w:rsidRDefault="00D428B9" w:rsidP="000C6399">
            <w:pPr>
              <w:pStyle w:val="TableText"/>
              <w:jc w:val="center"/>
              <w:rPr>
                <w:b w:val="0"/>
                <w:bCs/>
              </w:rPr>
            </w:pPr>
            <w:r w:rsidRPr="006B1DD7">
              <w:rPr>
                <w:bCs/>
              </w:rPr>
              <w:t xml:space="preserve">Year </w:t>
            </w:r>
            <w:r w:rsidR="00D77B20" w:rsidRPr="006B1DD7">
              <w:rPr>
                <w:bCs/>
              </w:rPr>
              <w:t>20</w:t>
            </w:r>
            <w:r w:rsidR="00BC33EA" w:rsidRPr="006B1DD7">
              <w:rPr>
                <w:bCs/>
              </w:rPr>
              <w:t>27</w:t>
            </w:r>
          </w:p>
        </w:tc>
        <w:tc>
          <w:tcPr>
            <w:tcW w:w="1134" w:type="dxa"/>
            <w:tcMar>
              <w:top w:w="0" w:type="dxa"/>
              <w:left w:w="108" w:type="dxa"/>
              <w:bottom w:w="0" w:type="dxa"/>
              <w:right w:w="108" w:type="dxa"/>
            </w:tcMar>
            <w:hideMark/>
          </w:tcPr>
          <w:p w14:paraId="199B68C0" w14:textId="58941863" w:rsidR="00D428B9" w:rsidRPr="006B1DD7" w:rsidRDefault="00D428B9" w:rsidP="000C6399">
            <w:pPr>
              <w:pStyle w:val="TableText"/>
              <w:jc w:val="center"/>
              <w:rPr>
                <w:b w:val="0"/>
                <w:bCs/>
              </w:rPr>
            </w:pPr>
            <w:r w:rsidRPr="006B1DD7">
              <w:rPr>
                <w:bCs/>
              </w:rPr>
              <w:t xml:space="preserve">Year </w:t>
            </w:r>
            <w:r w:rsidR="00D77B20" w:rsidRPr="006B1DD7">
              <w:rPr>
                <w:bCs/>
              </w:rPr>
              <w:t>20</w:t>
            </w:r>
            <w:r w:rsidR="00BC33EA" w:rsidRPr="006B1DD7">
              <w:rPr>
                <w:bCs/>
              </w:rPr>
              <w:t>28</w:t>
            </w:r>
          </w:p>
        </w:tc>
        <w:tc>
          <w:tcPr>
            <w:tcW w:w="1134" w:type="dxa"/>
            <w:tcMar>
              <w:top w:w="0" w:type="dxa"/>
              <w:left w:w="108" w:type="dxa"/>
              <w:bottom w:w="0" w:type="dxa"/>
              <w:right w:w="108" w:type="dxa"/>
            </w:tcMar>
            <w:hideMark/>
          </w:tcPr>
          <w:p w14:paraId="7A0E4711" w14:textId="1EDAFC07" w:rsidR="00D428B9" w:rsidRPr="006B1DD7" w:rsidRDefault="00D428B9" w:rsidP="000C6399">
            <w:pPr>
              <w:pStyle w:val="TableText"/>
              <w:jc w:val="center"/>
              <w:rPr>
                <w:b w:val="0"/>
                <w:bCs/>
              </w:rPr>
            </w:pPr>
            <w:r w:rsidRPr="006B1DD7">
              <w:rPr>
                <w:bCs/>
              </w:rPr>
              <w:t xml:space="preserve">Year </w:t>
            </w:r>
            <w:r w:rsidR="00D77B20" w:rsidRPr="006B1DD7">
              <w:rPr>
                <w:bCs/>
              </w:rPr>
              <w:t>20</w:t>
            </w:r>
            <w:r w:rsidR="00BC33EA" w:rsidRPr="006B1DD7">
              <w:rPr>
                <w:bCs/>
              </w:rPr>
              <w:t>29</w:t>
            </w:r>
          </w:p>
        </w:tc>
      </w:tr>
      <w:tr w:rsidR="000C6399" w:rsidRPr="00CE28E3" w14:paraId="555CBA4C" w14:textId="77777777" w:rsidTr="002C6233">
        <w:tc>
          <w:tcPr>
            <w:tcW w:w="9209" w:type="dxa"/>
            <w:gridSpan w:val="7"/>
            <w:tcMar>
              <w:top w:w="0" w:type="dxa"/>
              <w:left w:w="108" w:type="dxa"/>
              <w:bottom w:w="0" w:type="dxa"/>
              <w:right w:w="108" w:type="dxa"/>
            </w:tcMar>
          </w:tcPr>
          <w:p w14:paraId="21B91B65" w14:textId="7A511267" w:rsidR="000C6399" w:rsidRPr="000C6399" w:rsidRDefault="000C6399" w:rsidP="006B1DD7">
            <w:pPr>
              <w:pStyle w:val="TableText"/>
              <w:rPr>
                <w:b/>
                <w:bCs/>
              </w:rPr>
            </w:pPr>
            <w:r w:rsidRPr="000C6399">
              <w:rPr>
                <w:b/>
                <w:bCs/>
              </w:rPr>
              <w:t>PICO set 1</w:t>
            </w:r>
          </w:p>
        </w:tc>
      </w:tr>
      <w:bookmarkEnd w:id="57"/>
      <w:tr w:rsidR="00D428B9" w:rsidRPr="00CE28E3" w14:paraId="5778418C" w14:textId="77777777" w:rsidTr="002C6233">
        <w:tc>
          <w:tcPr>
            <w:tcW w:w="9209" w:type="dxa"/>
            <w:gridSpan w:val="7"/>
            <w:tcMar>
              <w:top w:w="0" w:type="dxa"/>
              <w:left w:w="108" w:type="dxa"/>
              <w:bottom w:w="0" w:type="dxa"/>
              <w:right w:w="108" w:type="dxa"/>
            </w:tcMar>
            <w:hideMark/>
          </w:tcPr>
          <w:p w14:paraId="16E7D8E3" w14:textId="77777777" w:rsidR="00D428B9" w:rsidRPr="00CE28E3" w:rsidRDefault="00D428B9" w:rsidP="006B1DD7">
            <w:pPr>
              <w:pStyle w:val="TableText"/>
            </w:pPr>
            <w:r w:rsidRPr="00CE28E3">
              <w:t>Estimated use and cost of the proposed health technology</w:t>
            </w:r>
          </w:p>
        </w:tc>
      </w:tr>
      <w:tr w:rsidR="00C25828" w:rsidRPr="00CE28E3" w14:paraId="16C50CDA" w14:textId="77777777" w:rsidTr="002C6233">
        <w:tc>
          <w:tcPr>
            <w:tcW w:w="2547" w:type="dxa"/>
            <w:tcMar>
              <w:top w:w="0" w:type="dxa"/>
              <w:left w:w="108" w:type="dxa"/>
              <w:bottom w:w="0" w:type="dxa"/>
              <w:right w:w="108" w:type="dxa"/>
            </w:tcMar>
            <w:hideMark/>
          </w:tcPr>
          <w:p w14:paraId="3B7783D5" w14:textId="06794B6B" w:rsidR="00C25828" w:rsidRPr="00CE28E3" w:rsidRDefault="00C25828" w:rsidP="006B1DD7">
            <w:pPr>
              <w:pStyle w:val="TableText"/>
            </w:pPr>
            <w:r w:rsidRPr="00CE28E3">
              <w:t xml:space="preserve">Number of people eligible for </w:t>
            </w:r>
            <w:r>
              <w:t>IVL</w:t>
            </w:r>
          </w:p>
        </w:tc>
        <w:tc>
          <w:tcPr>
            <w:tcW w:w="1134" w:type="dxa"/>
            <w:tcMar>
              <w:top w:w="0" w:type="dxa"/>
              <w:left w:w="108" w:type="dxa"/>
              <w:bottom w:w="0" w:type="dxa"/>
              <w:right w:w="108" w:type="dxa"/>
            </w:tcMar>
          </w:tcPr>
          <w:p w14:paraId="73095266" w14:textId="0E1766FE" w:rsidR="00C25828" w:rsidRPr="00CE28E3" w:rsidRDefault="00402C3A" w:rsidP="000C6399">
            <w:pPr>
              <w:pStyle w:val="TableText"/>
              <w:jc w:val="center"/>
            </w:pPr>
            <w:r w:rsidRPr="00B73D4C">
              <w:rPr>
                <w:b/>
                <w:bCs/>
              </w:rPr>
              <w:t>redacted</w:t>
            </w:r>
          </w:p>
        </w:tc>
        <w:tc>
          <w:tcPr>
            <w:tcW w:w="1117" w:type="dxa"/>
            <w:tcMar>
              <w:top w:w="0" w:type="dxa"/>
              <w:left w:w="108" w:type="dxa"/>
              <w:bottom w:w="0" w:type="dxa"/>
              <w:right w:w="108" w:type="dxa"/>
            </w:tcMar>
          </w:tcPr>
          <w:p w14:paraId="47AB12F5" w14:textId="4306106B" w:rsidR="00C25828" w:rsidRPr="00CE28E3" w:rsidRDefault="00402C3A" w:rsidP="000C6399">
            <w:pPr>
              <w:pStyle w:val="TableText"/>
              <w:jc w:val="center"/>
            </w:pPr>
            <w:r w:rsidRPr="00B73D4C">
              <w:rPr>
                <w:b/>
                <w:bCs/>
              </w:rPr>
              <w:t>redacted</w:t>
            </w:r>
          </w:p>
        </w:tc>
        <w:tc>
          <w:tcPr>
            <w:tcW w:w="1054" w:type="dxa"/>
            <w:tcMar>
              <w:top w:w="0" w:type="dxa"/>
              <w:left w:w="108" w:type="dxa"/>
              <w:bottom w:w="0" w:type="dxa"/>
              <w:right w:w="108" w:type="dxa"/>
            </w:tcMar>
          </w:tcPr>
          <w:p w14:paraId="09031D3F" w14:textId="039949B8" w:rsidR="00C25828" w:rsidRPr="00CE28E3" w:rsidRDefault="00402C3A" w:rsidP="000C6399">
            <w:pPr>
              <w:pStyle w:val="TableText"/>
              <w:jc w:val="center"/>
            </w:pPr>
            <w:r w:rsidRPr="00B73D4C">
              <w:rPr>
                <w:b/>
                <w:bCs/>
              </w:rPr>
              <w:t>redacted</w:t>
            </w:r>
          </w:p>
        </w:tc>
        <w:tc>
          <w:tcPr>
            <w:tcW w:w="1089" w:type="dxa"/>
            <w:tcMar>
              <w:top w:w="0" w:type="dxa"/>
              <w:left w:w="108" w:type="dxa"/>
              <w:bottom w:w="0" w:type="dxa"/>
              <w:right w:w="108" w:type="dxa"/>
            </w:tcMar>
          </w:tcPr>
          <w:p w14:paraId="57859E00" w14:textId="48A31AE4" w:rsidR="00C25828" w:rsidRPr="00CE28E3" w:rsidRDefault="00402C3A" w:rsidP="000C6399">
            <w:pPr>
              <w:pStyle w:val="TableText"/>
              <w:jc w:val="center"/>
            </w:pPr>
            <w:r w:rsidRPr="00B73D4C">
              <w:rPr>
                <w:b/>
                <w:bCs/>
              </w:rPr>
              <w:t>redacted</w:t>
            </w:r>
          </w:p>
        </w:tc>
        <w:tc>
          <w:tcPr>
            <w:tcW w:w="1134" w:type="dxa"/>
            <w:tcMar>
              <w:top w:w="0" w:type="dxa"/>
              <w:left w:w="108" w:type="dxa"/>
              <w:bottom w:w="0" w:type="dxa"/>
              <w:right w:w="108" w:type="dxa"/>
            </w:tcMar>
          </w:tcPr>
          <w:p w14:paraId="3C0B54F8" w14:textId="7A9D4E48" w:rsidR="00C25828" w:rsidRPr="00CE28E3" w:rsidRDefault="00402C3A" w:rsidP="000C6399">
            <w:pPr>
              <w:pStyle w:val="TableText"/>
              <w:jc w:val="center"/>
            </w:pPr>
            <w:r w:rsidRPr="00B73D4C">
              <w:rPr>
                <w:b/>
                <w:bCs/>
              </w:rPr>
              <w:t>redacted</w:t>
            </w:r>
          </w:p>
        </w:tc>
        <w:tc>
          <w:tcPr>
            <w:tcW w:w="1134" w:type="dxa"/>
            <w:tcMar>
              <w:top w:w="0" w:type="dxa"/>
              <w:left w:w="108" w:type="dxa"/>
              <w:bottom w:w="0" w:type="dxa"/>
              <w:right w:w="108" w:type="dxa"/>
            </w:tcMar>
          </w:tcPr>
          <w:p w14:paraId="19C7884F" w14:textId="7FD12347" w:rsidR="00C25828" w:rsidRPr="00CE28E3" w:rsidRDefault="00402C3A" w:rsidP="000C6399">
            <w:pPr>
              <w:pStyle w:val="TableText"/>
              <w:jc w:val="center"/>
            </w:pPr>
            <w:r w:rsidRPr="00B73D4C">
              <w:rPr>
                <w:b/>
                <w:bCs/>
              </w:rPr>
              <w:t>redacted</w:t>
            </w:r>
          </w:p>
        </w:tc>
      </w:tr>
      <w:tr w:rsidR="00A44498" w:rsidRPr="00CE28E3" w14:paraId="755DEAF4" w14:textId="77777777" w:rsidTr="002C6233">
        <w:tc>
          <w:tcPr>
            <w:tcW w:w="2547" w:type="dxa"/>
            <w:tcMar>
              <w:top w:w="0" w:type="dxa"/>
              <w:left w:w="108" w:type="dxa"/>
              <w:bottom w:w="0" w:type="dxa"/>
              <w:right w:w="108" w:type="dxa"/>
            </w:tcMar>
            <w:hideMark/>
          </w:tcPr>
          <w:p w14:paraId="208ACBFB" w14:textId="793BAE9F" w:rsidR="00A44498" w:rsidRPr="00CE28E3" w:rsidRDefault="00A44498" w:rsidP="006B1DD7">
            <w:pPr>
              <w:pStyle w:val="TableText"/>
            </w:pPr>
            <w:r w:rsidRPr="00CE28E3">
              <w:t xml:space="preserve">Number of people who receive </w:t>
            </w:r>
            <w:r>
              <w:t>IVL</w:t>
            </w:r>
          </w:p>
        </w:tc>
        <w:tc>
          <w:tcPr>
            <w:tcW w:w="1134" w:type="dxa"/>
            <w:tcMar>
              <w:top w:w="0" w:type="dxa"/>
              <w:left w:w="108" w:type="dxa"/>
              <w:bottom w:w="0" w:type="dxa"/>
              <w:right w:w="108" w:type="dxa"/>
            </w:tcMar>
          </w:tcPr>
          <w:p w14:paraId="07C02C49" w14:textId="15435634" w:rsidR="00A44498" w:rsidRPr="00CE28E3" w:rsidRDefault="00402C3A" w:rsidP="000C6399">
            <w:pPr>
              <w:pStyle w:val="TableText"/>
              <w:jc w:val="center"/>
            </w:pPr>
            <w:r w:rsidRPr="00B73D4C">
              <w:rPr>
                <w:b/>
                <w:bCs/>
              </w:rPr>
              <w:t>redacted</w:t>
            </w:r>
          </w:p>
        </w:tc>
        <w:tc>
          <w:tcPr>
            <w:tcW w:w="1117" w:type="dxa"/>
            <w:tcMar>
              <w:top w:w="0" w:type="dxa"/>
              <w:left w:w="108" w:type="dxa"/>
              <w:bottom w:w="0" w:type="dxa"/>
              <w:right w:w="108" w:type="dxa"/>
            </w:tcMar>
          </w:tcPr>
          <w:p w14:paraId="726FA6A9" w14:textId="534EC2A9" w:rsidR="00A44498" w:rsidRPr="00CE28E3" w:rsidRDefault="00402C3A" w:rsidP="000C6399">
            <w:pPr>
              <w:pStyle w:val="TableText"/>
              <w:jc w:val="center"/>
            </w:pPr>
            <w:r w:rsidRPr="00B73D4C">
              <w:rPr>
                <w:b/>
                <w:bCs/>
              </w:rPr>
              <w:t>redacted</w:t>
            </w:r>
          </w:p>
        </w:tc>
        <w:tc>
          <w:tcPr>
            <w:tcW w:w="1054" w:type="dxa"/>
            <w:tcMar>
              <w:top w:w="0" w:type="dxa"/>
              <w:left w:w="108" w:type="dxa"/>
              <w:bottom w:w="0" w:type="dxa"/>
              <w:right w:w="108" w:type="dxa"/>
            </w:tcMar>
          </w:tcPr>
          <w:p w14:paraId="40599FCD" w14:textId="0F8EA8F6" w:rsidR="00A44498" w:rsidRPr="00CE28E3" w:rsidRDefault="00402C3A" w:rsidP="000C6399">
            <w:pPr>
              <w:pStyle w:val="TableText"/>
              <w:jc w:val="center"/>
            </w:pPr>
            <w:r w:rsidRPr="00B73D4C">
              <w:rPr>
                <w:b/>
                <w:bCs/>
              </w:rPr>
              <w:t>redacted</w:t>
            </w:r>
          </w:p>
        </w:tc>
        <w:tc>
          <w:tcPr>
            <w:tcW w:w="1089" w:type="dxa"/>
            <w:tcMar>
              <w:top w:w="0" w:type="dxa"/>
              <w:left w:w="108" w:type="dxa"/>
              <w:bottom w:w="0" w:type="dxa"/>
              <w:right w:w="108" w:type="dxa"/>
            </w:tcMar>
          </w:tcPr>
          <w:p w14:paraId="49543F6F" w14:textId="6EF4977E" w:rsidR="00A44498" w:rsidRPr="00CE28E3" w:rsidRDefault="00402C3A" w:rsidP="000C6399">
            <w:pPr>
              <w:pStyle w:val="TableText"/>
              <w:jc w:val="center"/>
            </w:pPr>
            <w:r w:rsidRPr="00B73D4C">
              <w:rPr>
                <w:b/>
                <w:bCs/>
              </w:rPr>
              <w:t>redacted</w:t>
            </w:r>
          </w:p>
        </w:tc>
        <w:tc>
          <w:tcPr>
            <w:tcW w:w="1134" w:type="dxa"/>
            <w:tcMar>
              <w:top w:w="0" w:type="dxa"/>
              <w:left w:w="108" w:type="dxa"/>
              <w:bottom w:w="0" w:type="dxa"/>
              <w:right w:w="108" w:type="dxa"/>
            </w:tcMar>
          </w:tcPr>
          <w:p w14:paraId="4012557F" w14:textId="3864AA78" w:rsidR="00A44498" w:rsidRPr="00CE28E3" w:rsidRDefault="00402C3A" w:rsidP="000C6399">
            <w:pPr>
              <w:pStyle w:val="TableText"/>
              <w:jc w:val="center"/>
            </w:pPr>
            <w:r w:rsidRPr="00B73D4C">
              <w:rPr>
                <w:b/>
                <w:bCs/>
              </w:rPr>
              <w:t>redacted</w:t>
            </w:r>
          </w:p>
        </w:tc>
        <w:tc>
          <w:tcPr>
            <w:tcW w:w="1134" w:type="dxa"/>
            <w:tcMar>
              <w:top w:w="0" w:type="dxa"/>
              <w:left w:w="108" w:type="dxa"/>
              <w:bottom w:w="0" w:type="dxa"/>
              <w:right w:w="108" w:type="dxa"/>
            </w:tcMar>
          </w:tcPr>
          <w:p w14:paraId="1A66D09E" w14:textId="08EC9470" w:rsidR="00A44498" w:rsidRPr="00CE28E3" w:rsidRDefault="00402C3A" w:rsidP="000C6399">
            <w:pPr>
              <w:pStyle w:val="TableText"/>
              <w:jc w:val="center"/>
            </w:pPr>
            <w:r w:rsidRPr="00B73D4C">
              <w:rPr>
                <w:b/>
                <w:bCs/>
              </w:rPr>
              <w:t>redacted</w:t>
            </w:r>
          </w:p>
        </w:tc>
      </w:tr>
      <w:tr w:rsidR="00A44498" w:rsidRPr="00CE28E3" w14:paraId="17BAD6C0" w14:textId="77777777" w:rsidTr="002C6233">
        <w:tc>
          <w:tcPr>
            <w:tcW w:w="2547" w:type="dxa"/>
            <w:tcMar>
              <w:top w:w="0" w:type="dxa"/>
              <w:left w:w="108" w:type="dxa"/>
              <w:bottom w:w="0" w:type="dxa"/>
              <w:right w:w="108" w:type="dxa"/>
            </w:tcMar>
            <w:hideMark/>
          </w:tcPr>
          <w:p w14:paraId="5FDD856A" w14:textId="5AAE788F" w:rsidR="00A44498" w:rsidRPr="00CE28E3" w:rsidRDefault="00A44498" w:rsidP="006B1DD7">
            <w:pPr>
              <w:pStyle w:val="TableText"/>
            </w:pPr>
            <w:r w:rsidRPr="00CE28E3">
              <w:t xml:space="preserve">Cost to the </w:t>
            </w:r>
            <w:r>
              <w:t>MBS</w:t>
            </w:r>
            <w:r w:rsidRPr="00CE28E3">
              <w:t xml:space="preserve"> (with appropriate copayments excluded)</w:t>
            </w:r>
          </w:p>
        </w:tc>
        <w:tc>
          <w:tcPr>
            <w:tcW w:w="1134" w:type="dxa"/>
            <w:tcMar>
              <w:top w:w="0" w:type="dxa"/>
              <w:left w:w="108" w:type="dxa"/>
              <w:bottom w:w="0" w:type="dxa"/>
              <w:right w:w="108" w:type="dxa"/>
            </w:tcMar>
          </w:tcPr>
          <w:p w14:paraId="50542506" w14:textId="7707542B" w:rsidR="00A44498" w:rsidRPr="00CE28E3" w:rsidRDefault="00A44498" w:rsidP="000C6399">
            <w:pPr>
              <w:pStyle w:val="TableText"/>
              <w:jc w:val="center"/>
            </w:pPr>
            <w:r w:rsidRPr="001740AE">
              <w:t>$</w:t>
            </w:r>
            <w:r w:rsidR="00402C3A" w:rsidRPr="00B73D4C">
              <w:rPr>
                <w:b/>
                <w:bCs/>
              </w:rPr>
              <w:t xml:space="preserve"> redacted</w:t>
            </w:r>
          </w:p>
        </w:tc>
        <w:tc>
          <w:tcPr>
            <w:tcW w:w="1117" w:type="dxa"/>
            <w:tcMar>
              <w:top w:w="0" w:type="dxa"/>
              <w:left w:w="108" w:type="dxa"/>
              <w:bottom w:w="0" w:type="dxa"/>
              <w:right w:w="108" w:type="dxa"/>
            </w:tcMar>
          </w:tcPr>
          <w:p w14:paraId="471D3823" w14:textId="6F34DA66" w:rsidR="00A44498" w:rsidRPr="00CE28E3" w:rsidRDefault="00A44498" w:rsidP="000C6399">
            <w:pPr>
              <w:pStyle w:val="TableText"/>
              <w:jc w:val="center"/>
            </w:pPr>
            <w:r w:rsidRPr="001740AE">
              <w:t>$</w:t>
            </w:r>
            <w:r w:rsidR="00402C3A" w:rsidRPr="00B73D4C">
              <w:rPr>
                <w:b/>
                <w:bCs/>
              </w:rPr>
              <w:t xml:space="preserve"> redacted</w:t>
            </w:r>
          </w:p>
        </w:tc>
        <w:tc>
          <w:tcPr>
            <w:tcW w:w="1054" w:type="dxa"/>
            <w:tcMar>
              <w:top w:w="0" w:type="dxa"/>
              <w:left w:w="108" w:type="dxa"/>
              <w:bottom w:w="0" w:type="dxa"/>
              <w:right w:w="108" w:type="dxa"/>
            </w:tcMar>
          </w:tcPr>
          <w:p w14:paraId="46FF7234" w14:textId="1EAAD282" w:rsidR="00A44498" w:rsidRPr="00CE28E3" w:rsidRDefault="00A44498" w:rsidP="000C6399">
            <w:pPr>
              <w:pStyle w:val="TableText"/>
              <w:jc w:val="center"/>
            </w:pPr>
            <w:r w:rsidRPr="001740AE">
              <w:t>$</w:t>
            </w:r>
            <w:r w:rsidR="00402C3A" w:rsidRPr="00B73D4C">
              <w:rPr>
                <w:b/>
                <w:bCs/>
              </w:rPr>
              <w:t xml:space="preserve"> redacted</w:t>
            </w:r>
          </w:p>
        </w:tc>
        <w:tc>
          <w:tcPr>
            <w:tcW w:w="1089" w:type="dxa"/>
            <w:tcMar>
              <w:top w:w="0" w:type="dxa"/>
              <w:left w:w="108" w:type="dxa"/>
              <w:bottom w:w="0" w:type="dxa"/>
              <w:right w:w="108" w:type="dxa"/>
            </w:tcMar>
          </w:tcPr>
          <w:p w14:paraId="50CD0669" w14:textId="1A5A8046" w:rsidR="00A44498" w:rsidRPr="00CE28E3" w:rsidRDefault="00A44498" w:rsidP="000C6399">
            <w:pPr>
              <w:pStyle w:val="TableText"/>
              <w:jc w:val="center"/>
            </w:pPr>
            <w:r w:rsidRPr="001740AE">
              <w:t>$</w:t>
            </w:r>
            <w:r w:rsidR="00402C3A" w:rsidRPr="00B73D4C">
              <w:rPr>
                <w:b/>
                <w:bCs/>
              </w:rPr>
              <w:t xml:space="preserve"> redacted</w:t>
            </w:r>
          </w:p>
        </w:tc>
        <w:tc>
          <w:tcPr>
            <w:tcW w:w="1134" w:type="dxa"/>
            <w:tcMar>
              <w:top w:w="0" w:type="dxa"/>
              <w:left w:w="108" w:type="dxa"/>
              <w:bottom w:w="0" w:type="dxa"/>
              <w:right w:w="108" w:type="dxa"/>
            </w:tcMar>
          </w:tcPr>
          <w:p w14:paraId="647BDBF5" w14:textId="1CF7B601" w:rsidR="00A44498" w:rsidRPr="00CE28E3" w:rsidRDefault="00A44498" w:rsidP="000C6399">
            <w:pPr>
              <w:pStyle w:val="TableText"/>
              <w:jc w:val="center"/>
            </w:pPr>
            <w:r w:rsidRPr="001740AE">
              <w:t>$</w:t>
            </w:r>
            <w:r w:rsidR="00402C3A" w:rsidRPr="00B73D4C">
              <w:rPr>
                <w:b/>
                <w:bCs/>
              </w:rPr>
              <w:t xml:space="preserve"> redacted</w:t>
            </w:r>
          </w:p>
        </w:tc>
        <w:tc>
          <w:tcPr>
            <w:tcW w:w="1134" w:type="dxa"/>
            <w:tcMar>
              <w:top w:w="0" w:type="dxa"/>
              <w:left w:w="108" w:type="dxa"/>
              <w:bottom w:w="0" w:type="dxa"/>
              <w:right w:w="108" w:type="dxa"/>
            </w:tcMar>
          </w:tcPr>
          <w:p w14:paraId="7EB242D5" w14:textId="660DFD28" w:rsidR="00A44498" w:rsidRPr="00CE28E3" w:rsidRDefault="00A44498" w:rsidP="000C6399">
            <w:pPr>
              <w:pStyle w:val="TableText"/>
              <w:jc w:val="center"/>
            </w:pPr>
            <w:r>
              <w:t>$</w:t>
            </w:r>
            <w:r w:rsidR="00402C3A" w:rsidRPr="00B73D4C">
              <w:rPr>
                <w:b/>
                <w:bCs/>
              </w:rPr>
              <w:t xml:space="preserve"> redacted</w:t>
            </w:r>
          </w:p>
        </w:tc>
      </w:tr>
      <w:tr w:rsidR="00A44498" w:rsidRPr="00CE28E3" w14:paraId="5BC9C961" w14:textId="77777777" w:rsidTr="002C6233">
        <w:tc>
          <w:tcPr>
            <w:tcW w:w="9209" w:type="dxa"/>
            <w:gridSpan w:val="7"/>
            <w:tcMar>
              <w:top w:w="0" w:type="dxa"/>
              <w:left w:w="108" w:type="dxa"/>
              <w:bottom w:w="0" w:type="dxa"/>
              <w:right w:w="108" w:type="dxa"/>
            </w:tcMar>
            <w:hideMark/>
          </w:tcPr>
          <w:p w14:paraId="75CD307B" w14:textId="77777777" w:rsidR="00A44498" w:rsidRPr="00CE28E3" w:rsidRDefault="00A44498" w:rsidP="006B1DD7">
            <w:pPr>
              <w:pStyle w:val="TableText"/>
            </w:pPr>
            <w:r w:rsidRPr="00CE28E3">
              <w:t>Change in use and cost of other health technologies</w:t>
            </w:r>
          </w:p>
        </w:tc>
      </w:tr>
      <w:tr w:rsidR="00510ED1" w:rsidRPr="00CE28E3" w14:paraId="141B431A" w14:textId="77777777" w:rsidTr="002C6233">
        <w:tc>
          <w:tcPr>
            <w:tcW w:w="2547" w:type="dxa"/>
            <w:tcMar>
              <w:top w:w="0" w:type="dxa"/>
              <w:left w:w="108" w:type="dxa"/>
              <w:bottom w:w="0" w:type="dxa"/>
              <w:right w:w="108" w:type="dxa"/>
            </w:tcMar>
            <w:hideMark/>
          </w:tcPr>
          <w:p w14:paraId="673F8140" w14:textId="68EFCF94" w:rsidR="00510ED1" w:rsidRPr="00CE28E3" w:rsidRDefault="00510ED1" w:rsidP="006B1DD7">
            <w:pPr>
              <w:pStyle w:val="TableText"/>
            </w:pPr>
            <w:r>
              <w:t>Change in use of SBA and stent insertion</w:t>
            </w:r>
          </w:p>
        </w:tc>
        <w:tc>
          <w:tcPr>
            <w:tcW w:w="1134" w:type="dxa"/>
            <w:tcMar>
              <w:top w:w="0" w:type="dxa"/>
              <w:left w:w="108" w:type="dxa"/>
              <w:bottom w:w="0" w:type="dxa"/>
              <w:right w:w="108" w:type="dxa"/>
            </w:tcMar>
          </w:tcPr>
          <w:p w14:paraId="0A4E6D7D" w14:textId="78B63DEB" w:rsidR="00510ED1" w:rsidRPr="00CE28E3" w:rsidRDefault="00402C3A" w:rsidP="000C6399">
            <w:pPr>
              <w:pStyle w:val="TableText"/>
              <w:jc w:val="center"/>
            </w:pPr>
            <w:r w:rsidRPr="00B73D4C">
              <w:rPr>
                <w:b/>
                <w:bCs/>
              </w:rPr>
              <w:t>redacted</w:t>
            </w:r>
          </w:p>
        </w:tc>
        <w:tc>
          <w:tcPr>
            <w:tcW w:w="1117" w:type="dxa"/>
            <w:tcMar>
              <w:top w:w="0" w:type="dxa"/>
              <w:left w:w="108" w:type="dxa"/>
              <w:bottom w:w="0" w:type="dxa"/>
              <w:right w:w="108" w:type="dxa"/>
            </w:tcMar>
          </w:tcPr>
          <w:p w14:paraId="7DCB03D6" w14:textId="756EE17F" w:rsidR="00510ED1" w:rsidRPr="00CE28E3" w:rsidRDefault="00402C3A" w:rsidP="000C6399">
            <w:pPr>
              <w:pStyle w:val="TableText"/>
              <w:jc w:val="center"/>
            </w:pPr>
            <w:r w:rsidRPr="00B73D4C">
              <w:rPr>
                <w:b/>
                <w:bCs/>
              </w:rPr>
              <w:t>redacted</w:t>
            </w:r>
          </w:p>
        </w:tc>
        <w:tc>
          <w:tcPr>
            <w:tcW w:w="1054" w:type="dxa"/>
            <w:tcMar>
              <w:top w:w="0" w:type="dxa"/>
              <w:left w:w="108" w:type="dxa"/>
              <w:bottom w:w="0" w:type="dxa"/>
              <w:right w:w="108" w:type="dxa"/>
            </w:tcMar>
          </w:tcPr>
          <w:p w14:paraId="705F281E" w14:textId="2449B82E" w:rsidR="00510ED1" w:rsidRPr="00CE28E3" w:rsidRDefault="00402C3A" w:rsidP="000C6399">
            <w:pPr>
              <w:pStyle w:val="TableText"/>
              <w:jc w:val="center"/>
            </w:pPr>
            <w:r w:rsidRPr="00B73D4C">
              <w:rPr>
                <w:b/>
                <w:bCs/>
              </w:rPr>
              <w:t>redacted</w:t>
            </w:r>
          </w:p>
        </w:tc>
        <w:tc>
          <w:tcPr>
            <w:tcW w:w="1089" w:type="dxa"/>
            <w:tcMar>
              <w:top w:w="0" w:type="dxa"/>
              <w:left w:w="108" w:type="dxa"/>
              <w:bottom w:w="0" w:type="dxa"/>
              <w:right w:w="108" w:type="dxa"/>
            </w:tcMar>
          </w:tcPr>
          <w:p w14:paraId="0D92FF03" w14:textId="0DCC03FB" w:rsidR="00510ED1" w:rsidRPr="00CE28E3" w:rsidRDefault="00402C3A" w:rsidP="000C6399">
            <w:pPr>
              <w:pStyle w:val="TableText"/>
              <w:jc w:val="center"/>
            </w:pPr>
            <w:r w:rsidRPr="00B73D4C">
              <w:rPr>
                <w:b/>
                <w:bCs/>
              </w:rPr>
              <w:t>redacted</w:t>
            </w:r>
          </w:p>
        </w:tc>
        <w:tc>
          <w:tcPr>
            <w:tcW w:w="1134" w:type="dxa"/>
            <w:tcMar>
              <w:top w:w="0" w:type="dxa"/>
              <w:left w:w="108" w:type="dxa"/>
              <w:bottom w:w="0" w:type="dxa"/>
              <w:right w:w="108" w:type="dxa"/>
            </w:tcMar>
          </w:tcPr>
          <w:p w14:paraId="5B4DD028" w14:textId="271C9443" w:rsidR="00510ED1" w:rsidRPr="00CE28E3" w:rsidRDefault="00402C3A" w:rsidP="000C6399">
            <w:pPr>
              <w:pStyle w:val="TableText"/>
              <w:jc w:val="center"/>
            </w:pPr>
            <w:r w:rsidRPr="00B73D4C">
              <w:rPr>
                <w:b/>
                <w:bCs/>
              </w:rPr>
              <w:t>redacted</w:t>
            </w:r>
          </w:p>
        </w:tc>
        <w:tc>
          <w:tcPr>
            <w:tcW w:w="1134" w:type="dxa"/>
            <w:tcMar>
              <w:top w:w="0" w:type="dxa"/>
              <w:left w:w="108" w:type="dxa"/>
              <w:bottom w:w="0" w:type="dxa"/>
              <w:right w:w="108" w:type="dxa"/>
            </w:tcMar>
          </w:tcPr>
          <w:p w14:paraId="533785F7" w14:textId="0E70A410" w:rsidR="00510ED1" w:rsidRPr="00CE28E3" w:rsidRDefault="00402C3A" w:rsidP="000C6399">
            <w:pPr>
              <w:pStyle w:val="TableText"/>
              <w:jc w:val="center"/>
            </w:pPr>
            <w:r w:rsidRPr="00B73D4C">
              <w:rPr>
                <w:b/>
                <w:bCs/>
              </w:rPr>
              <w:t>redacted</w:t>
            </w:r>
          </w:p>
        </w:tc>
      </w:tr>
      <w:tr w:rsidR="00510ED1" w:rsidRPr="00CE28E3" w14:paraId="7537920A" w14:textId="77777777" w:rsidTr="002C6233">
        <w:tc>
          <w:tcPr>
            <w:tcW w:w="2547" w:type="dxa"/>
            <w:tcMar>
              <w:top w:w="0" w:type="dxa"/>
              <w:left w:w="108" w:type="dxa"/>
              <w:bottom w:w="0" w:type="dxa"/>
              <w:right w:w="108" w:type="dxa"/>
            </w:tcMar>
            <w:hideMark/>
          </w:tcPr>
          <w:p w14:paraId="6F267375" w14:textId="3DD2C8DF" w:rsidR="00510ED1" w:rsidRPr="00CE28E3" w:rsidRDefault="00510ED1" w:rsidP="006B1DD7">
            <w:pPr>
              <w:pStyle w:val="TableText"/>
            </w:pPr>
            <w:r w:rsidRPr="00CE28E3">
              <w:t xml:space="preserve">Net change in costs to the </w:t>
            </w:r>
            <w:r>
              <w:t>MBS</w:t>
            </w:r>
            <w:r w:rsidRPr="00CE28E3">
              <w:t xml:space="preserve"> (with appropriate copayments excluded)</w:t>
            </w:r>
          </w:p>
        </w:tc>
        <w:tc>
          <w:tcPr>
            <w:tcW w:w="1134" w:type="dxa"/>
            <w:tcMar>
              <w:top w:w="0" w:type="dxa"/>
              <w:left w:w="108" w:type="dxa"/>
              <w:bottom w:w="0" w:type="dxa"/>
              <w:right w:w="108" w:type="dxa"/>
            </w:tcMar>
          </w:tcPr>
          <w:p w14:paraId="3128437E" w14:textId="1252A580" w:rsidR="00510ED1" w:rsidRPr="00CE28E3" w:rsidRDefault="00510ED1" w:rsidP="000C6399">
            <w:pPr>
              <w:pStyle w:val="TableText"/>
              <w:jc w:val="center"/>
            </w:pPr>
            <w:r w:rsidRPr="00FB04F4">
              <w:rPr>
                <w:rFonts w:cs="Calibri"/>
                <w:color w:val="000000"/>
              </w:rPr>
              <w:t>$</w:t>
            </w:r>
            <w:r w:rsidR="00402C3A" w:rsidRPr="00B73D4C">
              <w:rPr>
                <w:b/>
                <w:bCs/>
              </w:rPr>
              <w:t xml:space="preserve"> redacted</w:t>
            </w:r>
          </w:p>
        </w:tc>
        <w:tc>
          <w:tcPr>
            <w:tcW w:w="1117" w:type="dxa"/>
            <w:tcMar>
              <w:top w:w="0" w:type="dxa"/>
              <w:left w:w="108" w:type="dxa"/>
              <w:bottom w:w="0" w:type="dxa"/>
              <w:right w:w="108" w:type="dxa"/>
            </w:tcMar>
          </w:tcPr>
          <w:p w14:paraId="70B21981" w14:textId="32493959" w:rsidR="00510ED1" w:rsidRPr="00CE28E3" w:rsidRDefault="00510ED1" w:rsidP="000C6399">
            <w:pPr>
              <w:pStyle w:val="TableText"/>
              <w:jc w:val="center"/>
            </w:pPr>
            <w:r w:rsidRPr="00FB04F4">
              <w:rPr>
                <w:rFonts w:cs="Calibri"/>
                <w:color w:val="000000"/>
              </w:rPr>
              <w:t>$</w:t>
            </w:r>
            <w:r w:rsidR="00402C3A" w:rsidRPr="00B73D4C">
              <w:rPr>
                <w:b/>
                <w:bCs/>
              </w:rPr>
              <w:t xml:space="preserve"> redacted</w:t>
            </w:r>
          </w:p>
        </w:tc>
        <w:tc>
          <w:tcPr>
            <w:tcW w:w="1054" w:type="dxa"/>
            <w:tcMar>
              <w:top w:w="0" w:type="dxa"/>
              <w:left w:w="108" w:type="dxa"/>
              <w:bottom w:w="0" w:type="dxa"/>
              <w:right w:w="108" w:type="dxa"/>
            </w:tcMar>
          </w:tcPr>
          <w:p w14:paraId="7B8956CE" w14:textId="66750FBC" w:rsidR="00510ED1" w:rsidRPr="00CE28E3" w:rsidRDefault="00510ED1" w:rsidP="000C6399">
            <w:pPr>
              <w:pStyle w:val="TableText"/>
              <w:jc w:val="center"/>
            </w:pPr>
            <w:r w:rsidRPr="00FB04F4">
              <w:rPr>
                <w:rFonts w:cs="Calibri"/>
                <w:color w:val="000000"/>
              </w:rPr>
              <w:t>$</w:t>
            </w:r>
            <w:r w:rsidR="00402C3A" w:rsidRPr="00B73D4C">
              <w:rPr>
                <w:b/>
                <w:bCs/>
              </w:rPr>
              <w:t xml:space="preserve"> redacted</w:t>
            </w:r>
          </w:p>
        </w:tc>
        <w:tc>
          <w:tcPr>
            <w:tcW w:w="1089" w:type="dxa"/>
            <w:tcMar>
              <w:top w:w="0" w:type="dxa"/>
              <w:left w:w="108" w:type="dxa"/>
              <w:bottom w:w="0" w:type="dxa"/>
              <w:right w:w="108" w:type="dxa"/>
            </w:tcMar>
          </w:tcPr>
          <w:p w14:paraId="5ED4213C" w14:textId="33E98C3E" w:rsidR="00510ED1" w:rsidRPr="00CE28E3" w:rsidRDefault="00510ED1" w:rsidP="000C6399">
            <w:pPr>
              <w:pStyle w:val="TableText"/>
              <w:jc w:val="center"/>
            </w:pPr>
            <w:r w:rsidRPr="00FB04F4">
              <w:rPr>
                <w:rFonts w:cs="Calibri"/>
                <w:color w:val="000000"/>
              </w:rPr>
              <w:t>$</w:t>
            </w:r>
            <w:r w:rsidR="00402C3A" w:rsidRPr="00B73D4C">
              <w:rPr>
                <w:b/>
                <w:bCs/>
              </w:rPr>
              <w:t xml:space="preserve"> redacted</w:t>
            </w:r>
          </w:p>
        </w:tc>
        <w:tc>
          <w:tcPr>
            <w:tcW w:w="1134" w:type="dxa"/>
            <w:tcMar>
              <w:top w:w="0" w:type="dxa"/>
              <w:left w:w="108" w:type="dxa"/>
              <w:bottom w:w="0" w:type="dxa"/>
              <w:right w:w="108" w:type="dxa"/>
            </w:tcMar>
          </w:tcPr>
          <w:p w14:paraId="0B0BD324" w14:textId="21B60469" w:rsidR="00510ED1" w:rsidRPr="00CE28E3" w:rsidRDefault="00510ED1" w:rsidP="000C6399">
            <w:pPr>
              <w:pStyle w:val="TableText"/>
              <w:jc w:val="center"/>
            </w:pPr>
            <w:r w:rsidRPr="00FB04F4">
              <w:rPr>
                <w:rFonts w:cs="Calibri"/>
                <w:color w:val="000000"/>
              </w:rPr>
              <w:t>$</w:t>
            </w:r>
            <w:r w:rsidR="00402C3A" w:rsidRPr="00B73D4C">
              <w:rPr>
                <w:b/>
                <w:bCs/>
              </w:rPr>
              <w:t xml:space="preserve"> redacted</w:t>
            </w:r>
          </w:p>
        </w:tc>
        <w:tc>
          <w:tcPr>
            <w:tcW w:w="1134" w:type="dxa"/>
            <w:tcMar>
              <w:top w:w="0" w:type="dxa"/>
              <w:left w:w="108" w:type="dxa"/>
              <w:bottom w:w="0" w:type="dxa"/>
              <w:right w:w="108" w:type="dxa"/>
            </w:tcMar>
          </w:tcPr>
          <w:p w14:paraId="5FAFC579" w14:textId="5ED3FA79" w:rsidR="00510ED1" w:rsidRPr="00CE28E3" w:rsidRDefault="00510ED1" w:rsidP="000C6399">
            <w:pPr>
              <w:pStyle w:val="TableText"/>
              <w:jc w:val="center"/>
            </w:pPr>
            <w:r w:rsidRPr="00FB04F4">
              <w:rPr>
                <w:rFonts w:cs="Calibri"/>
                <w:color w:val="000000"/>
              </w:rPr>
              <w:t>$</w:t>
            </w:r>
            <w:r w:rsidR="00402C3A" w:rsidRPr="00B73D4C">
              <w:rPr>
                <w:b/>
                <w:bCs/>
              </w:rPr>
              <w:t xml:space="preserve"> redacted</w:t>
            </w:r>
          </w:p>
        </w:tc>
      </w:tr>
      <w:tr w:rsidR="00510ED1" w:rsidRPr="00CE28E3" w14:paraId="1D7F897A" w14:textId="77777777" w:rsidTr="002C6233">
        <w:tc>
          <w:tcPr>
            <w:tcW w:w="2547" w:type="dxa"/>
            <w:tcMar>
              <w:top w:w="0" w:type="dxa"/>
              <w:left w:w="108" w:type="dxa"/>
              <w:bottom w:w="0" w:type="dxa"/>
              <w:right w:w="108" w:type="dxa"/>
            </w:tcMar>
            <w:hideMark/>
          </w:tcPr>
          <w:p w14:paraId="6FEA76BA" w14:textId="4B8498E4" w:rsidR="00510ED1" w:rsidRPr="00CE28E3" w:rsidRDefault="00510ED1" w:rsidP="006B1DD7">
            <w:pPr>
              <w:pStyle w:val="TableText"/>
            </w:pPr>
            <w:r w:rsidRPr="00CE28E3">
              <w:t xml:space="preserve">Net financial impact to the </w:t>
            </w:r>
            <w:r>
              <w:t>MBS</w:t>
            </w:r>
            <w:r w:rsidR="005F4333">
              <w:t xml:space="preserve"> (PICO set 1)</w:t>
            </w:r>
          </w:p>
        </w:tc>
        <w:tc>
          <w:tcPr>
            <w:tcW w:w="1134" w:type="dxa"/>
            <w:tcMar>
              <w:top w:w="0" w:type="dxa"/>
              <w:left w:w="108" w:type="dxa"/>
              <w:bottom w:w="0" w:type="dxa"/>
              <w:right w:w="108" w:type="dxa"/>
            </w:tcMar>
          </w:tcPr>
          <w:p w14:paraId="10D9A965" w14:textId="053CD4FE" w:rsidR="00510ED1" w:rsidRPr="006B1DD7" w:rsidRDefault="00510ED1" w:rsidP="000C6399">
            <w:pPr>
              <w:pStyle w:val="TableText"/>
              <w:jc w:val="center"/>
            </w:pPr>
            <w:r w:rsidRPr="006B1DD7">
              <w:t>$</w:t>
            </w:r>
            <w:r w:rsidR="00402C3A" w:rsidRPr="00B73D4C">
              <w:rPr>
                <w:b/>
                <w:bCs/>
              </w:rPr>
              <w:t xml:space="preserve"> redacted</w:t>
            </w:r>
          </w:p>
        </w:tc>
        <w:tc>
          <w:tcPr>
            <w:tcW w:w="1117" w:type="dxa"/>
            <w:tcMar>
              <w:top w:w="0" w:type="dxa"/>
              <w:left w:w="108" w:type="dxa"/>
              <w:bottom w:w="0" w:type="dxa"/>
              <w:right w:w="108" w:type="dxa"/>
            </w:tcMar>
          </w:tcPr>
          <w:p w14:paraId="094449DB" w14:textId="09C3D05F" w:rsidR="00510ED1" w:rsidRPr="006B1DD7" w:rsidRDefault="00510ED1" w:rsidP="000C6399">
            <w:pPr>
              <w:pStyle w:val="TableText"/>
              <w:jc w:val="center"/>
            </w:pPr>
            <w:r w:rsidRPr="006B1DD7">
              <w:t>$</w:t>
            </w:r>
            <w:r w:rsidR="00402C3A" w:rsidRPr="00B73D4C">
              <w:rPr>
                <w:b/>
                <w:bCs/>
              </w:rPr>
              <w:t xml:space="preserve"> redacted</w:t>
            </w:r>
          </w:p>
        </w:tc>
        <w:tc>
          <w:tcPr>
            <w:tcW w:w="1054" w:type="dxa"/>
            <w:tcMar>
              <w:top w:w="0" w:type="dxa"/>
              <w:left w:w="108" w:type="dxa"/>
              <w:bottom w:w="0" w:type="dxa"/>
              <w:right w:w="108" w:type="dxa"/>
            </w:tcMar>
          </w:tcPr>
          <w:p w14:paraId="1BD218F3" w14:textId="381D738D" w:rsidR="00510ED1" w:rsidRPr="006B1DD7" w:rsidRDefault="00510ED1" w:rsidP="000C6399">
            <w:pPr>
              <w:pStyle w:val="TableText"/>
              <w:jc w:val="center"/>
            </w:pPr>
            <w:r w:rsidRPr="006B1DD7">
              <w:t>$</w:t>
            </w:r>
            <w:r w:rsidR="00402C3A" w:rsidRPr="00B73D4C">
              <w:rPr>
                <w:b/>
                <w:bCs/>
              </w:rPr>
              <w:t xml:space="preserve"> redacted</w:t>
            </w:r>
          </w:p>
        </w:tc>
        <w:tc>
          <w:tcPr>
            <w:tcW w:w="1089" w:type="dxa"/>
            <w:tcMar>
              <w:top w:w="0" w:type="dxa"/>
              <w:left w:w="108" w:type="dxa"/>
              <w:bottom w:w="0" w:type="dxa"/>
              <w:right w:w="108" w:type="dxa"/>
            </w:tcMar>
          </w:tcPr>
          <w:p w14:paraId="6613D334" w14:textId="5CE6B40C" w:rsidR="00510ED1" w:rsidRPr="006B1DD7" w:rsidRDefault="00510ED1" w:rsidP="000C6399">
            <w:pPr>
              <w:pStyle w:val="TableText"/>
              <w:jc w:val="center"/>
            </w:pPr>
            <w:r w:rsidRPr="006B1DD7">
              <w:t>$</w:t>
            </w:r>
            <w:r w:rsidR="00402C3A" w:rsidRPr="00B73D4C">
              <w:rPr>
                <w:b/>
                <w:bCs/>
              </w:rPr>
              <w:t xml:space="preserve"> redacted</w:t>
            </w:r>
          </w:p>
        </w:tc>
        <w:tc>
          <w:tcPr>
            <w:tcW w:w="1134" w:type="dxa"/>
            <w:tcMar>
              <w:top w:w="0" w:type="dxa"/>
              <w:left w:w="108" w:type="dxa"/>
              <w:bottom w:w="0" w:type="dxa"/>
              <w:right w:w="108" w:type="dxa"/>
            </w:tcMar>
          </w:tcPr>
          <w:p w14:paraId="219A632F" w14:textId="199629AC" w:rsidR="00510ED1" w:rsidRPr="006B1DD7" w:rsidRDefault="00510ED1" w:rsidP="000C6399">
            <w:pPr>
              <w:pStyle w:val="TableText"/>
              <w:jc w:val="center"/>
            </w:pPr>
            <w:r w:rsidRPr="006B1DD7">
              <w:t>$</w:t>
            </w:r>
            <w:r w:rsidR="00402C3A" w:rsidRPr="00B73D4C">
              <w:rPr>
                <w:b/>
                <w:bCs/>
              </w:rPr>
              <w:t xml:space="preserve"> redacted</w:t>
            </w:r>
          </w:p>
        </w:tc>
        <w:tc>
          <w:tcPr>
            <w:tcW w:w="1134" w:type="dxa"/>
            <w:tcMar>
              <w:top w:w="0" w:type="dxa"/>
              <w:left w:w="108" w:type="dxa"/>
              <w:bottom w:w="0" w:type="dxa"/>
              <w:right w:w="108" w:type="dxa"/>
            </w:tcMar>
          </w:tcPr>
          <w:p w14:paraId="3ADBCE21" w14:textId="30C961E2" w:rsidR="00510ED1" w:rsidRPr="006B1DD7" w:rsidRDefault="00510ED1" w:rsidP="000C6399">
            <w:pPr>
              <w:pStyle w:val="TableText"/>
              <w:jc w:val="center"/>
            </w:pPr>
            <w:r w:rsidRPr="006B1DD7">
              <w:t>$</w:t>
            </w:r>
            <w:r w:rsidR="00402C3A" w:rsidRPr="00B73D4C">
              <w:rPr>
                <w:b/>
                <w:bCs/>
              </w:rPr>
              <w:t xml:space="preserve"> redacted</w:t>
            </w:r>
          </w:p>
        </w:tc>
      </w:tr>
      <w:tr w:rsidR="005F4333" w:rsidRPr="00CE28E3" w14:paraId="12825441" w14:textId="77777777" w:rsidTr="002C6233">
        <w:tc>
          <w:tcPr>
            <w:tcW w:w="2547" w:type="dxa"/>
            <w:tcMar>
              <w:top w:w="0" w:type="dxa"/>
              <w:left w:w="108" w:type="dxa"/>
              <w:bottom w:w="0" w:type="dxa"/>
              <w:right w:w="108" w:type="dxa"/>
            </w:tcMar>
          </w:tcPr>
          <w:p w14:paraId="0DFD859A" w14:textId="60305E06" w:rsidR="005F4333" w:rsidRPr="006B1DD7" w:rsidRDefault="005F4333" w:rsidP="006B1DD7">
            <w:pPr>
              <w:pStyle w:val="TableText"/>
              <w:rPr>
                <w:b/>
                <w:bCs/>
              </w:rPr>
            </w:pPr>
            <w:r w:rsidRPr="006B1DD7">
              <w:rPr>
                <w:b/>
                <w:bCs/>
              </w:rPr>
              <w:t>PICO set 2</w:t>
            </w:r>
          </w:p>
        </w:tc>
        <w:tc>
          <w:tcPr>
            <w:tcW w:w="1134" w:type="dxa"/>
            <w:tcMar>
              <w:top w:w="0" w:type="dxa"/>
              <w:left w:w="108" w:type="dxa"/>
              <w:bottom w:w="0" w:type="dxa"/>
              <w:right w:w="108" w:type="dxa"/>
            </w:tcMar>
          </w:tcPr>
          <w:p w14:paraId="51FB137A" w14:textId="77777777" w:rsidR="005F4333" w:rsidRPr="00FB04F4" w:rsidRDefault="005F4333" w:rsidP="006B1DD7">
            <w:pPr>
              <w:pStyle w:val="TableText"/>
            </w:pPr>
          </w:p>
        </w:tc>
        <w:tc>
          <w:tcPr>
            <w:tcW w:w="1117" w:type="dxa"/>
            <w:tcMar>
              <w:top w:w="0" w:type="dxa"/>
              <w:left w:w="108" w:type="dxa"/>
              <w:bottom w:w="0" w:type="dxa"/>
              <w:right w:w="108" w:type="dxa"/>
            </w:tcMar>
          </w:tcPr>
          <w:p w14:paraId="28270172" w14:textId="77777777" w:rsidR="005F4333" w:rsidRPr="00FB04F4" w:rsidRDefault="005F4333" w:rsidP="006B1DD7">
            <w:pPr>
              <w:pStyle w:val="TableText"/>
            </w:pPr>
          </w:p>
        </w:tc>
        <w:tc>
          <w:tcPr>
            <w:tcW w:w="1054" w:type="dxa"/>
            <w:tcMar>
              <w:top w:w="0" w:type="dxa"/>
              <w:left w:w="108" w:type="dxa"/>
              <w:bottom w:w="0" w:type="dxa"/>
              <w:right w:w="108" w:type="dxa"/>
            </w:tcMar>
          </w:tcPr>
          <w:p w14:paraId="7B6F28E2" w14:textId="77777777" w:rsidR="005F4333" w:rsidRPr="00FB04F4" w:rsidRDefault="005F4333" w:rsidP="006B1DD7">
            <w:pPr>
              <w:pStyle w:val="TableText"/>
            </w:pPr>
          </w:p>
        </w:tc>
        <w:tc>
          <w:tcPr>
            <w:tcW w:w="1089" w:type="dxa"/>
            <w:tcMar>
              <w:top w:w="0" w:type="dxa"/>
              <w:left w:w="108" w:type="dxa"/>
              <w:bottom w:w="0" w:type="dxa"/>
              <w:right w:w="108" w:type="dxa"/>
            </w:tcMar>
          </w:tcPr>
          <w:p w14:paraId="72806853" w14:textId="77777777" w:rsidR="005F4333" w:rsidRPr="00FB04F4" w:rsidRDefault="005F4333" w:rsidP="006B1DD7">
            <w:pPr>
              <w:pStyle w:val="TableText"/>
            </w:pPr>
          </w:p>
        </w:tc>
        <w:tc>
          <w:tcPr>
            <w:tcW w:w="1134" w:type="dxa"/>
            <w:tcMar>
              <w:top w:w="0" w:type="dxa"/>
              <w:left w:w="108" w:type="dxa"/>
              <w:bottom w:w="0" w:type="dxa"/>
              <w:right w:w="108" w:type="dxa"/>
            </w:tcMar>
          </w:tcPr>
          <w:p w14:paraId="432F2CAA" w14:textId="77777777" w:rsidR="005F4333" w:rsidRPr="00FB04F4" w:rsidRDefault="005F4333" w:rsidP="006B1DD7">
            <w:pPr>
              <w:pStyle w:val="TableText"/>
            </w:pPr>
          </w:p>
        </w:tc>
        <w:tc>
          <w:tcPr>
            <w:tcW w:w="1134" w:type="dxa"/>
            <w:tcMar>
              <w:top w:w="0" w:type="dxa"/>
              <w:left w:w="108" w:type="dxa"/>
              <w:bottom w:w="0" w:type="dxa"/>
              <w:right w:w="108" w:type="dxa"/>
            </w:tcMar>
          </w:tcPr>
          <w:p w14:paraId="03D160FC" w14:textId="77777777" w:rsidR="005F4333" w:rsidRPr="00FB04F4" w:rsidRDefault="005F4333" w:rsidP="006B1DD7">
            <w:pPr>
              <w:pStyle w:val="TableText"/>
            </w:pPr>
          </w:p>
        </w:tc>
      </w:tr>
      <w:tr w:rsidR="005F4333" w:rsidRPr="00CE28E3" w14:paraId="3C873217" w14:textId="77777777" w:rsidTr="002C6233">
        <w:tc>
          <w:tcPr>
            <w:tcW w:w="9209" w:type="dxa"/>
            <w:gridSpan w:val="7"/>
            <w:tcBorders>
              <w:top w:val="single" w:sz="4" w:space="0" w:color="auto"/>
              <w:left w:val="single" w:sz="4" w:space="0" w:color="auto"/>
              <w:bottom w:val="single" w:sz="4" w:space="0" w:color="auto"/>
            </w:tcBorders>
            <w:tcMar>
              <w:top w:w="0" w:type="dxa"/>
              <w:left w:w="108" w:type="dxa"/>
              <w:bottom w:w="0" w:type="dxa"/>
              <w:right w:w="108" w:type="dxa"/>
            </w:tcMar>
          </w:tcPr>
          <w:p w14:paraId="5400C4B5" w14:textId="0846FD7E" w:rsidR="005F4333" w:rsidRPr="00FB04F4" w:rsidRDefault="005F4333" w:rsidP="006B1DD7">
            <w:pPr>
              <w:pStyle w:val="TableText"/>
            </w:pPr>
            <w:r w:rsidRPr="00A13959">
              <w:t>Estimated use and cost of the proposed health technology</w:t>
            </w:r>
          </w:p>
        </w:tc>
      </w:tr>
      <w:tr w:rsidR="006B1DD7" w:rsidRPr="00CE28E3" w14:paraId="307918F7" w14:textId="77777777" w:rsidTr="002C6233">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EC14" w14:textId="4760F1B9" w:rsidR="005F4333" w:rsidRDefault="005F4333" w:rsidP="006B1DD7">
            <w:pPr>
              <w:pStyle w:val="TableText"/>
            </w:pPr>
            <w:r w:rsidRPr="00A13959">
              <w:t>Number of people eligible for IVL</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186B7" w14:textId="38BCEFFF" w:rsidR="005F4333" w:rsidRPr="000C6399" w:rsidRDefault="00402C3A" w:rsidP="000C6399">
            <w:pPr>
              <w:pStyle w:val="TableText"/>
              <w:jc w:val="center"/>
            </w:pPr>
            <w:r w:rsidRPr="00B73D4C">
              <w:rPr>
                <w:b/>
                <w:bCs/>
              </w:rPr>
              <w:t>redacted</w:t>
            </w:r>
          </w:p>
        </w:tc>
        <w:tc>
          <w:tcPr>
            <w:tcW w:w="1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A1750" w14:textId="434FDBC2" w:rsidR="005F4333" w:rsidRPr="000C6399" w:rsidRDefault="00402C3A" w:rsidP="000C6399">
            <w:pPr>
              <w:pStyle w:val="TableText"/>
              <w:jc w:val="center"/>
            </w:pPr>
            <w:r w:rsidRPr="00B73D4C">
              <w:rPr>
                <w:b/>
                <w:bCs/>
              </w:rPr>
              <w:t>redacted</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D2337" w14:textId="69AE7E4F" w:rsidR="005F4333" w:rsidRPr="000C6399" w:rsidRDefault="00402C3A" w:rsidP="000C6399">
            <w:pPr>
              <w:pStyle w:val="TableText"/>
              <w:jc w:val="center"/>
            </w:pPr>
            <w:r w:rsidRPr="00B73D4C">
              <w:rPr>
                <w:b/>
                <w:bCs/>
              </w:rPr>
              <w:t>redacted</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CD5F0" w14:textId="66309EEC" w:rsidR="005F4333" w:rsidRPr="000C6399" w:rsidRDefault="00402C3A" w:rsidP="000C6399">
            <w:pPr>
              <w:pStyle w:val="TableText"/>
              <w:jc w:val="center"/>
            </w:pPr>
            <w:r w:rsidRPr="00B73D4C">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33AD" w14:textId="724DB818" w:rsidR="005F4333" w:rsidRPr="000C6399" w:rsidRDefault="00402C3A" w:rsidP="000C6399">
            <w:pPr>
              <w:pStyle w:val="TableText"/>
              <w:jc w:val="center"/>
            </w:pPr>
            <w:r w:rsidRPr="00B73D4C">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3455F" w14:textId="2A9C744B" w:rsidR="005F4333" w:rsidRPr="000C6399" w:rsidRDefault="00402C3A" w:rsidP="000C6399">
            <w:pPr>
              <w:pStyle w:val="TableText"/>
              <w:jc w:val="center"/>
            </w:pPr>
            <w:r w:rsidRPr="00B73D4C">
              <w:rPr>
                <w:b/>
                <w:bCs/>
              </w:rPr>
              <w:t>redacted</w:t>
            </w:r>
          </w:p>
        </w:tc>
      </w:tr>
      <w:tr w:rsidR="006B1DD7" w:rsidRPr="00CE28E3" w14:paraId="11BD6F13" w14:textId="77777777" w:rsidTr="002C6233">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B8AED" w14:textId="105E00A3" w:rsidR="005F4333" w:rsidRDefault="005F4333" w:rsidP="006B1DD7">
            <w:pPr>
              <w:pStyle w:val="TableText"/>
            </w:pPr>
            <w:r w:rsidRPr="00A13959">
              <w:t>Number of people who receive IVL</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D5F92" w14:textId="4F263996" w:rsidR="005F4333" w:rsidRPr="00FB04F4" w:rsidRDefault="00502614" w:rsidP="000C6399">
            <w:pPr>
              <w:pStyle w:val="TableText"/>
              <w:jc w:val="center"/>
            </w:pPr>
            <w:r w:rsidRPr="00B73D4C">
              <w:rPr>
                <w:b/>
                <w:bCs/>
              </w:rPr>
              <w:t>redacted</w:t>
            </w:r>
          </w:p>
        </w:tc>
        <w:tc>
          <w:tcPr>
            <w:tcW w:w="1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823BB" w14:textId="087C0F41" w:rsidR="005F4333" w:rsidRPr="00FB04F4" w:rsidRDefault="00502614" w:rsidP="000C6399">
            <w:pPr>
              <w:pStyle w:val="TableText"/>
              <w:jc w:val="center"/>
            </w:pPr>
            <w:r w:rsidRPr="00B73D4C">
              <w:rPr>
                <w:b/>
                <w:bCs/>
              </w:rPr>
              <w:t>redacted</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F8B0C" w14:textId="1A61E956" w:rsidR="005F4333" w:rsidRPr="00FB04F4" w:rsidRDefault="00502614" w:rsidP="000C6399">
            <w:pPr>
              <w:pStyle w:val="TableText"/>
              <w:jc w:val="center"/>
            </w:pPr>
            <w:r w:rsidRPr="00B73D4C">
              <w:rPr>
                <w:b/>
                <w:bCs/>
              </w:rPr>
              <w:t>redacted</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1FE0" w14:textId="39414EFA" w:rsidR="005F4333" w:rsidRPr="00FB04F4" w:rsidRDefault="00502614" w:rsidP="000C6399">
            <w:pPr>
              <w:pStyle w:val="TableText"/>
              <w:jc w:val="center"/>
            </w:pPr>
            <w:r w:rsidRPr="00B73D4C">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1D062" w14:textId="197F9248" w:rsidR="005F4333" w:rsidRPr="00FB04F4" w:rsidRDefault="00502614" w:rsidP="000C6399">
            <w:pPr>
              <w:pStyle w:val="TableText"/>
              <w:jc w:val="center"/>
            </w:pPr>
            <w:r w:rsidRPr="00B73D4C">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0AC1" w14:textId="4E1B963E" w:rsidR="005F4333" w:rsidRPr="00FB04F4" w:rsidRDefault="00502614" w:rsidP="000C6399">
            <w:pPr>
              <w:pStyle w:val="TableText"/>
              <w:jc w:val="center"/>
            </w:pPr>
            <w:r w:rsidRPr="00B73D4C">
              <w:rPr>
                <w:b/>
                <w:bCs/>
              </w:rPr>
              <w:t>redacted</w:t>
            </w:r>
          </w:p>
        </w:tc>
      </w:tr>
      <w:tr w:rsidR="006B1DD7" w:rsidRPr="00CE28E3" w14:paraId="59141F4F" w14:textId="77777777" w:rsidTr="002C6233">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94BF4" w14:textId="745F6790" w:rsidR="005F4333" w:rsidRDefault="005F4333" w:rsidP="006B1DD7">
            <w:pPr>
              <w:pStyle w:val="TableText"/>
            </w:pPr>
            <w:r w:rsidRPr="00A13959">
              <w:t>Cost to the MBS (with appropriate copayments excluded)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3C08E" w14:textId="135FAA4F" w:rsidR="005F4333" w:rsidRPr="00FB04F4" w:rsidRDefault="005F4333" w:rsidP="000C6399">
            <w:pPr>
              <w:pStyle w:val="TableText"/>
              <w:jc w:val="center"/>
            </w:pPr>
            <w:r w:rsidRPr="00A13959">
              <w:t>$</w:t>
            </w:r>
            <w:r w:rsidR="00502614" w:rsidRPr="00B73D4C">
              <w:rPr>
                <w:b/>
                <w:bCs/>
              </w:rPr>
              <w:t xml:space="preserve"> redacted</w:t>
            </w:r>
          </w:p>
        </w:tc>
        <w:tc>
          <w:tcPr>
            <w:tcW w:w="1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EFD98" w14:textId="58154DBF" w:rsidR="005F4333" w:rsidRPr="00FB04F4" w:rsidRDefault="005F4333" w:rsidP="000C6399">
            <w:pPr>
              <w:pStyle w:val="TableText"/>
              <w:jc w:val="center"/>
            </w:pPr>
            <w:r w:rsidRPr="00A13959">
              <w:t>$</w:t>
            </w:r>
            <w:r w:rsidR="00502614" w:rsidRPr="00B73D4C">
              <w:rPr>
                <w:b/>
                <w:bCs/>
              </w:rPr>
              <w:t xml:space="preserve"> redacted</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3B3B7" w14:textId="4454894E" w:rsidR="005F4333" w:rsidRPr="00FB04F4" w:rsidRDefault="005F4333" w:rsidP="000C6399">
            <w:pPr>
              <w:pStyle w:val="TableText"/>
              <w:jc w:val="center"/>
            </w:pPr>
            <w:r w:rsidRPr="00A13959">
              <w:t>$</w:t>
            </w:r>
            <w:r w:rsidR="00502614" w:rsidRPr="00B73D4C">
              <w:rPr>
                <w:b/>
                <w:bCs/>
              </w:rPr>
              <w:t xml:space="preserve"> redacted</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26B4A" w14:textId="7A2444E8" w:rsidR="005F4333" w:rsidRPr="00FB04F4" w:rsidRDefault="005F4333" w:rsidP="000C6399">
            <w:pPr>
              <w:pStyle w:val="TableText"/>
              <w:jc w:val="center"/>
            </w:pPr>
            <w:r w:rsidRPr="00A13959">
              <w:t>$</w:t>
            </w:r>
            <w:r w:rsidR="00502614" w:rsidRPr="00B73D4C">
              <w:rPr>
                <w:b/>
                <w:bCs/>
              </w:rPr>
              <w:t xml:space="preserve"> 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AE0BB" w14:textId="5C7474BC" w:rsidR="005F4333" w:rsidRPr="00FB04F4" w:rsidRDefault="005F4333" w:rsidP="000C6399">
            <w:pPr>
              <w:pStyle w:val="TableText"/>
              <w:jc w:val="center"/>
            </w:pPr>
            <w:r w:rsidRPr="00A13959">
              <w:t>$</w:t>
            </w:r>
            <w:r w:rsidR="00502614" w:rsidRPr="00B73D4C">
              <w:rPr>
                <w:b/>
                <w:bCs/>
              </w:rPr>
              <w:t xml:space="preserve"> 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C4087" w14:textId="7AAF4542" w:rsidR="005F4333" w:rsidRPr="00FB04F4" w:rsidRDefault="005F4333" w:rsidP="000C6399">
            <w:pPr>
              <w:pStyle w:val="TableText"/>
              <w:jc w:val="center"/>
            </w:pPr>
            <w:r w:rsidRPr="00A13959">
              <w:t>$</w:t>
            </w:r>
            <w:r w:rsidR="00502614" w:rsidRPr="00B73D4C">
              <w:rPr>
                <w:b/>
                <w:bCs/>
              </w:rPr>
              <w:t xml:space="preserve"> redacted</w:t>
            </w:r>
          </w:p>
        </w:tc>
      </w:tr>
      <w:tr w:rsidR="005F4333" w:rsidRPr="00CE28E3" w14:paraId="692A0D5F" w14:textId="77777777" w:rsidTr="002C6233">
        <w:tc>
          <w:tcPr>
            <w:tcW w:w="9209" w:type="dxa"/>
            <w:gridSpan w:val="7"/>
            <w:tcBorders>
              <w:top w:val="single" w:sz="4" w:space="0" w:color="auto"/>
              <w:left w:val="single" w:sz="4" w:space="0" w:color="auto"/>
              <w:bottom w:val="single" w:sz="4" w:space="0" w:color="auto"/>
            </w:tcBorders>
            <w:tcMar>
              <w:top w:w="0" w:type="dxa"/>
              <w:left w:w="108" w:type="dxa"/>
              <w:bottom w:w="0" w:type="dxa"/>
              <w:right w:w="108" w:type="dxa"/>
            </w:tcMar>
          </w:tcPr>
          <w:p w14:paraId="676D5A32" w14:textId="2B117FFE" w:rsidR="005F4333" w:rsidRPr="00FB04F4" w:rsidRDefault="005F4333" w:rsidP="006B1DD7">
            <w:pPr>
              <w:pStyle w:val="TableText"/>
            </w:pPr>
            <w:r w:rsidRPr="00A13959">
              <w:t>Change in use and cost of other health technologies</w:t>
            </w:r>
          </w:p>
        </w:tc>
      </w:tr>
      <w:tr w:rsidR="006B1DD7" w:rsidRPr="00CE28E3" w14:paraId="54AE3F4F" w14:textId="77777777" w:rsidTr="002C6233">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9D031" w14:textId="3CCE06A3" w:rsidR="005F4333" w:rsidRPr="00CE28E3" w:rsidRDefault="005F4333" w:rsidP="006B1DD7">
            <w:pPr>
              <w:pStyle w:val="TableText"/>
            </w:pPr>
            <w:r w:rsidRPr="00A13959">
              <w:t>Change in use of angioplasty services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4E60F" w14:textId="3100E392" w:rsidR="005F4333" w:rsidRPr="00FB04F4" w:rsidRDefault="00B41400" w:rsidP="000C6399">
            <w:pPr>
              <w:pStyle w:val="TableText"/>
              <w:jc w:val="center"/>
            </w:pPr>
            <w:r w:rsidRPr="00B73D4C">
              <w:rPr>
                <w:b/>
                <w:bCs/>
              </w:rPr>
              <w:t>redacted</w:t>
            </w:r>
          </w:p>
        </w:tc>
        <w:tc>
          <w:tcPr>
            <w:tcW w:w="1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A8379" w14:textId="0A2735C7" w:rsidR="005F4333" w:rsidRPr="00FB04F4" w:rsidRDefault="00B41400" w:rsidP="000C6399">
            <w:pPr>
              <w:pStyle w:val="TableText"/>
              <w:jc w:val="center"/>
            </w:pPr>
            <w:r w:rsidRPr="00B73D4C">
              <w:rPr>
                <w:b/>
                <w:bCs/>
              </w:rPr>
              <w:t>redacted</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2915F" w14:textId="1D46CFB0" w:rsidR="005F4333" w:rsidRPr="00FB04F4" w:rsidRDefault="00B41400" w:rsidP="000C6399">
            <w:pPr>
              <w:pStyle w:val="TableText"/>
              <w:jc w:val="center"/>
            </w:pPr>
            <w:r w:rsidRPr="00B73D4C">
              <w:rPr>
                <w:b/>
                <w:bCs/>
              </w:rPr>
              <w:t>redacted</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FD03D" w14:textId="409A55D9" w:rsidR="005F4333" w:rsidRPr="00FB04F4" w:rsidRDefault="003F76AF" w:rsidP="000C6399">
            <w:pPr>
              <w:pStyle w:val="TableText"/>
              <w:jc w:val="center"/>
            </w:pPr>
            <w:r w:rsidRPr="00B73D4C">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48F1F" w14:textId="7BDC4789" w:rsidR="005F4333" w:rsidRPr="00FB04F4" w:rsidRDefault="003F76AF" w:rsidP="000C6399">
            <w:pPr>
              <w:pStyle w:val="TableText"/>
              <w:jc w:val="center"/>
            </w:pPr>
            <w:r w:rsidRPr="00B73D4C">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385BB" w14:textId="4CB14D94" w:rsidR="005F4333" w:rsidRPr="00FB04F4" w:rsidRDefault="003F76AF" w:rsidP="000C6399">
            <w:pPr>
              <w:pStyle w:val="TableText"/>
              <w:jc w:val="center"/>
            </w:pPr>
            <w:r w:rsidRPr="00B73D4C">
              <w:rPr>
                <w:b/>
                <w:bCs/>
              </w:rPr>
              <w:t>redacted</w:t>
            </w:r>
          </w:p>
        </w:tc>
      </w:tr>
      <w:tr w:rsidR="006B1DD7" w:rsidRPr="00CE28E3" w14:paraId="671B5CE5" w14:textId="77777777" w:rsidTr="002C6233">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EAF5C" w14:textId="5B72257E" w:rsidR="005F4333" w:rsidRPr="00CE28E3" w:rsidRDefault="005F4333" w:rsidP="006B1DD7">
            <w:pPr>
              <w:pStyle w:val="TableText"/>
            </w:pPr>
            <w:r w:rsidRPr="00A13959">
              <w:t>Net change in costs to the MBS (with appropriate copayments excluded)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4E76" w14:textId="48F9F584" w:rsidR="005F4333" w:rsidRPr="00FB04F4" w:rsidRDefault="005F4333" w:rsidP="000C6399">
            <w:pPr>
              <w:pStyle w:val="TableText"/>
              <w:jc w:val="center"/>
            </w:pPr>
            <w:r w:rsidRPr="00A13959">
              <w:t>$</w:t>
            </w:r>
            <w:r w:rsidR="003F76AF" w:rsidRPr="00B73D4C">
              <w:rPr>
                <w:b/>
                <w:bCs/>
              </w:rPr>
              <w:t xml:space="preserve"> redacted</w:t>
            </w:r>
          </w:p>
        </w:tc>
        <w:tc>
          <w:tcPr>
            <w:tcW w:w="1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F063" w14:textId="384C9F1F" w:rsidR="005F4333" w:rsidRPr="00FB04F4" w:rsidRDefault="005F4333" w:rsidP="000C6399">
            <w:pPr>
              <w:pStyle w:val="TableText"/>
              <w:jc w:val="center"/>
            </w:pPr>
            <w:r w:rsidRPr="00A13959">
              <w:t>$</w:t>
            </w:r>
            <w:r w:rsidR="003F76AF" w:rsidRPr="00B73D4C">
              <w:rPr>
                <w:b/>
                <w:bCs/>
              </w:rPr>
              <w:t xml:space="preserve"> redacted</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2F8E7" w14:textId="6E813DC1" w:rsidR="005F4333" w:rsidRPr="00FB04F4" w:rsidRDefault="005F4333" w:rsidP="000C6399">
            <w:pPr>
              <w:pStyle w:val="TableText"/>
              <w:jc w:val="center"/>
            </w:pPr>
            <w:r w:rsidRPr="00A13959">
              <w:t>$</w:t>
            </w:r>
            <w:r w:rsidR="003F76AF" w:rsidRPr="00B73D4C">
              <w:rPr>
                <w:b/>
                <w:bCs/>
              </w:rPr>
              <w:t xml:space="preserve"> redacted</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3A856" w14:textId="6F2AF89E" w:rsidR="005F4333" w:rsidRPr="00FB04F4" w:rsidRDefault="005F4333" w:rsidP="000C6399">
            <w:pPr>
              <w:pStyle w:val="TableText"/>
              <w:jc w:val="center"/>
            </w:pPr>
            <w:r w:rsidRPr="00A13959">
              <w:t>$</w:t>
            </w:r>
            <w:r w:rsidR="003F76AF" w:rsidRPr="00B73D4C">
              <w:rPr>
                <w:b/>
                <w:bCs/>
              </w:rPr>
              <w:t xml:space="preserve"> 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DACBB" w14:textId="5E90A7A1" w:rsidR="005F4333" w:rsidRPr="00FB04F4" w:rsidRDefault="005F4333" w:rsidP="000C6399">
            <w:pPr>
              <w:pStyle w:val="TableText"/>
              <w:jc w:val="center"/>
            </w:pPr>
            <w:r w:rsidRPr="00A13959">
              <w:t>$</w:t>
            </w:r>
            <w:r w:rsidR="003F76AF" w:rsidRPr="00B73D4C">
              <w:rPr>
                <w:b/>
                <w:bCs/>
              </w:rPr>
              <w:t xml:space="preserve"> 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85255" w14:textId="6E7BAA6B" w:rsidR="005F4333" w:rsidRPr="00FB04F4" w:rsidRDefault="005F4333" w:rsidP="000C6399">
            <w:pPr>
              <w:pStyle w:val="TableText"/>
              <w:jc w:val="center"/>
            </w:pPr>
            <w:r w:rsidRPr="00A13959">
              <w:t>$</w:t>
            </w:r>
            <w:r w:rsidR="003F76AF" w:rsidRPr="00B73D4C">
              <w:rPr>
                <w:b/>
                <w:bCs/>
              </w:rPr>
              <w:t xml:space="preserve"> redacted</w:t>
            </w:r>
          </w:p>
        </w:tc>
      </w:tr>
      <w:tr w:rsidR="006B1DD7" w:rsidRPr="00CE28E3" w14:paraId="1181CC3C" w14:textId="77777777" w:rsidTr="002C6233">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E62DF" w14:textId="3BDE867C" w:rsidR="005F4333" w:rsidRPr="00CE28E3" w:rsidRDefault="005F4333" w:rsidP="006B1DD7">
            <w:pPr>
              <w:pStyle w:val="TableText"/>
            </w:pPr>
            <w:r w:rsidRPr="00A13959">
              <w:t>Net financial impact to the MBS</w:t>
            </w:r>
            <w:r>
              <w:t xml:space="preserve"> PICO set 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3CFCB" w14:textId="1945D065" w:rsidR="005F4333" w:rsidRPr="006B1DD7" w:rsidRDefault="005F4333" w:rsidP="000C6399">
            <w:pPr>
              <w:pStyle w:val="TableText"/>
              <w:jc w:val="center"/>
            </w:pPr>
            <w:r w:rsidRPr="006B1DD7">
              <w:t>$</w:t>
            </w:r>
            <w:r w:rsidR="003F76AF" w:rsidRPr="00B73D4C">
              <w:rPr>
                <w:b/>
                <w:bCs/>
              </w:rPr>
              <w:t xml:space="preserve"> redacted</w:t>
            </w:r>
          </w:p>
        </w:tc>
        <w:tc>
          <w:tcPr>
            <w:tcW w:w="1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75CDC" w14:textId="2658808B" w:rsidR="005F4333" w:rsidRPr="006B1DD7" w:rsidRDefault="005F4333" w:rsidP="000C6399">
            <w:pPr>
              <w:pStyle w:val="TableText"/>
              <w:jc w:val="center"/>
            </w:pPr>
            <w:r w:rsidRPr="006B1DD7">
              <w:t>$</w:t>
            </w:r>
            <w:r w:rsidR="003F76AF" w:rsidRPr="00B73D4C">
              <w:rPr>
                <w:b/>
                <w:bCs/>
              </w:rPr>
              <w:t xml:space="preserve"> redacted</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5404" w14:textId="2C4823C6" w:rsidR="005F4333" w:rsidRPr="006B1DD7" w:rsidRDefault="005F4333" w:rsidP="000C6399">
            <w:pPr>
              <w:pStyle w:val="TableText"/>
              <w:jc w:val="center"/>
            </w:pPr>
            <w:r w:rsidRPr="006B1DD7">
              <w:t>$</w:t>
            </w:r>
            <w:r w:rsidR="003F76AF" w:rsidRPr="00B73D4C">
              <w:rPr>
                <w:b/>
                <w:bCs/>
              </w:rPr>
              <w:t xml:space="preserve"> redacted</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DED19" w14:textId="66911D26" w:rsidR="005F4333" w:rsidRPr="006B1DD7" w:rsidRDefault="005F4333" w:rsidP="000C6399">
            <w:pPr>
              <w:pStyle w:val="TableText"/>
              <w:jc w:val="center"/>
            </w:pPr>
            <w:r w:rsidRPr="006B1DD7">
              <w:t>$</w:t>
            </w:r>
            <w:r w:rsidR="003F76AF" w:rsidRPr="00B73D4C">
              <w:rPr>
                <w:b/>
                <w:bCs/>
              </w:rPr>
              <w:t xml:space="preserve"> 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DB82" w14:textId="681819D0" w:rsidR="005F4333" w:rsidRPr="006B1DD7" w:rsidRDefault="005F4333" w:rsidP="000C6399">
            <w:pPr>
              <w:pStyle w:val="TableText"/>
              <w:jc w:val="center"/>
            </w:pPr>
            <w:r w:rsidRPr="006B1DD7">
              <w:t>$</w:t>
            </w:r>
            <w:r w:rsidR="003F76AF" w:rsidRPr="00B73D4C">
              <w:rPr>
                <w:b/>
                <w:bCs/>
              </w:rPr>
              <w:t xml:space="preserve"> 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D4C7" w14:textId="7FA326B0" w:rsidR="005F4333" w:rsidRPr="006B1DD7" w:rsidRDefault="005F4333" w:rsidP="000C6399">
            <w:pPr>
              <w:pStyle w:val="TableText"/>
              <w:jc w:val="center"/>
            </w:pPr>
            <w:r w:rsidRPr="006B1DD7">
              <w:t>$</w:t>
            </w:r>
            <w:r w:rsidR="003F76AF" w:rsidRPr="00B73D4C">
              <w:rPr>
                <w:b/>
                <w:bCs/>
              </w:rPr>
              <w:t xml:space="preserve"> redacted</w:t>
            </w:r>
          </w:p>
        </w:tc>
      </w:tr>
      <w:tr w:rsidR="006B1DD7" w:rsidRPr="00CE28E3" w14:paraId="6AE883D3" w14:textId="77777777" w:rsidTr="002C6233">
        <w:tc>
          <w:tcPr>
            <w:tcW w:w="9209" w:type="dxa"/>
            <w:gridSpan w:val="7"/>
            <w:tcBorders>
              <w:top w:val="single" w:sz="4" w:space="0" w:color="auto"/>
            </w:tcBorders>
            <w:tcMar>
              <w:top w:w="0" w:type="dxa"/>
              <w:left w:w="108" w:type="dxa"/>
              <w:bottom w:w="0" w:type="dxa"/>
              <w:right w:w="108" w:type="dxa"/>
            </w:tcMar>
          </w:tcPr>
          <w:p w14:paraId="410B55D4" w14:textId="65D9C8D3" w:rsidR="006B1DD7" w:rsidRPr="000C6399" w:rsidRDefault="006B1DD7" w:rsidP="006B1DD7">
            <w:pPr>
              <w:pStyle w:val="TableText"/>
            </w:pPr>
            <w:r w:rsidRPr="000C6399">
              <w:t>Overall financial impact of IVL listing over 6 years</w:t>
            </w:r>
          </w:p>
        </w:tc>
      </w:tr>
      <w:tr w:rsidR="006B1DD7" w:rsidRPr="00CE28E3" w14:paraId="7BD3794D" w14:textId="77777777" w:rsidTr="002C6233">
        <w:tc>
          <w:tcPr>
            <w:tcW w:w="2547" w:type="dxa"/>
            <w:tcMar>
              <w:top w:w="0" w:type="dxa"/>
              <w:left w:w="108" w:type="dxa"/>
              <w:bottom w:w="0" w:type="dxa"/>
              <w:right w:w="108" w:type="dxa"/>
            </w:tcMar>
          </w:tcPr>
          <w:p w14:paraId="4E01E1E8" w14:textId="0FE2DF0F" w:rsidR="006B1DD7" w:rsidRPr="00996E36" w:rsidRDefault="006B1DD7" w:rsidP="006B1DD7">
            <w:pPr>
              <w:pStyle w:val="TableText"/>
              <w:rPr>
                <w:b/>
                <w:bCs/>
              </w:rPr>
            </w:pPr>
            <w:r w:rsidRPr="00996E36">
              <w:rPr>
                <w:b/>
                <w:bCs/>
              </w:rPr>
              <w:lastRenderedPageBreak/>
              <w:t xml:space="preserve">Net financial impact to the MBS </w:t>
            </w:r>
          </w:p>
        </w:tc>
        <w:tc>
          <w:tcPr>
            <w:tcW w:w="1134" w:type="dxa"/>
            <w:tcMar>
              <w:top w:w="0" w:type="dxa"/>
              <w:left w:w="108" w:type="dxa"/>
              <w:bottom w:w="0" w:type="dxa"/>
              <w:right w:w="108" w:type="dxa"/>
            </w:tcMar>
          </w:tcPr>
          <w:p w14:paraId="3944683C" w14:textId="31101DE2" w:rsidR="006B1DD7" w:rsidRPr="00FB04F4" w:rsidRDefault="006B1DD7" w:rsidP="000C6399">
            <w:pPr>
              <w:pStyle w:val="TableText"/>
              <w:jc w:val="center"/>
            </w:pPr>
            <w:r w:rsidRPr="00387649">
              <w:rPr>
                <w:rFonts w:cs="Calibri"/>
                <w:color w:val="000000"/>
              </w:rPr>
              <w:t>$</w:t>
            </w:r>
            <w:r w:rsidR="003F76AF" w:rsidRPr="00B73D4C">
              <w:rPr>
                <w:b/>
                <w:bCs/>
              </w:rPr>
              <w:t xml:space="preserve"> redacted</w:t>
            </w:r>
          </w:p>
        </w:tc>
        <w:tc>
          <w:tcPr>
            <w:tcW w:w="1117" w:type="dxa"/>
            <w:tcMar>
              <w:top w:w="0" w:type="dxa"/>
              <w:left w:w="108" w:type="dxa"/>
              <w:bottom w:w="0" w:type="dxa"/>
              <w:right w:w="108" w:type="dxa"/>
            </w:tcMar>
          </w:tcPr>
          <w:p w14:paraId="105F8F4E" w14:textId="74CB589B" w:rsidR="006B1DD7" w:rsidRPr="00FB04F4" w:rsidRDefault="006B1DD7" w:rsidP="000C6399">
            <w:pPr>
              <w:pStyle w:val="TableText"/>
              <w:jc w:val="center"/>
            </w:pPr>
            <w:r w:rsidRPr="00387649">
              <w:rPr>
                <w:rFonts w:cs="Calibri"/>
                <w:color w:val="000000"/>
              </w:rPr>
              <w:t>$</w:t>
            </w:r>
            <w:r w:rsidR="003F76AF" w:rsidRPr="00B73D4C">
              <w:rPr>
                <w:b/>
                <w:bCs/>
              </w:rPr>
              <w:t xml:space="preserve"> redacted</w:t>
            </w:r>
          </w:p>
        </w:tc>
        <w:tc>
          <w:tcPr>
            <w:tcW w:w="1054" w:type="dxa"/>
            <w:tcMar>
              <w:top w:w="0" w:type="dxa"/>
              <w:left w:w="108" w:type="dxa"/>
              <w:bottom w:w="0" w:type="dxa"/>
              <w:right w:w="108" w:type="dxa"/>
            </w:tcMar>
          </w:tcPr>
          <w:p w14:paraId="3D095E15" w14:textId="38131A16" w:rsidR="006B1DD7" w:rsidRPr="00FB04F4" w:rsidRDefault="006B1DD7" w:rsidP="000C6399">
            <w:pPr>
              <w:pStyle w:val="TableText"/>
              <w:jc w:val="center"/>
            </w:pPr>
            <w:r w:rsidRPr="00387649">
              <w:rPr>
                <w:rFonts w:cs="Calibri"/>
                <w:color w:val="000000"/>
              </w:rPr>
              <w:t>$</w:t>
            </w:r>
            <w:r w:rsidR="003F76AF" w:rsidRPr="00B73D4C">
              <w:rPr>
                <w:b/>
                <w:bCs/>
              </w:rPr>
              <w:t xml:space="preserve"> redacted</w:t>
            </w:r>
          </w:p>
        </w:tc>
        <w:tc>
          <w:tcPr>
            <w:tcW w:w="1089" w:type="dxa"/>
            <w:tcMar>
              <w:top w:w="0" w:type="dxa"/>
              <w:left w:w="108" w:type="dxa"/>
              <w:bottom w:w="0" w:type="dxa"/>
              <w:right w:w="108" w:type="dxa"/>
            </w:tcMar>
          </w:tcPr>
          <w:p w14:paraId="2B6B0EB1" w14:textId="5A46F43E" w:rsidR="006B1DD7" w:rsidRPr="00FB04F4" w:rsidRDefault="006B1DD7" w:rsidP="000C6399">
            <w:pPr>
              <w:pStyle w:val="TableText"/>
              <w:jc w:val="center"/>
            </w:pPr>
            <w:r w:rsidRPr="00387649">
              <w:rPr>
                <w:rFonts w:cs="Calibri"/>
                <w:color w:val="000000"/>
              </w:rPr>
              <w:t>$</w:t>
            </w:r>
            <w:r w:rsidR="003F76AF" w:rsidRPr="00B73D4C">
              <w:rPr>
                <w:b/>
                <w:bCs/>
              </w:rPr>
              <w:t xml:space="preserve"> redacted</w:t>
            </w:r>
          </w:p>
        </w:tc>
        <w:tc>
          <w:tcPr>
            <w:tcW w:w="1134" w:type="dxa"/>
            <w:tcMar>
              <w:top w:w="0" w:type="dxa"/>
              <w:left w:w="108" w:type="dxa"/>
              <w:bottom w:w="0" w:type="dxa"/>
              <w:right w:w="108" w:type="dxa"/>
            </w:tcMar>
          </w:tcPr>
          <w:p w14:paraId="451F6595" w14:textId="0DAD4E90" w:rsidR="006B1DD7" w:rsidRPr="00FB04F4" w:rsidRDefault="006B1DD7" w:rsidP="000C6399">
            <w:pPr>
              <w:pStyle w:val="TableText"/>
              <w:jc w:val="center"/>
            </w:pPr>
            <w:r w:rsidRPr="00387649">
              <w:rPr>
                <w:rFonts w:cs="Calibri"/>
                <w:color w:val="000000"/>
              </w:rPr>
              <w:t>$</w:t>
            </w:r>
            <w:r w:rsidR="003F76AF" w:rsidRPr="00B73D4C">
              <w:rPr>
                <w:b/>
                <w:bCs/>
              </w:rPr>
              <w:t xml:space="preserve"> redacted</w:t>
            </w:r>
          </w:p>
        </w:tc>
        <w:tc>
          <w:tcPr>
            <w:tcW w:w="1134" w:type="dxa"/>
            <w:tcMar>
              <w:top w:w="0" w:type="dxa"/>
              <w:left w:w="108" w:type="dxa"/>
              <w:bottom w:w="0" w:type="dxa"/>
              <w:right w:w="108" w:type="dxa"/>
            </w:tcMar>
          </w:tcPr>
          <w:p w14:paraId="6088D154" w14:textId="4CAB904D" w:rsidR="006B1DD7" w:rsidRPr="00FB04F4" w:rsidRDefault="006B1DD7" w:rsidP="000C6399">
            <w:pPr>
              <w:pStyle w:val="TableText"/>
              <w:jc w:val="center"/>
            </w:pPr>
            <w:r w:rsidRPr="00387649">
              <w:rPr>
                <w:rFonts w:cs="Calibri"/>
                <w:color w:val="000000"/>
              </w:rPr>
              <w:t>$</w:t>
            </w:r>
            <w:r w:rsidR="003F76AF" w:rsidRPr="00B73D4C">
              <w:rPr>
                <w:b/>
                <w:bCs/>
              </w:rPr>
              <w:t xml:space="preserve"> redacted</w:t>
            </w:r>
          </w:p>
        </w:tc>
      </w:tr>
      <w:tr w:rsidR="007A7D26" w:rsidRPr="00CE28E3" w14:paraId="26E54265" w14:textId="77777777" w:rsidTr="002C6233">
        <w:tc>
          <w:tcPr>
            <w:tcW w:w="3681" w:type="dxa"/>
            <w:gridSpan w:val="2"/>
            <w:tcMar>
              <w:top w:w="0" w:type="dxa"/>
              <w:left w:w="108" w:type="dxa"/>
              <w:bottom w:w="0" w:type="dxa"/>
              <w:right w:w="108" w:type="dxa"/>
            </w:tcMar>
          </w:tcPr>
          <w:p w14:paraId="2B672B48" w14:textId="498F727F" w:rsidR="007A7D26" w:rsidRPr="00387649" w:rsidRDefault="007A7D26" w:rsidP="00996E36">
            <w:pPr>
              <w:pStyle w:val="TableText"/>
              <w:rPr>
                <w:rFonts w:cs="Calibri"/>
                <w:color w:val="000000"/>
              </w:rPr>
            </w:pPr>
            <w:r w:rsidRPr="007A7D26">
              <w:rPr>
                <w:b/>
                <w:bCs/>
              </w:rPr>
              <w:t>Net financial impact to other health budgets</w:t>
            </w:r>
          </w:p>
        </w:tc>
        <w:tc>
          <w:tcPr>
            <w:tcW w:w="1117" w:type="dxa"/>
            <w:tcMar>
              <w:top w:w="0" w:type="dxa"/>
              <w:left w:w="108" w:type="dxa"/>
              <w:bottom w:w="0" w:type="dxa"/>
              <w:right w:w="108" w:type="dxa"/>
            </w:tcMar>
          </w:tcPr>
          <w:p w14:paraId="2FF43788" w14:textId="77777777" w:rsidR="007A7D26" w:rsidRPr="00387649" w:rsidRDefault="007A7D26" w:rsidP="000C6399">
            <w:pPr>
              <w:pStyle w:val="TableText"/>
              <w:jc w:val="center"/>
              <w:rPr>
                <w:rFonts w:cs="Calibri"/>
                <w:color w:val="000000"/>
              </w:rPr>
            </w:pPr>
          </w:p>
        </w:tc>
        <w:tc>
          <w:tcPr>
            <w:tcW w:w="1054" w:type="dxa"/>
            <w:tcMar>
              <w:top w:w="0" w:type="dxa"/>
              <w:left w:w="108" w:type="dxa"/>
              <w:bottom w:w="0" w:type="dxa"/>
              <w:right w:w="108" w:type="dxa"/>
            </w:tcMar>
          </w:tcPr>
          <w:p w14:paraId="47033618" w14:textId="77777777" w:rsidR="007A7D26" w:rsidRPr="00387649" w:rsidRDefault="007A7D26" w:rsidP="000C6399">
            <w:pPr>
              <w:pStyle w:val="TableText"/>
              <w:jc w:val="center"/>
              <w:rPr>
                <w:rFonts w:cs="Calibri"/>
                <w:color w:val="000000"/>
              </w:rPr>
            </w:pPr>
          </w:p>
        </w:tc>
        <w:tc>
          <w:tcPr>
            <w:tcW w:w="1089" w:type="dxa"/>
            <w:tcMar>
              <w:top w:w="0" w:type="dxa"/>
              <w:left w:w="108" w:type="dxa"/>
              <w:bottom w:w="0" w:type="dxa"/>
              <w:right w:w="108" w:type="dxa"/>
            </w:tcMar>
          </w:tcPr>
          <w:p w14:paraId="613F20D1" w14:textId="77777777" w:rsidR="007A7D26" w:rsidRPr="00387649" w:rsidRDefault="007A7D26" w:rsidP="000C6399">
            <w:pPr>
              <w:pStyle w:val="TableText"/>
              <w:jc w:val="center"/>
              <w:rPr>
                <w:rFonts w:cs="Calibri"/>
                <w:color w:val="000000"/>
              </w:rPr>
            </w:pPr>
          </w:p>
        </w:tc>
        <w:tc>
          <w:tcPr>
            <w:tcW w:w="1134" w:type="dxa"/>
            <w:tcMar>
              <w:top w:w="0" w:type="dxa"/>
              <w:left w:w="108" w:type="dxa"/>
              <w:bottom w:w="0" w:type="dxa"/>
              <w:right w:w="108" w:type="dxa"/>
            </w:tcMar>
          </w:tcPr>
          <w:p w14:paraId="4DDAD38F" w14:textId="77777777" w:rsidR="007A7D26" w:rsidRPr="00387649" w:rsidRDefault="007A7D26" w:rsidP="000C6399">
            <w:pPr>
              <w:pStyle w:val="TableText"/>
              <w:jc w:val="center"/>
              <w:rPr>
                <w:rFonts w:cs="Calibri"/>
                <w:color w:val="000000"/>
              </w:rPr>
            </w:pPr>
          </w:p>
        </w:tc>
        <w:tc>
          <w:tcPr>
            <w:tcW w:w="1134" w:type="dxa"/>
            <w:tcMar>
              <w:top w:w="0" w:type="dxa"/>
              <w:left w:w="108" w:type="dxa"/>
              <w:bottom w:w="0" w:type="dxa"/>
              <w:right w:w="108" w:type="dxa"/>
            </w:tcMar>
          </w:tcPr>
          <w:p w14:paraId="5EF2E26C" w14:textId="77777777" w:rsidR="007A7D26" w:rsidRPr="00387649" w:rsidRDefault="007A7D26" w:rsidP="000C6399">
            <w:pPr>
              <w:pStyle w:val="TableText"/>
              <w:jc w:val="center"/>
              <w:rPr>
                <w:rFonts w:cs="Calibri"/>
                <w:color w:val="000000"/>
              </w:rPr>
            </w:pPr>
          </w:p>
        </w:tc>
      </w:tr>
      <w:tr w:rsidR="007A7D26" w:rsidRPr="00CE28E3" w14:paraId="13958A39" w14:textId="77777777" w:rsidTr="002C6233">
        <w:tc>
          <w:tcPr>
            <w:tcW w:w="2547" w:type="dxa"/>
            <w:tcMar>
              <w:top w:w="0" w:type="dxa"/>
              <w:left w:w="108" w:type="dxa"/>
              <w:bottom w:w="0" w:type="dxa"/>
              <w:right w:w="108" w:type="dxa"/>
            </w:tcMar>
          </w:tcPr>
          <w:p w14:paraId="309E2F23" w14:textId="3B99EB51" w:rsidR="007A7D26" w:rsidRPr="00996E36" w:rsidRDefault="007A7D26" w:rsidP="007A7D26">
            <w:pPr>
              <w:pStyle w:val="TableText"/>
            </w:pPr>
            <w:r w:rsidRPr="00996E36">
              <w:t>Net hospitalisation cost of IVL listing</w:t>
            </w:r>
          </w:p>
        </w:tc>
        <w:tc>
          <w:tcPr>
            <w:tcW w:w="1134" w:type="dxa"/>
            <w:tcMar>
              <w:top w:w="0" w:type="dxa"/>
              <w:left w:w="108" w:type="dxa"/>
              <w:bottom w:w="0" w:type="dxa"/>
              <w:right w:w="108" w:type="dxa"/>
            </w:tcMar>
          </w:tcPr>
          <w:p w14:paraId="3F831C92" w14:textId="6CCBB755" w:rsidR="007A7D26" w:rsidRPr="00387649"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117" w:type="dxa"/>
            <w:tcMar>
              <w:top w:w="0" w:type="dxa"/>
              <w:left w:w="108" w:type="dxa"/>
              <w:bottom w:w="0" w:type="dxa"/>
              <w:right w:w="108" w:type="dxa"/>
            </w:tcMar>
          </w:tcPr>
          <w:p w14:paraId="23EBD220" w14:textId="5E451E28" w:rsidR="007A7D26" w:rsidRPr="00387649"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054" w:type="dxa"/>
            <w:tcMar>
              <w:top w:w="0" w:type="dxa"/>
              <w:left w:w="108" w:type="dxa"/>
              <w:bottom w:w="0" w:type="dxa"/>
              <w:right w:w="108" w:type="dxa"/>
            </w:tcMar>
          </w:tcPr>
          <w:p w14:paraId="28E8DB3C" w14:textId="1CA2BC20" w:rsidR="007A7D26" w:rsidRPr="00387649"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089" w:type="dxa"/>
            <w:tcMar>
              <w:top w:w="0" w:type="dxa"/>
              <w:left w:w="108" w:type="dxa"/>
              <w:bottom w:w="0" w:type="dxa"/>
              <w:right w:w="108" w:type="dxa"/>
            </w:tcMar>
          </w:tcPr>
          <w:p w14:paraId="082F5CD3" w14:textId="2A17D811" w:rsidR="007A7D26" w:rsidRPr="00387649"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134" w:type="dxa"/>
            <w:tcMar>
              <w:top w:w="0" w:type="dxa"/>
              <w:left w:w="108" w:type="dxa"/>
              <w:bottom w:w="0" w:type="dxa"/>
              <w:right w:w="108" w:type="dxa"/>
            </w:tcMar>
          </w:tcPr>
          <w:p w14:paraId="1C08BDD5" w14:textId="6FC8BFBE" w:rsidR="007A7D26" w:rsidRPr="00387649"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134" w:type="dxa"/>
            <w:tcMar>
              <w:top w:w="0" w:type="dxa"/>
              <w:left w:w="108" w:type="dxa"/>
              <w:bottom w:w="0" w:type="dxa"/>
              <w:right w:w="108" w:type="dxa"/>
            </w:tcMar>
          </w:tcPr>
          <w:p w14:paraId="16674A2E" w14:textId="0370C560" w:rsidR="007A7D26" w:rsidRPr="00387649"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r>
      <w:tr w:rsidR="007A7D26" w:rsidRPr="007A7D26" w14:paraId="70789611" w14:textId="77777777" w:rsidTr="002C6233">
        <w:tc>
          <w:tcPr>
            <w:tcW w:w="2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B9BD58" w14:textId="2307E316" w:rsidR="007A7D26" w:rsidRPr="00996E36" w:rsidRDefault="007A7D26" w:rsidP="007A7D26">
            <w:pPr>
              <w:pStyle w:val="TableText"/>
            </w:pPr>
            <w:r w:rsidRPr="00996E36">
              <w:t>Net device cost of IVL listing</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A1AF97" w14:textId="1850B657" w:rsidR="007A7D26" w:rsidRPr="007A7D26"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1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D9E66F" w14:textId="6B6FDF80" w:rsidR="007A7D26" w:rsidRPr="007A7D26"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69FB1B" w14:textId="3DDE1EAC" w:rsidR="007A7D26" w:rsidRPr="007A7D26"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30FED" w14:textId="0D4B78FD" w:rsidR="007A7D26" w:rsidRPr="007A7D26"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6DE1F" w14:textId="236D46D9" w:rsidR="007A7D26" w:rsidRPr="007A7D26"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544219" w14:textId="68F0EF20" w:rsidR="007A7D26" w:rsidRPr="007A7D26"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r>
      <w:tr w:rsidR="007A7D26" w:rsidRPr="00CE28E3" w14:paraId="1BE72B14" w14:textId="77777777" w:rsidTr="002C6233">
        <w:tc>
          <w:tcPr>
            <w:tcW w:w="2547" w:type="dxa"/>
            <w:tcMar>
              <w:top w:w="0" w:type="dxa"/>
              <w:left w:w="108" w:type="dxa"/>
              <w:bottom w:w="0" w:type="dxa"/>
              <w:right w:w="108" w:type="dxa"/>
            </w:tcMar>
          </w:tcPr>
          <w:p w14:paraId="5AEA74D6" w14:textId="294422BA" w:rsidR="007A7D26" w:rsidRPr="007A7D26" w:rsidRDefault="007A7D26" w:rsidP="007A7D26">
            <w:pPr>
              <w:pStyle w:val="TableText"/>
              <w:rPr>
                <w:b/>
                <w:bCs/>
              </w:rPr>
            </w:pPr>
            <w:r w:rsidRPr="00547511">
              <w:t xml:space="preserve">Net </w:t>
            </w:r>
            <w:r w:rsidR="001D76FC" w:rsidRPr="001D76FC">
              <w:t>Prescribed List of Medical Devices and Human Tissue Products</w:t>
            </w:r>
            <w:r w:rsidR="001D76FC">
              <w:t xml:space="preserve"> </w:t>
            </w:r>
            <w:r w:rsidRPr="00547511">
              <w:t>cost of IVL listing</w:t>
            </w:r>
          </w:p>
        </w:tc>
        <w:tc>
          <w:tcPr>
            <w:tcW w:w="1134" w:type="dxa"/>
            <w:tcMar>
              <w:top w:w="0" w:type="dxa"/>
              <w:left w:w="108" w:type="dxa"/>
              <w:bottom w:w="0" w:type="dxa"/>
              <w:right w:w="108" w:type="dxa"/>
            </w:tcMar>
          </w:tcPr>
          <w:p w14:paraId="6F91259C" w14:textId="7E129DC6" w:rsidR="007A7D26" w:rsidRPr="00387649"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117" w:type="dxa"/>
            <w:tcMar>
              <w:top w:w="0" w:type="dxa"/>
              <w:left w:w="108" w:type="dxa"/>
              <w:bottom w:w="0" w:type="dxa"/>
              <w:right w:w="108" w:type="dxa"/>
            </w:tcMar>
          </w:tcPr>
          <w:p w14:paraId="2E5CB2C8" w14:textId="2B3BBE80" w:rsidR="007A7D26" w:rsidRPr="00387649"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054" w:type="dxa"/>
            <w:tcMar>
              <w:top w:w="0" w:type="dxa"/>
              <w:left w:w="108" w:type="dxa"/>
              <w:bottom w:w="0" w:type="dxa"/>
              <w:right w:w="108" w:type="dxa"/>
            </w:tcMar>
          </w:tcPr>
          <w:p w14:paraId="354365B8" w14:textId="2E07FADC" w:rsidR="007A7D26" w:rsidRPr="00387649"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089" w:type="dxa"/>
            <w:tcMar>
              <w:top w:w="0" w:type="dxa"/>
              <w:left w:w="108" w:type="dxa"/>
              <w:bottom w:w="0" w:type="dxa"/>
              <w:right w:w="108" w:type="dxa"/>
            </w:tcMar>
          </w:tcPr>
          <w:p w14:paraId="75A20D1F" w14:textId="032F92E8" w:rsidR="007A7D26" w:rsidRPr="00387649"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134" w:type="dxa"/>
            <w:tcMar>
              <w:top w:w="0" w:type="dxa"/>
              <w:left w:w="108" w:type="dxa"/>
              <w:bottom w:w="0" w:type="dxa"/>
              <w:right w:w="108" w:type="dxa"/>
            </w:tcMar>
          </w:tcPr>
          <w:p w14:paraId="64DE50D3" w14:textId="53237E9C" w:rsidR="007A7D26" w:rsidRPr="00387649"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134" w:type="dxa"/>
            <w:tcMar>
              <w:top w:w="0" w:type="dxa"/>
              <w:left w:w="108" w:type="dxa"/>
              <w:bottom w:w="0" w:type="dxa"/>
              <w:right w:w="108" w:type="dxa"/>
            </w:tcMar>
          </w:tcPr>
          <w:p w14:paraId="3FCFA484" w14:textId="13BD0696" w:rsidR="007A7D26" w:rsidRPr="00387649"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r>
      <w:tr w:rsidR="007A7D26" w:rsidRPr="007A7D26" w14:paraId="28252491" w14:textId="77777777" w:rsidTr="002C6233">
        <w:tc>
          <w:tcPr>
            <w:tcW w:w="2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BF1552" w14:textId="7A3FE807" w:rsidR="007A7D26" w:rsidRPr="00996E36" w:rsidRDefault="007A7D26" w:rsidP="007A7D26">
            <w:pPr>
              <w:pStyle w:val="TableText"/>
            </w:pPr>
            <w:r w:rsidRPr="00547511">
              <w:t>Net patient cost of IVL listing</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A1A9A7" w14:textId="55B25FCA" w:rsidR="007A7D26" w:rsidRPr="007A7D26"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1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654B7" w14:textId="3711A42C" w:rsidR="007A7D26" w:rsidRPr="007A7D26"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CE3A5" w14:textId="3AD3F304" w:rsidR="007A7D26" w:rsidRPr="007A7D26"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5611D3" w14:textId="701EC1C8" w:rsidR="007A7D26" w:rsidRPr="007A7D26"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F6A02C" w14:textId="66FD13FC" w:rsidR="007A7D26" w:rsidRPr="007A7D26"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6B8DA1" w14:textId="15F48DFB" w:rsidR="007A7D26" w:rsidRPr="007A7D26" w:rsidRDefault="007A7D26" w:rsidP="007A7D26">
            <w:pPr>
              <w:pStyle w:val="TableText"/>
              <w:jc w:val="center"/>
              <w:rPr>
                <w:rFonts w:cs="Calibri"/>
                <w:color w:val="000000"/>
              </w:rPr>
            </w:pPr>
            <w:r w:rsidRPr="007A7D26">
              <w:rPr>
                <w:rFonts w:cs="Calibri"/>
                <w:color w:val="000000"/>
              </w:rPr>
              <w:t>$</w:t>
            </w:r>
            <w:r w:rsidR="003F76AF" w:rsidRPr="00B73D4C">
              <w:rPr>
                <w:b/>
                <w:bCs/>
              </w:rPr>
              <w:t xml:space="preserve"> redacted</w:t>
            </w:r>
          </w:p>
        </w:tc>
      </w:tr>
      <w:tr w:rsidR="007A7D26" w:rsidRPr="00CE28E3" w14:paraId="3E64BEE7" w14:textId="77777777" w:rsidTr="002C6233">
        <w:tc>
          <w:tcPr>
            <w:tcW w:w="2547" w:type="dxa"/>
            <w:tcMar>
              <w:top w:w="0" w:type="dxa"/>
              <w:left w:w="108" w:type="dxa"/>
              <w:bottom w:w="0" w:type="dxa"/>
              <w:right w:w="108" w:type="dxa"/>
            </w:tcMar>
          </w:tcPr>
          <w:p w14:paraId="66037744" w14:textId="703C7956" w:rsidR="007A7D26" w:rsidRDefault="007A7D26" w:rsidP="007A7D26">
            <w:pPr>
              <w:pStyle w:val="TableText"/>
            </w:pPr>
            <w:r w:rsidRPr="00EC2357">
              <w:rPr>
                <w:b/>
                <w:bCs/>
              </w:rPr>
              <w:t xml:space="preserve">Net financial impact to other health budgets </w:t>
            </w:r>
          </w:p>
        </w:tc>
        <w:tc>
          <w:tcPr>
            <w:tcW w:w="1134" w:type="dxa"/>
            <w:tcMar>
              <w:top w:w="0" w:type="dxa"/>
              <w:left w:w="108" w:type="dxa"/>
              <w:bottom w:w="0" w:type="dxa"/>
              <w:right w:w="108" w:type="dxa"/>
            </w:tcMar>
          </w:tcPr>
          <w:p w14:paraId="2E0362B1" w14:textId="61F78B15" w:rsidR="007A7D26" w:rsidRPr="001E3322" w:rsidRDefault="007A7D26" w:rsidP="007A7D26">
            <w:pPr>
              <w:pStyle w:val="TableText"/>
              <w:jc w:val="center"/>
            </w:pPr>
            <w:r w:rsidRPr="001E3322">
              <w:t>$</w:t>
            </w:r>
            <w:r w:rsidR="003F76AF" w:rsidRPr="00B73D4C">
              <w:rPr>
                <w:b/>
                <w:bCs/>
              </w:rPr>
              <w:t xml:space="preserve"> redacted</w:t>
            </w:r>
          </w:p>
        </w:tc>
        <w:tc>
          <w:tcPr>
            <w:tcW w:w="1117" w:type="dxa"/>
            <w:tcMar>
              <w:top w:w="0" w:type="dxa"/>
              <w:left w:w="108" w:type="dxa"/>
              <w:bottom w:w="0" w:type="dxa"/>
              <w:right w:w="108" w:type="dxa"/>
            </w:tcMar>
          </w:tcPr>
          <w:p w14:paraId="52EDE4DC" w14:textId="709F879B" w:rsidR="007A7D26" w:rsidRPr="001E3322" w:rsidRDefault="007A7D26" w:rsidP="007A7D26">
            <w:pPr>
              <w:pStyle w:val="TableText"/>
              <w:jc w:val="center"/>
            </w:pPr>
            <w:r w:rsidRPr="001E3322">
              <w:t>$</w:t>
            </w:r>
            <w:r w:rsidR="003F76AF" w:rsidRPr="00B73D4C">
              <w:rPr>
                <w:b/>
                <w:bCs/>
              </w:rPr>
              <w:t xml:space="preserve"> redacted</w:t>
            </w:r>
          </w:p>
        </w:tc>
        <w:tc>
          <w:tcPr>
            <w:tcW w:w="1054" w:type="dxa"/>
            <w:tcMar>
              <w:top w:w="0" w:type="dxa"/>
              <w:left w:w="108" w:type="dxa"/>
              <w:bottom w:w="0" w:type="dxa"/>
              <w:right w:w="108" w:type="dxa"/>
            </w:tcMar>
          </w:tcPr>
          <w:p w14:paraId="0B71AD7B" w14:textId="3322437D" w:rsidR="007A7D26" w:rsidRPr="001E3322" w:rsidRDefault="007A7D26" w:rsidP="007A7D26">
            <w:pPr>
              <w:pStyle w:val="TableText"/>
              <w:jc w:val="center"/>
            </w:pPr>
            <w:r w:rsidRPr="001E3322">
              <w:t>$</w:t>
            </w:r>
            <w:r w:rsidR="003F76AF" w:rsidRPr="00B73D4C">
              <w:rPr>
                <w:b/>
                <w:bCs/>
              </w:rPr>
              <w:t xml:space="preserve"> redacted</w:t>
            </w:r>
          </w:p>
        </w:tc>
        <w:tc>
          <w:tcPr>
            <w:tcW w:w="1089" w:type="dxa"/>
            <w:tcMar>
              <w:top w:w="0" w:type="dxa"/>
              <w:left w:w="108" w:type="dxa"/>
              <w:bottom w:w="0" w:type="dxa"/>
              <w:right w:w="108" w:type="dxa"/>
            </w:tcMar>
          </w:tcPr>
          <w:p w14:paraId="23190E31" w14:textId="4483E7C1" w:rsidR="007A7D26" w:rsidRPr="001E3322" w:rsidRDefault="007A7D26" w:rsidP="007A7D26">
            <w:pPr>
              <w:pStyle w:val="TableText"/>
              <w:jc w:val="center"/>
            </w:pPr>
            <w:r w:rsidRPr="001E3322">
              <w:t>$</w:t>
            </w:r>
            <w:r w:rsidR="003F76AF" w:rsidRPr="00B73D4C">
              <w:rPr>
                <w:b/>
                <w:bCs/>
              </w:rPr>
              <w:t xml:space="preserve"> redacted</w:t>
            </w:r>
          </w:p>
        </w:tc>
        <w:tc>
          <w:tcPr>
            <w:tcW w:w="1134" w:type="dxa"/>
            <w:tcMar>
              <w:top w:w="0" w:type="dxa"/>
              <w:left w:w="108" w:type="dxa"/>
              <w:bottom w:w="0" w:type="dxa"/>
              <w:right w:w="108" w:type="dxa"/>
            </w:tcMar>
          </w:tcPr>
          <w:p w14:paraId="134244B8" w14:textId="135EACAF" w:rsidR="007A7D26" w:rsidRPr="001E3322" w:rsidRDefault="007A7D26" w:rsidP="007A7D26">
            <w:pPr>
              <w:pStyle w:val="TableText"/>
              <w:jc w:val="center"/>
            </w:pPr>
            <w:r w:rsidRPr="001E3322">
              <w:t>$</w:t>
            </w:r>
            <w:r w:rsidR="003F76AF" w:rsidRPr="00B73D4C">
              <w:rPr>
                <w:b/>
                <w:bCs/>
              </w:rPr>
              <w:t xml:space="preserve"> redacted</w:t>
            </w:r>
          </w:p>
        </w:tc>
        <w:tc>
          <w:tcPr>
            <w:tcW w:w="1134" w:type="dxa"/>
            <w:tcMar>
              <w:top w:w="0" w:type="dxa"/>
              <w:left w:w="108" w:type="dxa"/>
              <w:bottom w:w="0" w:type="dxa"/>
              <w:right w:w="108" w:type="dxa"/>
            </w:tcMar>
          </w:tcPr>
          <w:p w14:paraId="7053154B" w14:textId="321379AF" w:rsidR="007A7D26" w:rsidRPr="001E3322" w:rsidRDefault="007A7D26" w:rsidP="007A7D26">
            <w:pPr>
              <w:pStyle w:val="TableText"/>
              <w:jc w:val="center"/>
            </w:pPr>
            <w:r w:rsidRPr="001E3322">
              <w:t>$</w:t>
            </w:r>
            <w:r w:rsidR="003F76AF" w:rsidRPr="00B73D4C">
              <w:rPr>
                <w:b/>
                <w:bCs/>
              </w:rPr>
              <w:t xml:space="preserve"> redacted</w:t>
            </w:r>
          </w:p>
        </w:tc>
      </w:tr>
      <w:tr w:rsidR="007A7D26" w:rsidRPr="00CE28E3" w14:paraId="6E978118" w14:textId="77777777" w:rsidTr="002C6233">
        <w:tc>
          <w:tcPr>
            <w:tcW w:w="2547" w:type="dxa"/>
            <w:tcMar>
              <w:top w:w="0" w:type="dxa"/>
              <w:left w:w="108" w:type="dxa"/>
              <w:bottom w:w="0" w:type="dxa"/>
              <w:right w:w="108" w:type="dxa"/>
            </w:tcMar>
          </w:tcPr>
          <w:p w14:paraId="6E968F18" w14:textId="45406BA8" w:rsidR="007A7D26" w:rsidRPr="006B1DD7" w:rsidRDefault="007A7D26" w:rsidP="007A7D26">
            <w:pPr>
              <w:pStyle w:val="TableText"/>
              <w:rPr>
                <w:b/>
                <w:bCs/>
              </w:rPr>
            </w:pPr>
            <w:r w:rsidRPr="006B1DD7">
              <w:rPr>
                <w:rFonts w:cs="Calibri"/>
                <w:b/>
                <w:bCs/>
                <w:color w:val="000000"/>
              </w:rPr>
              <w:t>Overall net financial impact</w:t>
            </w:r>
          </w:p>
        </w:tc>
        <w:tc>
          <w:tcPr>
            <w:tcW w:w="1134" w:type="dxa"/>
            <w:tcMar>
              <w:top w:w="0" w:type="dxa"/>
              <w:left w:w="108" w:type="dxa"/>
              <w:bottom w:w="0" w:type="dxa"/>
              <w:right w:w="108" w:type="dxa"/>
            </w:tcMar>
          </w:tcPr>
          <w:p w14:paraId="20FC7BF7" w14:textId="30300CAF" w:rsidR="007A7D26" w:rsidRPr="006B1DD7" w:rsidRDefault="007A7D26" w:rsidP="007A7D26">
            <w:pPr>
              <w:pStyle w:val="TableText"/>
              <w:jc w:val="center"/>
              <w:rPr>
                <w:b/>
                <w:bCs/>
              </w:rPr>
            </w:pPr>
            <w:r w:rsidRPr="006B1DD7">
              <w:rPr>
                <w:b/>
                <w:bCs/>
              </w:rPr>
              <w:t>$</w:t>
            </w:r>
            <w:r w:rsidR="00AF78E2" w:rsidRPr="00B73D4C">
              <w:rPr>
                <w:b/>
                <w:bCs/>
              </w:rPr>
              <w:t xml:space="preserve"> redacted</w:t>
            </w:r>
          </w:p>
        </w:tc>
        <w:tc>
          <w:tcPr>
            <w:tcW w:w="1117" w:type="dxa"/>
            <w:tcMar>
              <w:top w:w="0" w:type="dxa"/>
              <w:left w:w="108" w:type="dxa"/>
              <w:bottom w:w="0" w:type="dxa"/>
              <w:right w:w="108" w:type="dxa"/>
            </w:tcMar>
          </w:tcPr>
          <w:p w14:paraId="112C6A1B" w14:textId="3E6374CF" w:rsidR="007A7D26" w:rsidRPr="006B1DD7" w:rsidRDefault="007A7D26" w:rsidP="007A7D26">
            <w:pPr>
              <w:pStyle w:val="TableText"/>
              <w:jc w:val="center"/>
              <w:rPr>
                <w:b/>
                <w:bCs/>
              </w:rPr>
            </w:pPr>
            <w:r w:rsidRPr="006B1DD7">
              <w:rPr>
                <w:b/>
                <w:bCs/>
              </w:rPr>
              <w:t>$</w:t>
            </w:r>
            <w:r w:rsidR="00AF78E2" w:rsidRPr="00B73D4C">
              <w:rPr>
                <w:b/>
                <w:bCs/>
              </w:rPr>
              <w:t xml:space="preserve"> redacted</w:t>
            </w:r>
          </w:p>
        </w:tc>
        <w:tc>
          <w:tcPr>
            <w:tcW w:w="1054" w:type="dxa"/>
            <w:tcMar>
              <w:top w:w="0" w:type="dxa"/>
              <w:left w:w="108" w:type="dxa"/>
              <w:bottom w:w="0" w:type="dxa"/>
              <w:right w:w="108" w:type="dxa"/>
            </w:tcMar>
          </w:tcPr>
          <w:p w14:paraId="6FEF4A33" w14:textId="0884FDDF" w:rsidR="007A7D26" w:rsidRPr="006B1DD7" w:rsidRDefault="007A7D26" w:rsidP="007A7D26">
            <w:pPr>
              <w:pStyle w:val="TableText"/>
              <w:jc w:val="center"/>
              <w:rPr>
                <w:b/>
                <w:bCs/>
              </w:rPr>
            </w:pPr>
            <w:r w:rsidRPr="006B1DD7">
              <w:rPr>
                <w:b/>
                <w:bCs/>
              </w:rPr>
              <w:t>$</w:t>
            </w:r>
            <w:r w:rsidR="00AF78E2" w:rsidRPr="00B73D4C">
              <w:rPr>
                <w:b/>
                <w:bCs/>
              </w:rPr>
              <w:t xml:space="preserve"> redacted</w:t>
            </w:r>
          </w:p>
        </w:tc>
        <w:tc>
          <w:tcPr>
            <w:tcW w:w="1089" w:type="dxa"/>
            <w:tcMar>
              <w:top w:w="0" w:type="dxa"/>
              <w:left w:w="108" w:type="dxa"/>
              <w:bottom w:w="0" w:type="dxa"/>
              <w:right w:w="108" w:type="dxa"/>
            </w:tcMar>
          </w:tcPr>
          <w:p w14:paraId="49FE6FCD" w14:textId="710C113A" w:rsidR="007A7D26" w:rsidRPr="006B1DD7" w:rsidRDefault="007A7D26" w:rsidP="007A7D26">
            <w:pPr>
              <w:pStyle w:val="TableText"/>
              <w:jc w:val="center"/>
              <w:rPr>
                <w:b/>
                <w:bCs/>
              </w:rPr>
            </w:pPr>
            <w:r w:rsidRPr="006B1DD7">
              <w:rPr>
                <w:b/>
                <w:bCs/>
              </w:rPr>
              <w:t>$</w:t>
            </w:r>
            <w:r w:rsidR="00AF78E2" w:rsidRPr="00B73D4C">
              <w:rPr>
                <w:b/>
                <w:bCs/>
              </w:rPr>
              <w:t xml:space="preserve"> redacted</w:t>
            </w:r>
          </w:p>
        </w:tc>
        <w:tc>
          <w:tcPr>
            <w:tcW w:w="1134" w:type="dxa"/>
            <w:tcMar>
              <w:top w:w="0" w:type="dxa"/>
              <w:left w:w="108" w:type="dxa"/>
              <w:bottom w:w="0" w:type="dxa"/>
              <w:right w:w="108" w:type="dxa"/>
            </w:tcMar>
          </w:tcPr>
          <w:p w14:paraId="4113ED41" w14:textId="76FDC744" w:rsidR="007A7D26" w:rsidRPr="006B1DD7" w:rsidRDefault="007A7D26" w:rsidP="007A7D26">
            <w:pPr>
              <w:pStyle w:val="TableText"/>
              <w:jc w:val="center"/>
              <w:rPr>
                <w:b/>
                <w:bCs/>
              </w:rPr>
            </w:pPr>
            <w:r w:rsidRPr="006B1DD7">
              <w:rPr>
                <w:b/>
                <w:bCs/>
              </w:rPr>
              <w:t>$</w:t>
            </w:r>
            <w:r w:rsidR="00AF78E2" w:rsidRPr="00B73D4C">
              <w:rPr>
                <w:b/>
                <w:bCs/>
              </w:rPr>
              <w:t xml:space="preserve"> redacted</w:t>
            </w:r>
          </w:p>
        </w:tc>
        <w:tc>
          <w:tcPr>
            <w:tcW w:w="1134" w:type="dxa"/>
            <w:tcMar>
              <w:top w:w="0" w:type="dxa"/>
              <w:left w:w="108" w:type="dxa"/>
              <w:bottom w:w="0" w:type="dxa"/>
              <w:right w:w="108" w:type="dxa"/>
            </w:tcMar>
          </w:tcPr>
          <w:p w14:paraId="3481B207" w14:textId="260AC37A" w:rsidR="007A7D26" w:rsidRPr="006B1DD7" w:rsidRDefault="007A7D26" w:rsidP="007A7D26">
            <w:pPr>
              <w:pStyle w:val="TableText"/>
              <w:jc w:val="center"/>
              <w:rPr>
                <w:b/>
                <w:bCs/>
              </w:rPr>
            </w:pPr>
            <w:r w:rsidRPr="006B1DD7">
              <w:rPr>
                <w:b/>
                <w:bCs/>
              </w:rPr>
              <w:t>$</w:t>
            </w:r>
            <w:r w:rsidR="00AF78E2" w:rsidRPr="00B73D4C">
              <w:rPr>
                <w:b/>
                <w:bCs/>
              </w:rPr>
              <w:t xml:space="preserve"> redacted</w:t>
            </w:r>
          </w:p>
        </w:tc>
      </w:tr>
    </w:tbl>
    <w:p w14:paraId="230856CB" w14:textId="77777777" w:rsidR="006B1DD7" w:rsidRDefault="006B1DD7" w:rsidP="006B1DD7">
      <w:pPr>
        <w:pStyle w:val="Tablenotes"/>
      </w:pPr>
      <w:bookmarkStart w:id="59" w:name="_Hlk68276814"/>
      <w:bookmarkEnd w:id="58"/>
      <w:r>
        <w:t>Abbreviations: IVL = intravascular lithotripsy, MBS = Medicare Benefits Schedule, SBA = standard balloon angioplasty</w:t>
      </w:r>
      <w:r w:rsidRPr="006B1DD7">
        <w:t xml:space="preserve"> </w:t>
      </w:r>
    </w:p>
    <w:p w14:paraId="49794D49" w14:textId="52F7458F" w:rsidR="00FA0F89" w:rsidRPr="00996E36" w:rsidRDefault="009A66B0" w:rsidP="00FD0F2A">
      <w:r w:rsidRPr="00996E36">
        <w:t xml:space="preserve">Overall, </w:t>
      </w:r>
      <w:r w:rsidR="00CA76B6" w:rsidRPr="00996E36">
        <w:t>the</w:t>
      </w:r>
      <w:r w:rsidRPr="00996E36">
        <w:t xml:space="preserve"> </w:t>
      </w:r>
      <w:r w:rsidR="00EB6499" w:rsidRPr="00996E36">
        <w:t>commentary</w:t>
      </w:r>
      <w:r w:rsidR="00FA0F89" w:rsidRPr="00996E36">
        <w:t xml:space="preserve"> </w:t>
      </w:r>
      <w:r w:rsidR="005F1FA3" w:rsidRPr="00996E36">
        <w:t>consider</w:t>
      </w:r>
      <w:r w:rsidR="005F1FA3">
        <w:t>s</w:t>
      </w:r>
      <w:r w:rsidR="005F1FA3" w:rsidRPr="00996E36">
        <w:t xml:space="preserve"> </w:t>
      </w:r>
      <w:r w:rsidRPr="00996E36">
        <w:t xml:space="preserve">that the financial estimates </w:t>
      </w:r>
      <w:r w:rsidR="00562D54" w:rsidRPr="00996E36">
        <w:t>are</w:t>
      </w:r>
      <w:r w:rsidR="00500D76">
        <w:t xml:space="preserve"> subject to </w:t>
      </w:r>
      <w:r w:rsidR="007519A6">
        <w:t>several</w:t>
      </w:r>
      <w:r w:rsidR="00500D76">
        <w:t xml:space="preserve"> uncertainties (for instance overestimating utilisation </w:t>
      </w:r>
      <w:proofErr w:type="gramStart"/>
      <w:r w:rsidR="00500D76">
        <w:t>and also</w:t>
      </w:r>
      <w:proofErr w:type="gramEnd"/>
      <w:r w:rsidR="00500D76">
        <w:t xml:space="preserve"> overestimating </w:t>
      </w:r>
      <w:r w:rsidR="009D72C6">
        <w:t>the number of stents avoided)</w:t>
      </w:r>
      <w:r w:rsidR="00AD106C" w:rsidRPr="00AD106C">
        <w:t>, based</w:t>
      </w:r>
      <w:r w:rsidR="00562D54" w:rsidRPr="00996E36">
        <w:t xml:space="preserve"> on the following observations</w:t>
      </w:r>
      <w:r w:rsidR="00FA0F89" w:rsidRPr="00996E36">
        <w:t>:</w:t>
      </w:r>
    </w:p>
    <w:p w14:paraId="00A7B615" w14:textId="3400BFDF" w:rsidR="00DA5770" w:rsidRPr="00996E36" w:rsidRDefault="00DA5770" w:rsidP="00FD0F2A">
      <w:pPr>
        <w:pStyle w:val="ListParagraph"/>
        <w:numPr>
          <w:ilvl w:val="0"/>
          <w:numId w:val="15"/>
        </w:numPr>
      </w:pPr>
      <w:r w:rsidRPr="00996E36">
        <w:t xml:space="preserve">MBS utilisation data for MBS item numbers 35300, 35303, 35306, and 35309 </w:t>
      </w:r>
      <w:r w:rsidR="00CA76B6" w:rsidRPr="00996E36">
        <w:t xml:space="preserve">were </w:t>
      </w:r>
      <w:r w:rsidRPr="00996E36">
        <w:t xml:space="preserve">used to calculate PAD procedure market growth and project utilisation over 6 years. These MBS items are not confined to the peripheral arteries. </w:t>
      </w:r>
    </w:p>
    <w:p w14:paraId="72230516" w14:textId="77777777" w:rsidR="00DA5770" w:rsidRPr="00996E36" w:rsidRDefault="00DA5770" w:rsidP="00FD0F2A">
      <w:pPr>
        <w:pStyle w:val="ListParagraph"/>
        <w:numPr>
          <w:ilvl w:val="0"/>
          <w:numId w:val="15"/>
        </w:numPr>
        <w:rPr>
          <w:rStyle w:val="cf01"/>
        </w:rPr>
      </w:pPr>
      <w:r w:rsidRPr="00996E36">
        <w:t xml:space="preserve">The ADAR calculated the annual growth rate based on total procedures for MBS items 35300, 35303, 35306, 35306 and then used data from The DISRUPT PAD III OS study to allocate proportion for PICO sets 1 and 2. However, only MBS items 35300 and 35303 are relevant for the PICO set 1 (stand-alone procedure). </w:t>
      </w:r>
    </w:p>
    <w:p w14:paraId="18F155E8" w14:textId="6C5FE80B" w:rsidR="00FA0F89" w:rsidRPr="00996E36" w:rsidRDefault="00C90312" w:rsidP="00FD0F2A">
      <w:pPr>
        <w:pStyle w:val="ListParagraph"/>
        <w:numPr>
          <w:ilvl w:val="0"/>
          <w:numId w:val="15"/>
        </w:numPr>
      </w:pPr>
      <w:r w:rsidRPr="00996E36">
        <w:rPr>
          <w:lang w:eastAsia="en-AU"/>
        </w:rPr>
        <w:t>The</w:t>
      </w:r>
      <w:r w:rsidR="00FA0F89" w:rsidRPr="00996E36">
        <w:rPr>
          <w:lang w:eastAsia="en-AU"/>
        </w:rPr>
        <w:t xml:space="preserve"> expected uptake estimated by the </w:t>
      </w:r>
      <w:r w:rsidR="00265E60" w:rsidRPr="00996E36">
        <w:rPr>
          <w:lang w:eastAsia="en-AU"/>
        </w:rPr>
        <w:t xml:space="preserve">applicant </w:t>
      </w:r>
      <w:r w:rsidRPr="00996E36">
        <w:rPr>
          <w:lang w:eastAsia="en-AU"/>
        </w:rPr>
        <w:t xml:space="preserve">is uncertain. </w:t>
      </w:r>
      <w:r w:rsidR="00FA0F89" w:rsidRPr="00996E36">
        <w:rPr>
          <w:lang w:eastAsia="en-AU"/>
        </w:rPr>
        <w:t xml:space="preserve">The ADAR assumed </w:t>
      </w:r>
      <w:r w:rsidRPr="00996E36">
        <w:rPr>
          <w:lang w:eastAsia="en-AU"/>
        </w:rPr>
        <w:t xml:space="preserve">a </w:t>
      </w:r>
      <w:r w:rsidR="00FA0F89" w:rsidRPr="00996E36">
        <w:rPr>
          <w:lang w:eastAsia="en-AU"/>
        </w:rPr>
        <w:t xml:space="preserve">15%-50% uptake over six </w:t>
      </w:r>
      <w:r w:rsidR="006019DB" w:rsidRPr="00996E36">
        <w:rPr>
          <w:lang w:eastAsia="en-AU"/>
        </w:rPr>
        <w:t xml:space="preserve">years </w:t>
      </w:r>
      <w:r w:rsidR="00FA0F89" w:rsidRPr="00996E36">
        <w:t>to calculate PAD procedure market growth and project utilisation</w:t>
      </w:r>
      <w:r w:rsidR="00FA0F89" w:rsidRPr="00996E36">
        <w:rPr>
          <w:lang w:eastAsia="en-AU"/>
        </w:rPr>
        <w:t>.</w:t>
      </w:r>
      <w:r w:rsidR="00FA0F89" w:rsidRPr="00996E36">
        <w:t xml:space="preserve"> </w:t>
      </w:r>
      <w:r w:rsidR="00B82E37" w:rsidRPr="00B82E37">
        <w:t xml:space="preserve">The assumed 15%-50% uptake rates were </w:t>
      </w:r>
      <w:r w:rsidR="00B82E37" w:rsidRPr="00996E36">
        <w:t xml:space="preserve">based on experience in overseas markets and similar </w:t>
      </w:r>
      <w:r w:rsidR="00AD106C" w:rsidRPr="00AD106C">
        <w:t>technologies,</w:t>
      </w:r>
      <w:r w:rsidR="00023ABE" w:rsidRPr="00996E36">
        <w:t xml:space="preserve"> but data were not provided in the ADAR to support these estimates</w:t>
      </w:r>
      <w:r w:rsidR="00B82E37" w:rsidRPr="00996E36">
        <w:rPr>
          <w:i/>
          <w:iCs/>
        </w:rPr>
        <w:t>.</w:t>
      </w:r>
      <w:r w:rsidR="00B82E37">
        <w:rPr>
          <w:i/>
          <w:iCs/>
          <w:color w:val="0070C0"/>
        </w:rPr>
        <w:t xml:space="preserve"> </w:t>
      </w:r>
      <w:r w:rsidR="00FA0F89" w:rsidRPr="00996E36">
        <w:t xml:space="preserve">Sensitivity analysis suggests the financial results are </w:t>
      </w:r>
      <w:r w:rsidR="00CE6F84">
        <w:t>sensitive</w:t>
      </w:r>
      <w:r w:rsidR="00CE6F84" w:rsidRPr="00996E36">
        <w:t xml:space="preserve"> </w:t>
      </w:r>
      <w:r w:rsidR="00FA0F89" w:rsidRPr="00996E36">
        <w:t>to plausible variations in key assumptions, particularly the uptake rate of IVL.</w:t>
      </w:r>
    </w:p>
    <w:p w14:paraId="557F274C" w14:textId="3CEB3047" w:rsidR="00C1069A" w:rsidRPr="00996E36" w:rsidRDefault="00C1069A" w:rsidP="00FD0F2A">
      <w:pPr>
        <w:pStyle w:val="ListParagraph"/>
        <w:numPr>
          <w:ilvl w:val="0"/>
          <w:numId w:val="15"/>
        </w:numPr>
        <w:rPr>
          <w:lang w:eastAsia="en-AU"/>
        </w:rPr>
      </w:pPr>
      <w:r w:rsidRPr="00996E36">
        <w:rPr>
          <w:rStyle w:val="cf01"/>
          <w:rFonts w:ascii="Franklin Gothic Book" w:hAnsi="Franklin Gothic Book"/>
          <w:sz w:val="22"/>
          <w:szCs w:val="22"/>
        </w:rPr>
        <w:t>The ADAR included a risk ratio of 25% based on the DISRUPT PAD III RCT to estimate the number of stent procedures prevented due to IVL listing</w:t>
      </w:r>
      <w:r w:rsidR="00494174" w:rsidRPr="00996E36">
        <w:rPr>
          <w:lang w:eastAsia="en-AU"/>
        </w:rPr>
        <w:t xml:space="preserve"> from 1st month, which may not reflect the difference in stenting </w:t>
      </w:r>
      <w:r w:rsidR="00D31CCB" w:rsidRPr="00996E36">
        <w:rPr>
          <w:lang w:eastAsia="en-AU"/>
        </w:rPr>
        <w:t xml:space="preserve">rates in </w:t>
      </w:r>
      <w:r w:rsidR="00494174" w:rsidRPr="00996E36">
        <w:rPr>
          <w:lang w:eastAsia="en-AU"/>
        </w:rPr>
        <w:t xml:space="preserve">the longer term and could have </w:t>
      </w:r>
      <w:r w:rsidR="00C31079" w:rsidRPr="00996E36">
        <w:rPr>
          <w:lang w:eastAsia="en-AU"/>
        </w:rPr>
        <w:t>overestimated</w:t>
      </w:r>
      <w:r w:rsidR="00494174" w:rsidRPr="00996E36">
        <w:rPr>
          <w:lang w:eastAsia="en-AU"/>
        </w:rPr>
        <w:t xml:space="preserve"> stent</w:t>
      </w:r>
      <w:r w:rsidR="00CA1DB9">
        <w:rPr>
          <w:lang w:eastAsia="en-AU"/>
        </w:rPr>
        <w:t>s</w:t>
      </w:r>
      <w:r w:rsidR="00036B27">
        <w:rPr>
          <w:lang w:eastAsia="en-AU"/>
        </w:rPr>
        <w:t xml:space="preserve"> </w:t>
      </w:r>
      <w:r w:rsidR="00E6609A">
        <w:rPr>
          <w:lang w:eastAsia="en-AU"/>
        </w:rPr>
        <w:t>avoided</w:t>
      </w:r>
      <w:r w:rsidR="00E6609A">
        <w:rPr>
          <w:rStyle w:val="cf01"/>
          <w:rFonts w:ascii="Franklin Gothic Book" w:hAnsi="Franklin Gothic Book"/>
          <w:sz w:val="22"/>
          <w:szCs w:val="22"/>
        </w:rPr>
        <w:t>. Therefore, the ADRA overestimated the cost saving due to stent</w:t>
      </w:r>
      <w:r w:rsidR="00CA1DB9">
        <w:rPr>
          <w:rStyle w:val="cf01"/>
          <w:rFonts w:ascii="Franklin Gothic Book" w:hAnsi="Franklin Gothic Book"/>
          <w:sz w:val="22"/>
          <w:szCs w:val="22"/>
        </w:rPr>
        <w:t>s</w:t>
      </w:r>
      <w:r w:rsidR="00E6609A">
        <w:rPr>
          <w:rStyle w:val="cf01"/>
          <w:rFonts w:ascii="Franklin Gothic Book" w:hAnsi="Franklin Gothic Book"/>
          <w:sz w:val="22"/>
          <w:szCs w:val="22"/>
        </w:rPr>
        <w:t xml:space="preserve"> avoided.</w:t>
      </w:r>
      <w:r w:rsidRPr="00996E36">
        <w:rPr>
          <w:rStyle w:val="cf01"/>
          <w:rFonts w:ascii="Franklin Gothic Book" w:hAnsi="Franklin Gothic Book"/>
          <w:sz w:val="22"/>
          <w:szCs w:val="22"/>
        </w:rPr>
        <w:t xml:space="preserve"> </w:t>
      </w:r>
      <w:r w:rsidR="00494174" w:rsidRPr="00996E36">
        <w:rPr>
          <w:lang w:eastAsia="en-AU"/>
        </w:rPr>
        <w:t xml:space="preserve"> </w:t>
      </w:r>
    </w:p>
    <w:p w14:paraId="03328A1C" w14:textId="7A5078BB" w:rsidR="005C7032" w:rsidRPr="00996E36" w:rsidRDefault="005C7032" w:rsidP="00FD0F2A">
      <w:pPr>
        <w:pStyle w:val="ListParagraph"/>
        <w:numPr>
          <w:ilvl w:val="0"/>
          <w:numId w:val="15"/>
        </w:numPr>
        <w:rPr>
          <w:lang w:eastAsia="en-AU"/>
        </w:rPr>
      </w:pPr>
      <w:r w:rsidRPr="00996E36">
        <w:rPr>
          <w:lang w:eastAsia="en-AU"/>
        </w:rPr>
        <w:t xml:space="preserve">The ADAR added </w:t>
      </w:r>
      <w:r w:rsidR="00C90312" w:rsidRPr="00996E36">
        <w:rPr>
          <w:lang w:eastAsia="en-AU"/>
        </w:rPr>
        <w:t>the number of avoided stent procedures to the number of DCB procedures to calculate the total number of stent and angioplasty procedures after listing</w:t>
      </w:r>
      <w:r w:rsidRPr="00996E36">
        <w:rPr>
          <w:lang w:eastAsia="en-AU"/>
        </w:rPr>
        <w:t xml:space="preserve"> IVL. This </w:t>
      </w:r>
      <w:proofErr w:type="gramStart"/>
      <w:r w:rsidRPr="00996E36">
        <w:rPr>
          <w:lang w:eastAsia="en-AU"/>
        </w:rPr>
        <w:t>was based on the assumption</w:t>
      </w:r>
      <w:proofErr w:type="gramEnd"/>
      <w:r w:rsidRPr="00996E36">
        <w:rPr>
          <w:lang w:eastAsia="en-AU"/>
        </w:rPr>
        <w:t xml:space="preserve"> that the patients with avoided stent procedures after IVL listing will instead receive treatment with IVL followed by DCB. This assumption was not adequately supported by the literature</w:t>
      </w:r>
      <w:r w:rsidR="00C90312" w:rsidRPr="00996E36">
        <w:rPr>
          <w:lang w:eastAsia="en-AU"/>
        </w:rPr>
        <w:t>,</w:t>
      </w:r>
      <w:r w:rsidRPr="00996E36">
        <w:rPr>
          <w:lang w:eastAsia="en-AU"/>
        </w:rPr>
        <w:t xml:space="preserve"> </w:t>
      </w:r>
      <w:r w:rsidR="009D2159">
        <w:rPr>
          <w:lang w:eastAsia="en-AU"/>
        </w:rPr>
        <w:t xml:space="preserve">with the exception of the </w:t>
      </w:r>
      <w:r w:rsidR="009D2159" w:rsidRPr="00996E36">
        <w:rPr>
          <w:lang w:eastAsia="en-AU"/>
        </w:rPr>
        <w:t>DISRUPT PAD III RCT</w:t>
      </w:r>
      <w:r w:rsidR="009D2159">
        <w:rPr>
          <w:lang w:eastAsia="en-AU"/>
        </w:rPr>
        <w:t xml:space="preserve"> which found </w:t>
      </w:r>
      <w:proofErr w:type="gramStart"/>
      <w:r w:rsidR="009D2159">
        <w:rPr>
          <w:lang w:eastAsia="en-AU"/>
        </w:rPr>
        <w:t xml:space="preserve">that </w:t>
      </w:r>
      <w:r w:rsidRPr="00996E36">
        <w:rPr>
          <w:lang w:eastAsia="en-AU"/>
        </w:rPr>
        <w:t xml:space="preserve"> the</w:t>
      </w:r>
      <w:proofErr w:type="gramEnd"/>
      <w:r w:rsidRPr="00996E36">
        <w:rPr>
          <w:lang w:eastAsia="en-AU"/>
        </w:rPr>
        <w:t xml:space="preserve"> patients who did not receive stent</w:t>
      </w:r>
      <w:r w:rsidR="00D8653E">
        <w:rPr>
          <w:lang w:eastAsia="en-AU"/>
        </w:rPr>
        <w:t>s</w:t>
      </w:r>
      <w:r w:rsidRPr="00996E36">
        <w:rPr>
          <w:lang w:eastAsia="en-AU"/>
        </w:rPr>
        <w:t xml:space="preserve"> were treated with DCB . This RCT was designed to evaluate IVL as a vessel preparation strategy. Hence, </w:t>
      </w:r>
      <w:r w:rsidR="007A5760" w:rsidRPr="00996E36">
        <w:rPr>
          <w:lang w:eastAsia="en-AU"/>
        </w:rPr>
        <w:t>the assumption is not valid in Australian clinical practice.</w:t>
      </w:r>
    </w:p>
    <w:p w14:paraId="70FCABE4" w14:textId="35F4F630" w:rsidR="007A5760" w:rsidRPr="00996E36" w:rsidRDefault="00F94218" w:rsidP="00FD0F2A">
      <w:pPr>
        <w:pStyle w:val="ListParagraph"/>
        <w:numPr>
          <w:ilvl w:val="0"/>
          <w:numId w:val="15"/>
        </w:numPr>
        <w:rPr>
          <w:lang w:eastAsia="en-AU"/>
        </w:rPr>
      </w:pPr>
      <w:r w:rsidRPr="00996E36">
        <w:rPr>
          <w:lang w:eastAsia="en-AU"/>
        </w:rPr>
        <w:t xml:space="preserve">The </w:t>
      </w:r>
      <w:r w:rsidR="007A5760" w:rsidRPr="00996E36">
        <w:rPr>
          <w:lang w:eastAsia="en-AU"/>
        </w:rPr>
        <w:t xml:space="preserve">ADAR incorporated </w:t>
      </w:r>
      <w:r w:rsidR="00C90312" w:rsidRPr="00996E36">
        <w:rPr>
          <w:lang w:eastAsia="en-AU"/>
        </w:rPr>
        <w:t xml:space="preserve">the </w:t>
      </w:r>
      <w:r w:rsidR="007A5760" w:rsidRPr="00996E36">
        <w:rPr>
          <w:lang w:eastAsia="en-AU"/>
        </w:rPr>
        <w:t xml:space="preserve">price of DES in the </w:t>
      </w:r>
      <w:r w:rsidR="001D76FC" w:rsidRPr="001D76FC">
        <w:rPr>
          <w:lang w:eastAsia="en-AU"/>
        </w:rPr>
        <w:t>Prescribed List of Medical Devices and Human Tissue Products</w:t>
      </w:r>
      <w:r w:rsidR="001D76FC">
        <w:rPr>
          <w:lang w:eastAsia="en-AU"/>
        </w:rPr>
        <w:t xml:space="preserve"> </w:t>
      </w:r>
      <w:r w:rsidR="007A5760" w:rsidRPr="00996E36">
        <w:rPr>
          <w:lang w:eastAsia="en-AU"/>
        </w:rPr>
        <w:t>to calculate the device cost. This is</w:t>
      </w:r>
      <w:r w:rsidR="003F15BA" w:rsidRPr="00996E36">
        <w:rPr>
          <w:lang w:eastAsia="en-AU"/>
        </w:rPr>
        <w:t xml:space="preserve"> more</w:t>
      </w:r>
      <w:r w:rsidR="007A5760" w:rsidRPr="00996E36">
        <w:rPr>
          <w:lang w:eastAsia="en-AU"/>
        </w:rPr>
        <w:t xml:space="preserve"> expensive compared to the BMS. The DISRUPT PAD III RCT reported that the BMS accounted for around 91% of stents used in </w:t>
      </w:r>
      <w:r w:rsidR="00C90312" w:rsidRPr="00996E36">
        <w:rPr>
          <w:lang w:eastAsia="en-AU"/>
        </w:rPr>
        <w:t xml:space="preserve">the </w:t>
      </w:r>
      <w:r w:rsidR="007A5760" w:rsidRPr="00996E36">
        <w:rPr>
          <w:lang w:eastAsia="en-AU"/>
        </w:rPr>
        <w:t>SBA and IVL arm</w:t>
      </w:r>
      <w:r w:rsidR="00C90312" w:rsidRPr="00996E36">
        <w:rPr>
          <w:lang w:eastAsia="en-AU"/>
        </w:rPr>
        <w:t>s</w:t>
      </w:r>
      <w:r w:rsidR="007A5760" w:rsidRPr="00996E36">
        <w:rPr>
          <w:lang w:eastAsia="en-AU"/>
        </w:rPr>
        <w:t>.</w:t>
      </w:r>
    </w:p>
    <w:p w14:paraId="0C4E28AF" w14:textId="1647C1D1" w:rsidR="00A13959" w:rsidRPr="00022737" w:rsidRDefault="00EB6499" w:rsidP="00FD0F2A">
      <w:pPr>
        <w:pStyle w:val="ListParagraph"/>
        <w:numPr>
          <w:ilvl w:val="0"/>
          <w:numId w:val="15"/>
        </w:numPr>
        <w:rPr>
          <w:i/>
          <w:iCs/>
          <w:lang w:eastAsia="en-AU"/>
        </w:rPr>
      </w:pPr>
      <w:r w:rsidRPr="00996E36">
        <w:rPr>
          <w:lang w:eastAsia="en-AU"/>
        </w:rPr>
        <w:t>Sensitivity analys</w:t>
      </w:r>
      <w:r w:rsidR="00154FB0" w:rsidRPr="00996E36">
        <w:rPr>
          <w:lang w:eastAsia="en-AU"/>
        </w:rPr>
        <w:t>e</w:t>
      </w:r>
      <w:r w:rsidRPr="00996E36">
        <w:rPr>
          <w:lang w:eastAsia="en-AU"/>
        </w:rPr>
        <w:t xml:space="preserve">s </w:t>
      </w:r>
      <w:r w:rsidR="00154FB0" w:rsidRPr="00996E36">
        <w:rPr>
          <w:lang w:eastAsia="en-AU"/>
        </w:rPr>
        <w:t xml:space="preserve">by the ADAR </w:t>
      </w:r>
      <w:r w:rsidRPr="00996E36">
        <w:rPr>
          <w:lang w:eastAsia="en-AU"/>
        </w:rPr>
        <w:t xml:space="preserve">suggest </w:t>
      </w:r>
      <w:r w:rsidR="00154FB0" w:rsidRPr="00996E36">
        <w:rPr>
          <w:lang w:eastAsia="en-AU"/>
        </w:rPr>
        <w:t xml:space="preserve">that </w:t>
      </w:r>
      <w:r w:rsidRPr="00996E36">
        <w:rPr>
          <w:lang w:eastAsia="en-AU"/>
        </w:rPr>
        <w:t>the financial results are sensitive to plausible variations in key assumptions, particularly the uptake rate of IVL</w:t>
      </w:r>
      <w:r w:rsidRPr="00EB6499">
        <w:rPr>
          <w:i/>
          <w:iCs/>
          <w:lang w:eastAsia="en-AU"/>
        </w:rPr>
        <w:t>.</w:t>
      </w:r>
    </w:p>
    <w:p w14:paraId="7838A9FF" w14:textId="1E952671" w:rsidR="00772829" w:rsidRPr="00CE28E3" w:rsidRDefault="00C36633" w:rsidP="002A18BE">
      <w:pPr>
        <w:pStyle w:val="Heading2"/>
        <w:numPr>
          <w:ilvl w:val="0"/>
          <w:numId w:val="0"/>
        </w:numPr>
      </w:pPr>
      <w:bookmarkStart w:id="60" w:name="_Toc69491427"/>
      <w:bookmarkEnd w:id="59"/>
      <w:r>
        <w:lastRenderedPageBreak/>
        <w:t>1</w:t>
      </w:r>
      <w:r w:rsidR="00C73462">
        <w:t>5</w:t>
      </w:r>
      <w:r>
        <w:t>.</w:t>
      </w:r>
      <w:r>
        <w:tab/>
      </w:r>
      <w:r w:rsidR="00772829" w:rsidRPr="00CE28E3">
        <w:t xml:space="preserve">Other relevant </w:t>
      </w:r>
      <w:bookmarkEnd w:id="60"/>
      <w:r w:rsidR="00FA5766">
        <w:t>information</w:t>
      </w:r>
    </w:p>
    <w:p w14:paraId="3DFDD891" w14:textId="74B61B06" w:rsidR="00EB2853" w:rsidRDefault="00EB2853" w:rsidP="00DF39E9">
      <w:pPr>
        <w:pStyle w:val="Instructionaltext"/>
        <w:rPr>
          <w:color w:val="auto"/>
        </w:rPr>
      </w:pPr>
      <w:r w:rsidRPr="00996E36">
        <w:rPr>
          <w:color w:val="auto"/>
        </w:rPr>
        <w:t>Nil.</w:t>
      </w:r>
    </w:p>
    <w:p w14:paraId="54C0A0B9" w14:textId="77777777" w:rsidR="00C73462" w:rsidRDefault="00C73462" w:rsidP="00C73462">
      <w:pPr>
        <w:pStyle w:val="Heading2"/>
        <w:numPr>
          <w:ilvl w:val="0"/>
          <w:numId w:val="0"/>
        </w:numPr>
      </w:pPr>
      <w:r>
        <w:t>16.</w:t>
      </w:r>
      <w:r>
        <w:tab/>
        <w:t>Key issues from ESC to MSAC</w:t>
      </w:r>
    </w:p>
    <w:p w14:paraId="74917259" w14:textId="77777777" w:rsidR="004041D6" w:rsidRDefault="004041D6" w:rsidP="004041D6">
      <w:pPr>
        <w:pStyle w:val="BoxName0"/>
      </w:pPr>
      <w:r w:rsidRPr="008366C9">
        <w:t>Main issues for MSAC consideration</w:t>
      </w:r>
    </w:p>
    <w:p w14:paraId="0ADCB66C" w14:textId="77777777" w:rsidR="004041D6" w:rsidRDefault="004041D6" w:rsidP="004041D6">
      <w:pPr>
        <w:pStyle w:val="BoxHeading"/>
      </w:pPr>
      <w:r>
        <w:t>Clinical issues:</w:t>
      </w:r>
    </w:p>
    <w:p w14:paraId="504F0AE6" w14:textId="7DECC77A" w:rsidR="004041D6" w:rsidRDefault="004041D6" w:rsidP="004041D6">
      <w:pPr>
        <w:pStyle w:val="BoxBullet"/>
      </w:pPr>
      <w:r>
        <w:t xml:space="preserve">Very low numbers of adverse events were seen in studies supporting both PICO set 1 (intravascular lithotripsy (IVL) used as a stand-alone treatment) and PICO set 2 (IVL used as a vessel preparation strategy). There was no comparative safety evidence available to support IVL as a stand-alone treatment (PICO set 1). Comparative evidence suggests that IVL is associated with non-inferior safety compared to standard balloon angioplasty (SBA), when used as a vessel preparation strategy (PICO Set 2). </w:t>
      </w:r>
    </w:p>
    <w:p w14:paraId="03620634" w14:textId="77777777" w:rsidR="004041D6" w:rsidRDefault="004041D6" w:rsidP="004041D6">
      <w:pPr>
        <w:pStyle w:val="BoxBullet"/>
      </w:pPr>
      <w:r>
        <w:t xml:space="preserve">ESC accepted the evidence based on one randomised controlled trial and one single arm study that </w:t>
      </w:r>
      <w:r w:rsidRPr="00DD5B7A">
        <w:t>IVL is associated with superior efficacy when compared to SBA when used as a vessel preparation strategy</w:t>
      </w:r>
      <w:r>
        <w:t xml:space="preserve"> (PICO set 2)</w:t>
      </w:r>
      <w:r w:rsidRPr="00DD5B7A">
        <w:t>.</w:t>
      </w:r>
      <w:r>
        <w:t xml:space="preserve"> </w:t>
      </w:r>
      <w:r w:rsidRPr="00DD5B7A">
        <w:t xml:space="preserve">IVL </w:t>
      </w:r>
      <w:r>
        <w:t>appears</w:t>
      </w:r>
      <w:r w:rsidRPr="00DD5B7A">
        <w:t xml:space="preserve"> to be </w:t>
      </w:r>
      <w:r>
        <w:t xml:space="preserve">non-inferior </w:t>
      </w:r>
      <w:r w:rsidRPr="00DD5B7A">
        <w:t xml:space="preserve">to SBA when used as a </w:t>
      </w:r>
      <w:r>
        <w:t xml:space="preserve">stand-alone </w:t>
      </w:r>
      <w:r w:rsidRPr="00DD5B7A">
        <w:t>treatment</w:t>
      </w:r>
      <w:r>
        <w:t xml:space="preserve"> (PICO set 1), but the evidence is </w:t>
      </w:r>
      <w:r w:rsidRPr="00DD5B7A">
        <w:t>weak</w:t>
      </w:r>
      <w:r>
        <w:t xml:space="preserve"> and based on non-comparative data only.</w:t>
      </w:r>
    </w:p>
    <w:p w14:paraId="6294BAE7" w14:textId="77777777" w:rsidR="004041D6" w:rsidRDefault="004041D6" w:rsidP="004041D6">
      <w:pPr>
        <w:pStyle w:val="BoxHeading"/>
      </w:pPr>
      <w:r>
        <w:t>Economic issues:</w:t>
      </w:r>
    </w:p>
    <w:p w14:paraId="7ED30ABA" w14:textId="7FAD83A2" w:rsidR="004041D6" w:rsidRDefault="004041D6" w:rsidP="004041D6">
      <w:pPr>
        <w:pStyle w:val="BoxBullet"/>
      </w:pPr>
      <w:r w:rsidRPr="000F3DA5">
        <w:t xml:space="preserve">The economic model structure presented in the </w:t>
      </w:r>
      <w:r>
        <w:t xml:space="preserve">cost-utility analysis which adapts the </w:t>
      </w:r>
      <w:proofErr w:type="spellStart"/>
      <w:r>
        <w:t>the</w:t>
      </w:r>
      <w:proofErr w:type="spellEnd"/>
      <w:r>
        <w:t xml:space="preserve"> Simpson et al. (2014) model</w:t>
      </w:r>
      <w:r>
        <w:rPr>
          <w:rStyle w:val="FootnoteReference"/>
        </w:rPr>
        <w:footnoteReference w:id="17"/>
      </w:r>
      <w:r w:rsidRPr="000F3DA5">
        <w:t xml:space="preserve"> did not accurately represent </w:t>
      </w:r>
      <w:r>
        <w:t>peripheral artery disease (</w:t>
      </w:r>
      <w:r w:rsidRPr="000F3DA5">
        <w:t>PAD</w:t>
      </w:r>
      <w:r>
        <w:t>)</w:t>
      </w:r>
      <w:r w:rsidRPr="000F3DA5">
        <w:t xml:space="preserve"> </w:t>
      </w:r>
      <w:r>
        <w:t xml:space="preserve">clinical </w:t>
      </w:r>
      <w:r w:rsidRPr="000F3DA5">
        <w:t>pathways</w:t>
      </w:r>
      <w:r w:rsidRPr="00205573">
        <w:t xml:space="preserve"> </w:t>
      </w:r>
      <w:r>
        <w:t xml:space="preserve">as it </w:t>
      </w:r>
      <w:r w:rsidRPr="00205573">
        <w:t>replaces the state of asymptomatic disease with patency and intermittent claudication with loss of patency</w:t>
      </w:r>
      <w:r>
        <w:t xml:space="preserve">. The health states in the model should be updated to reflect clinical practice and the Simpson model; and to distinguish between the PICO set 1 and PICO set 2 populations given that the available evidence differs for </w:t>
      </w:r>
      <w:proofErr w:type="gramStart"/>
      <w:r>
        <w:t>each</w:t>
      </w:r>
      <w:proofErr w:type="gramEnd"/>
      <w:r>
        <w:t xml:space="preserve"> and PICO set 2 only reflects 5% of the target population.</w:t>
      </w:r>
    </w:p>
    <w:p w14:paraId="014F8779" w14:textId="77777777" w:rsidR="004041D6" w:rsidRPr="00F9274C" w:rsidRDefault="004041D6" w:rsidP="004041D6">
      <w:pPr>
        <w:pStyle w:val="BoxBullet"/>
      </w:pPr>
      <w:r w:rsidRPr="00F9274C">
        <w:t>The ADAR did not use the baseline rate for stenting from the DISRUPT PAD III trial</w:t>
      </w:r>
      <w:r>
        <w:t>,</w:t>
      </w:r>
      <w:r w:rsidRPr="00F9274C">
        <w:t xml:space="preserve"> but </w:t>
      </w:r>
      <w:r>
        <w:t xml:space="preserve">instead </w:t>
      </w:r>
      <w:r w:rsidRPr="00F9274C">
        <w:t xml:space="preserve">used MBS data that </w:t>
      </w:r>
      <w:r>
        <w:t>are</w:t>
      </w:r>
      <w:r w:rsidRPr="00F9274C">
        <w:t xml:space="preserve"> not specific to the PICO population and applied the relative risk from the trial</w:t>
      </w:r>
      <w:r>
        <w:t>. This</w:t>
      </w:r>
      <w:r w:rsidRPr="00F9274C">
        <w:t xml:space="preserve"> </w:t>
      </w:r>
      <w:r>
        <w:t>potentially</w:t>
      </w:r>
      <w:r w:rsidRPr="00F9274C">
        <w:t xml:space="preserve"> overestimat</w:t>
      </w:r>
      <w:r>
        <w:t>es</w:t>
      </w:r>
      <w:r w:rsidRPr="00F9274C">
        <w:t xml:space="preserve"> the percentage of stenting avoided with the use of IVL compared to</w:t>
      </w:r>
      <w:r>
        <w:t xml:space="preserve"> </w:t>
      </w:r>
      <w:r w:rsidRPr="00F9274C">
        <w:t>SBA.</w:t>
      </w:r>
    </w:p>
    <w:p w14:paraId="630CD0D9" w14:textId="77777777" w:rsidR="004041D6" w:rsidRDefault="004041D6" w:rsidP="004041D6">
      <w:pPr>
        <w:pStyle w:val="BoxHeading"/>
      </w:pPr>
      <w:r>
        <w:t>Financial issues:</w:t>
      </w:r>
    </w:p>
    <w:p w14:paraId="7DB4EEE5" w14:textId="77777777" w:rsidR="004041D6" w:rsidRDefault="004041D6" w:rsidP="004041D6">
      <w:pPr>
        <w:pStyle w:val="BoxBullet"/>
      </w:pPr>
      <w:r>
        <w:t>The</w:t>
      </w:r>
      <w:r w:rsidRPr="00825569">
        <w:t xml:space="preserve"> financial estimates</w:t>
      </w:r>
      <w:r>
        <w:t xml:space="preserve"> are uncertain,</w:t>
      </w:r>
      <w:r w:rsidRPr="00825569">
        <w:t xml:space="preserve"> as the uptake rate of 15</w:t>
      </w:r>
      <w:r>
        <w:t>–</w:t>
      </w:r>
      <w:r w:rsidRPr="00825569">
        <w:t xml:space="preserve">50% over </w:t>
      </w:r>
      <w:r>
        <w:t>6 </w:t>
      </w:r>
      <w:r w:rsidRPr="00825569">
        <w:t>years was based on assumptions and not on evidence presented</w:t>
      </w:r>
      <w:r>
        <w:t>.</w:t>
      </w:r>
    </w:p>
    <w:p w14:paraId="213DB93C" w14:textId="77777777" w:rsidR="004041D6" w:rsidRDefault="004041D6" w:rsidP="004041D6">
      <w:pPr>
        <w:pStyle w:val="BoxBullet"/>
      </w:pPr>
      <w:r>
        <w:t>The a</w:t>
      </w:r>
      <w:r w:rsidRPr="00D16ED2">
        <w:t xml:space="preserve">nnual </w:t>
      </w:r>
      <w:r>
        <w:t xml:space="preserve">utilisation </w:t>
      </w:r>
      <w:r w:rsidRPr="00D16ED2">
        <w:t>growt</w:t>
      </w:r>
      <w:r>
        <w:t>h for bot</w:t>
      </w:r>
      <w:r w:rsidRPr="00D16ED2">
        <w:t>h</w:t>
      </w:r>
      <w:r>
        <w:t xml:space="preserve"> PICO set 1 and PICO set 2</w:t>
      </w:r>
      <w:r w:rsidRPr="00D16ED2">
        <w:t xml:space="preserve"> </w:t>
      </w:r>
      <w:r>
        <w:t xml:space="preserve">was </w:t>
      </w:r>
      <w:r w:rsidRPr="00D16ED2">
        <w:t xml:space="preserve">calculated using MBS data </w:t>
      </w:r>
      <w:r>
        <w:t xml:space="preserve">that are </w:t>
      </w:r>
      <w:r w:rsidRPr="00D16ED2">
        <w:t xml:space="preserve">broader than </w:t>
      </w:r>
      <w:r>
        <w:t xml:space="preserve">what is </w:t>
      </w:r>
      <w:r w:rsidRPr="00D16ED2">
        <w:t xml:space="preserve">applicable to PICO </w:t>
      </w:r>
      <w:r>
        <w:t>set 1.</w:t>
      </w:r>
    </w:p>
    <w:p w14:paraId="57F7F7F4" w14:textId="77777777" w:rsidR="004041D6" w:rsidRDefault="004041D6" w:rsidP="004041D6">
      <w:pPr>
        <w:pStyle w:val="BoxHeading"/>
      </w:pPr>
      <w:r>
        <w:t>Other relevant information:</w:t>
      </w:r>
    </w:p>
    <w:p w14:paraId="5EF03E94" w14:textId="77777777" w:rsidR="004041D6" w:rsidRDefault="004041D6" w:rsidP="004041D6">
      <w:pPr>
        <w:pStyle w:val="BoxBullet"/>
      </w:pPr>
      <w:r>
        <w:t xml:space="preserve">Providers include </w:t>
      </w:r>
      <w:r w:rsidRPr="00C274E1">
        <w:t>trained vascular surgeons</w:t>
      </w:r>
      <w:r>
        <w:t xml:space="preserve"> and i</w:t>
      </w:r>
      <w:r w:rsidRPr="00C274E1">
        <w:t>nterventional radiologists</w:t>
      </w:r>
      <w:r>
        <w:t xml:space="preserve">. </w:t>
      </w:r>
      <w:r w:rsidRPr="00C274E1">
        <w:t xml:space="preserve">No additional specialised training </w:t>
      </w:r>
      <w:r>
        <w:t xml:space="preserve">is </w:t>
      </w:r>
      <w:r w:rsidRPr="00C274E1">
        <w:t>required</w:t>
      </w:r>
      <w:r>
        <w:t xml:space="preserve">, although providers </w:t>
      </w:r>
      <w:r w:rsidRPr="00C274E1">
        <w:t>may still require IVL device-specific training</w:t>
      </w:r>
      <w:r>
        <w:t>.</w:t>
      </w:r>
    </w:p>
    <w:p w14:paraId="419DA608" w14:textId="77777777" w:rsidR="004041D6" w:rsidRDefault="004041D6" w:rsidP="004041D6">
      <w:pPr>
        <w:pStyle w:val="BoxBullet"/>
      </w:pPr>
      <w:r>
        <w:t xml:space="preserve">MSAC may wish to consider whether </w:t>
      </w:r>
      <w:r w:rsidRPr="006937B5">
        <w:t>there should be one MBS item that can be claimed once per limb per occasion of service, rather than an MBS item for multiple limbs or multiple</w:t>
      </w:r>
      <w:r>
        <w:t xml:space="preserve"> MBS</w:t>
      </w:r>
      <w:r w:rsidRPr="006937B5">
        <w:t xml:space="preserve"> </w:t>
      </w:r>
      <w:r w:rsidRPr="006937B5">
        <w:lastRenderedPageBreak/>
        <w:t>items to reflect the number of arterie</w:t>
      </w:r>
      <w:r>
        <w:t xml:space="preserve">s. At the same time the application of the Multiple Operation Rule in such a scenario may create </w:t>
      </w:r>
      <w:r w:rsidRPr="00A9233D">
        <w:t>perverse incentives</w:t>
      </w:r>
      <w:r>
        <w:t>.</w:t>
      </w:r>
    </w:p>
    <w:p w14:paraId="57F75AD2" w14:textId="77777777" w:rsidR="004041D6" w:rsidRDefault="004041D6" w:rsidP="004041D6">
      <w:pPr>
        <w:pStyle w:val="BoxBullet"/>
      </w:pPr>
      <w:r>
        <w:t>F</w:t>
      </w:r>
      <w:r w:rsidRPr="00502E3E">
        <w:t xml:space="preserve">requency restrictions </w:t>
      </w:r>
      <w:r>
        <w:t xml:space="preserve">in the item descriptor </w:t>
      </w:r>
      <w:r w:rsidRPr="00502E3E">
        <w:t xml:space="preserve">would be inappropriate </w:t>
      </w:r>
      <w:r>
        <w:t xml:space="preserve">because PAD is a multivessel disease and so a patient </w:t>
      </w:r>
      <w:r w:rsidRPr="00502E3E">
        <w:t>may require more than one IVL procedure in the same year</w:t>
      </w:r>
      <w:r>
        <w:t>,</w:t>
      </w:r>
    </w:p>
    <w:p w14:paraId="476402EE" w14:textId="3E9FE8D8" w:rsidR="004041D6" w:rsidRDefault="004041D6" w:rsidP="004041D6">
      <w:pPr>
        <w:pStyle w:val="BoxBullet"/>
      </w:pPr>
      <w:r>
        <w:t>It may be appropriate to include the fluoroscopy service, which was not currently included in the proposed MBS item, in the IVL service rather than having it co-claimed as a separate service.</w:t>
      </w:r>
    </w:p>
    <w:p w14:paraId="62D139BA" w14:textId="77777777" w:rsidR="004041D6" w:rsidRPr="00C73462" w:rsidRDefault="004041D6" w:rsidP="004041D6">
      <w:pPr>
        <w:pStyle w:val="Heading2"/>
        <w:numPr>
          <w:ilvl w:val="0"/>
          <w:numId w:val="0"/>
        </w:numPr>
        <w:rPr>
          <w:rStyle w:val="Strong"/>
          <w:sz w:val="24"/>
          <w:szCs w:val="24"/>
        </w:rPr>
      </w:pPr>
      <w:r w:rsidRPr="00C73462">
        <w:rPr>
          <w:rStyle w:val="Strong"/>
          <w:sz w:val="24"/>
          <w:szCs w:val="24"/>
        </w:rPr>
        <w:t>ESC discussion</w:t>
      </w:r>
    </w:p>
    <w:p w14:paraId="0FA08989" w14:textId="77777777" w:rsidR="004041D6" w:rsidRDefault="004041D6" w:rsidP="004041D6">
      <w:r>
        <w:t>ESC noted that this application was for Medicare Benefits Schedule (MBS) listing of i</w:t>
      </w:r>
      <w:r w:rsidRPr="000136BA">
        <w:t xml:space="preserve">ntravascular lithotripsy </w:t>
      </w:r>
      <w:r>
        <w:t xml:space="preserve">(IVL) </w:t>
      </w:r>
      <w:r w:rsidRPr="000136BA">
        <w:t>for the treatment of moderately or severely calcified peripheral artery disease</w:t>
      </w:r>
      <w:r>
        <w:t xml:space="preserve"> (PAD).</w:t>
      </w:r>
    </w:p>
    <w:p w14:paraId="1CC91501" w14:textId="77777777" w:rsidR="004041D6" w:rsidRDefault="004041D6" w:rsidP="004041D6">
      <w:r w:rsidRPr="00DD57B6">
        <w:t>PAD is a manifestation of systemic atherosclerotic disease</w:t>
      </w:r>
      <w:r>
        <w:t>,</w:t>
      </w:r>
      <w:r w:rsidRPr="00DD57B6">
        <w:t xml:space="preserve"> which primarily affects the arteries supplying the legs and feet</w:t>
      </w:r>
      <w:r>
        <w:t xml:space="preserve">. It is a major contributor to mortality and morbidity in </w:t>
      </w:r>
      <w:proofErr w:type="gramStart"/>
      <w:r>
        <w:t>Australia, and</w:t>
      </w:r>
      <w:proofErr w:type="gramEnd"/>
      <w:r>
        <w:t xml:space="preserve"> accounted for 0.5% of all hospitalisations in 2020–21. </w:t>
      </w:r>
      <w:r w:rsidRPr="006853F7">
        <w:t xml:space="preserve">Calcification in PAD is associated with a reduction in the effectiveness of endovascular therapies </w:t>
      </w:r>
      <w:r>
        <w:t xml:space="preserve">used to treat PAD, </w:t>
      </w:r>
      <w:r w:rsidRPr="006853F7">
        <w:t>such as standard balloon angioplasty</w:t>
      </w:r>
      <w:r>
        <w:t xml:space="preserve"> (SBA) </w:t>
      </w:r>
      <w:r w:rsidRPr="006853F7">
        <w:t>and drug-coated balloon</w:t>
      </w:r>
      <w:r>
        <w:t xml:space="preserve"> (</w:t>
      </w:r>
      <w:r w:rsidRPr="006853F7">
        <w:t>DCB) therapy</w:t>
      </w:r>
      <w:r>
        <w:t>,</w:t>
      </w:r>
      <w:r w:rsidRPr="006853F7">
        <w:t xml:space="preserve"> by increasing risk of complications and reduced long-term patency</w:t>
      </w:r>
      <w:r>
        <w:t xml:space="preserve">. Thus, ESC accepted that there was a </w:t>
      </w:r>
      <w:r w:rsidRPr="006853F7">
        <w:t xml:space="preserve">clinical need for </w:t>
      </w:r>
      <w:r>
        <w:t xml:space="preserve">a </w:t>
      </w:r>
      <w:r w:rsidRPr="006853F7">
        <w:t xml:space="preserve">treatment option </w:t>
      </w:r>
      <w:r>
        <w:t>that</w:t>
      </w:r>
      <w:r w:rsidRPr="006853F7">
        <w:t xml:space="preserve"> effectively modifies vascular calcium and improves rates of procedural success</w:t>
      </w:r>
      <w:r>
        <w:t>.</w:t>
      </w:r>
    </w:p>
    <w:p w14:paraId="69377EBC" w14:textId="77777777" w:rsidR="004041D6" w:rsidRDefault="004041D6" w:rsidP="004041D6">
      <w:r>
        <w:t>ESC noted that there was no consumer feedback for this application.</w:t>
      </w:r>
    </w:p>
    <w:p w14:paraId="1105D50E" w14:textId="77777777" w:rsidR="004041D6" w:rsidRDefault="004041D6" w:rsidP="004041D6">
      <w:r>
        <w:t xml:space="preserve">ESC noted that there were two populations: </w:t>
      </w:r>
      <w:r w:rsidRPr="00D931D1">
        <w:t>PICO set</w:t>
      </w:r>
      <w:r>
        <w:t> </w:t>
      </w:r>
      <w:r w:rsidRPr="00D931D1">
        <w:t>1</w:t>
      </w:r>
      <w:r>
        <w:t xml:space="preserve"> was</w:t>
      </w:r>
      <w:r w:rsidRPr="00D931D1">
        <w:t xml:space="preserve"> </w:t>
      </w:r>
      <w:r>
        <w:t xml:space="preserve">for patients requiring </w:t>
      </w:r>
      <w:r w:rsidRPr="00D931D1">
        <w:t>IVL as a standalone treatment using an IVL catheter and IVL device</w:t>
      </w:r>
      <w:r>
        <w:t xml:space="preserve">, and </w:t>
      </w:r>
      <w:r w:rsidRPr="00D931D1">
        <w:t>PICO set</w:t>
      </w:r>
      <w:r>
        <w:t> </w:t>
      </w:r>
      <w:r w:rsidRPr="00D931D1">
        <w:t>2</w:t>
      </w:r>
      <w:r>
        <w:t xml:space="preserve"> was for patients requiring </w:t>
      </w:r>
      <w:r w:rsidRPr="00D931D1">
        <w:t>IVL</w:t>
      </w:r>
      <w:r>
        <w:t xml:space="preserve"> as a vessel preparation strategy</w:t>
      </w:r>
      <w:r w:rsidRPr="00D931D1">
        <w:t xml:space="preserve"> followed by DCB and/or stent</w:t>
      </w:r>
      <w:r>
        <w:t xml:space="preserve"> insertion. ESC noted that the available evidence shows that IVL is more commonly used with other adjunctive therapies such as SBA, DCB, stent insertion and atherectomy, rather than being used as a standalone treatment. Furthermore, a recent review suggested that IVL performs better with adjunctive therapies, particularly with DCB, to enhance long-term patency (</w:t>
      </w:r>
      <w:proofErr w:type="spellStart"/>
      <w:r>
        <w:t>Vedani</w:t>
      </w:r>
      <w:proofErr w:type="spellEnd"/>
      <w:r>
        <w:t xml:space="preserve"> et al. 2023).</w:t>
      </w:r>
      <w:r>
        <w:rPr>
          <w:rStyle w:val="FootnoteReference"/>
        </w:rPr>
        <w:footnoteReference w:id="18"/>
      </w:r>
      <w:r>
        <w:t xml:space="preserve"> ESC noted that, although most of the evidence supports PICO set 2, the applicant claimed that in practice about 95% of patients would fall into PICO set 1. ESC also noted that DCB has largely replaced SBA in current clinical practice.</w:t>
      </w:r>
    </w:p>
    <w:p w14:paraId="27CB3D00" w14:textId="77777777" w:rsidR="004041D6" w:rsidRDefault="004041D6" w:rsidP="004041D6">
      <w:r>
        <w:t xml:space="preserve">ESC noted the proposed MBS item </w:t>
      </w:r>
      <w:r w:rsidRPr="00A9233D">
        <w:t xml:space="preserve">descriptor. ESC agreed with PASC that </w:t>
      </w:r>
      <w:r>
        <w:t>there should be</w:t>
      </w:r>
      <w:r w:rsidRPr="00A9233D">
        <w:t xml:space="preserve"> one MBS item that c</w:t>
      </w:r>
      <w:r>
        <w:t>an</w:t>
      </w:r>
      <w:r w:rsidRPr="00A9233D">
        <w:t xml:space="preserve"> be claimed once per limb per occasion of service, rather than proposing an MBS item for multiple limbs or </w:t>
      </w:r>
      <w:r>
        <w:t>having</w:t>
      </w:r>
      <w:r w:rsidRPr="00A9233D">
        <w:t xml:space="preserve"> multiple items to reflect the number of arteries. This</w:t>
      </w:r>
      <w:r w:rsidRPr="00DA5689">
        <w:t xml:space="preserve"> was based on advice from the </w:t>
      </w:r>
      <w:r>
        <w:t>a</w:t>
      </w:r>
      <w:r w:rsidRPr="00DA5689">
        <w:t>pplicant’s clinical expert who acknowledged IVL could be performed on multiple arteries of the same arterial segments of the same limb during a single procedure.</w:t>
      </w:r>
      <w:r>
        <w:t xml:space="preserve"> However, </w:t>
      </w:r>
      <w:r w:rsidRPr="00A9233D">
        <w:t>ESC noted that the Multiple Operation Rule would apply, which could initiate perverse incentives to perform surgeries on each leg at different times.</w:t>
      </w:r>
    </w:p>
    <w:p w14:paraId="3AEFE458" w14:textId="77777777" w:rsidR="004041D6" w:rsidRDefault="004041D6" w:rsidP="004041D6">
      <w:r>
        <w:t>ESC noted that the</w:t>
      </w:r>
      <w:r w:rsidRPr="00502E3E">
        <w:t xml:space="preserve"> </w:t>
      </w:r>
      <w:r>
        <w:t>a</w:t>
      </w:r>
      <w:r w:rsidRPr="00502E3E">
        <w:t xml:space="preserve">pplicant's clinical expert indicated that frequency restrictions would be inappropriate as PAD is a multivessel disease. </w:t>
      </w:r>
      <w:r>
        <w:t>ESC agreed that t</w:t>
      </w:r>
      <w:r w:rsidRPr="00502E3E">
        <w:t xml:space="preserve">here is a possibility that a patient </w:t>
      </w:r>
      <w:r w:rsidRPr="00502E3E">
        <w:lastRenderedPageBreak/>
        <w:t>may require more than one IVL procedure in the same year</w:t>
      </w:r>
      <w:r>
        <w:t>, so there should be no frequency restrictions.</w:t>
      </w:r>
    </w:p>
    <w:p w14:paraId="2017D86A" w14:textId="17B47E36" w:rsidR="004041D6" w:rsidRDefault="004041D6" w:rsidP="004041D6">
      <w:r>
        <w:t>ESC noted that the proposed MBS item descriptor did not restrict the service to lower limbs only. ESC considered that this is appropriate because the Australian Register of Therapeutic Goods does not specify whether IVL should be restricted to upper or lower limb(s).</w:t>
      </w:r>
    </w:p>
    <w:p w14:paraId="4DD6292F" w14:textId="025AABFF" w:rsidR="004041D6" w:rsidRDefault="004041D6" w:rsidP="004041D6">
      <w:r>
        <w:t>ESC noted that the fluoroscopy service was not currently included in the proposed MBS item. However, ESC considered it appropriate to include it in the IVL service, rather than co-claiming it as a separate service. In addition, ESC considered it appropriate to include co-claiming restrictions with angioplasty items (items 35300 and 35303), as the proposed IVL MBS item should replace these services.</w:t>
      </w:r>
    </w:p>
    <w:p w14:paraId="2BF6BF46" w14:textId="77777777" w:rsidR="004041D6" w:rsidRDefault="004041D6" w:rsidP="004041D6">
      <w:r>
        <w:t xml:space="preserve">ESC noted that the </w:t>
      </w:r>
      <w:r w:rsidRPr="00DD050C">
        <w:t>applicant proposed a fee between $685.05 and $736.25 for IVL</w:t>
      </w:r>
      <w:r>
        <w:t>,</w:t>
      </w:r>
      <w:r w:rsidRPr="00DD050C">
        <w:t xml:space="preserve"> based on the current fee</w:t>
      </w:r>
      <w:r>
        <w:t>s</w:t>
      </w:r>
      <w:r w:rsidRPr="00DD050C">
        <w:t xml:space="preserve"> for peripheral atherectomy (</w:t>
      </w:r>
      <w:r>
        <w:t>MBS item </w:t>
      </w:r>
      <w:r w:rsidRPr="00DD050C">
        <w:t>35312) and standard balloon angioplasty (</w:t>
      </w:r>
      <w:r>
        <w:t>MBS item </w:t>
      </w:r>
      <w:r w:rsidRPr="00DD050C">
        <w:t>35300)</w:t>
      </w:r>
      <w:r>
        <w:t xml:space="preserve">. The applicant considered these procedures to be </w:t>
      </w:r>
      <w:r w:rsidRPr="00DD050C">
        <w:t xml:space="preserve">comparable </w:t>
      </w:r>
      <w:r>
        <w:t xml:space="preserve">to the proposed service </w:t>
      </w:r>
      <w:r w:rsidRPr="00DD050C">
        <w:t xml:space="preserve">because of </w:t>
      </w:r>
      <w:r>
        <w:t xml:space="preserve">the </w:t>
      </w:r>
      <w:r w:rsidRPr="00DD050C">
        <w:t>similar skill level</w:t>
      </w:r>
      <w:r>
        <w:t xml:space="preserve"> required.</w:t>
      </w:r>
    </w:p>
    <w:p w14:paraId="3414BA0C" w14:textId="77777777" w:rsidR="004041D6" w:rsidRDefault="004041D6" w:rsidP="004041D6">
      <w:r>
        <w:t xml:space="preserve">ESC noted that the clinical trials used the Rutherford classification as inclusion criteria, but that this classification is not used clinically. ESC agreed with </w:t>
      </w:r>
      <w:r w:rsidRPr="00CE1AA0">
        <w:t xml:space="preserve">PASC that defining the population </w:t>
      </w:r>
      <w:r>
        <w:t xml:space="preserve">for </w:t>
      </w:r>
      <w:r w:rsidRPr="00CE1AA0">
        <w:t xml:space="preserve">PAD in terms of </w:t>
      </w:r>
      <w:r>
        <w:t>“</w:t>
      </w:r>
      <w:r w:rsidRPr="00CE1AA0">
        <w:t>moderately or severely calcified lesions</w:t>
      </w:r>
      <w:r>
        <w:t>”</w:t>
      </w:r>
      <w:r w:rsidRPr="00CE1AA0">
        <w:t xml:space="preserve"> without reference to a classification system </w:t>
      </w:r>
      <w:r>
        <w:t>i</w:t>
      </w:r>
      <w:r w:rsidRPr="00CE1AA0">
        <w:t>s acceptable, given that there is no specific classification system to decide on the patient's eligibility for IVL treatment in clinical settings.</w:t>
      </w:r>
    </w:p>
    <w:p w14:paraId="1A321B21" w14:textId="30AAB63D" w:rsidR="004041D6" w:rsidRDefault="004041D6" w:rsidP="004041D6">
      <w:r>
        <w:t>ESC noted the proposed clinical management algorithm, which proposed IVL as a standalone treatment (PICO set 1) and as an additional treatment in the current clinical pathway (PICO set</w:t>
      </w:r>
      <w:r w:rsidR="00C73462">
        <w:t> </w:t>
      </w:r>
      <w:r>
        <w:t xml:space="preserve">2). </w:t>
      </w:r>
    </w:p>
    <w:p w14:paraId="0F478062" w14:textId="77777777" w:rsidR="004041D6" w:rsidRDefault="004041D6" w:rsidP="004041D6">
      <w:r>
        <w:t>ESC noted the trials available (</w:t>
      </w:r>
      <w:r w:rsidRPr="00DD2465">
        <w:t>DISRUPT PAD I, DISRUPT PAD II, DISRUPT BTK)</w:t>
      </w:r>
      <w:r>
        <w:t xml:space="preserve"> to inform PICO set 1 were single arm studies only. PICO set 2 was supported by a </w:t>
      </w:r>
      <w:r w:rsidRPr="00CB03F5">
        <w:t xml:space="preserve">prospective, multicentre, single-blind, randomised study of IVL treatment used </w:t>
      </w:r>
      <w:r>
        <w:t xml:space="preserve">in </w:t>
      </w:r>
      <w:r w:rsidRPr="00CB03F5">
        <w:t>combin</w:t>
      </w:r>
      <w:r>
        <w:t>ation</w:t>
      </w:r>
      <w:r w:rsidRPr="00CB03F5">
        <w:t xml:space="preserve"> with DCB versus SBA to treat moderate and severely calcified femoropopliteal arteries</w:t>
      </w:r>
      <w:r>
        <w:t xml:space="preserve"> and one prospective single arm study (</w:t>
      </w:r>
      <w:r w:rsidRPr="005011F3">
        <w:t>DISRUPT PAD III, DISRUPT PAD III OS</w:t>
      </w:r>
      <w:r>
        <w:t>).</w:t>
      </w:r>
    </w:p>
    <w:p w14:paraId="4514D657" w14:textId="77777777" w:rsidR="004041D6" w:rsidRPr="00064636" w:rsidRDefault="004041D6" w:rsidP="004041D6">
      <w:pPr>
        <w:pStyle w:val="NormalBeforeBullet0"/>
      </w:pPr>
      <w:r>
        <w:t xml:space="preserve">ESC noted that, for </w:t>
      </w:r>
      <w:r w:rsidRPr="00064636">
        <w:t xml:space="preserve">PICO </w:t>
      </w:r>
      <w:r>
        <w:t>set </w:t>
      </w:r>
      <w:r w:rsidRPr="00064636">
        <w:t>1</w:t>
      </w:r>
      <w:r>
        <w:t xml:space="preserve">, there was </w:t>
      </w:r>
      <w:r w:rsidRPr="00064636">
        <w:t>weak evidence for compara</w:t>
      </w:r>
      <w:r>
        <w:t>tive</w:t>
      </w:r>
      <w:r w:rsidRPr="00064636">
        <w:t xml:space="preserve"> effectiveness </w:t>
      </w:r>
      <w:r>
        <w:t xml:space="preserve">of IVL </w:t>
      </w:r>
      <w:r w:rsidRPr="00064636">
        <w:t>used as a standalone treatment</w:t>
      </w:r>
      <w:r w:rsidRPr="00500CB7">
        <w:t xml:space="preserve"> </w:t>
      </w:r>
      <w:r w:rsidRPr="00064636">
        <w:t xml:space="preserve">when </w:t>
      </w:r>
      <w:r>
        <w:t xml:space="preserve">compared to </w:t>
      </w:r>
      <w:r w:rsidRPr="00064636">
        <w:t>SBA</w:t>
      </w:r>
      <w:r>
        <w:t xml:space="preserve"> and weak evidence for non-inferior safety due to the lack of comparative trials</w:t>
      </w:r>
      <w:r w:rsidRPr="00064636">
        <w:t>.</w:t>
      </w:r>
      <w:r>
        <w:t xml:space="preserve"> For </w:t>
      </w:r>
      <w:r w:rsidRPr="00064636">
        <w:t xml:space="preserve">PICO </w:t>
      </w:r>
      <w:r>
        <w:t>set</w:t>
      </w:r>
      <w:r>
        <w:rPr>
          <w:lang w:val="en-US"/>
        </w:rPr>
        <w:t> </w:t>
      </w:r>
      <w:r w:rsidRPr="00064636">
        <w:t>2</w:t>
      </w:r>
      <w:r>
        <w:t xml:space="preserve">, ESC accepted the evidence that </w:t>
      </w:r>
      <w:r w:rsidRPr="00064636">
        <w:t>IVL is associated with</w:t>
      </w:r>
      <w:r>
        <w:t>:</w:t>
      </w:r>
      <w:r w:rsidRPr="00064636">
        <w:t xml:space="preserve"> </w:t>
      </w:r>
    </w:p>
    <w:p w14:paraId="4B6F9DEC" w14:textId="77777777" w:rsidR="004041D6" w:rsidRPr="001D6516" w:rsidRDefault="004041D6" w:rsidP="004041D6">
      <w:pPr>
        <w:pStyle w:val="Bullet"/>
        <w:numPr>
          <w:ilvl w:val="0"/>
          <w:numId w:val="24"/>
        </w:numPr>
        <w:spacing w:before="0"/>
        <w:rPr>
          <w:rFonts w:ascii="Franklin Gothic Book" w:hAnsi="Franklin Gothic Book"/>
        </w:rPr>
      </w:pPr>
      <w:r w:rsidRPr="001D6516">
        <w:rPr>
          <w:rFonts w:ascii="Franklin Gothic Book" w:hAnsi="Franklin Gothic Book"/>
        </w:rPr>
        <w:t>superior eff</w:t>
      </w:r>
      <w:r>
        <w:rPr>
          <w:rFonts w:ascii="Franklin Gothic Book" w:hAnsi="Franklin Gothic Book"/>
        </w:rPr>
        <w:t>ectiveness</w:t>
      </w:r>
      <w:r w:rsidRPr="001D6516">
        <w:rPr>
          <w:rFonts w:ascii="Franklin Gothic Book" w:hAnsi="Franklin Gothic Book"/>
        </w:rPr>
        <w:t xml:space="preserve"> compared to SBA when used as a vessel preparation strategy before DCB or stent insertion (</w:t>
      </w:r>
      <w:proofErr w:type="gramStart"/>
      <w:r>
        <w:rPr>
          <w:rFonts w:ascii="Franklin Gothic Book" w:hAnsi="Franklin Gothic Book"/>
        </w:rPr>
        <w:t xml:space="preserve">as a </w:t>
      </w:r>
      <w:r w:rsidRPr="001D6516">
        <w:rPr>
          <w:rFonts w:ascii="Franklin Gothic Book" w:hAnsi="Franklin Gothic Book"/>
        </w:rPr>
        <w:t>result of</w:t>
      </w:r>
      <w:proofErr w:type="gramEnd"/>
      <w:r w:rsidRPr="001D6516">
        <w:rPr>
          <w:rFonts w:ascii="Franklin Gothic Book" w:hAnsi="Franklin Gothic Book"/>
        </w:rPr>
        <w:t xml:space="preserve"> improved acute procedural success, reducing the requirement for bailout stent insertion)</w:t>
      </w:r>
    </w:p>
    <w:p w14:paraId="140A4A2B" w14:textId="77777777" w:rsidR="004041D6" w:rsidRPr="001D6516" w:rsidRDefault="004041D6" w:rsidP="004041D6">
      <w:pPr>
        <w:pStyle w:val="Bullet"/>
        <w:numPr>
          <w:ilvl w:val="0"/>
          <w:numId w:val="24"/>
        </w:numPr>
        <w:spacing w:before="0"/>
        <w:rPr>
          <w:rFonts w:ascii="Franklin Gothic Book" w:hAnsi="Franklin Gothic Book"/>
        </w:rPr>
      </w:pPr>
      <w:r w:rsidRPr="001D6516">
        <w:rPr>
          <w:rFonts w:ascii="Franklin Gothic Book" w:hAnsi="Franklin Gothic Book"/>
        </w:rPr>
        <w:t xml:space="preserve">non-inferior safety when compared to SBA when used as a vessel preparation strategy before DCB or stent </w:t>
      </w:r>
      <w:proofErr w:type="gramStart"/>
      <w:r w:rsidRPr="001D6516">
        <w:rPr>
          <w:rFonts w:ascii="Franklin Gothic Book" w:hAnsi="Franklin Gothic Book"/>
        </w:rPr>
        <w:t>insertion</w:t>
      </w:r>
      <w:proofErr w:type="gramEnd"/>
    </w:p>
    <w:p w14:paraId="69CC0885" w14:textId="77777777" w:rsidR="004041D6" w:rsidRDefault="004041D6" w:rsidP="004041D6">
      <w:pPr>
        <w:pStyle w:val="BulletLast"/>
        <w:numPr>
          <w:ilvl w:val="0"/>
          <w:numId w:val="24"/>
        </w:numPr>
      </w:pPr>
      <w:r w:rsidRPr="00064636">
        <w:t xml:space="preserve">non-inferior long-term safety </w:t>
      </w:r>
      <w:r>
        <w:t>(up to 2 years)</w:t>
      </w:r>
      <w:r w:rsidRPr="00064636">
        <w:t xml:space="preserve"> compared to SBA</w:t>
      </w:r>
      <w:r>
        <w:t>,</w:t>
      </w:r>
      <w:r w:rsidRPr="00064636">
        <w:t xml:space="preserve"> highlighted by the absence of </w:t>
      </w:r>
      <w:r>
        <w:t>major adverse events</w:t>
      </w:r>
      <w:r w:rsidRPr="00064636">
        <w:t>, thrombus and distal emboli events in all patients treated with IVL</w:t>
      </w:r>
      <w:r>
        <w:t>.</w:t>
      </w:r>
    </w:p>
    <w:p w14:paraId="536FB94C" w14:textId="77777777" w:rsidR="004041D6" w:rsidRDefault="004041D6" w:rsidP="004041D6">
      <w:r>
        <w:t xml:space="preserve">ESC noted that the applicant-developed assessment report (ADAR) originally conducted a cost-consequence analysis (CCA) as well as a cost utility analysis (CUA) for the economic evaluation, however ESC agreed with the commentary that </w:t>
      </w:r>
      <w:r w:rsidRPr="00996E36">
        <w:t>the outcomes presented in the CCA are the same outcome measures used in the CUA</w:t>
      </w:r>
      <w:r>
        <w:t xml:space="preserve"> a</w:t>
      </w:r>
      <w:r w:rsidRPr="001F4C42">
        <w:t xml:space="preserve">nd that the </w:t>
      </w:r>
      <w:r>
        <w:t>CUA</w:t>
      </w:r>
      <w:r w:rsidRPr="001F4C42">
        <w:t xml:space="preserve"> was the most appropriate in this case to inform MSAC decision-making</w:t>
      </w:r>
      <w:r w:rsidRPr="00996E36">
        <w:t xml:space="preserve">. </w:t>
      </w:r>
      <w:r>
        <w:t xml:space="preserve">The applicant accepted the CUA as the main decision-making model. In addition, the applicant reduced the time horizon to 15 years (from 30 years) and altered the utility estimates to reflect Australian values.  </w:t>
      </w:r>
    </w:p>
    <w:p w14:paraId="0024706E" w14:textId="77777777" w:rsidR="004041D6" w:rsidRDefault="004041D6" w:rsidP="004041D6">
      <w:r>
        <w:lastRenderedPageBreak/>
        <w:t>However despite these changes ESC noted that there were some remaining features of the economic evaluation which limit its usefulness for MSAC decision-making, The ADAR’s model adapts the Simpson et al. (2014) model</w:t>
      </w:r>
      <w:r>
        <w:rPr>
          <w:rStyle w:val="FootnoteReference"/>
        </w:rPr>
        <w:footnoteReference w:id="19"/>
      </w:r>
      <w:r>
        <w:t xml:space="preserve">, but replaces the state of </w:t>
      </w:r>
      <w:r w:rsidRPr="009965A4">
        <w:t xml:space="preserve">asymptomatic </w:t>
      </w:r>
      <w:r>
        <w:t>disease with patency</w:t>
      </w:r>
      <w:r w:rsidRPr="009965A4">
        <w:t xml:space="preserve"> and intermittent claudication with loss of patency</w:t>
      </w:r>
      <w:r>
        <w:t xml:space="preserve">. ESC noted that the commentary queried whether this approach may misrepresent clinical pathways. The applicant stated in the pre-ESC response that while there is </w:t>
      </w:r>
      <w:r w:rsidRPr="00C809AE">
        <w:t>no established correlation between patency and clinical symptoms, it is clinically plausible that symptomatic PAD is associated with patency</w:t>
      </w:r>
      <w:r>
        <w:t>. However,</w:t>
      </w:r>
      <w:r w:rsidRPr="00C809AE">
        <w:t xml:space="preserve"> </w:t>
      </w:r>
      <w:r>
        <w:t xml:space="preserve">ESC agreed with the commentary that the original Simpson model was more clinically accurate. </w:t>
      </w:r>
    </w:p>
    <w:p w14:paraId="10F9DAF2" w14:textId="77777777" w:rsidR="004041D6" w:rsidRDefault="004041D6" w:rsidP="004041D6">
      <w:r>
        <w:t>ESC considered that the use of baseline u</w:t>
      </w:r>
      <w:r w:rsidRPr="00F97C84">
        <w:t xml:space="preserve">tility </w:t>
      </w:r>
      <w:r>
        <w:t>values (of 0.74)</w:t>
      </w:r>
      <w:r w:rsidRPr="0030196D">
        <w:t xml:space="preserve"> from </w:t>
      </w:r>
      <w:r>
        <w:t xml:space="preserve">the </w:t>
      </w:r>
      <w:r w:rsidRPr="0030196D">
        <w:t xml:space="preserve">DISRUPT PAD III RCT to reflect quality of life in the </w:t>
      </w:r>
      <w:r>
        <w:t>‘</w:t>
      </w:r>
      <w:r w:rsidRPr="0030196D">
        <w:t>loss of patency</w:t>
      </w:r>
      <w:r>
        <w:t>’</w:t>
      </w:r>
      <w:r w:rsidRPr="0030196D">
        <w:t xml:space="preserve"> health state</w:t>
      </w:r>
      <w:r>
        <w:t xml:space="preserve"> was not appropriate as it assumes that the baseline utility of symptomatic patients was equivalent to that for the ‘loss of patency’ health state. ESC noted the pre-ESC response stated that the literature </w:t>
      </w:r>
      <w:r w:rsidRPr="0030196D">
        <w:t>identified a</w:t>
      </w:r>
      <w:r>
        <w:t xml:space="preserve"> similar,</w:t>
      </w:r>
      <w:r w:rsidRPr="0030196D">
        <w:t xml:space="preserve"> alternative utility value for intermittent claudication</w:t>
      </w:r>
      <w:r>
        <w:t xml:space="preserve"> of 0.7 and the</w:t>
      </w:r>
      <w:r w:rsidRPr="0030196D">
        <w:t xml:space="preserve"> use of this alternative value </w:t>
      </w:r>
      <w:r>
        <w:t xml:space="preserve">would  </w:t>
      </w:r>
      <w:r w:rsidRPr="0030196D">
        <w:t>reduce the ICER</w:t>
      </w:r>
      <w:r>
        <w:t>.</w:t>
      </w:r>
      <w:r w:rsidRPr="0030196D">
        <w:t xml:space="preserve"> </w:t>
      </w:r>
      <w:r>
        <w:t>However, ESC queried the c</w:t>
      </w:r>
      <w:r w:rsidRPr="00F97C84">
        <w:t>linical validity</w:t>
      </w:r>
      <w:r>
        <w:t xml:space="preserve"> of this value, given that as discussed above, the model uses the state of ‘loss of patency’ and it is unclear whether this can be equated to a state of intermittent claudication.</w:t>
      </w:r>
    </w:p>
    <w:p w14:paraId="5C51251E" w14:textId="77777777" w:rsidR="004041D6" w:rsidRDefault="004041D6" w:rsidP="004041D6">
      <w:r>
        <w:t xml:space="preserve">ESC noted the model </w:t>
      </w:r>
      <w:r w:rsidRPr="002C1E97">
        <w:t>did not use the baseline rate for stenting from the DISRUPT PAD III trial</w:t>
      </w:r>
      <w:r>
        <w:t>; r</w:t>
      </w:r>
      <w:r w:rsidRPr="002C1E97">
        <w:t>ather</w:t>
      </w:r>
      <w:r>
        <w:t>, it</w:t>
      </w:r>
      <w:r w:rsidRPr="002C1E97">
        <w:t xml:space="preserve"> used MBS data that </w:t>
      </w:r>
      <w:r>
        <w:t>are</w:t>
      </w:r>
      <w:r w:rsidRPr="002C1E97">
        <w:t xml:space="preserve"> not specific to the PICO population and applied the relative risk from the trial</w:t>
      </w:r>
      <w:r>
        <w:t>.</w:t>
      </w:r>
      <w:r w:rsidRPr="002C1E97">
        <w:t xml:space="preserve"> </w:t>
      </w:r>
      <w:r>
        <w:t>ESC considered that this</w:t>
      </w:r>
      <w:r w:rsidRPr="00E2410C">
        <w:t xml:space="preserve"> favours</w:t>
      </w:r>
      <w:r>
        <w:t xml:space="preserve"> the</w:t>
      </w:r>
      <w:r w:rsidRPr="00E2410C">
        <w:t xml:space="preserve"> intervention by overestimating </w:t>
      </w:r>
      <w:r>
        <w:t xml:space="preserve">the </w:t>
      </w:r>
      <w:r w:rsidRPr="00E2410C">
        <w:t>p</w:t>
      </w:r>
      <w:r>
        <w:t>ercentage</w:t>
      </w:r>
      <w:r w:rsidRPr="00E2410C">
        <w:t xml:space="preserve"> of stenting avoided </w:t>
      </w:r>
      <w:r>
        <w:t xml:space="preserve">with the use of IVL compared to SBA. ESC noted that this was </w:t>
      </w:r>
      <w:r w:rsidRPr="00E2410C">
        <w:t xml:space="preserve">tested in </w:t>
      </w:r>
      <w:r>
        <w:t xml:space="preserve">the </w:t>
      </w:r>
      <w:r w:rsidRPr="00E2410C">
        <w:t>sensitivity analysis</w:t>
      </w:r>
      <w:r>
        <w:t xml:space="preserve">, and the rate of stenting was </w:t>
      </w:r>
      <w:r w:rsidRPr="00E2410C">
        <w:t xml:space="preserve">one of the main drivers of </w:t>
      </w:r>
      <w:r>
        <w:t>the incremental cost-effectiveness ratio (</w:t>
      </w:r>
      <w:r w:rsidRPr="00E2410C">
        <w:t>ICER)</w:t>
      </w:r>
      <w:r>
        <w:t xml:space="preserve">. ESC also noted that the model used </w:t>
      </w:r>
      <w:r w:rsidRPr="00183A0C">
        <w:t xml:space="preserve">the cost of </w:t>
      </w:r>
      <w:r>
        <w:t>d</w:t>
      </w:r>
      <w:r w:rsidRPr="00183A0C">
        <w:t>rug-eluting stents (DES)</w:t>
      </w:r>
      <w:r>
        <w:t xml:space="preserve"> in the comparator cost</w:t>
      </w:r>
      <w:r w:rsidRPr="00183A0C">
        <w:t xml:space="preserve"> rather than bare-metal stents (BMS) used in the trial</w:t>
      </w:r>
      <w:r>
        <w:t xml:space="preserve"> and the </w:t>
      </w:r>
      <w:r w:rsidRPr="00183A0C">
        <w:t xml:space="preserve"> additional cost </w:t>
      </w:r>
      <w:r>
        <w:t xml:space="preserve">of the former would tend to </w:t>
      </w:r>
      <w:r w:rsidRPr="00183A0C">
        <w:t>favour</w:t>
      </w:r>
      <w:r>
        <w:t xml:space="preserve"> </w:t>
      </w:r>
      <w:r w:rsidRPr="00183A0C">
        <w:t>the intervention</w:t>
      </w:r>
      <w:r>
        <w:t xml:space="preserve">. </w:t>
      </w:r>
    </w:p>
    <w:p w14:paraId="3009E8BE" w14:textId="2E4A54E3" w:rsidR="004041D6" w:rsidRPr="00F0205D" w:rsidRDefault="004041D6" w:rsidP="004041D6">
      <w:pPr>
        <w:rPr>
          <w:vertAlign w:val="superscript"/>
        </w:rPr>
      </w:pPr>
      <w:r>
        <w:t>ESC noted one of the main drivers of the ICER was the rate of stenting, which increased the ICER to $</w:t>
      </w:r>
      <w:r w:rsidR="008B4F1B" w:rsidRPr="008B4F1B">
        <w:rPr>
          <w:b/>
          <w:bCs/>
        </w:rPr>
        <w:t xml:space="preserve"> </w:t>
      </w:r>
      <w:r w:rsidR="008B4F1B" w:rsidRPr="006010AB">
        <w:rPr>
          <w:b/>
          <w:bCs/>
        </w:rPr>
        <w:t>redacted</w:t>
      </w:r>
      <w:r w:rsidR="008B4F1B" w:rsidDel="008B4F1B">
        <w:t xml:space="preserve"> </w:t>
      </w:r>
      <w:r>
        <w:t>per QALY when the stenting rate increased to 40.5% for SBA and 23.3% for IVL, compared to the base case ICER of $</w:t>
      </w:r>
      <w:r w:rsidR="008B4F1B" w:rsidRPr="008B4F1B">
        <w:rPr>
          <w:b/>
          <w:bCs/>
        </w:rPr>
        <w:t xml:space="preserve"> </w:t>
      </w:r>
      <w:r w:rsidR="008B4F1B" w:rsidRPr="006010AB">
        <w:rPr>
          <w:b/>
          <w:bCs/>
        </w:rPr>
        <w:t>redacted</w:t>
      </w:r>
      <w:r w:rsidR="008B4F1B" w:rsidDel="008B4F1B">
        <w:t xml:space="preserve"> </w:t>
      </w:r>
      <w:r>
        <w:t xml:space="preserve">(stenting rate of 45% with a relative risk of 0.25 applied). ESC noted that, in one scenario, the ICER increased to $56,058 when altering the stent insertion rates and using Australian utility values, and ESC considered that this scenario was  plausible. </w:t>
      </w:r>
    </w:p>
    <w:p w14:paraId="07327BD9" w14:textId="77777777" w:rsidR="004041D6" w:rsidRDefault="004041D6" w:rsidP="004041D6">
      <w:pPr>
        <w:pStyle w:val="NormalBeforeBullet0"/>
      </w:pPr>
      <w:r>
        <w:t>ESC recommended that additional adjustments to the economic modelling would be helpful to  MSAC’s consideration, specifically:</w:t>
      </w:r>
    </w:p>
    <w:p w14:paraId="36C5D780" w14:textId="77777777" w:rsidR="004041D6" w:rsidRPr="001D6516" w:rsidRDefault="004041D6" w:rsidP="004041D6">
      <w:pPr>
        <w:pStyle w:val="Bullet"/>
        <w:numPr>
          <w:ilvl w:val="0"/>
          <w:numId w:val="24"/>
        </w:numPr>
        <w:spacing w:before="0"/>
        <w:rPr>
          <w:rFonts w:ascii="Franklin Gothic Book" w:hAnsi="Franklin Gothic Book"/>
        </w:rPr>
      </w:pPr>
      <w:r>
        <w:rPr>
          <w:rFonts w:ascii="Franklin Gothic Book" w:hAnsi="Franklin Gothic Book"/>
        </w:rPr>
        <w:t>U</w:t>
      </w:r>
      <w:r w:rsidRPr="001D6516">
        <w:rPr>
          <w:rFonts w:ascii="Franklin Gothic Book" w:hAnsi="Franklin Gothic Book"/>
        </w:rPr>
        <w:t>pdate the health states to reflect clinical practice and the Simpson model</w:t>
      </w:r>
      <w:r>
        <w:rPr>
          <w:rFonts w:ascii="Franklin Gothic Book" w:hAnsi="Franklin Gothic Book"/>
        </w:rPr>
        <w:t>.</w:t>
      </w:r>
    </w:p>
    <w:p w14:paraId="5EE90EA8" w14:textId="77777777" w:rsidR="004041D6" w:rsidRDefault="004041D6" w:rsidP="004041D6">
      <w:pPr>
        <w:pStyle w:val="BulletLast"/>
        <w:numPr>
          <w:ilvl w:val="0"/>
          <w:numId w:val="24"/>
        </w:numPr>
      </w:pPr>
      <w:r>
        <w:t>Update the model so that the distinction is clear between PICO set 1 and PICO set 2, as the available evidence differs for each of these populations. There is more available evidence for PICO set 2, but according to the applicant this represents only 5% of the target population.</w:t>
      </w:r>
    </w:p>
    <w:p w14:paraId="2DE435F9" w14:textId="14AD6473" w:rsidR="004041D6" w:rsidRDefault="004041D6" w:rsidP="004041D6">
      <w:pPr>
        <w:pStyle w:val="NormalBeforeBullet0"/>
      </w:pPr>
      <w:r>
        <w:t>ESC noted that the financial impact was calculated using a market share approach. The net financial impact to the MBS was $</w:t>
      </w:r>
      <w:r w:rsidR="006C540C" w:rsidRPr="006C540C">
        <w:rPr>
          <w:b/>
          <w:bCs/>
        </w:rPr>
        <w:t xml:space="preserve"> </w:t>
      </w:r>
      <w:r w:rsidR="006C540C" w:rsidRPr="00B73D4C">
        <w:rPr>
          <w:b/>
          <w:bCs/>
        </w:rPr>
        <w:t>redacted</w:t>
      </w:r>
      <w:r w:rsidR="006C540C" w:rsidRPr="001C3D7D" w:rsidDel="00AF78E2">
        <w:t xml:space="preserve"> </w:t>
      </w:r>
      <w:r>
        <w:t>in year 1 to $</w:t>
      </w:r>
      <w:r w:rsidR="006C540C" w:rsidRPr="006C540C">
        <w:rPr>
          <w:b/>
          <w:bCs/>
        </w:rPr>
        <w:t xml:space="preserve"> </w:t>
      </w:r>
      <w:r w:rsidR="006C540C" w:rsidRPr="00B73D4C">
        <w:rPr>
          <w:b/>
          <w:bCs/>
        </w:rPr>
        <w:t>redacted</w:t>
      </w:r>
      <w:r w:rsidR="006C540C" w:rsidRPr="001C3D7D" w:rsidDel="00AF78E2">
        <w:t xml:space="preserve"> </w:t>
      </w:r>
      <w:r>
        <w:t>in year 6. However, the larger impact is to other health budgets, which increases the overall budget impact to $</w:t>
      </w:r>
      <w:r w:rsidR="00AF78E2" w:rsidRPr="00AF78E2">
        <w:rPr>
          <w:b/>
          <w:bCs/>
        </w:rPr>
        <w:t xml:space="preserve"> </w:t>
      </w:r>
      <w:r w:rsidR="00AF78E2" w:rsidRPr="00B73D4C">
        <w:rPr>
          <w:b/>
          <w:bCs/>
        </w:rPr>
        <w:t>redacted</w:t>
      </w:r>
      <w:r w:rsidR="00AF78E2" w:rsidDel="00AF78E2">
        <w:t xml:space="preserve"> </w:t>
      </w:r>
      <w:r>
        <w:t>in year 1 to $</w:t>
      </w:r>
      <w:r w:rsidR="00AF78E2" w:rsidRPr="00AF78E2">
        <w:rPr>
          <w:b/>
          <w:bCs/>
        </w:rPr>
        <w:t xml:space="preserve"> </w:t>
      </w:r>
      <w:r w:rsidR="00AF78E2" w:rsidRPr="00B73D4C">
        <w:rPr>
          <w:b/>
          <w:bCs/>
        </w:rPr>
        <w:t>redacted</w:t>
      </w:r>
      <w:r w:rsidR="00AF78E2" w:rsidRPr="001C3D7D" w:rsidDel="00AF78E2">
        <w:t xml:space="preserve"> </w:t>
      </w:r>
      <w:r>
        <w:t>in year 6. ESC considered there to be a relatively modest impact to the MBS, but noted that there are uncertainties:</w:t>
      </w:r>
    </w:p>
    <w:p w14:paraId="26F75D5C" w14:textId="77777777" w:rsidR="004041D6" w:rsidRPr="001D6516" w:rsidRDefault="004041D6" w:rsidP="004041D6">
      <w:pPr>
        <w:pStyle w:val="Bullet"/>
        <w:numPr>
          <w:ilvl w:val="0"/>
          <w:numId w:val="24"/>
        </w:numPr>
        <w:spacing w:before="0"/>
        <w:rPr>
          <w:rFonts w:ascii="Franklin Gothic Book" w:hAnsi="Franklin Gothic Book"/>
        </w:rPr>
      </w:pPr>
      <w:r w:rsidRPr="001D6516">
        <w:rPr>
          <w:rFonts w:ascii="Franklin Gothic Book" w:hAnsi="Franklin Gothic Book"/>
        </w:rPr>
        <w:t>The budget impact relies on assumed uptake of between 15% and 50% over time, which is not based on any evidence presented.</w:t>
      </w:r>
    </w:p>
    <w:p w14:paraId="7AC56C55" w14:textId="77777777" w:rsidR="004041D6" w:rsidRPr="001D6516" w:rsidRDefault="004041D6" w:rsidP="004041D6">
      <w:pPr>
        <w:pStyle w:val="Bullet"/>
        <w:numPr>
          <w:ilvl w:val="0"/>
          <w:numId w:val="24"/>
        </w:numPr>
        <w:spacing w:before="0"/>
        <w:rPr>
          <w:rFonts w:ascii="Franklin Gothic Book" w:hAnsi="Franklin Gothic Book"/>
        </w:rPr>
      </w:pPr>
      <w:r w:rsidRPr="001D6516">
        <w:rPr>
          <w:rFonts w:ascii="Franklin Gothic Book" w:hAnsi="Franklin Gothic Book"/>
        </w:rPr>
        <w:lastRenderedPageBreak/>
        <w:t>The ADAR assumed MBS utilisation data for MBS item numbers 35300, 35303, 35306 and 35309 to calculate PAD procedure market growth and project utilisation over 6 years. However, MBS items 35306 and 35309 are not confined to the peripheral arteries. Also, these data are used to estimate PICO set 1 and PICO set 2, although only MBS items 35300 and 35303 are relevant for PICO set 1.</w:t>
      </w:r>
    </w:p>
    <w:p w14:paraId="02D9F7E3" w14:textId="77777777" w:rsidR="004041D6" w:rsidRPr="001D6516" w:rsidRDefault="004041D6" w:rsidP="004041D6">
      <w:pPr>
        <w:pStyle w:val="Bullet"/>
        <w:numPr>
          <w:ilvl w:val="0"/>
          <w:numId w:val="24"/>
        </w:numPr>
        <w:spacing w:before="0"/>
        <w:rPr>
          <w:rFonts w:ascii="Franklin Gothic Book" w:hAnsi="Franklin Gothic Book"/>
        </w:rPr>
      </w:pPr>
      <w:r w:rsidRPr="001D6516">
        <w:rPr>
          <w:rFonts w:ascii="Franklin Gothic Book" w:hAnsi="Franklin Gothic Book"/>
        </w:rPr>
        <w:t>The estimated stent procedures prevented used a risk ratio of 25% based on the DISRUPT PAD III randomised controlled trial (RCT) from the first month. This may not reflect the difference in stenting rates in the longer term and could overestimate the number of stents avoided.</w:t>
      </w:r>
    </w:p>
    <w:p w14:paraId="7F076E71" w14:textId="77777777" w:rsidR="004041D6" w:rsidRDefault="004041D6" w:rsidP="004041D6">
      <w:pPr>
        <w:pStyle w:val="BulletLast"/>
        <w:numPr>
          <w:ilvl w:val="0"/>
          <w:numId w:val="24"/>
        </w:numPr>
      </w:pPr>
      <w:r w:rsidRPr="005C4126">
        <w:t xml:space="preserve">The ADAR assumed that the patients </w:t>
      </w:r>
      <w:r>
        <w:t>who</w:t>
      </w:r>
      <w:r w:rsidRPr="005C4126">
        <w:t xml:space="preserve"> avoid stent procedures after IVL listing will instead receive IVL followed by DCB. This assumption was not adequately supported by the literature, except </w:t>
      </w:r>
      <w:r>
        <w:t xml:space="preserve">that, </w:t>
      </w:r>
      <w:r w:rsidRPr="005C4126">
        <w:t>in the DISRUPT PAD III RCT</w:t>
      </w:r>
      <w:r>
        <w:t>,</w:t>
      </w:r>
      <w:r w:rsidRPr="005C4126">
        <w:t xml:space="preserve"> the patients who did not receive stent</w:t>
      </w:r>
      <w:r>
        <w:t>ing</w:t>
      </w:r>
      <w:r w:rsidRPr="005C4126">
        <w:t xml:space="preserve"> were treated with DCB. Furthermore, </w:t>
      </w:r>
      <w:r>
        <w:t>as noted previously about the economic model</w:t>
      </w:r>
      <w:r w:rsidRPr="005C4126">
        <w:t>, the ADAR incorporated the price of drug</w:t>
      </w:r>
      <w:r>
        <w:t>-</w:t>
      </w:r>
      <w:r w:rsidRPr="005C4126">
        <w:t xml:space="preserve">eluting stents to calculate the stent device cost. This </w:t>
      </w:r>
      <w:r>
        <w:t>makes the stent device more</w:t>
      </w:r>
      <w:r w:rsidRPr="005C4126">
        <w:t xml:space="preserve"> expensive </w:t>
      </w:r>
      <w:r>
        <w:t>than</w:t>
      </w:r>
      <w:r w:rsidRPr="005C4126">
        <w:t xml:space="preserve"> the bare metal stent</w:t>
      </w:r>
      <w:r>
        <w:t>, which favours the intervention</w:t>
      </w:r>
      <w:r w:rsidRPr="005C4126">
        <w:t>.</w:t>
      </w:r>
    </w:p>
    <w:p w14:paraId="5B24E0FC" w14:textId="77777777" w:rsidR="004041D6" w:rsidRDefault="004041D6" w:rsidP="004041D6">
      <w:r>
        <w:t>ESC noted that the s</w:t>
      </w:r>
      <w:r w:rsidRPr="00CD6F60">
        <w:t>ensitivity analysis suggest</w:t>
      </w:r>
      <w:r>
        <w:t>ed the key assumptions in the base case favour the intervention, and</w:t>
      </w:r>
      <w:r w:rsidRPr="00CD6F60">
        <w:t xml:space="preserve"> the financial results are sensitive to plausible variations, particularly the uptake rate of IVL.</w:t>
      </w:r>
      <w:r w:rsidRPr="00D23B8C">
        <w:t xml:space="preserve"> </w:t>
      </w:r>
      <w:r w:rsidRPr="0010235D">
        <w:t>ESC noted that the main cost driver for IVL is the device itself.</w:t>
      </w:r>
    </w:p>
    <w:p w14:paraId="30D7FEBC" w14:textId="77777777" w:rsidR="004041D6" w:rsidRPr="00107C70" w:rsidRDefault="004041D6" w:rsidP="004041D6">
      <w:pPr>
        <w:rPr>
          <w:rStyle w:val="Strong"/>
          <w:b w:val="0"/>
          <w:bCs w:val="0"/>
        </w:rPr>
      </w:pPr>
      <w:r w:rsidRPr="0010235D">
        <w:t>ESC noted that the cost</w:t>
      </w:r>
      <w:r>
        <w:t>s</w:t>
      </w:r>
      <w:r w:rsidRPr="0010235D">
        <w:t xml:space="preserve"> of the IVL generator and consumables were not </w:t>
      </w:r>
      <w:r>
        <w:t>disaggregated i</w:t>
      </w:r>
      <w:r w:rsidRPr="0010235D">
        <w:t xml:space="preserve">n the application. </w:t>
      </w:r>
      <w:r>
        <w:t>ESC requested department advise whether patients may potentially incur any out of pocket costs from either the generator or consumables. [</w:t>
      </w:r>
      <w:r w:rsidRPr="0073205C">
        <w:rPr>
          <w:i/>
          <w:iCs/>
        </w:rPr>
        <w:t xml:space="preserve">Note: </w:t>
      </w:r>
      <w:r w:rsidRPr="0073205C">
        <w:rPr>
          <w:i/>
        </w:rPr>
        <w:t>Following ESC, the department confirmed that the cost of the generator is likely to be covered by hospitals as the machine will be used for all patients requiring IVL. However, it is at the discretion of the hospital whether to cover the cost of consumables and therefore patients may potentially incur some out of pocket costs associated with consumables that are not eligible for the Prescribed List of Medical Devices and Human Tissue Products</w:t>
      </w:r>
      <w:r>
        <w:t xml:space="preserve">] </w:t>
      </w:r>
      <w:r w:rsidRPr="0010235D">
        <w:t xml:space="preserve">ESC noted the applicant claims that significant cost reductions are expected in the hospital budget due to shorter hospital stays resulting from IVL treatment, and in the </w:t>
      </w:r>
      <w:r w:rsidRPr="00026FD5">
        <w:t>Prescribed List of Medical Devices and Human Tissue Products</w:t>
      </w:r>
      <w:r>
        <w:t xml:space="preserve"> </w:t>
      </w:r>
      <w:r w:rsidRPr="0010235D">
        <w:t>due to a decrease in</w:t>
      </w:r>
      <w:r>
        <w:t xml:space="preserve"> </w:t>
      </w:r>
      <w:r w:rsidRPr="0010235D">
        <w:t>stent insertions.</w:t>
      </w:r>
    </w:p>
    <w:p w14:paraId="0DF8E7F2" w14:textId="77777777" w:rsidR="00C73462" w:rsidRDefault="00C73462" w:rsidP="00C73462">
      <w:pPr>
        <w:pStyle w:val="Heading2"/>
        <w:numPr>
          <w:ilvl w:val="0"/>
          <w:numId w:val="0"/>
        </w:numPr>
      </w:pPr>
      <w:r>
        <w:t>17.</w:t>
      </w:r>
      <w:r>
        <w:tab/>
        <w:t>Applicant comments on MSAC’s Public Summary Document</w:t>
      </w:r>
    </w:p>
    <w:p w14:paraId="3FDB7ABD" w14:textId="3B9B7F28" w:rsidR="00665D70" w:rsidRPr="005A4362" w:rsidRDefault="000A77F6" w:rsidP="00C73462">
      <w:pPr>
        <w:spacing w:after="240"/>
        <w:rPr>
          <w:color w:val="00B0F0"/>
          <w:szCs w:val="24"/>
        </w:rPr>
      </w:pPr>
      <w:r>
        <w:t>Shockwave Medical is encouraged that MSAC recognise the clinical need and effectiveness of IVL over current standard of care. Shockwave Medical will work continue to work with MSAC and the Department so that IVL can be more widely available for patients through the MBS.</w:t>
      </w:r>
    </w:p>
    <w:p w14:paraId="5736E917" w14:textId="77777777" w:rsidR="00C73462" w:rsidRDefault="00C73462" w:rsidP="00C73462">
      <w:pPr>
        <w:pStyle w:val="Heading2"/>
        <w:numPr>
          <w:ilvl w:val="0"/>
          <w:numId w:val="0"/>
        </w:numPr>
      </w:pPr>
      <w:r>
        <w:t>18.</w:t>
      </w:r>
      <w:r>
        <w:tab/>
        <w:t>Further information on MSAC</w:t>
      </w:r>
    </w:p>
    <w:p w14:paraId="156F941A" w14:textId="5F1CA83A" w:rsidR="004041D6" w:rsidRPr="00C73462" w:rsidRDefault="00C73462" w:rsidP="00C73462">
      <w:pPr>
        <w:pStyle w:val="BodyText"/>
        <w:rPr>
          <w:rFonts w:ascii="Franklin Gothic Book" w:hAnsi="Franklin Gothic Book"/>
          <w:b/>
          <w:bCs/>
          <w:i/>
          <w:iCs/>
        </w:rPr>
      </w:pPr>
      <w:r w:rsidRPr="00F309FA">
        <w:rPr>
          <w:rFonts w:ascii="Franklin Gothic Book" w:hAnsi="Franklin Gothic Book"/>
          <w:bCs/>
          <w:iCs/>
        </w:rPr>
        <w:t xml:space="preserve">MSAC Terms of Reference and other information are available on the MSAC Website: </w:t>
      </w:r>
      <w:hyperlink r:id="rId16" w:tooltip="Link to the MSAC website" w:history="1">
        <w:r w:rsidRPr="00F309FA">
          <w:rPr>
            <w:rStyle w:val="Hyperlink"/>
            <w:rFonts w:ascii="Franklin Gothic Book" w:hAnsi="Franklin Gothic Book"/>
            <w:bCs/>
            <w:iCs/>
          </w:rPr>
          <w:t>visit the MSAC website</w:t>
        </w:r>
      </w:hyperlink>
    </w:p>
    <w:sectPr w:rsidR="004041D6" w:rsidRPr="00C73462" w:rsidSect="00440511">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C0C5" w14:textId="77777777" w:rsidR="00B175BC" w:rsidRDefault="00B175BC" w:rsidP="00B62DF2">
      <w:pPr>
        <w:spacing w:after="0" w:line="240" w:lineRule="auto"/>
      </w:pPr>
      <w:r>
        <w:separator/>
      </w:r>
    </w:p>
  </w:endnote>
  <w:endnote w:type="continuationSeparator" w:id="0">
    <w:p w14:paraId="6576333F" w14:textId="77777777" w:rsidR="00B175BC" w:rsidRDefault="00B175BC" w:rsidP="00B62DF2">
      <w:pPr>
        <w:spacing w:after="0" w:line="240" w:lineRule="auto"/>
      </w:pPr>
      <w:r>
        <w:continuationSeparator/>
      </w:r>
    </w:p>
  </w:endnote>
  <w:endnote w:type="continuationNotice" w:id="1">
    <w:p w14:paraId="3D61CAD8" w14:textId="77777777" w:rsidR="00B175BC" w:rsidRDefault="00B175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vTTe692faf0">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091BF2DF" w:rsidR="005947B5" w:rsidRDefault="005947B5" w:rsidP="004824F1">
    <w:pPr>
      <w:pStyle w:val="Footer"/>
      <w:jc w:val="right"/>
    </w:pPr>
    <w:r>
      <w:fldChar w:fldCharType="begin"/>
    </w:r>
    <w:r>
      <w:instrText xml:space="preserve"> PAGE   \* MERGEFORMAT </w:instrText>
    </w:r>
    <w:r>
      <w:fldChar w:fldCharType="separate"/>
    </w:r>
    <w:r w:rsidR="00120BD3">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102E3D40" w:rsidR="005947B5" w:rsidRDefault="005947B5" w:rsidP="004824F1">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285C" w14:textId="77777777" w:rsidR="005C044C" w:rsidRDefault="005C04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CF54" w14:textId="6AF1C2F7" w:rsidR="00494174" w:rsidRDefault="00494174" w:rsidP="002304B1">
    <w:pPr>
      <w:pStyle w:val="Footer"/>
      <w:jc w:val="right"/>
    </w:pPr>
    <w:r>
      <w:fldChar w:fldCharType="begin"/>
    </w:r>
    <w:r>
      <w:instrText xml:space="preserve"> PAGE   \* MERGEFORMAT </w:instrText>
    </w:r>
    <w:r>
      <w:fldChar w:fldCharType="separate"/>
    </w:r>
    <w:r>
      <w:rPr>
        <w:noProof/>
      </w:rPr>
      <w:t>22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889561"/>
      <w:docPartObj>
        <w:docPartGallery w:val="Page Numbers (Bottom of Page)"/>
        <w:docPartUnique/>
      </w:docPartObj>
    </w:sdtPr>
    <w:sdtEndPr>
      <w:rPr>
        <w:noProof/>
      </w:rPr>
    </w:sdtEndPr>
    <w:sdtContent>
      <w:p w14:paraId="703E8361" w14:textId="4B7D52D9" w:rsidR="00494174" w:rsidRDefault="00494174" w:rsidP="00052DD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79B0" w14:textId="77777777" w:rsidR="00B175BC" w:rsidRDefault="00B175BC" w:rsidP="00B62DF2">
      <w:pPr>
        <w:spacing w:after="0" w:line="240" w:lineRule="auto"/>
      </w:pPr>
      <w:r>
        <w:separator/>
      </w:r>
    </w:p>
  </w:footnote>
  <w:footnote w:type="continuationSeparator" w:id="0">
    <w:p w14:paraId="262F3C0A" w14:textId="77777777" w:rsidR="00B175BC" w:rsidRDefault="00B175BC" w:rsidP="00B62DF2">
      <w:pPr>
        <w:spacing w:after="0" w:line="240" w:lineRule="auto"/>
      </w:pPr>
      <w:r>
        <w:continuationSeparator/>
      </w:r>
    </w:p>
  </w:footnote>
  <w:footnote w:type="continuationNotice" w:id="1">
    <w:p w14:paraId="2A9AB66C" w14:textId="77777777" w:rsidR="00B175BC" w:rsidRDefault="00B175BC">
      <w:pPr>
        <w:spacing w:before="0" w:after="0" w:line="240" w:lineRule="auto"/>
      </w:pPr>
    </w:p>
  </w:footnote>
  <w:footnote w:id="2">
    <w:p w14:paraId="6A25967A" w14:textId="3091B8B1" w:rsidR="006C5979" w:rsidRDefault="006C5979" w:rsidP="00996E36">
      <w:pPr>
        <w:pStyle w:val="FootnoteText"/>
        <w:jc w:val="both"/>
      </w:pPr>
      <w:r>
        <w:rPr>
          <w:rStyle w:val="FootnoteReference"/>
        </w:rPr>
        <w:footnoteRef/>
      </w:r>
      <w:r w:rsidRPr="00A05D1B">
        <w:rPr>
          <w:rStyle w:val="CommentReference"/>
        </w:rPr>
        <w:t xml:space="preserve"> </w:t>
      </w:r>
      <w:proofErr w:type="spellStart"/>
      <w:r w:rsidRPr="00996E36">
        <w:rPr>
          <w:rStyle w:val="CommentReference"/>
        </w:rPr>
        <w:t>Tepe</w:t>
      </w:r>
      <w:proofErr w:type="spellEnd"/>
      <w:r w:rsidRPr="00996E36">
        <w:rPr>
          <w:rStyle w:val="CommentReference"/>
        </w:rPr>
        <w:t xml:space="preserve">, G., Brodmann, M., Werner, M., Bachinsky, W., Holden, A., Zeller, T., Gray, W. A. (2021). Intravascular Lithotripsy for Peripheral Artery Calcification: 30-Day Outcomes From the Randomized Disrupt PAD III Trial. JACC Cardiovasc </w:t>
      </w:r>
      <w:proofErr w:type="spellStart"/>
      <w:r w:rsidRPr="00996E36">
        <w:rPr>
          <w:rStyle w:val="CommentReference"/>
        </w:rPr>
        <w:t>Interv</w:t>
      </w:r>
      <w:proofErr w:type="spellEnd"/>
      <w:r w:rsidRPr="00996E36">
        <w:rPr>
          <w:rStyle w:val="CommentReference"/>
        </w:rPr>
        <w:t>, 14(12), 1352-1361. doi:10.1016/j.jcin.2021.04.010</w:t>
      </w:r>
      <w:r w:rsidR="00BC20AE" w:rsidRPr="00A05D1B">
        <w:rPr>
          <w:rStyle w:val="CommentReference"/>
        </w:rPr>
        <w:t xml:space="preserve"> </w:t>
      </w:r>
    </w:p>
  </w:footnote>
  <w:footnote w:id="3">
    <w:p w14:paraId="73C726CF" w14:textId="5AC7B306" w:rsidR="00C10320" w:rsidRPr="00A05D1B" w:rsidRDefault="00C10320" w:rsidP="00996E36">
      <w:pPr>
        <w:pStyle w:val="FootnoteText"/>
        <w:jc w:val="both"/>
        <w:rPr>
          <w:rStyle w:val="CommentReference"/>
        </w:rPr>
      </w:pPr>
      <w:r>
        <w:rPr>
          <w:rStyle w:val="FootnoteReference"/>
        </w:rPr>
        <w:footnoteRef/>
      </w:r>
      <w:r>
        <w:t xml:space="preserve"> </w:t>
      </w:r>
      <w:r w:rsidRPr="00996E36">
        <w:rPr>
          <w:rStyle w:val="CommentReference"/>
        </w:rPr>
        <w:t>Aitken, S. (2020). Peripheral artery disease in the lower limbs: The importance of secondary risk prevention for improved long-term prognosis. Australian Journal for General Practitioners, 49, 239-244. Retrieved from https://www1.racgp.org.au/ajgp/2020/may/peripheral-artery-disease-in-lower-limbs</w:t>
      </w:r>
    </w:p>
  </w:footnote>
  <w:footnote w:id="4">
    <w:p w14:paraId="6401BBE7" w14:textId="19623B24" w:rsidR="00482BE5" w:rsidRDefault="00482BE5" w:rsidP="00396D08">
      <w:pPr>
        <w:pStyle w:val="FootnoteText"/>
        <w:jc w:val="both"/>
      </w:pPr>
      <w:r>
        <w:rPr>
          <w:rStyle w:val="FootnoteReference"/>
        </w:rPr>
        <w:footnoteRef/>
      </w:r>
      <w:r>
        <w:t xml:space="preserve"> </w:t>
      </w:r>
      <w:r w:rsidRPr="00996E36">
        <w:rPr>
          <w:rStyle w:val="CommentReference"/>
        </w:rPr>
        <w:t>Australian Institute of Health Welfare. (2023). Heart, stroke and vascular disease: Australian facts. Retrieved from Canberra: https://www.aihw.gov.au/reports/heart-stroke-vascular-diseases/hsvd-facts/contents/heart-stroke-and-vascular-disease-subtypes/peripheral-arterial-disease</w:t>
      </w:r>
    </w:p>
  </w:footnote>
  <w:footnote w:id="5">
    <w:p w14:paraId="343DF8F9" w14:textId="78007FCB" w:rsidR="00F27920" w:rsidRPr="00A05D1B" w:rsidRDefault="00F27920" w:rsidP="00396D08">
      <w:pPr>
        <w:pStyle w:val="FootnoteText"/>
        <w:jc w:val="both"/>
        <w:rPr>
          <w:rStyle w:val="CommentReference"/>
        </w:rPr>
      </w:pPr>
      <w:r>
        <w:rPr>
          <w:rStyle w:val="FootnoteReference"/>
        </w:rPr>
        <w:footnoteRef/>
      </w:r>
      <w:r>
        <w:t xml:space="preserve"> </w:t>
      </w:r>
      <w:r w:rsidRPr="00996E36">
        <w:rPr>
          <w:rStyle w:val="CommentReference"/>
        </w:rPr>
        <w:t xml:space="preserve">Fowler B, </w:t>
      </w:r>
      <w:proofErr w:type="spellStart"/>
      <w:r w:rsidRPr="00996E36">
        <w:rPr>
          <w:rStyle w:val="CommentReference"/>
        </w:rPr>
        <w:t>Jamrozik</w:t>
      </w:r>
      <w:proofErr w:type="spellEnd"/>
      <w:r w:rsidRPr="00996E36">
        <w:rPr>
          <w:rStyle w:val="CommentReference"/>
        </w:rPr>
        <w:t xml:space="preserve"> K, Norman P, Allen Y. Prevalence of peripheral arterial disease: persistence of excess risk in former smokers. Aust N Z J Public Health. 2002;26(3):219-24.</w:t>
      </w:r>
    </w:p>
  </w:footnote>
  <w:footnote w:id="6">
    <w:p w14:paraId="7347B2E0" w14:textId="1A7425F4" w:rsidR="00ED2C4A" w:rsidRPr="00A05D1B" w:rsidRDefault="00ED2C4A" w:rsidP="00396D08">
      <w:pPr>
        <w:pStyle w:val="FootnoteText"/>
        <w:jc w:val="both"/>
        <w:rPr>
          <w:rStyle w:val="CommentReference"/>
        </w:rPr>
      </w:pPr>
      <w:r>
        <w:rPr>
          <w:rStyle w:val="FootnoteReference"/>
        </w:rPr>
        <w:footnoteRef/>
      </w:r>
      <w:r>
        <w:t xml:space="preserve"> </w:t>
      </w:r>
      <w:r w:rsidRPr="00996E36">
        <w:rPr>
          <w:rStyle w:val="CommentReference"/>
        </w:rPr>
        <w:t xml:space="preserve">Singh TP, Moxon JV, Healy GN, Cadet-James Y, </w:t>
      </w:r>
      <w:proofErr w:type="spellStart"/>
      <w:r w:rsidRPr="00996E36">
        <w:rPr>
          <w:rStyle w:val="CommentReference"/>
        </w:rPr>
        <w:t>Golledge</w:t>
      </w:r>
      <w:proofErr w:type="spellEnd"/>
      <w:r w:rsidRPr="00996E36">
        <w:rPr>
          <w:rStyle w:val="CommentReference"/>
        </w:rPr>
        <w:t xml:space="preserve"> J. Presentation and outcomes of indigenous Australians with peripheral artery disease. BMC Cardiovasc </w:t>
      </w:r>
      <w:proofErr w:type="spellStart"/>
      <w:r w:rsidRPr="00996E36">
        <w:rPr>
          <w:rStyle w:val="CommentReference"/>
        </w:rPr>
        <w:t>Disord</w:t>
      </w:r>
      <w:proofErr w:type="spellEnd"/>
      <w:r w:rsidRPr="00996E36">
        <w:rPr>
          <w:rStyle w:val="CommentReference"/>
        </w:rPr>
        <w:t xml:space="preserve">. 2018 May 16;18(1):94. </w:t>
      </w:r>
      <w:proofErr w:type="spellStart"/>
      <w:r w:rsidRPr="00996E36">
        <w:rPr>
          <w:rStyle w:val="CommentReference"/>
        </w:rPr>
        <w:t>doi</w:t>
      </w:r>
      <w:proofErr w:type="spellEnd"/>
      <w:r w:rsidRPr="00996E36">
        <w:rPr>
          <w:rStyle w:val="CommentReference"/>
        </w:rPr>
        <w:t>: 10.1186/s12872-018-0835-z.</w:t>
      </w:r>
    </w:p>
  </w:footnote>
  <w:footnote w:id="7">
    <w:p w14:paraId="190D1F32" w14:textId="4D4241AD" w:rsidR="00D77DB5" w:rsidRPr="00A05D1B" w:rsidRDefault="00D77DB5" w:rsidP="00996E36">
      <w:pPr>
        <w:pStyle w:val="FootnoteText"/>
        <w:jc w:val="both"/>
        <w:rPr>
          <w:rStyle w:val="CommentReference"/>
        </w:rPr>
      </w:pPr>
      <w:r>
        <w:rPr>
          <w:rStyle w:val="FootnoteReference"/>
        </w:rPr>
        <w:footnoteRef/>
      </w:r>
      <w:r>
        <w:t xml:space="preserve"> </w:t>
      </w:r>
      <w:proofErr w:type="spellStart"/>
      <w:r w:rsidRPr="00996E36">
        <w:rPr>
          <w:rStyle w:val="CommentReference"/>
        </w:rPr>
        <w:t>Tepe</w:t>
      </w:r>
      <w:proofErr w:type="spellEnd"/>
      <w:r w:rsidRPr="00996E36">
        <w:rPr>
          <w:rStyle w:val="CommentReference"/>
        </w:rPr>
        <w:t xml:space="preserve">, G., Brodmann, M., Bachinsky, W., Holden, A., Zeller, T., </w:t>
      </w:r>
      <w:proofErr w:type="spellStart"/>
      <w:r w:rsidRPr="00996E36">
        <w:rPr>
          <w:rStyle w:val="CommentReference"/>
        </w:rPr>
        <w:t>Mangalmurti</w:t>
      </w:r>
      <w:proofErr w:type="spellEnd"/>
      <w:r w:rsidRPr="00996E36">
        <w:rPr>
          <w:rStyle w:val="CommentReference"/>
        </w:rPr>
        <w:t xml:space="preserve">, S., Nolte-Ernsting, C., </w:t>
      </w:r>
      <w:proofErr w:type="spellStart"/>
      <w:r w:rsidRPr="00996E36">
        <w:rPr>
          <w:rStyle w:val="CommentReference"/>
        </w:rPr>
        <w:t>Virmani</w:t>
      </w:r>
      <w:proofErr w:type="spellEnd"/>
      <w:r w:rsidRPr="00996E36">
        <w:rPr>
          <w:rStyle w:val="CommentReference"/>
        </w:rPr>
        <w:t>, R., Parikh, S. A., &amp; Gray, W. A. (2022). Intravascular Lithotripsy for Peripheral Artery Calcification: Mid-term Outcomes From the Randomized Disrupt PAD III Trial. Journal of the Society for Cardiovascular Angiography &amp; Interventions, 1(4).</w:t>
      </w:r>
    </w:p>
  </w:footnote>
  <w:footnote w:id="8">
    <w:p w14:paraId="190B47DE" w14:textId="77723A74" w:rsidR="00D77DB5" w:rsidRPr="00A05D1B" w:rsidRDefault="00D77DB5" w:rsidP="00996E36">
      <w:pPr>
        <w:pStyle w:val="FootnoteText"/>
        <w:jc w:val="both"/>
        <w:rPr>
          <w:rStyle w:val="CommentReference"/>
        </w:rPr>
      </w:pPr>
      <w:r>
        <w:rPr>
          <w:rStyle w:val="FootnoteReference"/>
        </w:rPr>
        <w:footnoteRef/>
      </w:r>
      <w:r>
        <w:t xml:space="preserve"> </w:t>
      </w:r>
      <w:proofErr w:type="spellStart"/>
      <w:r w:rsidRPr="00996E36">
        <w:rPr>
          <w:rStyle w:val="CommentReference"/>
        </w:rPr>
        <w:t>Shishehbor</w:t>
      </w:r>
      <w:proofErr w:type="spellEnd"/>
      <w:r w:rsidRPr="00996E36">
        <w:rPr>
          <w:rStyle w:val="CommentReference"/>
        </w:rPr>
        <w:t>, M.H., Powell, R.J., Montero‑Baker, M.F., Dua, A., Martínez‑</w:t>
      </w:r>
      <w:proofErr w:type="spellStart"/>
      <w:r w:rsidRPr="00996E36">
        <w:rPr>
          <w:rStyle w:val="CommentReference"/>
        </w:rPr>
        <w:t>Trabal</w:t>
      </w:r>
      <w:proofErr w:type="spellEnd"/>
      <w:r w:rsidRPr="00996E36">
        <w:rPr>
          <w:rStyle w:val="CommentReference"/>
        </w:rPr>
        <w:t xml:space="preserve">, J.L., </w:t>
      </w:r>
      <w:proofErr w:type="spellStart"/>
      <w:r w:rsidRPr="00996E36">
        <w:rPr>
          <w:rStyle w:val="CommentReference"/>
        </w:rPr>
        <w:t>Bunte</w:t>
      </w:r>
      <w:proofErr w:type="spellEnd"/>
      <w:r w:rsidRPr="00996E36">
        <w:rPr>
          <w:rStyle w:val="CommentReference"/>
        </w:rPr>
        <w:t xml:space="preserve">, M.C., Lee, A.C., </w:t>
      </w:r>
      <w:proofErr w:type="spellStart"/>
      <w:r w:rsidRPr="00996E36">
        <w:rPr>
          <w:rStyle w:val="CommentReference"/>
        </w:rPr>
        <w:t>Mugglin</w:t>
      </w:r>
      <w:proofErr w:type="spellEnd"/>
      <w:r w:rsidRPr="00996E36">
        <w:rPr>
          <w:rStyle w:val="CommentReference"/>
        </w:rPr>
        <w:t>, A.S., Mills, J.L., Farber, A. and Clair, D.G. (2023). Transcatheter arterialization of deep veins in chronic limb-threatening ischemia. New England Journal of Medicine, 388: 1171-80.</w:t>
      </w:r>
    </w:p>
  </w:footnote>
  <w:footnote w:id="9">
    <w:p w14:paraId="7AC0DF76" w14:textId="2EFC5D25" w:rsidR="00494174" w:rsidRDefault="00494174" w:rsidP="00A05D1B">
      <w:pPr>
        <w:pStyle w:val="FootnoteText"/>
      </w:pPr>
      <w:r>
        <w:rPr>
          <w:rStyle w:val="FootnoteReference"/>
        </w:rPr>
        <w:footnoteRef/>
      </w:r>
      <w:r>
        <w:t xml:space="preserve"> </w:t>
      </w:r>
      <w:r w:rsidRPr="00A05D1B">
        <w:rPr>
          <w:rStyle w:val="CommentReference"/>
        </w:rPr>
        <w:t>Wong, C. P., Chan, L. P., Au, D. M., Chan, H. W. C., &amp; Chan, Y. C. (2022). Efficacy and Safety of Intravascular Lithotripsy in Lower Extremity Peripheral Artery Disease: A Systematic Review and Meta-Analysis. European Journal of Vascular and Endovascular Surgery, 63(3), 446-456.</w:t>
      </w:r>
    </w:p>
  </w:footnote>
  <w:footnote w:id="10">
    <w:p w14:paraId="468F529A" w14:textId="7A9D9A7F" w:rsidR="0004238C" w:rsidRDefault="0004238C" w:rsidP="00A05D1B">
      <w:pPr>
        <w:pStyle w:val="FootnoteText"/>
        <w:jc w:val="both"/>
      </w:pPr>
      <w:r>
        <w:rPr>
          <w:rStyle w:val="FootnoteReference"/>
        </w:rPr>
        <w:footnoteRef/>
      </w:r>
      <w:r>
        <w:t xml:space="preserve"> </w:t>
      </w:r>
      <w:r w:rsidRPr="00A05D1B">
        <w:rPr>
          <w:rStyle w:val="CommentReference"/>
        </w:rPr>
        <w:t>Simpson, E., Kearns, B., Stevenson, M., Cantrell, A., Littlewood, C., &amp; Michaels, J. (2014). Enhancements to angioplasty for peripheral arterial occlusive disease: systematic review, cost-effectiveness assessment and expected value of information analysis. Health Technology Assessment, 18(10).</w:t>
      </w:r>
    </w:p>
  </w:footnote>
  <w:footnote w:id="11">
    <w:p w14:paraId="43B84AE7" w14:textId="36FD0428" w:rsidR="005833B4" w:rsidRDefault="005833B4" w:rsidP="00996E36">
      <w:pPr>
        <w:pStyle w:val="FootnoteText"/>
        <w:jc w:val="both"/>
      </w:pPr>
      <w:r>
        <w:rPr>
          <w:rStyle w:val="FootnoteReference"/>
        </w:rPr>
        <w:footnoteRef/>
      </w:r>
      <w:r>
        <w:t xml:space="preserve"> </w:t>
      </w:r>
      <w:proofErr w:type="spellStart"/>
      <w:r w:rsidRPr="00996E36">
        <w:rPr>
          <w:rStyle w:val="CommentReference"/>
        </w:rPr>
        <w:t>Sigvant</w:t>
      </w:r>
      <w:proofErr w:type="spellEnd"/>
      <w:r w:rsidRPr="00996E36">
        <w:rPr>
          <w:rStyle w:val="CommentReference"/>
        </w:rPr>
        <w:t xml:space="preserve">, B., Lundin, F., &amp; Wahlberg, E. (2016). The Risk of Disease Progression in Peripheral Arterial Disease is Higher than Expected: A Meta-Analysis of Mortality and Disease Progression in Peripheral Arterial Disease. </w:t>
      </w:r>
      <w:proofErr w:type="spellStart"/>
      <w:r w:rsidRPr="00996E36">
        <w:rPr>
          <w:rStyle w:val="CommentReference"/>
        </w:rPr>
        <w:t>Eur</w:t>
      </w:r>
      <w:proofErr w:type="spellEnd"/>
      <w:r w:rsidRPr="00996E36">
        <w:rPr>
          <w:rStyle w:val="CommentReference"/>
        </w:rPr>
        <w:t xml:space="preserve"> J </w:t>
      </w:r>
      <w:proofErr w:type="spellStart"/>
      <w:r w:rsidRPr="00996E36">
        <w:rPr>
          <w:rStyle w:val="CommentReference"/>
        </w:rPr>
        <w:t>Vasc</w:t>
      </w:r>
      <w:proofErr w:type="spellEnd"/>
      <w:r w:rsidRPr="00996E36">
        <w:rPr>
          <w:rStyle w:val="CommentReference"/>
        </w:rPr>
        <w:t xml:space="preserve"> </w:t>
      </w:r>
      <w:proofErr w:type="spellStart"/>
      <w:r w:rsidRPr="00996E36">
        <w:rPr>
          <w:rStyle w:val="CommentReference"/>
        </w:rPr>
        <w:t>Endovasc</w:t>
      </w:r>
      <w:proofErr w:type="spellEnd"/>
      <w:r w:rsidRPr="00996E36">
        <w:rPr>
          <w:rStyle w:val="CommentReference"/>
        </w:rPr>
        <w:t xml:space="preserve"> Surg, 51(3), 395-403.</w:t>
      </w:r>
      <w:r w:rsidRPr="005833B4">
        <w:t xml:space="preserve"> </w:t>
      </w:r>
    </w:p>
  </w:footnote>
  <w:footnote w:id="12">
    <w:p w14:paraId="5605EAA4" w14:textId="699B2614" w:rsidR="00D04B2D" w:rsidRPr="00A05D1B" w:rsidRDefault="00D04B2D" w:rsidP="00996E36">
      <w:pPr>
        <w:pStyle w:val="FootnoteText"/>
        <w:jc w:val="both"/>
        <w:rPr>
          <w:rStyle w:val="CommentReference"/>
        </w:rPr>
      </w:pPr>
      <w:r>
        <w:rPr>
          <w:rStyle w:val="FootnoteReference"/>
        </w:rPr>
        <w:footnoteRef/>
      </w:r>
      <w:r>
        <w:t xml:space="preserve"> </w:t>
      </w:r>
      <w:proofErr w:type="spellStart"/>
      <w:r w:rsidRPr="00996E36">
        <w:rPr>
          <w:rStyle w:val="CommentReference"/>
        </w:rPr>
        <w:t>Reijnen</w:t>
      </w:r>
      <w:proofErr w:type="spellEnd"/>
      <w:r w:rsidRPr="00996E36">
        <w:rPr>
          <w:rStyle w:val="CommentReference"/>
        </w:rPr>
        <w:t xml:space="preserve">, M. M. P. J., van </w:t>
      </w:r>
      <w:proofErr w:type="spellStart"/>
      <w:r w:rsidRPr="00996E36">
        <w:rPr>
          <w:rStyle w:val="CommentReference"/>
        </w:rPr>
        <w:t>Wijck</w:t>
      </w:r>
      <w:proofErr w:type="spellEnd"/>
      <w:r w:rsidRPr="00996E36">
        <w:rPr>
          <w:rStyle w:val="CommentReference"/>
        </w:rPr>
        <w:t xml:space="preserve">, I., Zeller, T., </w:t>
      </w:r>
      <w:proofErr w:type="spellStart"/>
      <w:r w:rsidRPr="00996E36">
        <w:rPr>
          <w:rStyle w:val="CommentReference"/>
        </w:rPr>
        <w:t>Micari</w:t>
      </w:r>
      <w:proofErr w:type="spellEnd"/>
      <w:r w:rsidRPr="00996E36">
        <w:rPr>
          <w:rStyle w:val="CommentReference"/>
        </w:rPr>
        <w:t xml:space="preserve">, A., </w:t>
      </w:r>
      <w:proofErr w:type="spellStart"/>
      <w:r w:rsidRPr="00996E36">
        <w:rPr>
          <w:rStyle w:val="CommentReference"/>
        </w:rPr>
        <w:t>Veroux</w:t>
      </w:r>
      <w:proofErr w:type="spellEnd"/>
      <w:r w:rsidRPr="00996E36">
        <w:rPr>
          <w:rStyle w:val="CommentReference"/>
        </w:rPr>
        <w:t xml:space="preserve">, P., </w:t>
      </w:r>
      <w:proofErr w:type="spellStart"/>
      <w:r w:rsidRPr="00996E36">
        <w:rPr>
          <w:rStyle w:val="CommentReference"/>
        </w:rPr>
        <w:t>Keirse</w:t>
      </w:r>
      <w:proofErr w:type="spellEnd"/>
      <w:r w:rsidRPr="00996E36">
        <w:rPr>
          <w:rStyle w:val="CommentReference"/>
        </w:rPr>
        <w:t xml:space="preserve">, K., </w:t>
      </w:r>
      <w:proofErr w:type="spellStart"/>
      <w:r w:rsidRPr="00996E36">
        <w:rPr>
          <w:rStyle w:val="CommentReference"/>
        </w:rPr>
        <w:t>Holewijn</w:t>
      </w:r>
      <w:proofErr w:type="spellEnd"/>
      <w:r w:rsidRPr="00996E36">
        <w:rPr>
          <w:rStyle w:val="CommentReference"/>
        </w:rPr>
        <w:t>, S. (2019). Outcomes After Drug-Coated Balloon Treatment of Femoropopliteal Lesions in Patients With Critical Limb Ischemia: A Post Hoc Analysis From the IN.PACT Global Study. Journal of Endovascular Therapy, 26(3), 305-315.</w:t>
      </w:r>
    </w:p>
  </w:footnote>
  <w:footnote w:id="13">
    <w:p w14:paraId="1E4710B6" w14:textId="597FAE1A" w:rsidR="001539B9" w:rsidRDefault="001539B9" w:rsidP="00996E36">
      <w:pPr>
        <w:pStyle w:val="FootnoteText"/>
        <w:jc w:val="both"/>
      </w:pPr>
      <w:r>
        <w:rPr>
          <w:rStyle w:val="FootnoteReference"/>
        </w:rPr>
        <w:footnoteRef/>
      </w:r>
      <w:r>
        <w:t xml:space="preserve"> </w:t>
      </w:r>
      <w:r w:rsidRPr="00996E36">
        <w:rPr>
          <w:rStyle w:val="CommentReference"/>
        </w:rPr>
        <w:t>Dua, A., &amp; Lee, C. J. (2016). Epidemiology of Peripheral Arterial Disease and Critical Limb Ischemia. Techniques in Vascular and Interventional Radiology, 19(2), 91-95.</w:t>
      </w:r>
    </w:p>
  </w:footnote>
  <w:footnote w:id="14">
    <w:p w14:paraId="170ED8B5" w14:textId="22345D83" w:rsidR="009231F9" w:rsidRDefault="009231F9" w:rsidP="00996E36">
      <w:pPr>
        <w:pStyle w:val="FootnoteText"/>
        <w:jc w:val="both"/>
      </w:pPr>
      <w:r>
        <w:rPr>
          <w:rStyle w:val="FootnoteReference"/>
        </w:rPr>
        <w:footnoteRef/>
      </w:r>
      <w:r>
        <w:t xml:space="preserve"> </w:t>
      </w:r>
      <w:r w:rsidRPr="00996E36">
        <w:rPr>
          <w:rStyle w:val="CommentReference"/>
        </w:rPr>
        <w:t xml:space="preserve">Clemens, S., Begum, N., Harper, C., Whitty, J. A., &amp; </w:t>
      </w:r>
      <w:proofErr w:type="spellStart"/>
      <w:r w:rsidRPr="00996E36">
        <w:rPr>
          <w:rStyle w:val="CommentReference"/>
        </w:rPr>
        <w:t>Scuffham</w:t>
      </w:r>
      <w:proofErr w:type="spellEnd"/>
      <w:r w:rsidRPr="00996E36">
        <w:rPr>
          <w:rStyle w:val="CommentReference"/>
        </w:rPr>
        <w:t>, P. A. (2014). A comparison of EQ-5D-3L population norms in Queensland, Australia, estimated using utility value sets from Australia, the UK and USA. Qual Life Res, 23(8), 2375-2381.</w:t>
      </w:r>
      <w:r w:rsidRPr="009231F9">
        <w:t xml:space="preserve"> </w:t>
      </w:r>
    </w:p>
  </w:footnote>
  <w:footnote w:id="15">
    <w:p w14:paraId="6FD5C5BA" w14:textId="20285E8E" w:rsidR="009231F9" w:rsidRDefault="009231F9" w:rsidP="00996E36">
      <w:pPr>
        <w:pStyle w:val="FootnoteText"/>
        <w:jc w:val="both"/>
      </w:pPr>
      <w:r>
        <w:rPr>
          <w:rStyle w:val="FootnoteReference"/>
        </w:rPr>
        <w:footnoteRef/>
      </w:r>
      <w:r>
        <w:t xml:space="preserve"> </w:t>
      </w:r>
      <w:proofErr w:type="spellStart"/>
      <w:r w:rsidRPr="00996E36">
        <w:rPr>
          <w:rStyle w:val="CommentReference"/>
        </w:rPr>
        <w:t>Sculpher</w:t>
      </w:r>
      <w:proofErr w:type="spellEnd"/>
      <w:r w:rsidRPr="00996E36">
        <w:rPr>
          <w:rStyle w:val="CommentReference"/>
        </w:rPr>
        <w:t>, M., Michaels, J., McKenna, M., &amp; Minor, J. (1996). A Cost-Utility Analysis of Laser-Assisted Angioplasty for Peripheral Arterial Occlusions. International Journal of Technology Assessment in Health Care, 12(1), 104-125.</w:t>
      </w:r>
    </w:p>
  </w:footnote>
  <w:footnote w:id="16">
    <w:p w14:paraId="43D43597" w14:textId="1EFE938F" w:rsidR="007437ED" w:rsidRDefault="007437ED" w:rsidP="00996E36">
      <w:pPr>
        <w:pStyle w:val="FootnoteText"/>
        <w:jc w:val="both"/>
      </w:pPr>
      <w:r>
        <w:rPr>
          <w:rStyle w:val="FootnoteReference"/>
        </w:rPr>
        <w:footnoteRef/>
      </w:r>
      <w:r>
        <w:t xml:space="preserve"> </w:t>
      </w:r>
      <w:proofErr w:type="spellStart"/>
      <w:r w:rsidRPr="00996E36">
        <w:rPr>
          <w:rStyle w:val="CommentReference"/>
        </w:rPr>
        <w:t>Venermo</w:t>
      </w:r>
      <w:proofErr w:type="spellEnd"/>
      <w:r w:rsidRPr="00996E36">
        <w:rPr>
          <w:rStyle w:val="CommentReference"/>
        </w:rPr>
        <w:t xml:space="preserve">, M., </w:t>
      </w:r>
      <w:proofErr w:type="spellStart"/>
      <w:r w:rsidRPr="00996E36">
        <w:rPr>
          <w:rStyle w:val="CommentReference"/>
        </w:rPr>
        <w:t>Sprynger</w:t>
      </w:r>
      <w:proofErr w:type="spellEnd"/>
      <w:r w:rsidRPr="00996E36">
        <w:rPr>
          <w:rStyle w:val="CommentReference"/>
        </w:rPr>
        <w:t xml:space="preserve">, M., </w:t>
      </w:r>
      <w:proofErr w:type="spellStart"/>
      <w:r w:rsidRPr="00996E36">
        <w:rPr>
          <w:rStyle w:val="CommentReference"/>
        </w:rPr>
        <w:t>Desormais</w:t>
      </w:r>
      <w:proofErr w:type="spellEnd"/>
      <w:r w:rsidRPr="00996E36">
        <w:rPr>
          <w:rStyle w:val="CommentReference"/>
        </w:rPr>
        <w:t xml:space="preserve">, I., </w:t>
      </w:r>
      <w:proofErr w:type="spellStart"/>
      <w:r w:rsidRPr="00996E36">
        <w:rPr>
          <w:rStyle w:val="CommentReference"/>
        </w:rPr>
        <w:t>Björck</w:t>
      </w:r>
      <w:proofErr w:type="spellEnd"/>
      <w:r w:rsidRPr="00996E36">
        <w:rPr>
          <w:rStyle w:val="CommentReference"/>
        </w:rPr>
        <w:t xml:space="preserve">, M., Brodmann, M., </w:t>
      </w:r>
      <w:proofErr w:type="spellStart"/>
      <w:r w:rsidRPr="00996E36">
        <w:rPr>
          <w:rStyle w:val="CommentReference"/>
        </w:rPr>
        <w:t>Cohnert</w:t>
      </w:r>
      <w:proofErr w:type="spellEnd"/>
      <w:r w:rsidRPr="00996E36">
        <w:rPr>
          <w:rStyle w:val="CommentReference"/>
        </w:rPr>
        <w:t xml:space="preserve">, T., </w:t>
      </w:r>
      <w:proofErr w:type="spellStart"/>
      <w:r w:rsidRPr="00996E36">
        <w:rPr>
          <w:rStyle w:val="CommentReference"/>
        </w:rPr>
        <w:t>Aboyans</w:t>
      </w:r>
      <w:proofErr w:type="spellEnd"/>
      <w:r w:rsidRPr="00996E36">
        <w:rPr>
          <w:rStyle w:val="CommentReference"/>
        </w:rPr>
        <w:t xml:space="preserve">, V. (2019). Follow-up of patients after revascularisation for peripheral arterial diseases: a consensus document from the European Society of Cardiology Working Group on Aorta and Peripheral Vascular Diseases and the European Society for Vascular Surgery. </w:t>
      </w:r>
      <w:proofErr w:type="spellStart"/>
      <w:r w:rsidRPr="00996E36">
        <w:rPr>
          <w:rStyle w:val="CommentReference"/>
        </w:rPr>
        <w:t>Eur</w:t>
      </w:r>
      <w:proofErr w:type="spellEnd"/>
      <w:r w:rsidRPr="00996E36">
        <w:rPr>
          <w:rStyle w:val="CommentReference"/>
        </w:rPr>
        <w:t xml:space="preserve"> J Prev </w:t>
      </w:r>
      <w:proofErr w:type="spellStart"/>
      <w:r w:rsidRPr="00996E36">
        <w:rPr>
          <w:rStyle w:val="CommentReference"/>
        </w:rPr>
        <w:t>Cardiol</w:t>
      </w:r>
      <w:proofErr w:type="spellEnd"/>
      <w:r w:rsidRPr="00996E36">
        <w:rPr>
          <w:rStyle w:val="CommentReference"/>
        </w:rPr>
        <w:t>, 26(18), 1971-1984.</w:t>
      </w:r>
    </w:p>
  </w:footnote>
  <w:footnote w:id="17">
    <w:p w14:paraId="69544E4E" w14:textId="77777777" w:rsidR="004041D6" w:rsidRDefault="004041D6" w:rsidP="004041D6">
      <w:pPr>
        <w:pStyle w:val="FootnoteText"/>
      </w:pPr>
      <w:r>
        <w:rPr>
          <w:rStyle w:val="FootnoteReference"/>
        </w:rPr>
        <w:footnoteRef/>
      </w:r>
      <w:r>
        <w:t xml:space="preserve"> </w:t>
      </w:r>
      <w:r w:rsidRPr="00A05D1B">
        <w:rPr>
          <w:rStyle w:val="CommentReference"/>
        </w:rPr>
        <w:t>Simpson, E., Kearns, B., Stevenson, M., Cantrell, A., Littlewood, C., &amp; Michaels, J. (2014). Enhancements to angioplasty for peripheral arterial occlusive disease: systematic review, cost-effectiveness assessment and expected value of information analysis. Health Technology Assessment, 18(10</w:t>
      </w:r>
      <w:r>
        <w:rPr>
          <w:rStyle w:val="CommentReference"/>
        </w:rPr>
        <w:t xml:space="preserve">). </w:t>
      </w:r>
    </w:p>
  </w:footnote>
  <w:footnote w:id="18">
    <w:p w14:paraId="624D08A2" w14:textId="77777777" w:rsidR="004041D6" w:rsidRDefault="004041D6" w:rsidP="004041D6">
      <w:pPr>
        <w:pStyle w:val="FootnoteText"/>
      </w:pPr>
      <w:r>
        <w:rPr>
          <w:rStyle w:val="FootnoteReference"/>
        </w:rPr>
        <w:footnoteRef/>
      </w:r>
      <w:proofErr w:type="spellStart"/>
      <w:r>
        <w:t>Vedani</w:t>
      </w:r>
      <w:proofErr w:type="spellEnd"/>
      <w:r>
        <w:t xml:space="preserve"> et al. (2023). </w:t>
      </w:r>
      <w:hyperlink r:id="rId1" w:history="1">
        <w:r w:rsidRPr="006F5541">
          <w:rPr>
            <w:rStyle w:val="Hyperlink"/>
          </w:rPr>
          <w:t>Intravascular lithotripsy: a powerful tool to treat peripheral artery calcifications</w:t>
        </w:r>
      </w:hyperlink>
      <w:r>
        <w:t xml:space="preserve">. </w:t>
      </w:r>
      <w:r w:rsidRPr="006F5541">
        <w:rPr>
          <w:i/>
          <w:iCs/>
        </w:rPr>
        <w:t>J Cardiovasc Surg (Torino)</w:t>
      </w:r>
      <w:r>
        <w:t xml:space="preserve"> 64(4):406–12.</w:t>
      </w:r>
    </w:p>
  </w:footnote>
  <w:footnote w:id="19">
    <w:p w14:paraId="40512A2F" w14:textId="77777777" w:rsidR="004041D6" w:rsidRDefault="004041D6" w:rsidP="004041D6">
      <w:pPr>
        <w:pStyle w:val="FootnoteText"/>
      </w:pPr>
      <w:r>
        <w:rPr>
          <w:rStyle w:val="FootnoteReference"/>
        </w:rPr>
        <w:footnoteRef/>
      </w:r>
      <w:r>
        <w:t xml:space="preserve"> </w:t>
      </w:r>
      <w:r w:rsidRPr="00A05D1B">
        <w:rPr>
          <w:rStyle w:val="CommentReference"/>
        </w:rPr>
        <w:t>Simpson, E., Kearns, B., Stevenson, M., Cantrell, A., Littlewood, C., &amp; Michaels, J. (2014). Enhancements to angioplasty for peripheral arterial occlusive disease: systematic review, cost-effectiveness assessment and expected value of information analysis. Health Technology Assessment, 18(10</w:t>
      </w:r>
      <w:r>
        <w:rPr>
          <w:rStyle w:val="CommentReferenc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C034" w14:textId="77777777" w:rsidR="005C044C" w:rsidRDefault="005C0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2338" w14:textId="77777777" w:rsidR="005C044C" w:rsidRDefault="005C0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9411" w14:textId="77777777" w:rsidR="005C044C" w:rsidRDefault="005C0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56F"/>
    <w:multiLevelType w:val="hybridMultilevel"/>
    <w:tmpl w:val="6BC035C4"/>
    <w:lvl w:ilvl="0" w:tplc="FB942214">
      <w:start w:val="1"/>
      <w:numFmt w:val="bullet"/>
      <w:pStyle w:val="Bullet"/>
      <w:lvlText w:val=""/>
      <w:lvlJc w:val="left"/>
      <w:pPr>
        <w:ind w:left="428" w:hanging="360"/>
      </w:pPr>
      <w:rPr>
        <w:rFonts w:ascii="Symbol" w:hAnsi="Symbol" w:hint="default"/>
      </w:rPr>
    </w:lvl>
    <w:lvl w:ilvl="1" w:tplc="0C090003">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 w15:restartNumberingAfterBreak="0">
    <w:nsid w:val="103626C3"/>
    <w:multiLevelType w:val="hybridMultilevel"/>
    <w:tmpl w:val="1B48E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6198B"/>
    <w:multiLevelType w:val="hybridMultilevel"/>
    <w:tmpl w:val="64408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4B2286"/>
    <w:multiLevelType w:val="hybridMultilevel"/>
    <w:tmpl w:val="A0F67720"/>
    <w:lvl w:ilvl="0" w:tplc="1840AA40">
      <w:start w:val="8"/>
      <w:numFmt w:val="bullet"/>
      <w:lvlText w:val="-"/>
      <w:lvlJc w:val="left"/>
      <w:pPr>
        <w:ind w:left="1080" w:hanging="360"/>
      </w:pPr>
      <w:rPr>
        <w:rFonts w:ascii="Franklin Gothic Book" w:eastAsiaTheme="minorHAnsi" w:hAnsi="Franklin Gothic Book"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852D2C"/>
    <w:multiLevelType w:val="hybridMultilevel"/>
    <w:tmpl w:val="04A8E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AC5572"/>
    <w:multiLevelType w:val="hybridMultilevel"/>
    <w:tmpl w:val="BAA4A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8"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FC0"/>
    <w:multiLevelType w:val="hybridMultilevel"/>
    <w:tmpl w:val="228EE2B8"/>
    <w:lvl w:ilvl="0" w:tplc="7EC023C8">
      <w:start w:val="8"/>
      <w:numFmt w:val="bullet"/>
      <w:lvlText w:val="-"/>
      <w:lvlJc w:val="left"/>
      <w:pPr>
        <w:ind w:left="1080" w:hanging="360"/>
      </w:pPr>
      <w:rPr>
        <w:rFonts w:ascii="Franklin Gothic Book" w:eastAsiaTheme="minorHAnsi" w:hAnsi="Franklin Gothic Book"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CC716FA"/>
    <w:multiLevelType w:val="hybridMultilevel"/>
    <w:tmpl w:val="657476AE"/>
    <w:lvl w:ilvl="0" w:tplc="89D8C3A0">
      <w:start w:val="1"/>
      <w:numFmt w:val="bullet"/>
      <w:lvlText w:val=""/>
      <w:lvlJc w:val="left"/>
      <w:pPr>
        <w:ind w:left="1440" w:hanging="360"/>
      </w:pPr>
      <w:rPr>
        <w:rFonts w:ascii="Symbol" w:hAnsi="Symbol"/>
      </w:rPr>
    </w:lvl>
    <w:lvl w:ilvl="1" w:tplc="7850091C">
      <w:start w:val="1"/>
      <w:numFmt w:val="bullet"/>
      <w:lvlText w:val=""/>
      <w:lvlJc w:val="left"/>
      <w:pPr>
        <w:ind w:left="1440" w:hanging="360"/>
      </w:pPr>
      <w:rPr>
        <w:rFonts w:ascii="Symbol" w:hAnsi="Symbol"/>
      </w:rPr>
    </w:lvl>
    <w:lvl w:ilvl="2" w:tplc="E1FCFA8C">
      <w:start w:val="1"/>
      <w:numFmt w:val="bullet"/>
      <w:lvlText w:val=""/>
      <w:lvlJc w:val="left"/>
      <w:pPr>
        <w:ind w:left="1440" w:hanging="360"/>
      </w:pPr>
      <w:rPr>
        <w:rFonts w:ascii="Symbol" w:hAnsi="Symbol"/>
      </w:rPr>
    </w:lvl>
    <w:lvl w:ilvl="3" w:tplc="8CA8B366">
      <w:start w:val="1"/>
      <w:numFmt w:val="bullet"/>
      <w:lvlText w:val=""/>
      <w:lvlJc w:val="left"/>
      <w:pPr>
        <w:ind w:left="1440" w:hanging="360"/>
      </w:pPr>
      <w:rPr>
        <w:rFonts w:ascii="Symbol" w:hAnsi="Symbol"/>
      </w:rPr>
    </w:lvl>
    <w:lvl w:ilvl="4" w:tplc="C5D86BFA">
      <w:start w:val="1"/>
      <w:numFmt w:val="bullet"/>
      <w:lvlText w:val=""/>
      <w:lvlJc w:val="left"/>
      <w:pPr>
        <w:ind w:left="1440" w:hanging="360"/>
      </w:pPr>
      <w:rPr>
        <w:rFonts w:ascii="Symbol" w:hAnsi="Symbol"/>
      </w:rPr>
    </w:lvl>
    <w:lvl w:ilvl="5" w:tplc="F2BA6990">
      <w:start w:val="1"/>
      <w:numFmt w:val="bullet"/>
      <w:lvlText w:val=""/>
      <w:lvlJc w:val="left"/>
      <w:pPr>
        <w:ind w:left="1440" w:hanging="360"/>
      </w:pPr>
      <w:rPr>
        <w:rFonts w:ascii="Symbol" w:hAnsi="Symbol"/>
      </w:rPr>
    </w:lvl>
    <w:lvl w:ilvl="6" w:tplc="4E08FFC2">
      <w:start w:val="1"/>
      <w:numFmt w:val="bullet"/>
      <w:lvlText w:val=""/>
      <w:lvlJc w:val="left"/>
      <w:pPr>
        <w:ind w:left="1440" w:hanging="360"/>
      </w:pPr>
      <w:rPr>
        <w:rFonts w:ascii="Symbol" w:hAnsi="Symbol"/>
      </w:rPr>
    </w:lvl>
    <w:lvl w:ilvl="7" w:tplc="686217A8">
      <w:start w:val="1"/>
      <w:numFmt w:val="bullet"/>
      <w:lvlText w:val=""/>
      <w:lvlJc w:val="left"/>
      <w:pPr>
        <w:ind w:left="1440" w:hanging="360"/>
      </w:pPr>
      <w:rPr>
        <w:rFonts w:ascii="Symbol" w:hAnsi="Symbol"/>
      </w:rPr>
    </w:lvl>
    <w:lvl w:ilvl="8" w:tplc="CDD05276">
      <w:start w:val="1"/>
      <w:numFmt w:val="bullet"/>
      <w:lvlText w:val=""/>
      <w:lvlJc w:val="left"/>
      <w:pPr>
        <w:ind w:left="1440" w:hanging="360"/>
      </w:pPr>
      <w:rPr>
        <w:rFonts w:ascii="Symbol" w:hAnsi="Symbol"/>
      </w:rPr>
    </w:lvl>
  </w:abstractNum>
  <w:abstractNum w:abstractNumId="12"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D906EAA"/>
    <w:multiLevelType w:val="hybridMultilevel"/>
    <w:tmpl w:val="71207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8451994"/>
    <w:multiLevelType w:val="hybridMultilevel"/>
    <w:tmpl w:val="F752BB8A"/>
    <w:lvl w:ilvl="0" w:tplc="1F26730E">
      <w:start w:val="1"/>
      <w:numFmt w:val="bullet"/>
      <w:lvlText w:val=""/>
      <w:lvlJc w:val="left"/>
      <w:pPr>
        <w:ind w:left="1420" w:hanging="360"/>
      </w:pPr>
      <w:rPr>
        <w:rFonts w:ascii="Symbol" w:hAnsi="Symbol"/>
      </w:rPr>
    </w:lvl>
    <w:lvl w:ilvl="1" w:tplc="6264EF78">
      <w:start w:val="1"/>
      <w:numFmt w:val="bullet"/>
      <w:lvlText w:val=""/>
      <w:lvlJc w:val="left"/>
      <w:pPr>
        <w:ind w:left="1420" w:hanging="360"/>
      </w:pPr>
      <w:rPr>
        <w:rFonts w:ascii="Symbol" w:hAnsi="Symbol"/>
      </w:rPr>
    </w:lvl>
    <w:lvl w:ilvl="2" w:tplc="885A890C">
      <w:start w:val="1"/>
      <w:numFmt w:val="bullet"/>
      <w:lvlText w:val=""/>
      <w:lvlJc w:val="left"/>
      <w:pPr>
        <w:ind w:left="1420" w:hanging="360"/>
      </w:pPr>
      <w:rPr>
        <w:rFonts w:ascii="Symbol" w:hAnsi="Symbol"/>
      </w:rPr>
    </w:lvl>
    <w:lvl w:ilvl="3" w:tplc="FA148BF2">
      <w:start w:val="1"/>
      <w:numFmt w:val="bullet"/>
      <w:lvlText w:val=""/>
      <w:lvlJc w:val="left"/>
      <w:pPr>
        <w:ind w:left="1420" w:hanging="360"/>
      </w:pPr>
      <w:rPr>
        <w:rFonts w:ascii="Symbol" w:hAnsi="Symbol"/>
      </w:rPr>
    </w:lvl>
    <w:lvl w:ilvl="4" w:tplc="482AF1A0">
      <w:start w:val="1"/>
      <w:numFmt w:val="bullet"/>
      <w:lvlText w:val=""/>
      <w:lvlJc w:val="left"/>
      <w:pPr>
        <w:ind w:left="1420" w:hanging="360"/>
      </w:pPr>
      <w:rPr>
        <w:rFonts w:ascii="Symbol" w:hAnsi="Symbol"/>
      </w:rPr>
    </w:lvl>
    <w:lvl w:ilvl="5" w:tplc="3E00ECC2">
      <w:start w:val="1"/>
      <w:numFmt w:val="bullet"/>
      <w:lvlText w:val=""/>
      <w:lvlJc w:val="left"/>
      <w:pPr>
        <w:ind w:left="1420" w:hanging="360"/>
      </w:pPr>
      <w:rPr>
        <w:rFonts w:ascii="Symbol" w:hAnsi="Symbol"/>
      </w:rPr>
    </w:lvl>
    <w:lvl w:ilvl="6" w:tplc="72E06206">
      <w:start w:val="1"/>
      <w:numFmt w:val="bullet"/>
      <w:lvlText w:val=""/>
      <w:lvlJc w:val="left"/>
      <w:pPr>
        <w:ind w:left="1420" w:hanging="360"/>
      </w:pPr>
      <w:rPr>
        <w:rFonts w:ascii="Symbol" w:hAnsi="Symbol"/>
      </w:rPr>
    </w:lvl>
    <w:lvl w:ilvl="7" w:tplc="E00AA2C6">
      <w:start w:val="1"/>
      <w:numFmt w:val="bullet"/>
      <w:lvlText w:val=""/>
      <w:lvlJc w:val="left"/>
      <w:pPr>
        <w:ind w:left="1420" w:hanging="360"/>
      </w:pPr>
      <w:rPr>
        <w:rFonts w:ascii="Symbol" w:hAnsi="Symbol"/>
      </w:rPr>
    </w:lvl>
    <w:lvl w:ilvl="8" w:tplc="11F669A2">
      <w:start w:val="1"/>
      <w:numFmt w:val="bullet"/>
      <w:lvlText w:val=""/>
      <w:lvlJc w:val="left"/>
      <w:pPr>
        <w:ind w:left="1420" w:hanging="360"/>
      </w:pPr>
      <w:rPr>
        <w:rFonts w:ascii="Symbol" w:hAnsi="Symbol"/>
      </w:rPr>
    </w:lvl>
  </w:abstractNum>
  <w:abstractNum w:abstractNumId="18" w15:restartNumberingAfterBreak="0">
    <w:nsid w:val="59B82FA7"/>
    <w:multiLevelType w:val="hybridMultilevel"/>
    <w:tmpl w:val="D236E86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5DE60B46"/>
    <w:multiLevelType w:val="hybridMultilevel"/>
    <w:tmpl w:val="411E6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D826359"/>
    <w:multiLevelType w:val="hybridMultilevel"/>
    <w:tmpl w:val="1DAEE4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2131D8"/>
    <w:multiLevelType w:val="hybridMultilevel"/>
    <w:tmpl w:val="17BE28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7F2208"/>
    <w:multiLevelType w:val="hybridMultilevel"/>
    <w:tmpl w:val="7CF06AD8"/>
    <w:lvl w:ilvl="0" w:tplc="439AFFE6">
      <w:start w:val="1"/>
      <w:numFmt w:val="bullet"/>
      <w:lvlText w:val=""/>
      <w:lvlJc w:val="left"/>
      <w:pPr>
        <w:ind w:left="1440" w:hanging="360"/>
      </w:pPr>
      <w:rPr>
        <w:rFonts w:ascii="Symbol" w:hAnsi="Symbol"/>
      </w:rPr>
    </w:lvl>
    <w:lvl w:ilvl="1" w:tplc="CACA24EC">
      <w:start w:val="1"/>
      <w:numFmt w:val="bullet"/>
      <w:lvlText w:val=""/>
      <w:lvlJc w:val="left"/>
      <w:pPr>
        <w:ind w:left="1440" w:hanging="360"/>
      </w:pPr>
      <w:rPr>
        <w:rFonts w:ascii="Symbol" w:hAnsi="Symbol"/>
      </w:rPr>
    </w:lvl>
    <w:lvl w:ilvl="2" w:tplc="F62EE050">
      <w:start w:val="1"/>
      <w:numFmt w:val="bullet"/>
      <w:lvlText w:val=""/>
      <w:lvlJc w:val="left"/>
      <w:pPr>
        <w:ind w:left="1440" w:hanging="360"/>
      </w:pPr>
      <w:rPr>
        <w:rFonts w:ascii="Symbol" w:hAnsi="Symbol"/>
      </w:rPr>
    </w:lvl>
    <w:lvl w:ilvl="3" w:tplc="1018CA4C">
      <w:start w:val="1"/>
      <w:numFmt w:val="bullet"/>
      <w:lvlText w:val=""/>
      <w:lvlJc w:val="left"/>
      <w:pPr>
        <w:ind w:left="1440" w:hanging="360"/>
      </w:pPr>
      <w:rPr>
        <w:rFonts w:ascii="Symbol" w:hAnsi="Symbol"/>
      </w:rPr>
    </w:lvl>
    <w:lvl w:ilvl="4" w:tplc="6E52A580">
      <w:start w:val="1"/>
      <w:numFmt w:val="bullet"/>
      <w:lvlText w:val=""/>
      <w:lvlJc w:val="left"/>
      <w:pPr>
        <w:ind w:left="1440" w:hanging="360"/>
      </w:pPr>
      <w:rPr>
        <w:rFonts w:ascii="Symbol" w:hAnsi="Symbol"/>
      </w:rPr>
    </w:lvl>
    <w:lvl w:ilvl="5" w:tplc="CDB2B77E">
      <w:start w:val="1"/>
      <w:numFmt w:val="bullet"/>
      <w:lvlText w:val=""/>
      <w:lvlJc w:val="left"/>
      <w:pPr>
        <w:ind w:left="1440" w:hanging="360"/>
      </w:pPr>
      <w:rPr>
        <w:rFonts w:ascii="Symbol" w:hAnsi="Symbol"/>
      </w:rPr>
    </w:lvl>
    <w:lvl w:ilvl="6" w:tplc="1352B862">
      <w:start w:val="1"/>
      <w:numFmt w:val="bullet"/>
      <w:lvlText w:val=""/>
      <w:lvlJc w:val="left"/>
      <w:pPr>
        <w:ind w:left="1440" w:hanging="360"/>
      </w:pPr>
      <w:rPr>
        <w:rFonts w:ascii="Symbol" w:hAnsi="Symbol"/>
      </w:rPr>
    </w:lvl>
    <w:lvl w:ilvl="7" w:tplc="35CEA6CA">
      <w:start w:val="1"/>
      <w:numFmt w:val="bullet"/>
      <w:lvlText w:val=""/>
      <w:lvlJc w:val="left"/>
      <w:pPr>
        <w:ind w:left="1440" w:hanging="360"/>
      </w:pPr>
      <w:rPr>
        <w:rFonts w:ascii="Symbol" w:hAnsi="Symbol"/>
      </w:rPr>
    </w:lvl>
    <w:lvl w:ilvl="8" w:tplc="FEA49CF2">
      <w:start w:val="1"/>
      <w:numFmt w:val="bullet"/>
      <w:lvlText w:val=""/>
      <w:lvlJc w:val="left"/>
      <w:pPr>
        <w:ind w:left="1440" w:hanging="360"/>
      </w:pPr>
      <w:rPr>
        <w:rFonts w:ascii="Symbol" w:hAnsi="Symbol"/>
      </w:rPr>
    </w:lvl>
  </w:abstractNum>
  <w:abstractNum w:abstractNumId="2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5A5C5A"/>
    <w:multiLevelType w:val="hybridMultilevel"/>
    <w:tmpl w:val="473425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503E8C"/>
    <w:multiLevelType w:val="hybridMultilevel"/>
    <w:tmpl w:val="70784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558596023">
    <w:abstractNumId w:val="13"/>
  </w:num>
  <w:num w:numId="2" w16cid:durableId="606161034">
    <w:abstractNumId w:val="27"/>
  </w:num>
  <w:num w:numId="3" w16cid:durableId="1362053445">
    <w:abstractNumId w:val="0"/>
  </w:num>
  <w:num w:numId="4" w16cid:durableId="1209102899">
    <w:abstractNumId w:val="7"/>
  </w:num>
  <w:num w:numId="5" w16cid:durableId="1019040682">
    <w:abstractNumId w:val="23"/>
  </w:num>
  <w:num w:numId="6" w16cid:durableId="730926139">
    <w:abstractNumId w:val="8"/>
  </w:num>
  <w:num w:numId="7" w16cid:durableId="639655141">
    <w:abstractNumId w:val="10"/>
  </w:num>
  <w:num w:numId="8" w16cid:durableId="1193880856">
    <w:abstractNumId w:val="12"/>
  </w:num>
  <w:num w:numId="9" w16cid:durableId="165707036">
    <w:abstractNumId w:val="16"/>
  </w:num>
  <w:num w:numId="10" w16cid:durableId="1869222835">
    <w:abstractNumId w:val="3"/>
  </w:num>
  <w:num w:numId="11" w16cid:durableId="2061587732">
    <w:abstractNumId w:val="25"/>
  </w:num>
  <w:num w:numId="12" w16cid:durableId="319965839">
    <w:abstractNumId w:val="1"/>
  </w:num>
  <w:num w:numId="13" w16cid:durableId="171072332">
    <w:abstractNumId w:val="9"/>
  </w:num>
  <w:num w:numId="14" w16cid:durableId="954873078">
    <w:abstractNumId w:val="4"/>
  </w:num>
  <w:num w:numId="15" w16cid:durableId="1414400674">
    <w:abstractNumId w:val="6"/>
  </w:num>
  <w:num w:numId="16" w16cid:durableId="1051148967">
    <w:abstractNumId w:val="22"/>
  </w:num>
  <w:num w:numId="17" w16cid:durableId="1931304784">
    <w:abstractNumId w:val="11"/>
  </w:num>
  <w:num w:numId="18" w16cid:durableId="2139954568">
    <w:abstractNumId w:val="17"/>
  </w:num>
  <w:num w:numId="19" w16cid:durableId="2113088193">
    <w:abstractNumId w:val="15"/>
  </w:num>
  <w:num w:numId="20" w16cid:durableId="2088139752">
    <w:abstractNumId w:val="18"/>
  </w:num>
  <w:num w:numId="21" w16cid:durableId="863053366">
    <w:abstractNumId w:val="5"/>
  </w:num>
  <w:num w:numId="22" w16cid:durableId="1497720140">
    <w:abstractNumId w:val="19"/>
  </w:num>
  <w:num w:numId="23" w16cid:durableId="508830588">
    <w:abstractNumId w:val="26"/>
  </w:num>
  <w:num w:numId="24" w16cid:durableId="1598755648">
    <w:abstractNumId w:val="24"/>
  </w:num>
  <w:num w:numId="25" w16cid:durableId="779956971">
    <w:abstractNumId w:val="2"/>
  </w:num>
  <w:num w:numId="26" w16cid:durableId="686832984">
    <w:abstractNumId w:val="21"/>
  </w:num>
  <w:num w:numId="27" w16cid:durableId="1184905825">
    <w:abstractNumId w:val="13"/>
  </w:num>
  <w:num w:numId="28" w16cid:durableId="1427339803">
    <w:abstractNumId w:val="13"/>
  </w:num>
  <w:num w:numId="29" w16cid:durableId="1329403823">
    <w:abstractNumId w:val="13"/>
  </w:num>
  <w:num w:numId="30" w16cid:durableId="1559972680">
    <w:abstractNumId w:val="13"/>
  </w:num>
  <w:num w:numId="31" w16cid:durableId="1673530946">
    <w:abstractNumId w:val="14"/>
  </w:num>
  <w:num w:numId="32" w16cid:durableId="4269735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W0NDW3NLU0MLUwsDRR0lEKTi0uzszPAykwNqwFAPv2q/4tAAAA"/>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8157F1"/>
    <w:rsid w:val="0000109A"/>
    <w:rsid w:val="0000163D"/>
    <w:rsid w:val="00001868"/>
    <w:rsid w:val="000018C4"/>
    <w:rsid w:val="00001A3B"/>
    <w:rsid w:val="00001AE6"/>
    <w:rsid w:val="00001D55"/>
    <w:rsid w:val="000037FC"/>
    <w:rsid w:val="00004720"/>
    <w:rsid w:val="00004D69"/>
    <w:rsid w:val="00004F7F"/>
    <w:rsid w:val="000054C9"/>
    <w:rsid w:val="00005BCB"/>
    <w:rsid w:val="0000637B"/>
    <w:rsid w:val="00007EE1"/>
    <w:rsid w:val="00011568"/>
    <w:rsid w:val="00011EB3"/>
    <w:rsid w:val="00012703"/>
    <w:rsid w:val="00012C8A"/>
    <w:rsid w:val="00014356"/>
    <w:rsid w:val="00014510"/>
    <w:rsid w:val="00014974"/>
    <w:rsid w:val="00014F0D"/>
    <w:rsid w:val="000154FD"/>
    <w:rsid w:val="00015CE8"/>
    <w:rsid w:val="000168DB"/>
    <w:rsid w:val="00017E46"/>
    <w:rsid w:val="00020F22"/>
    <w:rsid w:val="00022737"/>
    <w:rsid w:val="0002273D"/>
    <w:rsid w:val="000228B8"/>
    <w:rsid w:val="00022FFC"/>
    <w:rsid w:val="0002381B"/>
    <w:rsid w:val="00023ABE"/>
    <w:rsid w:val="00024EA5"/>
    <w:rsid w:val="000261CE"/>
    <w:rsid w:val="0002662C"/>
    <w:rsid w:val="00026F3C"/>
    <w:rsid w:val="00026FD5"/>
    <w:rsid w:val="00027060"/>
    <w:rsid w:val="0002755F"/>
    <w:rsid w:val="000277B3"/>
    <w:rsid w:val="000309AD"/>
    <w:rsid w:val="00030A5F"/>
    <w:rsid w:val="00031DBE"/>
    <w:rsid w:val="000322FF"/>
    <w:rsid w:val="00032F48"/>
    <w:rsid w:val="0003322D"/>
    <w:rsid w:val="0003423A"/>
    <w:rsid w:val="000346F7"/>
    <w:rsid w:val="0003477F"/>
    <w:rsid w:val="0003614E"/>
    <w:rsid w:val="000363B2"/>
    <w:rsid w:val="00036AD8"/>
    <w:rsid w:val="00036B27"/>
    <w:rsid w:val="00037037"/>
    <w:rsid w:val="00037302"/>
    <w:rsid w:val="00037B97"/>
    <w:rsid w:val="00037DC9"/>
    <w:rsid w:val="0004005D"/>
    <w:rsid w:val="00040ADF"/>
    <w:rsid w:val="00040FB4"/>
    <w:rsid w:val="000411CC"/>
    <w:rsid w:val="0004178C"/>
    <w:rsid w:val="00041F5D"/>
    <w:rsid w:val="0004238C"/>
    <w:rsid w:val="0004289B"/>
    <w:rsid w:val="00042B6C"/>
    <w:rsid w:val="000433F1"/>
    <w:rsid w:val="000443A6"/>
    <w:rsid w:val="000449D1"/>
    <w:rsid w:val="00044AE7"/>
    <w:rsid w:val="00044DB3"/>
    <w:rsid w:val="00045B8D"/>
    <w:rsid w:val="00045CC5"/>
    <w:rsid w:val="00045F3F"/>
    <w:rsid w:val="00046041"/>
    <w:rsid w:val="0004622C"/>
    <w:rsid w:val="00046A56"/>
    <w:rsid w:val="00046B6A"/>
    <w:rsid w:val="000472D4"/>
    <w:rsid w:val="00051FF9"/>
    <w:rsid w:val="00052C09"/>
    <w:rsid w:val="00052DB7"/>
    <w:rsid w:val="00052DD3"/>
    <w:rsid w:val="0005326D"/>
    <w:rsid w:val="00053C18"/>
    <w:rsid w:val="00053F6C"/>
    <w:rsid w:val="00055175"/>
    <w:rsid w:val="00055806"/>
    <w:rsid w:val="0006050A"/>
    <w:rsid w:val="00060751"/>
    <w:rsid w:val="00060763"/>
    <w:rsid w:val="00060A80"/>
    <w:rsid w:val="0006103E"/>
    <w:rsid w:val="000628F6"/>
    <w:rsid w:val="0006326F"/>
    <w:rsid w:val="0006339C"/>
    <w:rsid w:val="00063FBF"/>
    <w:rsid w:val="00064783"/>
    <w:rsid w:val="000647C2"/>
    <w:rsid w:val="000648C7"/>
    <w:rsid w:val="00066174"/>
    <w:rsid w:val="00066501"/>
    <w:rsid w:val="00066C5C"/>
    <w:rsid w:val="00067864"/>
    <w:rsid w:val="00067E36"/>
    <w:rsid w:val="00070043"/>
    <w:rsid w:val="0007021F"/>
    <w:rsid w:val="000709A0"/>
    <w:rsid w:val="00071886"/>
    <w:rsid w:val="00074199"/>
    <w:rsid w:val="000759FF"/>
    <w:rsid w:val="00075A10"/>
    <w:rsid w:val="00080241"/>
    <w:rsid w:val="00081778"/>
    <w:rsid w:val="0008480B"/>
    <w:rsid w:val="000849CE"/>
    <w:rsid w:val="00085FFB"/>
    <w:rsid w:val="000863E8"/>
    <w:rsid w:val="000870B6"/>
    <w:rsid w:val="000901D2"/>
    <w:rsid w:val="000905A5"/>
    <w:rsid w:val="00090613"/>
    <w:rsid w:val="000906B1"/>
    <w:rsid w:val="00090BD1"/>
    <w:rsid w:val="00091857"/>
    <w:rsid w:val="0009191F"/>
    <w:rsid w:val="00091C59"/>
    <w:rsid w:val="00092A21"/>
    <w:rsid w:val="00092C63"/>
    <w:rsid w:val="000938A6"/>
    <w:rsid w:val="00093B55"/>
    <w:rsid w:val="00093D9A"/>
    <w:rsid w:val="00094656"/>
    <w:rsid w:val="000962EF"/>
    <w:rsid w:val="00096881"/>
    <w:rsid w:val="00096B52"/>
    <w:rsid w:val="000A10BF"/>
    <w:rsid w:val="000A22D0"/>
    <w:rsid w:val="000A280B"/>
    <w:rsid w:val="000A2ACD"/>
    <w:rsid w:val="000A2B65"/>
    <w:rsid w:val="000A2C53"/>
    <w:rsid w:val="000A2DA8"/>
    <w:rsid w:val="000A388E"/>
    <w:rsid w:val="000A5C47"/>
    <w:rsid w:val="000A629E"/>
    <w:rsid w:val="000A6B30"/>
    <w:rsid w:val="000A77F6"/>
    <w:rsid w:val="000B062C"/>
    <w:rsid w:val="000B2E64"/>
    <w:rsid w:val="000B3127"/>
    <w:rsid w:val="000B3330"/>
    <w:rsid w:val="000B5218"/>
    <w:rsid w:val="000B52A4"/>
    <w:rsid w:val="000B6039"/>
    <w:rsid w:val="000B6CF0"/>
    <w:rsid w:val="000B6EEC"/>
    <w:rsid w:val="000B720C"/>
    <w:rsid w:val="000B7665"/>
    <w:rsid w:val="000C03FE"/>
    <w:rsid w:val="000C092D"/>
    <w:rsid w:val="000C17CC"/>
    <w:rsid w:val="000C2675"/>
    <w:rsid w:val="000C2D4A"/>
    <w:rsid w:val="000C3635"/>
    <w:rsid w:val="000C3A5A"/>
    <w:rsid w:val="000C4141"/>
    <w:rsid w:val="000C4528"/>
    <w:rsid w:val="000C4797"/>
    <w:rsid w:val="000C47B4"/>
    <w:rsid w:val="000C5956"/>
    <w:rsid w:val="000C6399"/>
    <w:rsid w:val="000C71F5"/>
    <w:rsid w:val="000C7C46"/>
    <w:rsid w:val="000D09D0"/>
    <w:rsid w:val="000D1419"/>
    <w:rsid w:val="000D1B52"/>
    <w:rsid w:val="000D3842"/>
    <w:rsid w:val="000D3D9C"/>
    <w:rsid w:val="000D46AE"/>
    <w:rsid w:val="000D4C1B"/>
    <w:rsid w:val="000D5523"/>
    <w:rsid w:val="000D5759"/>
    <w:rsid w:val="000D6081"/>
    <w:rsid w:val="000D66BA"/>
    <w:rsid w:val="000D6983"/>
    <w:rsid w:val="000D6D3D"/>
    <w:rsid w:val="000E03DC"/>
    <w:rsid w:val="000E1124"/>
    <w:rsid w:val="000E2681"/>
    <w:rsid w:val="000E2FD6"/>
    <w:rsid w:val="000E45FF"/>
    <w:rsid w:val="000E4B2B"/>
    <w:rsid w:val="000E4FE9"/>
    <w:rsid w:val="000E547A"/>
    <w:rsid w:val="000E5531"/>
    <w:rsid w:val="000E581C"/>
    <w:rsid w:val="000E5E61"/>
    <w:rsid w:val="000E5FEA"/>
    <w:rsid w:val="000E61CD"/>
    <w:rsid w:val="000E6410"/>
    <w:rsid w:val="000E6453"/>
    <w:rsid w:val="000E678B"/>
    <w:rsid w:val="000E6DF3"/>
    <w:rsid w:val="000F1D95"/>
    <w:rsid w:val="000F1E0E"/>
    <w:rsid w:val="000F2040"/>
    <w:rsid w:val="000F23D7"/>
    <w:rsid w:val="000F249B"/>
    <w:rsid w:val="000F27BC"/>
    <w:rsid w:val="000F2E01"/>
    <w:rsid w:val="000F5771"/>
    <w:rsid w:val="000F58E3"/>
    <w:rsid w:val="000F5A54"/>
    <w:rsid w:val="000F5F78"/>
    <w:rsid w:val="000F6ADA"/>
    <w:rsid w:val="000F7987"/>
    <w:rsid w:val="0010051C"/>
    <w:rsid w:val="001024FB"/>
    <w:rsid w:val="0010448B"/>
    <w:rsid w:val="00104B2B"/>
    <w:rsid w:val="00104D9F"/>
    <w:rsid w:val="0010521F"/>
    <w:rsid w:val="00105DFB"/>
    <w:rsid w:val="0010625A"/>
    <w:rsid w:val="00106E5C"/>
    <w:rsid w:val="00107140"/>
    <w:rsid w:val="00107524"/>
    <w:rsid w:val="00107DCD"/>
    <w:rsid w:val="00107EF0"/>
    <w:rsid w:val="001109CD"/>
    <w:rsid w:val="00110D60"/>
    <w:rsid w:val="00111417"/>
    <w:rsid w:val="00113C60"/>
    <w:rsid w:val="00113E7F"/>
    <w:rsid w:val="00114657"/>
    <w:rsid w:val="00114C3B"/>
    <w:rsid w:val="00115691"/>
    <w:rsid w:val="00116012"/>
    <w:rsid w:val="00116A3B"/>
    <w:rsid w:val="00116DD9"/>
    <w:rsid w:val="00117039"/>
    <w:rsid w:val="00117F04"/>
    <w:rsid w:val="00120BD3"/>
    <w:rsid w:val="0012185F"/>
    <w:rsid w:val="00121BF5"/>
    <w:rsid w:val="00122655"/>
    <w:rsid w:val="001229AD"/>
    <w:rsid w:val="00122AE3"/>
    <w:rsid w:val="00122EE1"/>
    <w:rsid w:val="0012321A"/>
    <w:rsid w:val="00123318"/>
    <w:rsid w:val="00123658"/>
    <w:rsid w:val="00123743"/>
    <w:rsid w:val="001237AF"/>
    <w:rsid w:val="001239C4"/>
    <w:rsid w:val="00124738"/>
    <w:rsid w:val="001247EB"/>
    <w:rsid w:val="00124A04"/>
    <w:rsid w:val="00124F3C"/>
    <w:rsid w:val="001253BA"/>
    <w:rsid w:val="00125B61"/>
    <w:rsid w:val="00126122"/>
    <w:rsid w:val="00126DEB"/>
    <w:rsid w:val="00130598"/>
    <w:rsid w:val="00131D45"/>
    <w:rsid w:val="001320F0"/>
    <w:rsid w:val="0013245C"/>
    <w:rsid w:val="001336E0"/>
    <w:rsid w:val="00133F34"/>
    <w:rsid w:val="00134697"/>
    <w:rsid w:val="00134741"/>
    <w:rsid w:val="00134D92"/>
    <w:rsid w:val="00135273"/>
    <w:rsid w:val="0013560B"/>
    <w:rsid w:val="00135A34"/>
    <w:rsid w:val="00135C78"/>
    <w:rsid w:val="00135FC9"/>
    <w:rsid w:val="001363D0"/>
    <w:rsid w:val="00140D20"/>
    <w:rsid w:val="00143478"/>
    <w:rsid w:val="00143C13"/>
    <w:rsid w:val="00143F2F"/>
    <w:rsid w:val="00143FA7"/>
    <w:rsid w:val="0014441D"/>
    <w:rsid w:val="0014497F"/>
    <w:rsid w:val="00145C98"/>
    <w:rsid w:val="00145DE1"/>
    <w:rsid w:val="00146624"/>
    <w:rsid w:val="001477E8"/>
    <w:rsid w:val="00150376"/>
    <w:rsid w:val="0015092F"/>
    <w:rsid w:val="00151597"/>
    <w:rsid w:val="0015161E"/>
    <w:rsid w:val="00151D6A"/>
    <w:rsid w:val="00151DBD"/>
    <w:rsid w:val="00151F10"/>
    <w:rsid w:val="00152BD8"/>
    <w:rsid w:val="001531D6"/>
    <w:rsid w:val="001539B9"/>
    <w:rsid w:val="001544B5"/>
    <w:rsid w:val="00154FB0"/>
    <w:rsid w:val="0015517B"/>
    <w:rsid w:val="00155434"/>
    <w:rsid w:val="00155BDA"/>
    <w:rsid w:val="0015666B"/>
    <w:rsid w:val="00156FA7"/>
    <w:rsid w:val="0016023A"/>
    <w:rsid w:val="001605FA"/>
    <w:rsid w:val="00160B93"/>
    <w:rsid w:val="00160C40"/>
    <w:rsid w:val="00160C4C"/>
    <w:rsid w:val="00161C3D"/>
    <w:rsid w:val="00162DBF"/>
    <w:rsid w:val="00162E81"/>
    <w:rsid w:val="00164A06"/>
    <w:rsid w:val="00164CF8"/>
    <w:rsid w:val="001653AE"/>
    <w:rsid w:val="00165B78"/>
    <w:rsid w:val="0016604D"/>
    <w:rsid w:val="00167541"/>
    <w:rsid w:val="0016775E"/>
    <w:rsid w:val="0017096C"/>
    <w:rsid w:val="00170D5B"/>
    <w:rsid w:val="00170F14"/>
    <w:rsid w:val="001719EB"/>
    <w:rsid w:val="00171BEB"/>
    <w:rsid w:val="00172155"/>
    <w:rsid w:val="001724DE"/>
    <w:rsid w:val="00172B8F"/>
    <w:rsid w:val="001736F8"/>
    <w:rsid w:val="00173D85"/>
    <w:rsid w:val="00174C60"/>
    <w:rsid w:val="00174D8B"/>
    <w:rsid w:val="00174FD4"/>
    <w:rsid w:val="001756BC"/>
    <w:rsid w:val="00175E88"/>
    <w:rsid w:val="00176718"/>
    <w:rsid w:val="00176AFD"/>
    <w:rsid w:val="00177657"/>
    <w:rsid w:val="00177A14"/>
    <w:rsid w:val="00180561"/>
    <w:rsid w:val="001806CC"/>
    <w:rsid w:val="0018146D"/>
    <w:rsid w:val="00183559"/>
    <w:rsid w:val="00183A0C"/>
    <w:rsid w:val="00184BAE"/>
    <w:rsid w:val="00185320"/>
    <w:rsid w:val="001854A3"/>
    <w:rsid w:val="00187899"/>
    <w:rsid w:val="0019006E"/>
    <w:rsid w:val="00190692"/>
    <w:rsid w:val="001917F9"/>
    <w:rsid w:val="00192918"/>
    <w:rsid w:val="00192F52"/>
    <w:rsid w:val="0019304D"/>
    <w:rsid w:val="0019362A"/>
    <w:rsid w:val="0019474E"/>
    <w:rsid w:val="00195728"/>
    <w:rsid w:val="00196256"/>
    <w:rsid w:val="001966A2"/>
    <w:rsid w:val="001967D7"/>
    <w:rsid w:val="001970C0"/>
    <w:rsid w:val="001A0E39"/>
    <w:rsid w:val="001A1106"/>
    <w:rsid w:val="001A1C1F"/>
    <w:rsid w:val="001A1C23"/>
    <w:rsid w:val="001A1CB7"/>
    <w:rsid w:val="001A1D5C"/>
    <w:rsid w:val="001A2007"/>
    <w:rsid w:val="001A2992"/>
    <w:rsid w:val="001A32F1"/>
    <w:rsid w:val="001A3ADF"/>
    <w:rsid w:val="001A420B"/>
    <w:rsid w:val="001A4361"/>
    <w:rsid w:val="001A4B97"/>
    <w:rsid w:val="001A4F7D"/>
    <w:rsid w:val="001A58C1"/>
    <w:rsid w:val="001A621F"/>
    <w:rsid w:val="001A73A7"/>
    <w:rsid w:val="001A7ACB"/>
    <w:rsid w:val="001A7B42"/>
    <w:rsid w:val="001A7D8F"/>
    <w:rsid w:val="001B1461"/>
    <w:rsid w:val="001B1E21"/>
    <w:rsid w:val="001B2A97"/>
    <w:rsid w:val="001B2CD4"/>
    <w:rsid w:val="001B435F"/>
    <w:rsid w:val="001B4BB1"/>
    <w:rsid w:val="001B5088"/>
    <w:rsid w:val="001B5891"/>
    <w:rsid w:val="001B5ECA"/>
    <w:rsid w:val="001B6BB9"/>
    <w:rsid w:val="001B7329"/>
    <w:rsid w:val="001C174A"/>
    <w:rsid w:val="001C1D05"/>
    <w:rsid w:val="001C2A48"/>
    <w:rsid w:val="001C2B1C"/>
    <w:rsid w:val="001C2C4F"/>
    <w:rsid w:val="001C4146"/>
    <w:rsid w:val="001C423F"/>
    <w:rsid w:val="001C4CAE"/>
    <w:rsid w:val="001C69E3"/>
    <w:rsid w:val="001C6DFD"/>
    <w:rsid w:val="001D038C"/>
    <w:rsid w:val="001D192C"/>
    <w:rsid w:val="001D21CB"/>
    <w:rsid w:val="001D2785"/>
    <w:rsid w:val="001D32C0"/>
    <w:rsid w:val="001D3A64"/>
    <w:rsid w:val="001D4646"/>
    <w:rsid w:val="001D5793"/>
    <w:rsid w:val="001D5BC1"/>
    <w:rsid w:val="001D6516"/>
    <w:rsid w:val="001D6AB2"/>
    <w:rsid w:val="001D7190"/>
    <w:rsid w:val="001D74A7"/>
    <w:rsid w:val="001D76FC"/>
    <w:rsid w:val="001E1192"/>
    <w:rsid w:val="001E15F2"/>
    <w:rsid w:val="001E22F7"/>
    <w:rsid w:val="001E256C"/>
    <w:rsid w:val="001E43E6"/>
    <w:rsid w:val="001E465F"/>
    <w:rsid w:val="001E4E5F"/>
    <w:rsid w:val="001E5EB4"/>
    <w:rsid w:val="001E6534"/>
    <w:rsid w:val="001E66D9"/>
    <w:rsid w:val="001E6EAD"/>
    <w:rsid w:val="001F0073"/>
    <w:rsid w:val="001F089A"/>
    <w:rsid w:val="001F1304"/>
    <w:rsid w:val="001F1E09"/>
    <w:rsid w:val="001F2902"/>
    <w:rsid w:val="001F3F36"/>
    <w:rsid w:val="001F4B9A"/>
    <w:rsid w:val="001F4C42"/>
    <w:rsid w:val="001F4F08"/>
    <w:rsid w:val="001F57E3"/>
    <w:rsid w:val="001F6250"/>
    <w:rsid w:val="001F658C"/>
    <w:rsid w:val="001F675C"/>
    <w:rsid w:val="001F6F44"/>
    <w:rsid w:val="001F7563"/>
    <w:rsid w:val="002006F9"/>
    <w:rsid w:val="00200F31"/>
    <w:rsid w:val="0020197D"/>
    <w:rsid w:val="00203264"/>
    <w:rsid w:val="00203278"/>
    <w:rsid w:val="00203FDF"/>
    <w:rsid w:val="002043EB"/>
    <w:rsid w:val="00205573"/>
    <w:rsid w:val="00205A1C"/>
    <w:rsid w:val="00207B90"/>
    <w:rsid w:val="00207F59"/>
    <w:rsid w:val="0021002D"/>
    <w:rsid w:val="0021083A"/>
    <w:rsid w:val="00211DC3"/>
    <w:rsid w:val="00212641"/>
    <w:rsid w:val="00213263"/>
    <w:rsid w:val="00214688"/>
    <w:rsid w:val="002149E0"/>
    <w:rsid w:val="002155B6"/>
    <w:rsid w:val="002157E4"/>
    <w:rsid w:val="00215AFB"/>
    <w:rsid w:val="00215DEA"/>
    <w:rsid w:val="00216E88"/>
    <w:rsid w:val="002200D8"/>
    <w:rsid w:val="00220B0D"/>
    <w:rsid w:val="002215EF"/>
    <w:rsid w:val="00221A7A"/>
    <w:rsid w:val="00221D68"/>
    <w:rsid w:val="00223664"/>
    <w:rsid w:val="00223812"/>
    <w:rsid w:val="00223A56"/>
    <w:rsid w:val="00224288"/>
    <w:rsid w:val="00224A35"/>
    <w:rsid w:val="00225833"/>
    <w:rsid w:val="00226095"/>
    <w:rsid w:val="00226A12"/>
    <w:rsid w:val="00227B89"/>
    <w:rsid w:val="00227F43"/>
    <w:rsid w:val="002304B1"/>
    <w:rsid w:val="00230BB5"/>
    <w:rsid w:val="0023432E"/>
    <w:rsid w:val="00234640"/>
    <w:rsid w:val="002353F1"/>
    <w:rsid w:val="0023548D"/>
    <w:rsid w:val="00237453"/>
    <w:rsid w:val="0023756D"/>
    <w:rsid w:val="00237C8B"/>
    <w:rsid w:val="00240106"/>
    <w:rsid w:val="002411C7"/>
    <w:rsid w:val="002419F1"/>
    <w:rsid w:val="00242F4E"/>
    <w:rsid w:val="00244FC6"/>
    <w:rsid w:val="002452A0"/>
    <w:rsid w:val="002463A6"/>
    <w:rsid w:val="002465CE"/>
    <w:rsid w:val="00246ADB"/>
    <w:rsid w:val="002476A2"/>
    <w:rsid w:val="002500EC"/>
    <w:rsid w:val="00250AE5"/>
    <w:rsid w:val="002517A5"/>
    <w:rsid w:val="00251F6C"/>
    <w:rsid w:val="0025249C"/>
    <w:rsid w:val="0025288F"/>
    <w:rsid w:val="002539ED"/>
    <w:rsid w:val="00253C2D"/>
    <w:rsid w:val="002541A9"/>
    <w:rsid w:val="0025440D"/>
    <w:rsid w:val="0025450C"/>
    <w:rsid w:val="0025450E"/>
    <w:rsid w:val="00255152"/>
    <w:rsid w:val="0025554E"/>
    <w:rsid w:val="002555BA"/>
    <w:rsid w:val="00257572"/>
    <w:rsid w:val="00260C80"/>
    <w:rsid w:val="00261574"/>
    <w:rsid w:val="00261768"/>
    <w:rsid w:val="002633A1"/>
    <w:rsid w:val="002636CB"/>
    <w:rsid w:val="002638F4"/>
    <w:rsid w:val="00264EED"/>
    <w:rsid w:val="002657C1"/>
    <w:rsid w:val="0026596C"/>
    <w:rsid w:val="00265E60"/>
    <w:rsid w:val="00266B01"/>
    <w:rsid w:val="0027040A"/>
    <w:rsid w:val="002712C3"/>
    <w:rsid w:val="0027160C"/>
    <w:rsid w:val="002717B8"/>
    <w:rsid w:val="0027416F"/>
    <w:rsid w:val="002751D1"/>
    <w:rsid w:val="00275209"/>
    <w:rsid w:val="00277D8F"/>
    <w:rsid w:val="002803B8"/>
    <w:rsid w:val="002815DD"/>
    <w:rsid w:val="00281854"/>
    <w:rsid w:val="00282386"/>
    <w:rsid w:val="00282813"/>
    <w:rsid w:val="00282F23"/>
    <w:rsid w:val="00283F53"/>
    <w:rsid w:val="00284340"/>
    <w:rsid w:val="002847D5"/>
    <w:rsid w:val="00284D27"/>
    <w:rsid w:val="00285728"/>
    <w:rsid w:val="00285988"/>
    <w:rsid w:val="00287E78"/>
    <w:rsid w:val="00290676"/>
    <w:rsid w:val="00291462"/>
    <w:rsid w:val="00291572"/>
    <w:rsid w:val="00292986"/>
    <w:rsid w:val="00292AF6"/>
    <w:rsid w:val="00293E5F"/>
    <w:rsid w:val="002945EF"/>
    <w:rsid w:val="002958D4"/>
    <w:rsid w:val="00295944"/>
    <w:rsid w:val="00295CC3"/>
    <w:rsid w:val="00297246"/>
    <w:rsid w:val="00297374"/>
    <w:rsid w:val="00297730"/>
    <w:rsid w:val="002A04B4"/>
    <w:rsid w:val="002A04BB"/>
    <w:rsid w:val="002A145B"/>
    <w:rsid w:val="002A18BE"/>
    <w:rsid w:val="002A22B9"/>
    <w:rsid w:val="002A319D"/>
    <w:rsid w:val="002A36F6"/>
    <w:rsid w:val="002A4084"/>
    <w:rsid w:val="002A425E"/>
    <w:rsid w:val="002A4982"/>
    <w:rsid w:val="002A4AD6"/>
    <w:rsid w:val="002A5F90"/>
    <w:rsid w:val="002A611F"/>
    <w:rsid w:val="002A62E3"/>
    <w:rsid w:val="002A7196"/>
    <w:rsid w:val="002A76AE"/>
    <w:rsid w:val="002A7E50"/>
    <w:rsid w:val="002B07B3"/>
    <w:rsid w:val="002B0A50"/>
    <w:rsid w:val="002B1384"/>
    <w:rsid w:val="002B15C1"/>
    <w:rsid w:val="002B1622"/>
    <w:rsid w:val="002B1803"/>
    <w:rsid w:val="002B1AD7"/>
    <w:rsid w:val="002B2C80"/>
    <w:rsid w:val="002B2CB3"/>
    <w:rsid w:val="002B35CF"/>
    <w:rsid w:val="002B3681"/>
    <w:rsid w:val="002B37DB"/>
    <w:rsid w:val="002B3F7D"/>
    <w:rsid w:val="002B49E2"/>
    <w:rsid w:val="002B667C"/>
    <w:rsid w:val="002C10E3"/>
    <w:rsid w:val="002C11CA"/>
    <w:rsid w:val="002C120C"/>
    <w:rsid w:val="002C159E"/>
    <w:rsid w:val="002C1B75"/>
    <w:rsid w:val="002C45E8"/>
    <w:rsid w:val="002C5768"/>
    <w:rsid w:val="002C6233"/>
    <w:rsid w:val="002C6F40"/>
    <w:rsid w:val="002C70CE"/>
    <w:rsid w:val="002C75A5"/>
    <w:rsid w:val="002C7703"/>
    <w:rsid w:val="002C78EA"/>
    <w:rsid w:val="002C7CAF"/>
    <w:rsid w:val="002D28EC"/>
    <w:rsid w:val="002D5097"/>
    <w:rsid w:val="002D55E4"/>
    <w:rsid w:val="002D690D"/>
    <w:rsid w:val="002D6C52"/>
    <w:rsid w:val="002D74B8"/>
    <w:rsid w:val="002D775F"/>
    <w:rsid w:val="002D7C3E"/>
    <w:rsid w:val="002E0022"/>
    <w:rsid w:val="002E0818"/>
    <w:rsid w:val="002E0B49"/>
    <w:rsid w:val="002E2885"/>
    <w:rsid w:val="002E38D6"/>
    <w:rsid w:val="002E4148"/>
    <w:rsid w:val="002E481A"/>
    <w:rsid w:val="002E4A7C"/>
    <w:rsid w:val="002E63BE"/>
    <w:rsid w:val="002E64FC"/>
    <w:rsid w:val="002E6649"/>
    <w:rsid w:val="002E7775"/>
    <w:rsid w:val="002E7AD2"/>
    <w:rsid w:val="002F0483"/>
    <w:rsid w:val="002F07F5"/>
    <w:rsid w:val="002F1399"/>
    <w:rsid w:val="002F1AFB"/>
    <w:rsid w:val="002F24AA"/>
    <w:rsid w:val="002F3227"/>
    <w:rsid w:val="002F32FB"/>
    <w:rsid w:val="002F54DE"/>
    <w:rsid w:val="002F5611"/>
    <w:rsid w:val="002F564B"/>
    <w:rsid w:val="002F58AF"/>
    <w:rsid w:val="002F5F5E"/>
    <w:rsid w:val="002F5F85"/>
    <w:rsid w:val="002F690E"/>
    <w:rsid w:val="002F693F"/>
    <w:rsid w:val="002F77E4"/>
    <w:rsid w:val="003008CC"/>
    <w:rsid w:val="00301763"/>
    <w:rsid w:val="0030196D"/>
    <w:rsid w:val="00302252"/>
    <w:rsid w:val="00303C60"/>
    <w:rsid w:val="00304FB8"/>
    <w:rsid w:val="00305926"/>
    <w:rsid w:val="00305BF1"/>
    <w:rsid w:val="00305F9F"/>
    <w:rsid w:val="0030719F"/>
    <w:rsid w:val="00307299"/>
    <w:rsid w:val="00310B9B"/>
    <w:rsid w:val="00310C3F"/>
    <w:rsid w:val="00311DD6"/>
    <w:rsid w:val="00312EBF"/>
    <w:rsid w:val="00313C71"/>
    <w:rsid w:val="003140D2"/>
    <w:rsid w:val="00314831"/>
    <w:rsid w:val="003150A8"/>
    <w:rsid w:val="00315775"/>
    <w:rsid w:val="003158B5"/>
    <w:rsid w:val="00316D9D"/>
    <w:rsid w:val="00316F46"/>
    <w:rsid w:val="0031727B"/>
    <w:rsid w:val="00317296"/>
    <w:rsid w:val="00317714"/>
    <w:rsid w:val="00317AF2"/>
    <w:rsid w:val="003209D8"/>
    <w:rsid w:val="00320A17"/>
    <w:rsid w:val="00320CF7"/>
    <w:rsid w:val="00322DA9"/>
    <w:rsid w:val="003230E1"/>
    <w:rsid w:val="003238AB"/>
    <w:rsid w:val="00323AF6"/>
    <w:rsid w:val="003251C2"/>
    <w:rsid w:val="00325FA0"/>
    <w:rsid w:val="00326F1C"/>
    <w:rsid w:val="00327099"/>
    <w:rsid w:val="00327162"/>
    <w:rsid w:val="00330922"/>
    <w:rsid w:val="00330A0A"/>
    <w:rsid w:val="0033104B"/>
    <w:rsid w:val="00331215"/>
    <w:rsid w:val="0033129E"/>
    <w:rsid w:val="003321B5"/>
    <w:rsid w:val="003328A9"/>
    <w:rsid w:val="003356E6"/>
    <w:rsid w:val="0033573B"/>
    <w:rsid w:val="003358C5"/>
    <w:rsid w:val="0033596B"/>
    <w:rsid w:val="003371B5"/>
    <w:rsid w:val="0033781B"/>
    <w:rsid w:val="00337BAF"/>
    <w:rsid w:val="00340341"/>
    <w:rsid w:val="00340D39"/>
    <w:rsid w:val="003413D2"/>
    <w:rsid w:val="003417CB"/>
    <w:rsid w:val="003419C3"/>
    <w:rsid w:val="00341B5E"/>
    <w:rsid w:val="0034276B"/>
    <w:rsid w:val="003435A9"/>
    <w:rsid w:val="0034391C"/>
    <w:rsid w:val="00344649"/>
    <w:rsid w:val="00344A0A"/>
    <w:rsid w:val="00344CA8"/>
    <w:rsid w:val="00345496"/>
    <w:rsid w:val="00345BCF"/>
    <w:rsid w:val="003466F9"/>
    <w:rsid w:val="003470DE"/>
    <w:rsid w:val="0034790D"/>
    <w:rsid w:val="00347A6C"/>
    <w:rsid w:val="00347ACE"/>
    <w:rsid w:val="00350092"/>
    <w:rsid w:val="0035093B"/>
    <w:rsid w:val="00350A24"/>
    <w:rsid w:val="003518C7"/>
    <w:rsid w:val="003519AD"/>
    <w:rsid w:val="00351AB7"/>
    <w:rsid w:val="00351E0E"/>
    <w:rsid w:val="00352A79"/>
    <w:rsid w:val="00352ED9"/>
    <w:rsid w:val="00354209"/>
    <w:rsid w:val="00354EB4"/>
    <w:rsid w:val="003554F2"/>
    <w:rsid w:val="00355C83"/>
    <w:rsid w:val="00356D29"/>
    <w:rsid w:val="003571C2"/>
    <w:rsid w:val="003575B6"/>
    <w:rsid w:val="00357D8C"/>
    <w:rsid w:val="00360AE6"/>
    <w:rsid w:val="003629CB"/>
    <w:rsid w:val="00363664"/>
    <w:rsid w:val="00363706"/>
    <w:rsid w:val="003640A7"/>
    <w:rsid w:val="00365017"/>
    <w:rsid w:val="00365447"/>
    <w:rsid w:val="0036794E"/>
    <w:rsid w:val="00367DAF"/>
    <w:rsid w:val="00370B63"/>
    <w:rsid w:val="00370CCE"/>
    <w:rsid w:val="003720FD"/>
    <w:rsid w:val="00372594"/>
    <w:rsid w:val="0037332D"/>
    <w:rsid w:val="0037376D"/>
    <w:rsid w:val="0037500C"/>
    <w:rsid w:val="003756B4"/>
    <w:rsid w:val="003765C5"/>
    <w:rsid w:val="003777F7"/>
    <w:rsid w:val="00380697"/>
    <w:rsid w:val="003808DB"/>
    <w:rsid w:val="0038146C"/>
    <w:rsid w:val="00381DBC"/>
    <w:rsid w:val="00382609"/>
    <w:rsid w:val="003832D9"/>
    <w:rsid w:val="00383A13"/>
    <w:rsid w:val="00385939"/>
    <w:rsid w:val="00385DD7"/>
    <w:rsid w:val="00386124"/>
    <w:rsid w:val="003864D5"/>
    <w:rsid w:val="00386E93"/>
    <w:rsid w:val="00387600"/>
    <w:rsid w:val="00390567"/>
    <w:rsid w:val="003910C6"/>
    <w:rsid w:val="0039323F"/>
    <w:rsid w:val="003941AC"/>
    <w:rsid w:val="0039490A"/>
    <w:rsid w:val="003950AC"/>
    <w:rsid w:val="003966F6"/>
    <w:rsid w:val="0039677D"/>
    <w:rsid w:val="00396D08"/>
    <w:rsid w:val="003A0065"/>
    <w:rsid w:val="003A0660"/>
    <w:rsid w:val="003A0C85"/>
    <w:rsid w:val="003A0D52"/>
    <w:rsid w:val="003A26C8"/>
    <w:rsid w:val="003A2ED1"/>
    <w:rsid w:val="003A406D"/>
    <w:rsid w:val="003A4ACD"/>
    <w:rsid w:val="003A4C2F"/>
    <w:rsid w:val="003A4C47"/>
    <w:rsid w:val="003A5AFC"/>
    <w:rsid w:val="003A5C76"/>
    <w:rsid w:val="003A6630"/>
    <w:rsid w:val="003A6724"/>
    <w:rsid w:val="003A6D4D"/>
    <w:rsid w:val="003A6E1A"/>
    <w:rsid w:val="003A7818"/>
    <w:rsid w:val="003B09C0"/>
    <w:rsid w:val="003B0BA1"/>
    <w:rsid w:val="003B4599"/>
    <w:rsid w:val="003B5FB5"/>
    <w:rsid w:val="003B6061"/>
    <w:rsid w:val="003B61B7"/>
    <w:rsid w:val="003B6475"/>
    <w:rsid w:val="003B6C6C"/>
    <w:rsid w:val="003B711D"/>
    <w:rsid w:val="003C0C68"/>
    <w:rsid w:val="003C1AE2"/>
    <w:rsid w:val="003C473D"/>
    <w:rsid w:val="003C4F8F"/>
    <w:rsid w:val="003C6B59"/>
    <w:rsid w:val="003C75C0"/>
    <w:rsid w:val="003D0535"/>
    <w:rsid w:val="003D0CED"/>
    <w:rsid w:val="003D0DFA"/>
    <w:rsid w:val="003D2517"/>
    <w:rsid w:val="003D2547"/>
    <w:rsid w:val="003D299E"/>
    <w:rsid w:val="003D4463"/>
    <w:rsid w:val="003D55E1"/>
    <w:rsid w:val="003D5BB0"/>
    <w:rsid w:val="003D5C11"/>
    <w:rsid w:val="003D641A"/>
    <w:rsid w:val="003D6594"/>
    <w:rsid w:val="003D71EB"/>
    <w:rsid w:val="003D7444"/>
    <w:rsid w:val="003E08F1"/>
    <w:rsid w:val="003E207E"/>
    <w:rsid w:val="003E22CB"/>
    <w:rsid w:val="003E2343"/>
    <w:rsid w:val="003E2AAE"/>
    <w:rsid w:val="003E2C1E"/>
    <w:rsid w:val="003E2C2C"/>
    <w:rsid w:val="003E406B"/>
    <w:rsid w:val="003E4F96"/>
    <w:rsid w:val="003E56CA"/>
    <w:rsid w:val="003E5CCA"/>
    <w:rsid w:val="003E6A29"/>
    <w:rsid w:val="003E6B1D"/>
    <w:rsid w:val="003E7773"/>
    <w:rsid w:val="003E7EF9"/>
    <w:rsid w:val="003F115E"/>
    <w:rsid w:val="003F14C2"/>
    <w:rsid w:val="003F15BA"/>
    <w:rsid w:val="003F1D8B"/>
    <w:rsid w:val="003F1E98"/>
    <w:rsid w:val="003F2210"/>
    <w:rsid w:val="003F2AEC"/>
    <w:rsid w:val="003F2C1C"/>
    <w:rsid w:val="003F3091"/>
    <w:rsid w:val="003F3EF1"/>
    <w:rsid w:val="003F535C"/>
    <w:rsid w:val="003F66C5"/>
    <w:rsid w:val="003F6DAC"/>
    <w:rsid w:val="003F6E4B"/>
    <w:rsid w:val="003F7196"/>
    <w:rsid w:val="003F76AF"/>
    <w:rsid w:val="003F79F0"/>
    <w:rsid w:val="003F7A53"/>
    <w:rsid w:val="004008AF"/>
    <w:rsid w:val="00400B5F"/>
    <w:rsid w:val="00401194"/>
    <w:rsid w:val="004013CF"/>
    <w:rsid w:val="00401DBF"/>
    <w:rsid w:val="00402C3A"/>
    <w:rsid w:val="004033D9"/>
    <w:rsid w:val="00403955"/>
    <w:rsid w:val="004041D6"/>
    <w:rsid w:val="00404A94"/>
    <w:rsid w:val="00404EAD"/>
    <w:rsid w:val="0040551F"/>
    <w:rsid w:val="00405875"/>
    <w:rsid w:val="00405A1D"/>
    <w:rsid w:val="00405EC8"/>
    <w:rsid w:val="0040771F"/>
    <w:rsid w:val="00410638"/>
    <w:rsid w:val="004109B7"/>
    <w:rsid w:val="00410A9C"/>
    <w:rsid w:val="004111F7"/>
    <w:rsid w:val="0041217D"/>
    <w:rsid w:val="004125C6"/>
    <w:rsid w:val="0041275F"/>
    <w:rsid w:val="004128EC"/>
    <w:rsid w:val="00413F5A"/>
    <w:rsid w:val="0041410F"/>
    <w:rsid w:val="0041451D"/>
    <w:rsid w:val="004149C6"/>
    <w:rsid w:val="0041612D"/>
    <w:rsid w:val="004166A5"/>
    <w:rsid w:val="00417D38"/>
    <w:rsid w:val="004205C9"/>
    <w:rsid w:val="00421A89"/>
    <w:rsid w:val="00421EBC"/>
    <w:rsid w:val="004221DB"/>
    <w:rsid w:val="004229C9"/>
    <w:rsid w:val="00422B05"/>
    <w:rsid w:val="0042304B"/>
    <w:rsid w:val="00423711"/>
    <w:rsid w:val="00424084"/>
    <w:rsid w:val="0042484E"/>
    <w:rsid w:val="004255AA"/>
    <w:rsid w:val="00425710"/>
    <w:rsid w:val="004273AD"/>
    <w:rsid w:val="004302DF"/>
    <w:rsid w:val="00430420"/>
    <w:rsid w:val="004305AE"/>
    <w:rsid w:val="00430AE0"/>
    <w:rsid w:val="00431800"/>
    <w:rsid w:val="0043232A"/>
    <w:rsid w:val="00433541"/>
    <w:rsid w:val="004335C0"/>
    <w:rsid w:val="00433788"/>
    <w:rsid w:val="00436121"/>
    <w:rsid w:val="00436296"/>
    <w:rsid w:val="00436514"/>
    <w:rsid w:val="00436E10"/>
    <w:rsid w:val="00437ED9"/>
    <w:rsid w:val="00440511"/>
    <w:rsid w:val="00440AD4"/>
    <w:rsid w:val="00441100"/>
    <w:rsid w:val="00441575"/>
    <w:rsid w:val="00441C9F"/>
    <w:rsid w:val="00441E47"/>
    <w:rsid w:val="004423F7"/>
    <w:rsid w:val="00442891"/>
    <w:rsid w:val="00442A49"/>
    <w:rsid w:val="004446B1"/>
    <w:rsid w:val="004446E5"/>
    <w:rsid w:val="0044690B"/>
    <w:rsid w:val="00446BBE"/>
    <w:rsid w:val="0044782C"/>
    <w:rsid w:val="0045093D"/>
    <w:rsid w:val="00450B05"/>
    <w:rsid w:val="00451645"/>
    <w:rsid w:val="00453DE6"/>
    <w:rsid w:val="00454F8E"/>
    <w:rsid w:val="0045581A"/>
    <w:rsid w:val="00456441"/>
    <w:rsid w:val="00456CF9"/>
    <w:rsid w:val="00462778"/>
    <w:rsid w:val="00463521"/>
    <w:rsid w:val="00463C22"/>
    <w:rsid w:val="00464F41"/>
    <w:rsid w:val="00464F6C"/>
    <w:rsid w:val="00466867"/>
    <w:rsid w:val="00467628"/>
    <w:rsid w:val="00471D0D"/>
    <w:rsid w:val="00472977"/>
    <w:rsid w:val="00472D1D"/>
    <w:rsid w:val="00473950"/>
    <w:rsid w:val="00474E01"/>
    <w:rsid w:val="004762CE"/>
    <w:rsid w:val="004769B5"/>
    <w:rsid w:val="004772EE"/>
    <w:rsid w:val="004778EB"/>
    <w:rsid w:val="00480964"/>
    <w:rsid w:val="00480F6C"/>
    <w:rsid w:val="0048158E"/>
    <w:rsid w:val="004824F1"/>
    <w:rsid w:val="00482804"/>
    <w:rsid w:val="00482B47"/>
    <w:rsid w:val="00482BE5"/>
    <w:rsid w:val="0048323E"/>
    <w:rsid w:val="00483492"/>
    <w:rsid w:val="00483B3B"/>
    <w:rsid w:val="00483E6B"/>
    <w:rsid w:val="00483F65"/>
    <w:rsid w:val="00484DC5"/>
    <w:rsid w:val="00485675"/>
    <w:rsid w:val="00486193"/>
    <w:rsid w:val="00486946"/>
    <w:rsid w:val="004871B9"/>
    <w:rsid w:val="004874F2"/>
    <w:rsid w:val="00487C85"/>
    <w:rsid w:val="00490457"/>
    <w:rsid w:val="00490888"/>
    <w:rsid w:val="00490DC4"/>
    <w:rsid w:val="00491325"/>
    <w:rsid w:val="00491875"/>
    <w:rsid w:val="0049187F"/>
    <w:rsid w:val="0049219D"/>
    <w:rsid w:val="004928D7"/>
    <w:rsid w:val="00493C4C"/>
    <w:rsid w:val="00494174"/>
    <w:rsid w:val="00494F64"/>
    <w:rsid w:val="00497477"/>
    <w:rsid w:val="004975D7"/>
    <w:rsid w:val="00497B9F"/>
    <w:rsid w:val="004A0F97"/>
    <w:rsid w:val="004A1C4D"/>
    <w:rsid w:val="004A2084"/>
    <w:rsid w:val="004A3239"/>
    <w:rsid w:val="004A37EC"/>
    <w:rsid w:val="004A39FA"/>
    <w:rsid w:val="004A4430"/>
    <w:rsid w:val="004A4FDF"/>
    <w:rsid w:val="004A5489"/>
    <w:rsid w:val="004A5DDC"/>
    <w:rsid w:val="004A5E73"/>
    <w:rsid w:val="004A6CDA"/>
    <w:rsid w:val="004A75BE"/>
    <w:rsid w:val="004A7A52"/>
    <w:rsid w:val="004B0860"/>
    <w:rsid w:val="004B19FE"/>
    <w:rsid w:val="004B2A4D"/>
    <w:rsid w:val="004B2F45"/>
    <w:rsid w:val="004B33C2"/>
    <w:rsid w:val="004B36EE"/>
    <w:rsid w:val="004B3AC2"/>
    <w:rsid w:val="004B3FFA"/>
    <w:rsid w:val="004B4214"/>
    <w:rsid w:val="004B4A0F"/>
    <w:rsid w:val="004B5FA0"/>
    <w:rsid w:val="004B689D"/>
    <w:rsid w:val="004B6C1B"/>
    <w:rsid w:val="004C0E97"/>
    <w:rsid w:val="004C1460"/>
    <w:rsid w:val="004C1531"/>
    <w:rsid w:val="004C276F"/>
    <w:rsid w:val="004C3095"/>
    <w:rsid w:val="004C3110"/>
    <w:rsid w:val="004C3F41"/>
    <w:rsid w:val="004C48C8"/>
    <w:rsid w:val="004C51F3"/>
    <w:rsid w:val="004C53F9"/>
    <w:rsid w:val="004C598D"/>
    <w:rsid w:val="004C7933"/>
    <w:rsid w:val="004D1A58"/>
    <w:rsid w:val="004D3897"/>
    <w:rsid w:val="004D4425"/>
    <w:rsid w:val="004D4D64"/>
    <w:rsid w:val="004D5E69"/>
    <w:rsid w:val="004D610F"/>
    <w:rsid w:val="004D627F"/>
    <w:rsid w:val="004D6CED"/>
    <w:rsid w:val="004D6FE9"/>
    <w:rsid w:val="004D7DD3"/>
    <w:rsid w:val="004E0D38"/>
    <w:rsid w:val="004E1322"/>
    <w:rsid w:val="004E2862"/>
    <w:rsid w:val="004E2BD6"/>
    <w:rsid w:val="004E390F"/>
    <w:rsid w:val="004E7AE4"/>
    <w:rsid w:val="004F09A7"/>
    <w:rsid w:val="004F2206"/>
    <w:rsid w:val="004F274D"/>
    <w:rsid w:val="004F4B89"/>
    <w:rsid w:val="004F4CB9"/>
    <w:rsid w:val="004F5646"/>
    <w:rsid w:val="004F6894"/>
    <w:rsid w:val="004F6AD3"/>
    <w:rsid w:val="004F6ADC"/>
    <w:rsid w:val="004F7B45"/>
    <w:rsid w:val="00500D76"/>
    <w:rsid w:val="00500EA8"/>
    <w:rsid w:val="00501386"/>
    <w:rsid w:val="00501BD9"/>
    <w:rsid w:val="00501C25"/>
    <w:rsid w:val="00501C56"/>
    <w:rsid w:val="00501CAA"/>
    <w:rsid w:val="00502614"/>
    <w:rsid w:val="005027A6"/>
    <w:rsid w:val="00502DAE"/>
    <w:rsid w:val="00502FFB"/>
    <w:rsid w:val="005038A0"/>
    <w:rsid w:val="00504261"/>
    <w:rsid w:val="00504A82"/>
    <w:rsid w:val="00505E19"/>
    <w:rsid w:val="005062C4"/>
    <w:rsid w:val="005068B8"/>
    <w:rsid w:val="00506D55"/>
    <w:rsid w:val="00506DC9"/>
    <w:rsid w:val="005103C5"/>
    <w:rsid w:val="00510ED1"/>
    <w:rsid w:val="00511500"/>
    <w:rsid w:val="00512FE8"/>
    <w:rsid w:val="005131D3"/>
    <w:rsid w:val="0051352C"/>
    <w:rsid w:val="00513B7D"/>
    <w:rsid w:val="00513C74"/>
    <w:rsid w:val="005141D5"/>
    <w:rsid w:val="00514C34"/>
    <w:rsid w:val="00514FC2"/>
    <w:rsid w:val="00515BFA"/>
    <w:rsid w:val="00515EC6"/>
    <w:rsid w:val="005170E9"/>
    <w:rsid w:val="005172D7"/>
    <w:rsid w:val="00517A86"/>
    <w:rsid w:val="005206AA"/>
    <w:rsid w:val="00521698"/>
    <w:rsid w:val="0052349D"/>
    <w:rsid w:val="005240C0"/>
    <w:rsid w:val="00524BE8"/>
    <w:rsid w:val="00524E5C"/>
    <w:rsid w:val="00524F47"/>
    <w:rsid w:val="005255EB"/>
    <w:rsid w:val="0052575D"/>
    <w:rsid w:val="005260AD"/>
    <w:rsid w:val="00526C92"/>
    <w:rsid w:val="0052750A"/>
    <w:rsid w:val="005275FC"/>
    <w:rsid w:val="0052768C"/>
    <w:rsid w:val="00530896"/>
    <w:rsid w:val="005310AF"/>
    <w:rsid w:val="00531DF7"/>
    <w:rsid w:val="00533E21"/>
    <w:rsid w:val="005342C3"/>
    <w:rsid w:val="00534860"/>
    <w:rsid w:val="00535E33"/>
    <w:rsid w:val="005362F5"/>
    <w:rsid w:val="00536B93"/>
    <w:rsid w:val="0053725B"/>
    <w:rsid w:val="00537BB0"/>
    <w:rsid w:val="005408C6"/>
    <w:rsid w:val="00540A33"/>
    <w:rsid w:val="00540C57"/>
    <w:rsid w:val="00540C86"/>
    <w:rsid w:val="00540F2A"/>
    <w:rsid w:val="00541C26"/>
    <w:rsid w:val="005428B5"/>
    <w:rsid w:val="00542B96"/>
    <w:rsid w:val="00543379"/>
    <w:rsid w:val="00543620"/>
    <w:rsid w:val="00544F13"/>
    <w:rsid w:val="00546DBE"/>
    <w:rsid w:val="00546F74"/>
    <w:rsid w:val="00547B8F"/>
    <w:rsid w:val="005521D7"/>
    <w:rsid w:val="00553043"/>
    <w:rsid w:val="005531BD"/>
    <w:rsid w:val="00553203"/>
    <w:rsid w:val="005534DC"/>
    <w:rsid w:val="00554E58"/>
    <w:rsid w:val="005567B2"/>
    <w:rsid w:val="00557870"/>
    <w:rsid w:val="00560277"/>
    <w:rsid w:val="00560938"/>
    <w:rsid w:val="00560AF1"/>
    <w:rsid w:val="00561562"/>
    <w:rsid w:val="005623AC"/>
    <w:rsid w:val="00562D54"/>
    <w:rsid w:val="005630D3"/>
    <w:rsid w:val="00563DE6"/>
    <w:rsid w:val="0056469A"/>
    <w:rsid w:val="00564DF9"/>
    <w:rsid w:val="0056528D"/>
    <w:rsid w:val="00566000"/>
    <w:rsid w:val="0056628B"/>
    <w:rsid w:val="00566298"/>
    <w:rsid w:val="005667F8"/>
    <w:rsid w:val="005671FC"/>
    <w:rsid w:val="0057091E"/>
    <w:rsid w:val="00571CDA"/>
    <w:rsid w:val="005723D6"/>
    <w:rsid w:val="00572BD2"/>
    <w:rsid w:val="00572DA3"/>
    <w:rsid w:val="00572F7C"/>
    <w:rsid w:val="00573560"/>
    <w:rsid w:val="005738EC"/>
    <w:rsid w:val="00573CDC"/>
    <w:rsid w:val="00574305"/>
    <w:rsid w:val="005743FE"/>
    <w:rsid w:val="00574A6E"/>
    <w:rsid w:val="00577145"/>
    <w:rsid w:val="005773BE"/>
    <w:rsid w:val="00577DB3"/>
    <w:rsid w:val="0058138B"/>
    <w:rsid w:val="00581E29"/>
    <w:rsid w:val="00582365"/>
    <w:rsid w:val="00582799"/>
    <w:rsid w:val="0058288C"/>
    <w:rsid w:val="00582943"/>
    <w:rsid w:val="005833B4"/>
    <w:rsid w:val="00583AA6"/>
    <w:rsid w:val="00583FF7"/>
    <w:rsid w:val="00585C1B"/>
    <w:rsid w:val="00587639"/>
    <w:rsid w:val="00587A52"/>
    <w:rsid w:val="00590DFD"/>
    <w:rsid w:val="00592008"/>
    <w:rsid w:val="00592300"/>
    <w:rsid w:val="00592638"/>
    <w:rsid w:val="00593138"/>
    <w:rsid w:val="00593A33"/>
    <w:rsid w:val="00593C2C"/>
    <w:rsid w:val="005947B5"/>
    <w:rsid w:val="00594B01"/>
    <w:rsid w:val="00595C92"/>
    <w:rsid w:val="005960BB"/>
    <w:rsid w:val="00597407"/>
    <w:rsid w:val="005978F9"/>
    <w:rsid w:val="005A0496"/>
    <w:rsid w:val="005A0A26"/>
    <w:rsid w:val="005A0F34"/>
    <w:rsid w:val="005A153A"/>
    <w:rsid w:val="005A4047"/>
    <w:rsid w:val="005A4384"/>
    <w:rsid w:val="005A47BA"/>
    <w:rsid w:val="005A5FBD"/>
    <w:rsid w:val="005A7012"/>
    <w:rsid w:val="005A7A5E"/>
    <w:rsid w:val="005B02DA"/>
    <w:rsid w:val="005B0690"/>
    <w:rsid w:val="005B1C07"/>
    <w:rsid w:val="005B23A7"/>
    <w:rsid w:val="005B2579"/>
    <w:rsid w:val="005B2EBF"/>
    <w:rsid w:val="005B3432"/>
    <w:rsid w:val="005B3BD6"/>
    <w:rsid w:val="005B47D5"/>
    <w:rsid w:val="005B4AFB"/>
    <w:rsid w:val="005B5155"/>
    <w:rsid w:val="005B5D94"/>
    <w:rsid w:val="005B620A"/>
    <w:rsid w:val="005B6D3D"/>
    <w:rsid w:val="005B7D6C"/>
    <w:rsid w:val="005C044C"/>
    <w:rsid w:val="005C05E6"/>
    <w:rsid w:val="005C1D75"/>
    <w:rsid w:val="005C2F3D"/>
    <w:rsid w:val="005C312A"/>
    <w:rsid w:val="005C5637"/>
    <w:rsid w:val="005C6E1C"/>
    <w:rsid w:val="005C7032"/>
    <w:rsid w:val="005C7215"/>
    <w:rsid w:val="005C73C4"/>
    <w:rsid w:val="005D0004"/>
    <w:rsid w:val="005D00EA"/>
    <w:rsid w:val="005D023B"/>
    <w:rsid w:val="005D02C4"/>
    <w:rsid w:val="005D2304"/>
    <w:rsid w:val="005D232A"/>
    <w:rsid w:val="005D2718"/>
    <w:rsid w:val="005D2DAD"/>
    <w:rsid w:val="005D3A04"/>
    <w:rsid w:val="005D3CB2"/>
    <w:rsid w:val="005D3E0E"/>
    <w:rsid w:val="005D48FE"/>
    <w:rsid w:val="005D4902"/>
    <w:rsid w:val="005D6492"/>
    <w:rsid w:val="005D7471"/>
    <w:rsid w:val="005D749D"/>
    <w:rsid w:val="005D7539"/>
    <w:rsid w:val="005E0547"/>
    <w:rsid w:val="005E2368"/>
    <w:rsid w:val="005E2414"/>
    <w:rsid w:val="005E2702"/>
    <w:rsid w:val="005E4B7A"/>
    <w:rsid w:val="005E5133"/>
    <w:rsid w:val="005E5874"/>
    <w:rsid w:val="005E73FE"/>
    <w:rsid w:val="005E75D5"/>
    <w:rsid w:val="005F11A2"/>
    <w:rsid w:val="005F1555"/>
    <w:rsid w:val="005F19A0"/>
    <w:rsid w:val="005F1FA3"/>
    <w:rsid w:val="005F2978"/>
    <w:rsid w:val="005F32CB"/>
    <w:rsid w:val="005F3393"/>
    <w:rsid w:val="005F3481"/>
    <w:rsid w:val="005F3B7F"/>
    <w:rsid w:val="005F4333"/>
    <w:rsid w:val="005F4721"/>
    <w:rsid w:val="005F50B7"/>
    <w:rsid w:val="005F5647"/>
    <w:rsid w:val="005F7096"/>
    <w:rsid w:val="005F720A"/>
    <w:rsid w:val="005F7CE2"/>
    <w:rsid w:val="00601254"/>
    <w:rsid w:val="006012A4"/>
    <w:rsid w:val="006019DB"/>
    <w:rsid w:val="00602F43"/>
    <w:rsid w:val="006034B7"/>
    <w:rsid w:val="00603B08"/>
    <w:rsid w:val="00604C20"/>
    <w:rsid w:val="00605776"/>
    <w:rsid w:val="0060609D"/>
    <w:rsid w:val="006066DF"/>
    <w:rsid w:val="00610162"/>
    <w:rsid w:val="006107E2"/>
    <w:rsid w:val="00610ABA"/>
    <w:rsid w:val="0061169A"/>
    <w:rsid w:val="00611FBD"/>
    <w:rsid w:val="00612BEF"/>
    <w:rsid w:val="00613037"/>
    <w:rsid w:val="006135AB"/>
    <w:rsid w:val="006138E4"/>
    <w:rsid w:val="00614220"/>
    <w:rsid w:val="006144F6"/>
    <w:rsid w:val="00615500"/>
    <w:rsid w:val="00616407"/>
    <w:rsid w:val="0061749F"/>
    <w:rsid w:val="00620344"/>
    <w:rsid w:val="00620E5A"/>
    <w:rsid w:val="00621215"/>
    <w:rsid w:val="006212CB"/>
    <w:rsid w:val="006236A7"/>
    <w:rsid w:val="006250E9"/>
    <w:rsid w:val="00625E5E"/>
    <w:rsid w:val="006313EE"/>
    <w:rsid w:val="006327B0"/>
    <w:rsid w:val="00633B2F"/>
    <w:rsid w:val="00633F54"/>
    <w:rsid w:val="00634D8D"/>
    <w:rsid w:val="00636E25"/>
    <w:rsid w:val="00637AC6"/>
    <w:rsid w:val="00640C31"/>
    <w:rsid w:val="00643226"/>
    <w:rsid w:val="0064380A"/>
    <w:rsid w:val="00644BDD"/>
    <w:rsid w:val="006459EC"/>
    <w:rsid w:val="006459EF"/>
    <w:rsid w:val="00646172"/>
    <w:rsid w:val="006465F3"/>
    <w:rsid w:val="00646AE4"/>
    <w:rsid w:val="00647120"/>
    <w:rsid w:val="0065221D"/>
    <w:rsid w:val="00652CBA"/>
    <w:rsid w:val="006534BF"/>
    <w:rsid w:val="006537D7"/>
    <w:rsid w:val="0065444A"/>
    <w:rsid w:val="0065464B"/>
    <w:rsid w:val="00654F68"/>
    <w:rsid w:val="00654FA8"/>
    <w:rsid w:val="00655CD3"/>
    <w:rsid w:val="00655CF9"/>
    <w:rsid w:val="00655D45"/>
    <w:rsid w:val="0065714C"/>
    <w:rsid w:val="00660A74"/>
    <w:rsid w:val="0066128C"/>
    <w:rsid w:val="00662683"/>
    <w:rsid w:val="00662E5F"/>
    <w:rsid w:val="00663006"/>
    <w:rsid w:val="006631B6"/>
    <w:rsid w:val="00664434"/>
    <w:rsid w:val="0066474A"/>
    <w:rsid w:val="0066561F"/>
    <w:rsid w:val="00665D70"/>
    <w:rsid w:val="00665F1D"/>
    <w:rsid w:val="00665F95"/>
    <w:rsid w:val="00666A58"/>
    <w:rsid w:val="006674EB"/>
    <w:rsid w:val="00667684"/>
    <w:rsid w:val="00667F88"/>
    <w:rsid w:val="00670650"/>
    <w:rsid w:val="006712C0"/>
    <w:rsid w:val="00671460"/>
    <w:rsid w:val="00671756"/>
    <w:rsid w:val="00671ED1"/>
    <w:rsid w:val="00671F15"/>
    <w:rsid w:val="006744AC"/>
    <w:rsid w:val="006745F9"/>
    <w:rsid w:val="00674BAC"/>
    <w:rsid w:val="00674C7D"/>
    <w:rsid w:val="0067703F"/>
    <w:rsid w:val="00677399"/>
    <w:rsid w:val="006778C0"/>
    <w:rsid w:val="00680B40"/>
    <w:rsid w:val="006810F2"/>
    <w:rsid w:val="00681EC9"/>
    <w:rsid w:val="00682111"/>
    <w:rsid w:val="006821D3"/>
    <w:rsid w:val="006822FA"/>
    <w:rsid w:val="0068288C"/>
    <w:rsid w:val="006836F7"/>
    <w:rsid w:val="00683F36"/>
    <w:rsid w:val="006852DE"/>
    <w:rsid w:val="00685589"/>
    <w:rsid w:val="00685840"/>
    <w:rsid w:val="00686331"/>
    <w:rsid w:val="0068682C"/>
    <w:rsid w:val="0068799E"/>
    <w:rsid w:val="006879F3"/>
    <w:rsid w:val="00687B3F"/>
    <w:rsid w:val="00691B06"/>
    <w:rsid w:val="006937B5"/>
    <w:rsid w:val="006938AA"/>
    <w:rsid w:val="00693FA3"/>
    <w:rsid w:val="0069474B"/>
    <w:rsid w:val="0069475D"/>
    <w:rsid w:val="00694F36"/>
    <w:rsid w:val="00695622"/>
    <w:rsid w:val="00695916"/>
    <w:rsid w:val="00695A9F"/>
    <w:rsid w:val="00695B01"/>
    <w:rsid w:val="00697966"/>
    <w:rsid w:val="006A01C9"/>
    <w:rsid w:val="006A037E"/>
    <w:rsid w:val="006A1E91"/>
    <w:rsid w:val="006A2F40"/>
    <w:rsid w:val="006A33A6"/>
    <w:rsid w:val="006A37C0"/>
    <w:rsid w:val="006A3A2B"/>
    <w:rsid w:val="006A3D14"/>
    <w:rsid w:val="006A4A15"/>
    <w:rsid w:val="006A57C2"/>
    <w:rsid w:val="006A6BF1"/>
    <w:rsid w:val="006A6E15"/>
    <w:rsid w:val="006A7883"/>
    <w:rsid w:val="006B1DD7"/>
    <w:rsid w:val="006B244D"/>
    <w:rsid w:val="006B2632"/>
    <w:rsid w:val="006B27B3"/>
    <w:rsid w:val="006B2C5A"/>
    <w:rsid w:val="006B2EB6"/>
    <w:rsid w:val="006B3032"/>
    <w:rsid w:val="006B44B2"/>
    <w:rsid w:val="006B4B4A"/>
    <w:rsid w:val="006B4CD8"/>
    <w:rsid w:val="006B56E1"/>
    <w:rsid w:val="006B7024"/>
    <w:rsid w:val="006B75C6"/>
    <w:rsid w:val="006B7632"/>
    <w:rsid w:val="006B7AE9"/>
    <w:rsid w:val="006B7D01"/>
    <w:rsid w:val="006B7DE0"/>
    <w:rsid w:val="006C0021"/>
    <w:rsid w:val="006C2DD4"/>
    <w:rsid w:val="006C3090"/>
    <w:rsid w:val="006C33F5"/>
    <w:rsid w:val="006C354C"/>
    <w:rsid w:val="006C3B76"/>
    <w:rsid w:val="006C415E"/>
    <w:rsid w:val="006C4572"/>
    <w:rsid w:val="006C520C"/>
    <w:rsid w:val="006C540C"/>
    <w:rsid w:val="006C5979"/>
    <w:rsid w:val="006C5DDC"/>
    <w:rsid w:val="006C6506"/>
    <w:rsid w:val="006C6B13"/>
    <w:rsid w:val="006C6C8D"/>
    <w:rsid w:val="006C6D74"/>
    <w:rsid w:val="006C7594"/>
    <w:rsid w:val="006C76B8"/>
    <w:rsid w:val="006C7B03"/>
    <w:rsid w:val="006D0365"/>
    <w:rsid w:val="006D0461"/>
    <w:rsid w:val="006D06E9"/>
    <w:rsid w:val="006D0EC2"/>
    <w:rsid w:val="006D1974"/>
    <w:rsid w:val="006D33D7"/>
    <w:rsid w:val="006D411F"/>
    <w:rsid w:val="006D476F"/>
    <w:rsid w:val="006D4C72"/>
    <w:rsid w:val="006D4E4C"/>
    <w:rsid w:val="006D5585"/>
    <w:rsid w:val="006D5F76"/>
    <w:rsid w:val="006D6D96"/>
    <w:rsid w:val="006D7211"/>
    <w:rsid w:val="006D75C8"/>
    <w:rsid w:val="006D7727"/>
    <w:rsid w:val="006D7C20"/>
    <w:rsid w:val="006E0299"/>
    <w:rsid w:val="006E1077"/>
    <w:rsid w:val="006E1889"/>
    <w:rsid w:val="006E1ED3"/>
    <w:rsid w:val="006E2552"/>
    <w:rsid w:val="006E2B7F"/>
    <w:rsid w:val="006E2D5E"/>
    <w:rsid w:val="006E3F5B"/>
    <w:rsid w:val="006E45DC"/>
    <w:rsid w:val="006E4EC7"/>
    <w:rsid w:val="006E6086"/>
    <w:rsid w:val="006E61BE"/>
    <w:rsid w:val="006E67C7"/>
    <w:rsid w:val="006E7149"/>
    <w:rsid w:val="006E79E0"/>
    <w:rsid w:val="006F0D46"/>
    <w:rsid w:val="006F23DD"/>
    <w:rsid w:val="006F2A83"/>
    <w:rsid w:val="006F305F"/>
    <w:rsid w:val="006F33CD"/>
    <w:rsid w:val="006F341B"/>
    <w:rsid w:val="006F36BB"/>
    <w:rsid w:val="006F3780"/>
    <w:rsid w:val="006F3F3B"/>
    <w:rsid w:val="006F4B12"/>
    <w:rsid w:val="006F5158"/>
    <w:rsid w:val="006F5301"/>
    <w:rsid w:val="006F5C2E"/>
    <w:rsid w:val="006F63B2"/>
    <w:rsid w:val="006F6F62"/>
    <w:rsid w:val="0070002D"/>
    <w:rsid w:val="007002EE"/>
    <w:rsid w:val="00700950"/>
    <w:rsid w:val="00701136"/>
    <w:rsid w:val="0070210F"/>
    <w:rsid w:val="0070214E"/>
    <w:rsid w:val="0070319A"/>
    <w:rsid w:val="007031A6"/>
    <w:rsid w:val="007038A2"/>
    <w:rsid w:val="00703CB4"/>
    <w:rsid w:val="00707351"/>
    <w:rsid w:val="00707C18"/>
    <w:rsid w:val="007103A9"/>
    <w:rsid w:val="007111AD"/>
    <w:rsid w:val="00711696"/>
    <w:rsid w:val="0071172D"/>
    <w:rsid w:val="00711E4F"/>
    <w:rsid w:val="00712537"/>
    <w:rsid w:val="007137E3"/>
    <w:rsid w:val="007146C8"/>
    <w:rsid w:val="00714771"/>
    <w:rsid w:val="00714FE6"/>
    <w:rsid w:val="00716AD2"/>
    <w:rsid w:val="00716E11"/>
    <w:rsid w:val="007203CA"/>
    <w:rsid w:val="007204B6"/>
    <w:rsid w:val="00722315"/>
    <w:rsid w:val="007226F5"/>
    <w:rsid w:val="00723863"/>
    <w:rsid w:val="00723B2C"/>
    <w:rsid w:val="00724ED0"/>
    <w:rsid w:val="00724F92"/>
    <w:rsid w:val="0072510C"/>
    <w:rsid w:val="007253D6"/>
    <w:rsid w:val="0072578A"/>
    <w:rsid w:val="0072597A"/>
    <w:rsid w:val="00726FEC"/>
    <w:rsid w:val="00727D22"/>
    <w:rsid w:val="00730B5A"/>
    <w:rsid w:val="0073114D"/>
    <w:rsid w:val="0073205C"/>
    <w:rsid w:val="007322B0"/>
    <w:rsid w:val="00734020"/>
    <w:rsid w:val="007370B4"/>
    <w:rsid w:val="0073792C"/>
    <w:rsid w:val="00737C5A"/>
    <w:rsid w:val="007416D4"/>
    <w:rsid w:val="0074257A"/>
    <w:rsid w:val="00742950"/>
    <w:rsid w:val="00742DEA"/>
    <w:rsid w:val="007437ED"/>
    <w:rsid w:val="00745E48"/>
    <w:rsid w:val="00746A31"/>
    <w:rsid w:val="00747434"/>
    <w:rsid w:val="0074788B"/>
    <w:rsid w:val="0075137C"/>
    <w:rsid w:val="00751942"/>
    <w:rsid w:val="007519A6"/>
    <w:rsid w:val="0075308D"/>
    <w:rsid w:val="00753234"/>
    <w:rsid w:val="007533CA"/>
    <w:rsid w:val="00753A15"/>
    <w:rsid w:val="00753A85"/>
    <w:rsid w:val="0075418A"/>
    <w:rsid w:val="00754C41"/>
    <w:rsid w:val="007568C1"/>
    <w:rsid w:val="007605D0"/>
    <w:rsid w:val="00760B45"/>
    <w:rsid w:val="00761925"/>
    <w:rsid w:val="0076260D"/>
    <w:rsid w:val="00762670"/>
    <w:rsid w:val="00762EC7"/>
    <w:rsid w:val="00763B77"/>
    <w:rsid w:val="007652F7"/>
    <w:rsid w:val="00765962"/>
    <w:rsid w:val="00765B71"/>
    <w:rsid w:val="00765C6E"/>
    <w:rsid w:val="00765DB7"/>
    <w:rsid w:val="0076686A"/>
    <w:rsid w:val="0076702C"/>
    <w:rsid w:val="007671A8"/>
    <w:rsid w:val="00767F6C"/>
    <w:rsid w:val="00772829"/>
    <w:rsid w:val="0077315E"/>
    <w:rsid w:val="007736DA"/>
    <w:rsid w:val="007757F1"/>
    <w:rsid w:val="00775BA9"/>
    <w:rsid w:val="00776C2B"/>
    <w:rsid w:val="00776D77"/>
    <w:rsid w:val="00777848"/>
    <w:rsid w:val="00777893"/>
    <w:rsid w:val="00781887"/>
    <w:rsid w:val="00783DFE"/>
    <w:rsid w:val="00784250"/>
    <w:rsid w:val="00784341"/>
    <w:rsid w:val="007852E9"/>
    <w:rsid w:val="00785646"/>
    <w:rsid w:val="00785F75"/>
    <w:rsid w:val="007864E5"/>
    <w:rsid w:val="0079028E"/>
    <w:rsid w:val="00790B15"/>
    <w:rsid w:val="00790F49"/>
    <w:rsid w:val="007916F9"/>
    <w:rsid w:val="00792F8E"/>
    <w:rsid w:val="007931CB"/>
    <w:rsid w:val="007939CA"/>
    <w:rsid w:val="00793EDD"/>
    <w:rsid w:val="00794B7D"/>
    <w:rsid w:val="007951D4"/>
    <w:rsid w:val="00795284"/>
    <w:rsid w:val="00795870"/>
    <w:rsid w:val="00796194"/>
    <w:rsid w:val="007972C1"/>
    <w:rsid w:val="0079770B"/>
    <w:rsid w:val="00797C46"/>
    <w:rsid w:val="007A07C4"/>
    <w:rsid w:val="007A0E68"/>
    <w:rsid w:val="007A19F6"/>
    <w:rsid w:val="007A1AB3"/>
    <w:rsid w:val="007A1B95"/>
    <w:rsid w:val="007A1FD4"/>
    <w:rsid w:val="007A2B65"/>
    <w:rsid w:val="007A3E15"/>
    <w:rsid w:val="007A41AA"/>
    <w:rsid w:val="007A42C6"/>
    <w:rsid w:val="007A49BA"/>
    <w:rsid w:val="007A53A0"/>
    <w:rsid w:val="007A54EA"/>
    <w:rsid w:val="007A5617"/>
    <w:rsid w:val="007A5633"/>
    <w:rsid w:val="007A5760"/>
    <w:rsid w:val="007A7D26"/>
    <w:rsid w:val="007B0197"/>
    <w:rsid w:val="007B0245"/>
    <w:rsid w:val="007B083F"/>
    <w:rsid w:val="007B0880"/>
    <w:rsid w:val="007B0D01"/>
    <w:rsid w:val="007B2085"/>
    <w:rsid w:val="007B2FDC"/>
    <w:rsid w:val="007B38A0"/>
    <w:rsid w:val="007B38B7"/>
    <w:rsid w:val="007B394C"/>
    <w:rsid w:val="007B4F7B"/>
    <w:rsid w:val="007B5273"/>
    <w:rsid w:val="007B5343"/>
    <w:rsid w:val="007B53AD"/>
    <w:rsid w:val="007B583D"/>
    <w:rsid w:val="007B591F"/>
    <w:rsid w:val="007B592A"/>
    <w:rsid w:val="007B5D44"/>
    <w:rsid w:val="007B62E6"/>
    <w:rsid w:val="007B6684"/>
    <w:rsid w:val="007B6B21"/>
    <w:rsid w:val="007B7024"/>
    <w:rsid w:val="007B7776"/>
    <w:rsid w:val="007B7938"/>
    <w:rsid w:val="007C0390"/>
    <w:rsid w:val="007C0C88"/>
    <w:rsid w:val="007C14A2"/>
    <w:rsid w:val="007C1BF8"/>
    <w:rsid w:val="007C300E"/>
    <w:rsid w:val="007C328D"/>
    <w:rsid w:val="007C3362"/>
    <w:rsid w:val="007C336F"/>
    <w:rsid w:val="007C35F9"/>
    <w:rsid w:val="007C3A9C"/>
    <w:rsid w:val="007C41B1"/>
    <w:rsid w:val="007C6AC9"/>
    <w:rsid w:val="007C707D"/>
    <w:rsid w:val="007C7D96"/>
    <w:rsid w:val="007C7DEE"/>
    <w:rsid w:val="007D2666"/>
    <w:rsid w:val="007D30B7"/>
    <w:rsid w:val="007D4C4F"/>
    <w:rsid w:val="007E15AD"/>
    <w:rsid w:val="007E25ED"/>
    <w:rsid w:val="007E2BC0"/>
    <w:rsid w:val="007E38AA"/>
    <w:rsid w:val="007E4E9D"/>
    <w:rsid w:val="007E6978"/>
    <w:rsid w:val="007E6E49"/>
    <w:rsid w:val="007F06B0"/>
    <w:rsid w:val="007F09A2"/>
    <w:rsid w:val="007F0A0A"/>
    <w:rsid w:val="007F1DDC"/>
    <w:rsid w:val="007F212B"/>
    <w:rsid w:val="007F3A29"/>
    <w:rsid w:val="007F4A03"/>
    <w:rsid w:val="007F67E9"/>
    <w:rsid w:val="007F75C5"/>
    <w:rsid w:val="007F79D0"/>
    <w:rsid w:val="007F7C7B"/>
    <w:rsid w:val="007F7DDE"/>
    <w:rsid w:val="008040A2"/>
    <w:rsid w:val="00804632"/>
    <w:rsid w:val="00804AA1"/>
    <w:rsid w:val="00804B09"/>
    <w:rsid w:val="00805343"/>
    <w:rsid w:val="008054D9"/>
    <w:rsid w:val="00806688"/>
    <w:rsid w:val="00806BE2"/>
    <w:rsid w:val="00807A3E"/>
    <w:rsid w:val="00807C3E"/>
    <w:rsid w:val="00810338"/>
    <w:rsid w:val="00810C88"/>
    <w:rsid w:val="00810EF2"/>
    <w:rsid w:val="00811D38"/>
    <w:rsid w:val="00812282"/>
    <w:rsid w:val="00812DB6"/>
    <w:rsid w:val="0081374F"/>
    <w:rsid w:val="00814475"/>
    <w:rsid w:val="008148E4"/>
    <w:rsid w:val="00814DA0"/>
    <w:rsid w:val="00815193"/>
    <w:rsid w:val="00815661"/>
    <w:rsid w:val="008157F1"/>
    <w:rsid w:val="0081666D"/>
    <w:rsid w:val="008167FB"/>
    <w:rsid w:val="00816EC2"/>
    <w:rsid w:val="0081714C"/>
    <w:rsid w:val="00817F3F"/>
    <w:rsid w:val="00820936"/>
    <w:rsid w:val="008214E4"/>
    <w:rsid w:val="00822285"/>
    <w:rsid w:val="00822CB9"/>
    <w:rsid w:val="008236E1"/>
    <w:rsid w:val="00823C44"/>
    <w:rsid w:val="00824346"/>
    <w:rsid w:val="00824458"/>
    <w:rsid w:val="008249F7"/>
    <w:rsid w:val="00824B74"/>
    <w:rsid w:val="0082510D"/>
    <w:rsid w:val="00827027"/>
    <w:rsid w:val="008301B3"/>
    <w:rsid w:val="00831322"/>
    <w:rsid w:val="00831A69"/>
    <w:rsid w:val="00833F0A"/>
    <w:rsid w:val="00835443"/>
    <w:rsid w:val="008354B7"/>
    <w:rsid w:val="00835EC9"/>
    <w:rsid w:val="00836041"/>
    <w:rsid w:val="00837B70"/>
    <w:rsid w:val="00841388"/>
    <w:rsid w:val="00841630"/>
    <w:rsid w:val="00841BA5"/>
    <w:rsid w:val="00841EFB"/>
    <w:rsid w:val="00841F44"/>
    <w:rsid w:val="00842C82"/>
    <w:rsid w:val="00843542"/>
    <w:rsid w:val="008436D7"/>
    <w:rsid w:val="008440FE"/>
    <w:rsid w:val="00846119"/>
    <w:rsid w:val="00846EBB"/>
    <w:rsid w:val="008474E3"/>
    <w:rsid w:val="0084752B"/>
    <w:rsid w:val="0084797F"/>
    <w:rsid w:val="00847BA5"/>
    <w:rsid w:val="00847BD9"/>
    <w:rsid w:val="00850FD4"/>
    <w:rsid w:val="00851D90"/>
    <w:rsid w:val="00851E18"/>
    <w:rsid w:val="008527ED"/>
    <w:rsid w:val="0085378B"/>
    <w:rsid w:val="008537F7"/>
    <w:rsid w:val="008546BE"/>
    <w:rsid w:val="00854909"/>
    <w:rsid w:val="00854A45"/>
    <w:rsid w:val="00854ACF"/>
    <w:rsid w:val="00855027"/>
    <w:rsid w:val="00855651"/>
    <w:rsid w:val="008556C8"/>
    <w:rsid w:val="008557F3"/>
    <w:rsid w:val="00856074"/>
    <w:rsid w:val="0085630A"/>
    <w:rsid w:val="00857949"/>
    <w:rsid w:val="00860370"/>
    <w:rsid w:val="00860DC8"/>
    <w:rsid w:val="00861B09"/>
    <w:rsid w:val="0086344F"/>
    <w:rsid w:val="00863779"/>
    <w:rsid w:val="008664A4"/>
    <w:rsid w:val="00866A11"/>
    <w:rsid w:val="00870930"/>
    <w:rsid w:val="00870DA4"/>
    <w:rsid w:val="00870F89"/>
    <w:rsid w:val="008715B8"/>
    <w:rsid w:val="008719C2"/>
    <w:rsid w:val="00872498"/>
    <w:rsid w:val="0087277A"/>
    <w:rsid w:val="00872A47"/>
    <w:rsid w:val="00872B02"/>
    <w:rsid w:val="008736E2"/>
    <w:rsid w:val="00873A03"/>
    <w:rsid w:val="00874565"/>
    <w:rsid w:val="008749CA"/>
    <w:rsid w:val="00877247"/>
    <w:rsid w:val="008801AE"/>
    <w:rsid w:val="00880AA3"/>
    <w:rsid w:val="008811AB"/>
    <w:rsid w:val="00881916"/>
    <w:rsid w:val="0088201E"/>
    <w:rsid w:val="00882F92"/>
    <w:rsid w:val="008837D2"/>
    <w:rsid w:val="00883AB2"/>
    <w:rsid w:val="0088421C"/>
    <w:rsid w:val="0088445B"/>
    <w:rsid w:val="00885089"/>
    <w:rsid w:val="0088581F"/>
    <w:rsid w:val="008900CF"/>
    <w:rsid w:val="00890614"/>
    <w:rsid w:val="008918F5"/>
    <w:rsid w:val="00891AF6"/>
    <w:rsid w:val="00891BC3"/>
    <w:rsid w:val="0089286D"/>
    <w:rsid w:val="008937C8"/>
    <w:rsid w:val="00893C18"/>
    <w:rsid w:val="00894F0C"/>
    <w:rsid w:val="00895EC9"/>
    <w:rsid w:val="008967C4"/>
    <w:rsid w:val="00896B9A"/>
    <w:rsid w:val="00896C34"/>
    <w:rsid w:val="00897090"/>
    <w:rsid w:val="008A0D2A"/>
    <w:rsid w:val="008A1693"/>
    <w:rsid w:val="008A254F"/>
    <w:rsid w:val="008A2630"/>
    <w:rsid w:val="008A3EC8"/>
    <w:rsid w:val="008A466F"/>
    <w:rsid w:val="008A49B8"/>
    <w:rsid w:val="008A4A9E"/>
    <w:rsid w:val="008A4C1C"/>
    <w:rsid w:val="008A5790"/>
    <w:rsid w:val="008A5833"/>
    <w:rsid w:val="008A5F21"/>
    <w:rsid w:val="008A616D"/>
    <w:rsid w:val="008A7925"/>
    <w:rsid w:val="008A7E9E"/>
    <w:rsid w:val="008A7F4F"/>
    <w:rsid w:val="008B0EE3"/>
    <w:rsid w:val="008B1CD6"/>
    <w:rsid w:val="008B1FC1"/>
    <w:rsid w:val="008B21E0"/>
    <w:rsid w:val="008B3A88"/>
    <w:rsid w:val="008B42B0"/>
    <w:rsid w:val="008B4786"/>
    <w:rsid w:val="008B4BFC"/>
    <w:rsid w:val="008B4F1B"/>
    <w:rsid w:val="008B51B4"/>
    <w:rsid w:val="008B540E"/>
    <w:rsid w:val="008B5B67"/>
    <w:rsid w:val="008B5D7A"/>
    <w:rsid w:val="008B66E3"/>
    <w:rsid w:val="008B6949"/>
    <w:rsid w:val="008B7848"/>
    <w:rsid w:val="008B7E8E"/>
    <w:rsid w:val="008C0434"/>
    <w:rsid w:val="008C0BCF"/>
    <w:rsid w:val="008C1D6A"/>
    <w:rsid w:val="008C1E05"/>
    <w:rsid w:val="008C20C0"/>
    <w:rsid w:val="008C34BB"/>
    <w:rsid w:val="008C34D1"/>
    <w:rsid w:val="008C45E2"/>
    <w:rsid w:val="008C5A7D"/>
    <w:rsid w:val="008D0704"/>
    <w:rsid w:val="008D0C46"/>
    <w:rsid w:val="008D1B62"/>
    <w:rsid w:val="008D1CD7"/>
    <w:rsid w:val="008D2885"/>
    <w:rsid w:val="008D3726"/>
    <w:rsid w:val="008D475B"/>
    <w:rsid w:val="008D481C"/>
    <w:rsid w:val="008D4984"/>
    <w:rsid w:val="008D4CB0"/>
    <w:rsid w:val="008D586F"/>
    <w:rsid w:val="008D6397"/>
    <w:rsid w:val="008D6737"/>
    <w:rsid w:val="008D7226"/>
    <w:rsid w:val="008D73C9"/>
    <w:rsid w:val="008E1096"/>
    <w:rsid w:val="008E16BF"/>
    <w:rsid w:val="008E234A"/>
    <w:rsid w:val="008E3049"/>
    <w:rsid w:val="008E35A3"/>
    <w:rsid w:val="008E3D28"/>
    <w:rsid w:val="008E4206"/>
    <w:rsid w:val="008E6238"/>
    <w:rsid w:val="008E64E8"/>
    <w:rsid w:val="008E67C1"/>
    <w:rsid w:val="008E7274"/>
    <w:rsid w:val="008F0562"/>
    <w:rsid w:val="008F07C0"/>
    <w:rsid w:val="008F0DBC"/>
    <w:rsid w:val="008F260B"/>
    <w:rsid w:val="008F2E90"/>
    <w:rsid w:val="008F3A3E"/>
    <w:rsid w:val="008F4D5B"/>
    <w:rsid w:val="008F4DF9"/>
    <w:rsid w:val="008F7CC1"/>
    <w:rsid w:val="0090300F"/>
    <w:rsid w:val="009030F4"/>
    <w:rsid w:val="009032E7"/>
    <w:rsid w:val="00905170"/>
    <w:rsid w:val="00905249"/>
    <w:rsid w:val="00906781"/>
    <w:rsid w:val="00906821"/>
    <w:rsid w:val="00906B62"/>
    <w:rsid w:val="00906E65"/>
    <w:rsid w:val="009075D2"/>
    <w:rsid w:val="00907B91"/>
    <w:rsid w:val="00907EB8"/>
    <w:rsid w:val="00912745"/>
    <w:rsid w:val="009128A4"/>
    <w:rsid w:val="00912E71"/>
    <w:rsid w:val="00912E74"/>
    <w:rsid w:val="009133AC"/>
    <w:rsid w:val="009141C6"/>
    <w:rsid w:val="009144D5"/>
    <w:rsid w:val="00914DA3"/>
    <w:rsid w:val="00915F98"/>
    <w:rsid w:val="00915FA3"/>
    <w:rsid w:val="0091621E"/>
    <w:rsid w:val="00920100"/>
    <w:rsid w:val="009201F3"/>
    <w:rsid w:val="00920D50"/>
    <w:rsid w:val="009211C1"/>
    <w:rsid w:val="009217F8"/>
    <w:rsid w:val="00921983"/>
    <w:rsid w:val="009231F9"/>
    <w:rsid w:val="0092470E"/>
    <w:rsid w:val="00925187"/>
    <w:rsid w:val="0092542B"/>
    <w:rsid w:val="0092643A"/>
    <w:rsid w:val="00926E00"/>
    <w:rsid w:val="0092709C"/>
    <w:rsid w:val="0092717F"/>
    <w:rsid w:val="009271E1"/>
    <w:rsid w:val="00927744"/>
    <w:rsid w:val="00927B05"/>
    <w:rsid w:val="00930F4E"/>
    <w:rsid w:val="0093106F"/>
    <w:rsid w:val="00931D60"/>
    <w:rsid w:val="009328F4"/>
    <w:rsid w:val="00933307"/>
    <w:rsid w:val="009333C5"/>
    <w:rsid w:val="009344A4"/>
    <w:rsid w:val="00934E8C"/>
    <w:rsid w:val="00935B03"/>
    <w:rsid w:val="00936062"/>
    <w:rsid w:val="00936DE5"/>
    <w:rsid w:val="009374D4"/>
    <w:rsid w:val="00937894"/>
    <w:rsid w:val="00937BE4"/>
    <w:rsid w:val="00937CBE"/>
    <w:rsid w:val="00937F56"/>
    <w:rsid w:val="00940458"/>
    <w:rsid w:val="00942398"/>
    <w:rsid w:val="0094342A"/>
    <w:rsid w:val="009438B0"/>
    <w:rsid w:val="00944087"/>
    <w:rsid w:val="00944E74"/>
    <w:rsid w:val="00946CAB"/>
    <w:rsid w:val="00946F23"/>
    <w:rsid w:val="00947E9E"/>
    <w:rsid w:val="0095012E"/>
    <w:rsid w:val="009502E4"/>
    <w:rsid w:val="00950A2C"/>
    <w:rsid w:val="00950B50"/>
    <w:rsid w:val="0095141B"/>
    <w:rsid w:val="00951934"/>
    <w:rsid w:val="0095194A"/>
    <w:rsid w:val="0095207B"/>
    <w:rsid w:val="00954C8C"/>
    <w:rsid w:val="00955B19"/>
    <w:rsid w:val="009563C8"/>
    <w:rsid w:val="00956ACE"/>
    <w:rsid w:val="009572A0"/>
    <w:rsid w:val="00957D24"/>
    <w:rsid w:val="00960DCF"/>
    <w:rsid w:val="00961B53"/>
    <w:rsid w:val="00961C1A"/>
    <w:rsid w:val="00961E99"/>
    <w:rsid w:val="00962180"/>
    <w:rsid w:val="00963264"/>
    <w:rsid w:val="0096389D"/>
    <w:rsid w:val="00964A16"/>
    <w:rsid w:val="00964E21"/>
    <w:rsid w:val="00965674"/>
    <w:rsid w:val="00965AEF"/>
    <w:rsid w:val="00966C5F"/>
    <w:rsid w:val="009676C0"/>
    <w:rsid w:val="009678B9"/>
    <w:rsid w:val="009679F5"/>
    <w:rsid w:val="00971396"/>
    <w:rsid w:val="00971E34"/>
    <w:rsid w:val="0097229D"/>
    <w:rsid w:val="009748CF"/>
    <w:rsid w:val="00975448"/>
    <w:rsid w:val="00976BE8"/>
    <w:rsid w:val="00977D90"/>
    <w:rsid w:val="0098037C"/>
    <w:rsid w:val="009803A9"/>
    <w:rsid w:val="009803CB"/>
    <w:rsid w:val="009803D4"/>
    <w:rsid w:val="009807A2"/>
    <w:rsid w:val="0098181E"/>
    <w:rsid w:val="0098199C"/>
    <w:rsid w:val="00982E80"/>
    <w:rsid w:val="00983060"/>
    <w:rsid w:val="00984D63"/>
    <w:rsid w:val="00985C63"/>
    <w:rsid w:val="00986384"/>
    <w:rsid w:val="00986668"/>
    <w:rsid w:val="00986A2A"/>
    <w:rsid w:val="009873F3"/>
    <w:rsid w:val="009908E8"/>
    <w:rsid w:val="0099156E"/>
    <w:rsid w:val="00991A7E"/>
    <w:rsid w:val="00992C0B"/>
    <w:rsid w:val="00992FC1"/>
    <w:rsid w:val="009930ED"/>
    <w:rsid w:val="00994107"/>
    <w:rsid w:val="0099455E"/>
    <w:rsid w:val="009958DD"/>
    <w:rsid w:val="00995E98"/>
    <w:rsid w:val="00996E36"/>
    <w:rsid w:val="00996F15"/>
    <w:rsid w:val="00997BA8"/>
    <w:rsid w:val="00997DF7"/>
    <w:rsid w:val="009A0400"/>
    <w:rsid w:val="009A06A5"/>
    <w:rsid w:val="009A06F4"/>
    <w:rsid w:val="009A0D89"/>
    <w:rsid w:val="009A0EA1"/>
    <w:rsid w:val="009A17C0"/>
    <w:rsid w:val="009A33F6"/>
    <w:rsid w:val="009A3778"/>
    <w:rsid w:val="009A3E2E"/>
    <w:rsid w:val="009A41E6"/>
    <w:rsid w:val="009A4949"/>
    <w:rsid w:val="009A4DB1"/>
    <w:rsid w:val="009A5224"/>
    <w:rsid w:val="009A5DDA"/>
    <w:rsid w:val="009A66B0"/>
    <w:rsid w:val="009A6C90"/>
    <w:rsid w:val="009A7782"/>
    <w:rsid w:val="009A7F34"/>
    <w:rsid w:val="009B07B8"/>
    <w:rsid w:val="009B123B"/>
    <w:rsid w:val="009B2245"/>
    <w:rsid w:val="009B2555"/>
    <w:rsid w:val="009B258E"/>
    <w:rsid w:val="009B3511"/>
    <w:rsid w:val="009B394F"/>
    <w:rsid w:val="009B481A"/>
    <w:rsid w:val="009B5997"/>
    <w:rsid w:val="009B5A6C"/>
    <w:rsid w:val="009B5C90"/>
    <w:rsid w:val="009B610F"/>
    <w:rsid w:val="009B69D9"/>
    <w:rsid w:val="009B6B23"/>
    <w:rsid w:val="009B7ABD"/>
    <w:rsid w:val="009B7E2F"/>
    <w:rsid w:val="009C038B"/>
    <w:rsid w:val="009C0A72"/>
    <w:rsid w:val="009C1D27"/>
    <w:rsid w:val="009C3BD9"/>
    <w:rsid w:val="009C466C"/>
    <w:rsid w:val="009C4F7F"/>
    <w:rsid w:val="009C56DB"/>
    <w:rsid w:val="009C5B82"/>
    <w:rsid w:val="009C756E"/>
    <w:rsid w:val="009C78DA"/>
    <w:rsid w:val="009C7C0A"/>
    <w:rsid w:val="009C7D94"/>
    <w:rsid w:val="009D1500"/>
    <w:rsid w:val="009D2159"/>
    <w:rsid w:val="009D21BE"/>
    <w:rsid w:val="009D23DA"/>
    <w:rsid w:val="009D3C3D"/>
    <w:rsid w:val="009D5288"/>
    <w:rsid w:val="009D6538"/>
    <w:rsid w:val="009D69AE"/>
    <w:rsid w:val="009D6D07"/>
    <w:rsid w:val="009D72C6"/>
    <w:rsid w:val="009D7CAE"/>
    <w:rsid w:val="009D7F18"/>
    <w:rsid w:val="009E0BEA"/>
    <w:rsid w:val="009E113E"/>
    <w:rsid w:val="009E2AD3"/>
    <w:rsid w:val="009E3A32"/>
    <w:rsid w:val="009E3BAB"/>
    <w:rsid w:val="009E4425"/>
    <w:rsid w:val="009E47E5"/>
    <w:rsid w:val="009E4D25"/>
    <w:rsid w:val="009E5849"/>
    <w:rsid w:val="009E6016"/>
    <w:rsid w:val="009E644D"/>
    <w:rsid w:val="009E7473"/>
    <w:rsid w:val="009E7FEF"/>
    <w:rsid w:val="009F018A"/>
    <w:rsid w:val="009F0FD8"/>
    <w:rsid w:val="009F146F"/>
    <w:rsid w:val="009F1561"/>
    <w:rsid w:val="009F16E1"/>
    <w:rsid w:val="009F2969"/>
    <w:rsid w:val="009F30EF"/>
    <w:rsid w:val="009F3696"/>
    <w:rsid w:val="009F3C75"/>
    <w:rsid w:val="009F44D9"/>
    <w:rsid w:val="009F5BA0"/>
    <w:rsid w:val="009F6308"/>
    <w:rsid w:val="009F684F"/>
    <w:rsid w:val="009F6EB5"/>
    <w:rsid w:val="009F76FD"/>
    <w:rsid w:val="00A0037E"/>
    <w:rsid w:val="00A00531"/>
    <w:rsid w:val="00A01087"/>
    <w:rsid w:val="00A01303"/>
    <w:rsid w:val="00A0275C"/>
    <w:rsid w:val="00A02C4F"/>
    <w:rsid w:val="00A04A09"/>
    <w:rsid w:val="00A04CC6"/>
    <w:rsid w:val="00A04FE1"/>
    <w:rsid w:val="00A05275"/>
    <w:rsid w:val="00A05821"/>
    <w:rsid w:val="00A05B88"/>
    <w:rsid w:val="00A05D1B"/>
    <w:rsid w:val="00A05D1D"/>
    <w:rsid w:val="00A05EA2"/>
    <w:rsid w:val="00A076CC"/>
    <w:rsid w:val="00A1032E"/>
    <w:rsid w:val="00A10AED"/>
    <w:rsid w:val="00A10C63"/>
    <w:rsid w:val="00A1165C"/>
    <w:rsid w:val="00A11DD4"/>
    <w:rsid w:val="00A125D6"/>
    <w:rsid w:val="00A12867"/>
    <w:rsid w:val="00A12D2D"/>
    <w:rsid w:val="00A13959"/>
    <w:rsid w:val="00A1435F"/>
    <w:rsid w:val="00A14476"/>
    <w:rsid w:val="00A14E53"/>
    <w:rsid w:val="00A15580"/>
    <w:rsid w:val="00A158C7"/>
    <w:rsid w:val="00A16449"/>
    <w:rsid w:val="00A17AC0"/>
    <w:rsid w:val="00A200FB"/>
    <w:rsid w:val="00A213E6"/>
    <w:rsid w:val="00A2243E"/>
    <w:rsid w:val="00A22581"/>
    <w:rsid w:val="00A22EFC"/>
    <w:rsid w:val="00A234E7"/>
    <w:rsid w:val="00A23513"/>
    <w:rsid w:val="00A23C83"/>
    <w:rsid w:val="00A2504E"/>
    <w:rsid w:val="00A25F59"/>
    <w:rsid w:val="00A26389"/>
    <w:rsid w:val="00A26800"/>
    <w:rsid w:val="00A26A26"/>
    <w:rsid w:val="00A26C2E"/>
    <w:rsid w:val="00A27920"/>
    <w:rsid w:val="00A27ED5"/>
    <w:rsid w:val="00A303B8"/>
    <w:rsid w:val="00A303C9"/>
    <w:rsid w:val="00A309AC"/>
    <w:rsid w:val="00A319F4"/>
    <w:rsid w:val="00A32233"/>
    <w:rsid w:val="00A333F1"/>
    <w:rsid w:val="00A34735"/>
    <w:rsid w:val="00A35797"/>
    <w:rsid w:val="00A361C3"/>
    <w:rsid w:val="00A411FA"/>
    <w:rsid w:val="00A41986"/>
    <w:rsid w:val="00A427AE"/>
    <w:rsid w:val="00A430FE"/>
    <w:rsid w:val="00A43755"/>
    <w:rsid w:val="00A439E8"/>
    <w:rsid w:val="00A43CBC"/>
    <w:rsid w:val="00A43FD3"/>
    <w:rsid w:val="00A44493"/>
    <w:rsid w:val="00A44498"/>
    <w:rsid w:val="00A44C9D"/>
    <w:rsid w:val="00A44DF6"/>
    <w:rsid w:val="00A44EC1"/>
    <w:rsid w:val="00A454B3"/>
    <w:rsid w:val="00A45602"/>
    <w:rsid w:val="00A45E52"/>
    <w:rsid w:val="00A45F1A"/>
    <w:rsid w:val="00A46652"/>
    <w:rsid w:val="00A46D15"/>
    <w:rsid w:val="00A46D9D"/>
    <w:rsid w:val="00A4713D"/>
    <w:rsid w:val="00A474FD"/>
    <w:rsid w:val="00A47798"/>
    <w:rsid w:val="00A47D36"/>
    <w:rsid w:val="00A5283D"/>
    <w:rsid w:val="00A52C41"/>
    <w:rsid w:val="00A52E84"/>
    <w:rsid w:val="00A5323B"/>
    <w:rsid w:val="00A5376B"/>
    <w:rsid w:val="00A54D2B"/>
    <w:rsid w:val="00A54FB4"/>
    <w:rsid w:val="00A55F74"/>
    <w:rsid w:val="00A568C1"/>
    <w:rsid w:val="00A56DE0"/>
    <w:rsid w:val="00A57569"/>
    <w:rsid w:val="00A57B9B"/>
    <w:rsid w:val="00A60360"/>
    <w:rsid w:val="00A60363"/>
    <w:rsid w:val="00A60532"/>
    <w:rsid w:val="00A607F4"/>
    <w:rsid w:val="00A63C18"/>
    <w:rsid w:val="00A64541"/>
    <w:rsid w:val="00A6578A"/>
    <w:rsid w:val="00A65C4A"/>
    <w:rsid w:val="00A66199"/>
    <w:rsid w:val="00A662DC"/>
    <w:rsid w:val="00A6741B"/>
    <w:rsid w:val="00A67835"/>
    <w:rsid w:val="00A67934"/>
    <w:rsid w:val="00A67AB1"/>
    <w:rsid w:val="00A70889"/>
    <w:rsid w:val="00A70ABD"/>
    <w:rsid w:val="00A71A33"/>
    <w:rsid w:val="00A7201A"/>
    <w:rsid w:val="00A73303"/>
    <w:rsid w:val="00A73E2C"/>
    <w:rsid w:val="00A73F5B"/>
    <w:rsid w:val="00A74226"/>
    <w:rsid w:val="00A742C2"/>
    <w:rsid w:val="00A744DF"/>
    <w:rsid w:val="00A7500A"/>
    <w:rsid w:val="00A757B0"/>
    <w:rsid w:val="00A7614B"/>
    <w:rsid w:val="00A776A4"/>
    <w:rsid w:val="00A8049D"/>
    <w:rsid w:val="00A80668"/>
    <w:rsid w:val="00A81996"/>
    <w:rsid w:val="00A81AA0"/>
    <w:rsid w:val="00A822C2"/>
    <w:rsid w:val="00A82990"/>
    <w:rsid w:val="00A8481A"/>
    <w:rsid w:val="00A84915"/>
    <w:rsid w:val="00A85C0F"/>
    <w:rsid w:val="00A8694D"/>
    <w:rsid w:val="00A90401"/>
    <w:rsid w:val="00A921E3"/>
    <w:rsid w:val="00A93833"/>
    <w:rsid w:val="00A939BC"/>
    <w:rsid w:val="00A948DF"/>
    <w:rsid w:val="00A94D20"/>
    <w:rsid w:val="00A94DF5"/>
    <w:rsid w:val="00A9752B"/>
    <w:rsid w:val="00AA0616"/>
    <w:rsid w:val="00AA0E05"/>
    <w:rsid w:val="00AA1C95"/>
    <w:rsid w:val="00AA2461"/>
    <w:rsid w:val="00AA2865"/>
    <w:rsid w:val="00AA3A9B"/>
    <w:rsid w:val="00AA3BF1"/>
    <w:rsid w:val="00AA5410"/>
    <w:rsid w:val="00AB21C6"/>
    <w:rsid w:val="00AB2841"/>
    <w:rsid w:val="00AB37C8"/>
    <w:rsid w:val="00AB3D61"/>
    <w:rsid w:val="00AB59F2"/>
    <w:rsid w:val="00AB5DBD"/>
    <w:rsid w:val="00AB6B3A"/>
    <w:rsid w:val="00AB7FB1"/>
    <w:rsid w:val="00AC047B"/>
    <w:rsid w:val="00AC2171"/>
    <w:rsid w:val="00AC23DC"/>
    <w:rsid w:val="00AC404F"/>
    <w:rsid w:val="00AC46C7"/>
    <w:rsid w:val="00AC4F94"/>
    <w:rsid w:val="00AC6F7D"/>
    <w:rsid w:val="00AC720A"/>
    <w:rsid w:val="00AC7482"/>
    <w:rsid w:val="00AC7F92"/>
    <w:rsid w:val="00AD02AF"/>
    <w:rsid w:val="00AD0B51"/>
    <w:rsid w:val="00AD106C"/>
    <w:rsid w:val="00AD2117"/>
    <w:rsid w:val="00AD3895"/>
    <w:rsid w:val="00AD3B07"/>
    <w:rsid w:val="00AD481B"/>
    <w:rsid w:val="00AD5558"/>
    <w:rsid w:val="00AD60EA"/>
    <w:rsid w:val="00AD67D4"/>
    <w:rsid w:val="00AD7851"/>
    <w:rsid w:val="00AE00CE"/>
    <w:rsid w:val="00AE112E"/>
    <w:rsid w:val="00AE1227"/>
    <w:rsid w:val="00AE2968"/>
    <w:rsid w:val="00AE3324"/>
    <w:rsid w:val="00AE3BF3"/>
    <w:rsid w:val="00AE4331"/>
    <w:rsid w:val="00AE614D"/>
    <w:rsid w:val="00AE668F"/>
    <w:rsid w:val="00AE7489"/>
    <w:rsid w:val="00AE75CC"/>
    <w:rsid w:val="00AE7849"/>
    <w:rsid w:val="00AE7977"/>
    <w:rsid w:val="00AF02E1"/>
    <w:rsid w:val="00AF0657"/>
    <w:rsid w:val="00AF1608"/>
    <w:rsid w:val="00AF1F10"/>
    <w:rsid w:val="00AF3AEA"/>
    <w:rsid w:val="00AF3D03"/>
    <w:rsid w:val="00AF3D39"/>
    <w:rsid w:val="00AF460C"/>
    <w:rsid w:val="00AF497B"/>
    <w:rsid w:val="00AF59B9"/>
    <w:rsid w:val="00AF6A4C"/>
    <w:rsid w:val="00AF78E2"/>
    <w:rsid w:val="00AF7E6D"/>
    <w:rsid w:val="00B00456"/>
    <w:rsid w:val="00B01CF8"/>
    <w:rsid w:val="00B02183"/>
    <w:rsid w:val="00B023FD"/>
    <w:rsid w:val="00B047C2"/>
    <w:rsid w:val="00B04CB1"/>
    <w:rsid w:val="00B05635"/>
    <w:rsid w:val="00B06375"/>
    <w:rsid w:val="00B07620"/>
    <w:rsid w:val="00B111B3"/>
    <w:rsid w:val="00B11287"/>
    <w:rsid w:val="00B1257C"/>
    <w:rsid w:val="00B12AE6"/>
    <w:rsid w:val="00B1314F"/>
    <w:rsid w:val="00B14A8A"/>
    <w:rsid w:val="00B151CF"/>
    <w:rsid w:val="00B15281"/>
    <w:rsid w:val="00B15DF3"/>
    <w:rsid w:val="00B16A83"/>
    <w:rsid w:val="00B175BC"/>
    <w:rsid w:val="00B17BF1"/>
    <w:rsid w:val="00B17C0A"/>
    <w:rsid w:val="00B20445"/>
    <w:rsid w:val="00B20B7A"/>
    <w:rsid w:val="00B211A8"/>
    <w:rsid w:val="00B2258A"/>
    <w:rsid w:val="00B23A73"/>
    <w:rsid w:val="00B247AD"/>
    <w:rsid w:val="00B25D05"/>
    <w:rsid w:val="00B26622"/>
    <w:rsid w:val="00B26669"/>
    <w:rsid w:val="00B26AAE"/>
    <w:rsid w:val="00B26BCD"/>
    <w:rsid w:val="00B26E7A"/>
    <w:rsid w:val="00B276B4"/>
    <w:rsid w:val="00B303F6"/>
    <w:rsid w:val="00B307B7"/>
    <w:rsid w:val="00B32F97"/>
    <w:rsid w:val="00B33E66"/>
    <w:rsid w:val="00B3460F"/>
    <w:rsid w:val="00B34B08"/>
    <w:rsid w:val="00B35568"/>
    <w:rsid w:val="00B36028"/>
    <w:rsid w:val="00B36224"/>
    <w:rsid w:val="00B363D7"/>
    <w:rsid w:val="00B3752D"/>
    <w:rsid w:val="00B37EF2"/>
    <w:rsid w:val="00B40064"/>
    <w:rsid w:val="00B41302"/>
    <w:rsid w:val="00B41400"/>
    <w:rsid w:val="00B41D55"/>
    <w:rsid w:val="00B43AF3"/>
    <w:rsid w:val="00B43C6C"/>
    <w:rsid w:val="00B441B1"/>
    <w:rsid w:val="00B4521F"/>
    <w:rsid w:val="00B45A7D"/>
    <w:rsid w:val="00B46180"/>
    <w:rsid w:val="00B50A44"/>
    <w:rsid w:val="00B524BF"/>
    <w:rsid w:val="00B524F1"/>
    <w:rsid w:val="00B54DE7"/>
    <w:rsid w:val="00B55524"/>
    <w:rsid w:val="00B562EC"/>
    <w:rsid w:val="00B569DF"/>
    <w:rsid w:val="00B56B12"/>
    <w:rsid w:val="00B56D53"/>
    <w:rsid w:val="00B575BF"/>
    <w:rsid w:val="00B57FCA"/>
    <w:rsid w:val="00B61031"/>
    <w:rsid w:val="00B6104F"/>
    <w:rsid w:val="00B612EA"/>
    <w:rsid w:val="00B61B03"/>
    <w:rsid w:val="00B61C66"/>
    <w:rsid w:val="00B62604"/>
    <w:rsid w:val="00B626B5"/>
    <w:rsid w:val="00B62CB3"/>
    <w:rsid w:val="00B62DF2"/>
    <w:rsid w:val="00B62EFB"/>
    <w:rsid w:val="00B63874"/>
    <w:rsid w:val="00B64102"/>
    <w:rsid w:val="00B64230"/>
    <w:rsid w:val="00B66A87"/>
    <w:rsid w:val="00B70001"/>
    <w:rsid w:val="00B7082C"/>
    <w:rsid w:val="00B70A51"/>
    <w:rsid w:val="00B70E82"/>
    <w:rsid w:val="00B712D0"/>
    <w:rsid w:val="00B715DA"/>
    <w:rsid w:val="00B72189"/>
    <w:rsid w:val="00B72685"/>
    <w:rsid w:val="00B731FD"/>
    <w:rsid w:val="00B7521C"/>
    <w:rsid w:val="00B757E5"/>
    <w:rsid w:val="00B759ED"/>
    <w:rsid w:val="00B75B5C"/>
    <w:rsid w:val="00B76078"/>
    <w:rsid w:val="00B77290"/>
    <w:rsid w:val="00B80D53"/>
    <w:rsid w:val="00B81C5A"/>
    <w:rsid w:val="00B81D5C"/>
    <w:rsid w:val="00B81F38"/>
    <w:rsid w:val="00B82CBF"/>
    <w:rsid w:val="00B82E37"/>
    <w:rsid w:val="00B83ADC"/>
    <w:rsid w:val="00B83B62"/>
    <w:rsid w:val="00B842B5"/>
    <w:rsid w:val="00B84BD3"/>
    <w:rsid w:val="00B8535F"/>
    <w:rsid w:val="00B85618"/>
    <w:rsid w:val="00B85814"/>
    <w:rsid w:val="00B85E9C"/>
    <w:rsid w:val="00B87698"/>
    <w:rsid w:val="00B878CD"/>
    <w:rsid w:val="00B87C15"/>
    <w:rsid w:val="00B90DC5"/>
    <w:rsid w:val="00B91CB1"/>
    <w:rsid w:val="00B9249B"/>
    <w:rsid w:val="00B9255B"/>
    <w:rsid w:val="00B92766"/>
    <w:rsid w:val="00B934A8"/>
    <w:rsid w:val="00B93792"/>
    <w:rsid w:val="00B948F6"/>
    <w:rsid w:val="00B9536C"/>
    <w:rsid w:val="00B95A39"/>
    <w:rsid w:val="00B95FE7"/>
    <w:rsid w:val="00B97BE8"/>
    <w:rsid w:val="00BA057E"/>
    <w:rsid w:val="00BA1AB0"/>
    <w:rsid w:val="00BA1FFB"/>
    <w:rsid w:val="00BA2B3F"/>
    <w:rsid w:val="00BA3733"/>
    <w:rsid w:val="00BA4E45"/>
    <w:rsid w:val="00BA59FB"/>
    <w:rsid w:val="00BA5AD6"/>
    <w:rsid w:val="00BA6E98"/>
    <w:rsid w:val="00BA76A1"/>
    <w:rsid w:val="00BA7A53"/>
    <w:rsid w:val="00BB01C1"/>
    <w:rsid w:val="00BB0386"/>
    <w:rsid w:val="00BB0AC0"/>
    <w:rsid w:val="00BB149B"/>
    <w:rsid w:val="00BB14A3"/>
    <w:rsid w:val="00BB1A77"/>
    <w:rsid w:val="00BB66BC"/>
    <w:rsid w:val="00BB776B"/>
    <w:rsid w:val="00BC15DE"/>
    <w:rsid w:val="00BC17C8"/>
    <w:rsid w:val="00BC20AE"/>
    <w:rsid w:val="00BC2935"/>
    <w:rsid w:val="00BC33EA"/>
    <w:rsid w:val="00BC369C"/>
    <w:rsid w:val="00BC393C"/>
    <w:rsid w:val="00BC4267"/>
    <w:rsid w:val="00BC4972"/>
    <w:rsid w:val="00BC4DD1"/>
    <w:rsid w:val="00BC6897"/>
    <w:rsid w:val="00BC763B"/>
    <w:rsid w:val="00BC7D63"/>
    <w:rsid w:val="00BD0DB1"/>
    <w:rsid w:val="00BD1B8D"/>
    <w:rsid w:val="00BD320B"/>
    <w:rsid w:val="00BD33D4"/>
    <w:rsid w:val="00BD40B1"/>
    <w:rsid w:val="00BD48F0"/>
    <w:rsid w:val="00BD5606"/>
    <w:rsid w:val="00BD5DCE"/>
    <w:rsid w:val="00BD6AB2"/>
    <w:rsid w:val="00BD6D93"/>
    <w:rsid w:val="00BD7F30"/>
    <w:rsid w:val="00BE0073"/>
    <w:rsid w:val="00BE27CD"/>
    <w:rsid w:val="00BE28AB"/>
    <w:rsid w:val="00BE2ECB"/>
    <w:rsid w:val="00BE3CAA"/>
    <w:rsid w:val="00BE3F3B"/>
    <w:rsid w:val="00BE47BF"/>
    <w:rsid w:val="00BE5374"/>
    <w:rsid w:val="00BE627A"/>
    <w:rsid w:val="00BE6CE8"/>
    <w:rsid w:val="00BE76DB"/>
    <w:rsid w:val="00BF04D9"/>
    <w:rsid w:val="00BF0F6F"/>
    <w:rsid w:val="00BF17EB"/>
    <w:rsid w:val="00BF1803"/>
    <w:rsid w:val="00BF28BD"/>
    <w:rsid w:val="00BF3149"/>
    <w:rsid w:val="00BF45C4"/>
    <w:rsid w:val="00BF46CC"/>
    <w:rsid w:val="00BF64D8"/>
    <w:rsid w:val="00BF652D"/>
    <w:rsid w:val="00BF6AD3"/>
    <w:rsid w:val="00BF7597"/>
    <w:rsid w:val="00BF7C1B"/>
    <w:rsid w:val="00BF7C54"/>
    <w:rsid w:val="00C004D8"/>
    <w:rsid w:val="00C00EEE"/>
    <w:rsid w:val="00C01CAA"/>
    <w:rsid w:val="00C01D5F"/>
    <w:rsid w:val="00C0274A"/>
    <w:rsid w:val="00C0332F"/>
    <w:rsid w:val="00C0345A"/>
    <w:rsid w:val="00C03511"/>
    <w:rsid w:val="00C04C3A"/>
    <w:rsid w:val="00C04CA7"/>
    <w:rsid w:val="00C0566F"/>
    <w:rsid w:val="00C05700"/>
    <w:rsid w:val="00C05E1C"/>
    <w:rsid w:val="00C06F0A"/>
    <w:rsid w:val="00C0747F"/>
    <w:rsid w:val="00C074CD"/>
    <w:rsid w:val="00C07722"/>
    <w:rsid w:val="00C10320"/>
    <w:rsid w:val="00C1069A"/>
    <w:rsid w:val="00C107C3"/>
    <w:rsid w:val="00C1152A"/>
    <w:rsid w:val="00C11694"/>
    <w:rsid w:val="00C11902"/>
    <w:rsid w:val="00C13520"/>
    <w:rsid w:val="00C1450D"/>
    <w:rsid w:val="00C14F9B"/>
    <w:rsid w:val="00C14FAB"/>
    <w:rsid w:val="00C15204"/>
    <w:rsid w:val="00C15F2B"/>
    <w:rsid w:val="00C15F42"/>
    <w:rsid w:val="00C1610B"/>
    <w:rsid w:val="00C1611D"/>
    <w:rsid w:val="00C16C9A"/>
    <w:rsid w:val="00C17260"/>
    <w:rsid w:val="00C175E4"/>
    <w:rsid w:val="00C20C5A"/>
    <w:rsid w:val="00C2117E"/>
    <w:rsid w:val="00C21A95"/>
    <w:rsid w:val="00C221F0"/>
    <w:rsid w:val="00C22575"/>
    <w:rsid w:val="00C22F3F"/>
    <w:rsid w:val="00C230F2"/>
    <w:rsid w:val="00C232E0"/>
    <w:rsid w:val="00C23E61"/>
    <w:rsid w:val="00C24B5E"/>
    <w:rsid w:val="00C25140"/>
    <w:rsid w:val="00C2534F"/>
    <w:rsid w:val="00C254BC"/>
    <w:rsid w:val="00C25828"/>
    <w:rsid w:val="00C25D58"/>
    <w:rsid w:val="00C26A1C"/>
    <w:rsid w:val="00C27544"/>
    <w:rsid w:val="00C30058"/>
    <w:rsid w:val="00C31079"/>
    <w:rsid w:val="00C317A2"/>
    <w:rsid w:val="00C3216C"/>
    <w:rsid w:val="00C33315"/>
    <w:rsid w:val="00C33469"/>
    <w:rsid w:val="00C343FC"/>
    <w:rsid w:val="00C35F08"/>
    <w:rsid w:val="00C35F81"/>
    <w:rsid w:val="00C360A9"/>
    <w:rsid w:val="00C3651F"/>
    <w:rsid w:val="00C36633"/>
    <w:rsid w:val="00C36BCA"/>
    <w:rsid w:val="00C36E9D"/>
    <w:rsid w:val="00C37C86"/>
    <w:rsid w:val="00C401E4"/>
    <w:rsid w:val="00C40455"/>
    <w:rsid w:val="00C412B1"/>
    <w:rsid w:val="00C4152F"/>
    <w:rsid w:val="00C4172B"/>
    <w:rsid w:val="00C424A6"/>
    <w:rsid w:val="00C429F4"/>
    <w:rsid w:val="00C42A5F"/>
    <w:rsid w:val="00C4436C"/>
    <w:rsid w:val="00C44CB3"/>
    <w:rsid w:val="00C455CF"/>
    <w:rsid w:val="00C461B2"/>
    <w:rsid w:val="00C46513"/>
    <w:rsid w:val="00C47879"/>
    <w:rsid w:val="00C47C8E"/>
    <w:rsid w:val="00C5093F"/>
    <w:rsid w:val="00C52FD1"/>
    <w:rsid w:val="00C5359B"/>
    <w:rsid w:val="00C53AF7"/>
    <w:rsid w:val="00C554B5"/>
    <w:rsid w:val="00C555B7"/>
    <w:rsid w:val="00C55D5D"/>
    <w:rsid w:val="00C55DA5"/>
    <w:rsid w:val="00C56062"/>
    <w:rsid w:val="00C56D3F"/>
    <w:rsid w:val="00C56E3B"/>
    <w:rsid w:val="00C56EF2"/>
    <w:rsid w:val="00C570A6"/>
    <w:rsid w:val="00C579F3"/>
    <w:rsid w:val="00C57EC1"/>
    <w:rsid w:val="00C57F78"/>
    <w:rsid w:val="00C600B3"/>
    <w:rsid w:val="00C60DE1"/>
    <w:rsid w:val="00C61464"/>
    <w:rsid w:val="00C628BD"/>
    <w:rsid w:val="00C6394D"/>
    <w:rsid w:val="00C674C1"/>
    <w:rsid w:val="00C67E8E"/>
    <w:rsid w:val="00C67FCC"/>
    <w:rsid w:val="00C71705"/>
    <w:rsid w:val="00C72177"/>
    <w:rsid w:val="00C72CB2"/>
    <w:rsid w:val="00C73462"/>
    <w:rsid w:val="00C736C0"/>
    <w:rsid w:val="00C74979"/>
    <w:rsid w:val="00C74B8C"/>
    <w:rsid w:val="00C752C9"/>
    <w:rsid w:val="00C8026F"/>
    <w:rsid w:val="00C809AE"/>
    <w:rsid w:val="00C80D61"/>
    <w:rsid w:val="00C81314"/>
    <w:rsid w:val="00C81606"/>
    <w:rsid w:val="00C8268F"/>
    <w:rsid w:val="00C82F49"/>
    <w:rsid w:val="00C83535"/>
    <w:rsid w:val="00C83D84"/>
    <w:rsid w:val="00C84189"/>
    <w:rsid w:val="00C843F6"/>
    <w:rsid w:val="00C86C16"/>
    <w:rsid w:val="00C86C44"/>
    <w:rsid w:val="00C86E5F"/>
    <w:rsid w:val="00C87436"/>
    <w:rsid w:val="00C877AA"/>
    <w:rsid w:val="00C87EB4"/>
    <w:rsid w:val="00C87F4D"/>
    <w:rsid w:val="00C87FB6"/>
    <w:rsid w:val="00C90312"/>
    <w:rsid w:val="00C905C8"/>
    <w:rsid w:val="00C91651"/>
    <w:rsid w:val="00C917A4"/>
    <w:rsid w:val="00C91D4E"/>
    <w:rsid w:val="00C91E56"/>
    <w:rsid w:val="00C922A2"/>
    <w:rsid w:val="00C92435"/>
    <w:rsid w:val="00C9284E"/>
    <w:rsid w:val="00C92D06"/>
    <w:rsid w:val="00C937E2"/>
    <w:rsid w:val="00C93E07"/>
    <w:rsid w:val="00C9406E"/>
    <w:rsid w:val="00C9471F"/>
    <w:rsid w:val="00C94CB5"/>
    <w:rsid w:val="00C95837"/>
    <w:rsid w:val="00C960F6"/>
    <w:rsid w:val="00C96552"/>
    <w:rsid w:val="00C969C4"/>
    <w:rsid w:val="00C97CEE"/>
    <w:rsid w:val="00CA0D9D"/>
    <w:rsid w:val="00CA1DB9"/>
    <w:rsid w:val="00CA26EA"/>
    <w:rsid w:val="00CA2F07"/>
    <w:rsid w:val="00CA2FB2"/>
    <w:rsid w:val="00CA3451"/>
    <w:rsid w:val="00CA3D3A"/>
    <w:rsid w:val="00CA4034"/>
    <w:rsid w:val="00CA42D6"/>
    <w:rsid w:val="00CA528A"/>
    <w:rsid w:val="00CA72C0"/>
    <w:rsid w:val="00CA76B6"/>
    <w:rsid w:val="00CA7E15"/>
    <w:rsid w:val="00CB04DF"/>
    <w:rsid w:val="00CB0683"/>
    <w:rsid w:val="00CB0BE4"/>
    <w:rsid w:val="00CB0F99"/>
    <w:rsid w:val="00CB15E9"/>
    <w:rsid w:val="00CB1F29"/>
    <w:rsid w:val="00CB299C"/>
    <w:rsid w:val="00CB2BD5"/>
    <w:rsid w:val="00CB3E63"/>
    <w:rsid w:val="00CB5C55"/>
    <w:rsid w:val="00CB5CCA"/>
    <w:rsid w:val="00CB69EA"/>
    <w:rsid w:val="00CB6EA8"/>
    <w:rsid w:val="00CB795D"/>
    <w:rsid w:val="00CB7C87"/>
    <w:rsid w:val="00CC058E"/>
    <w:rsid w:val="00CC0727"/>
    <w:rsid w:val="00CC16E3"/>
    <w:rsid w:val="00CC1D1A"/>
    <w:rsid w:val="00CC29CF"/>
    <w:rsid w:val="00CC499E"/>
    <w:rsid w:val="00CC4E32"/>
    <w:rsid w:val="00CC5956"/>
    <w:rsid w:val="00CC6260"/>
    <w:rsid w:val="00CC68D7"/>
    <w:rsid w:val="00CC6C52"/>
    <w:rsid w:val="00CC7490"/>
    <w:rsid w:val="00CC7B8F"/>
    <w:rsid w:val="00CC7E42"/>
    <w:rsid w:val="00CD06DD"/>
    <w:rsid w:val="00CD1249"/>
    <w:rsid w:val="00CD1404"/>
    <w:rsid w:val="00CD2491"/>
    <w:rsid w:val="00CD34D2"/>
    <w:rsid w:val="00CD39AF"/>
    <w:rsid w:val="00CD3A8D"/>
    <w:rsid w:val="00CD42C6"/>
    <w:rsid w:val="00CD447D"/>
    <w:rsid w:val="00CD4BEF"/>
    <w:rsid w:val="00CD4C8C"/>
    <w:rsid w:val="00CD509B"/>
    <w:rsid w:val="00CD57E7"/>
    <w:rsid w:val="00CD757F"/>
    <w:rsid w:val="00CE068F"/>
    <w:rsid w:val="00CE0C8C"/>
    <w:rsid w:val="00CE1031"/>
    <w:rsid w:val="00CE1A7E"/>
    <w:rsid w:val="00CE28E3"/>
    <w:rsid w:val="00CE345F"/>
    <w:rsid w:val="00CE36AE"/>
    <w:rsid w:val="00CE6F84"/>
    <w:rsid w:val="00CE7218"/>
    <w:rsid w:val="00CE7964"/>
    <w:rsid w:val="00CF13D4"/>
    <w:rsid w:val="00CF19FB"/>
    <w:rsid w:val="00CF1A2D"/>
    <w:rsid w:val="00CF20DA"/>
    <w:rsid w:val="00CF2913"/>
    <w:rsid w:val="00CF29B0"/>
    <w:rsid w:val="00CF2C9B"/>
    <w:rsid w:val="00CF3CB0"/>
    <w:rsid w:val="00CF439F"/>
    <w:rsid w:val="00CF4C67"/>
    <w:rsid w:val="00CF5C31"/>
    <w:rsid w:val="00CF64B9"/>
    <w:rsid w:val="00CF667D"/>
    <w:rsid w:val="00CF675B"/>
    <w:rsid w:val="00CF6E0C"/>
    <w:rsid w:val="00CF7120"/>
    <w:rsid w:val="00CF724C"/>
    <w:rsid w:val="00D001B4"/>
    <w:rsid w:val="00D003B7"/>
    <w:rsid w:val="00D00E36"/>
    <w:rsid w:val="00D012C1"/>
    <w:rsid w:val="00D01E3A"/>
    <w:rsid w:val="00D02913"/>
    <w:rsid w:val="00D02AEE"/>
    <w:rsid w:val="00D02F4F"/>
    <w:rsid w:val="00D03020"/>
    <w:rsid w:val="00D035DE"/>
    <w:rsid w:val="00D03A1B"/>
    <w:rsid w:val="00D048A3"/>
    <w:rsid w:val="00D04B2D"/>
    <w:rsid w:val="00D04CB3"/>
    <w:rsid w:val="00D04E28"/>
    <w:rsid w:val="00D0570D"/>
    <w:rsid w:val="00D06874"/>
    <w:rsid w:val="00D06A42"/>
    <w:rsid w:val="00D070C7"/>
    <w:rsid w:val="00D07800"/>
    <w:rsid w:val="00D102F8"/>
    <w:rsid w:val="00D104DE"/>
    <w:rsid w:val="00D10C78"/>
    <w:rsid w:val="00D1225C"/>
    <w:rsid w:val="00D13270"/>
    <w:rsid w:val="00D14D97"/>
    <w:rsid w:val="00D14E59"/>
    <w:rsid w:val="00D1501C"/>
    <w:rsid w:val="00D15F5D"/>
    <w:rsid w:val="00D16F09"/>
    <w:rsid w:val="00D20031"/>
    <w:rsid w:val="00D20147"/>
    <w:rsid w:val="00D2022D"/>
    <w:rsid w:val="00D20D91"/>
    <w:rsid w:val="00D218C6"/>
    <w:rsid w:val="00D225CF"/>
    <w:rsid w:val="00D233A8"/>
    <w:rsid w:val="00D23597"/>
    <w:rsid w:val="00D25552"/>
    <w:rsid w:val="00D25C57"/>
    <w:rsid w:val="00D263E4"/>
    <w:rsid w:val="00D267BB"/>
    <w:rsid w:val="00D26CA4"/>
    <w:rsid w:val="00D26D01"/>
    <w:rsid w:val="00D309FF"/>
    <w:rsid w:val="00D31127"/>
    <w:rsid w:val="00D313B3"/>
    <w:rsid w:val="00D31CCB"/>
    <w:rsid w:val="00D3292B"/>
    <w:rsid w:val="00D3296B"/>
    <w:rsid w:val="00D333CC"/>
    <w:rsid w:val="00D339BA"/>
    <w:rsid w:val="00D339F2"/>
    <w:rsid w:val="00D33F02"/>
    <w:rsid w:val="00D34A6D"/>
    <w:rsid w:val="00D34A89"/>
    <w:rsid w:val="00D35260"/>
    <w:rsid w:val="00D3559E"/>
    <w:rsid w:val="00D356DD"/>
    <w:rsid w:val="00D358F7"/>
    <w:rsid w:val="00D35D0A"/>
    <w:rsid w:val="00D36376"/>
    <w:rsid w:val="00D36E67"/>
    <w:rsid w:val="00D37175"/>
    <w:rsid w:val="00D37D52"/>
    <w:rsid w:val="00D37EF5"/>
    <w:rsid w:val="00D40985"/>
    <w:rsid w:val="00D419C9"/>
    <w:rsid w:val="00D428B9"/>
    <w:rsid w:val="00D43246"/>
    <w:rsid w:val="00D43C4E"/>
    <w:rsid w:val="00D454C4"/>
    <w:rsid w:val="00D45750"/>
    <w:rsid w:val="00D457EA"/>
    <w:rsid w:val="00D45A32"/>
    <w:rsid w:val="00D45C42"/>
    <w:rsid w:val="00D47A7F"/>
    <w:rsid w:val="00D47B4A"/>
    <w:rsid w:val="00D515DC"/>
    <w:rsid w:val="00D51DE9"/>
    <w:rsid w:val="00D524AB"/>
    <w:rsid w:val="00D52E54"/>
    <w:rsid w:val="00D52FF5"/>
    <w:rsid w:val="00D53ACA"/>
    <w:rsid w:val="00D53B7D"/>
    <w:rsid w:val="00D54E1C"/>
    <w:rsid w:val="00D55CD5"/>
    <w:rsid w:val="00D5600B"/>
    <w:rsid w:val="00D56DFA"/>
    <w:rsid w:val="00D5726F"/>
    <w:rsid w:val="00D57911"/>
    <w:rsid w:val="00D602C0"/>
    <w:rsid w:val="00D60BD7"/>
    <w:rsid w:val="00D60E22"/>
    <w:rsid w:val="00D61302"/>
    <w:rsid w:val="00D61B09"/>
    <w:rsid w:val="00D61F13"/>
    <w:rsid w:val="00D62F4D"/>
    <w:rsid w:val="00D633B0"/>
    <w:rsid w:val="00D63C5E"/>
    <w:rsid w:val="00D63F0C"/>
    <w:rsid w:val="00D64906"/>
    <w:rsid w:val="00D64ADC"/>
    <w:rsid w:val="00D652D9"/>
    <w:rsid w:val="00D65A20"/>
    <w:rsid w:val="00D65E66"/>
    <w:rsid w:val="00D6726C"/>
    <w:rsid w:val="00D679E0"/>
    <w:rsid w:val="00D70D9B"/>
    <w:rsid w:val="00D70DDA"/>
    <w:rsid w:val="00D726AB"/>
    <w:rsid w:val="00D739FA"/>
    <w:rsid w:val="00D73AD9"/>
    <w:rsid w:val="00D7409D"/>
    <w:rsid w:val="00D743AB"/>
    <w:rsid w:val="00D744D5"/>
    <w:rsid w:val="00D7524E"/>
    <w:rsid w:val="00D758AA"/>
    <w:rsid w:val="00D763D1"/>
    <w:rsid w:val="00D770FF"/>
    <w:rsid w:val="00D77B20"/>
    <w:rsid w:val="00D77DB5"/>
    <w:rsid w:val="00D80C29"/>
    <w:rsid w:val="00D80F1E"/>
    <w:rsid w:val="00D810C9"/>
    <w:rsid w:val="00D81D08"/>
    <w:rsid w:val="00D824C1"/>
    <w:rsid w:val="00D8316D"/>
    <w:rsid w:val="00D83B51"/>
    <w:rsid w:val="00D84342"/>
    <w:rsid w:val="00D84D0D"/>
    <w:rsid w:val="00D84D83"/>
    <w:rsid w:val="00D84ECA"/>
    <w:rsid w:val="00D8525E"/>
    <w:rsid w:val="00D85EB4"/>
    <w:rsid w:val="00D8653E"/>
    <w:rsid w:val="00D86FF1"/>
    <w:rsid w:val="00D87C0D"/>
    <w:rsid w:val="00D87D69"/>
    <w:rsid w:val="00D9041B"/>
    <w:rsid w:val="00D90510"/>
    <w:rsid w:val="00D90B10"/>
    <w:rsid w:val="00D90DBB"/>
    <w:rsid w:val="00D91285"/>
    <w:rsid w:val="00D9133D"/>
    <w:rsid w:val="00D913A4"/>
    <w:rsid w:val="00D9141D"/>
    <w:rsid w:val="00D920B2"/>
    <w:rsid w:val="00D92D9C"/>
    <w:rsid w:val="00D9436A"/>
    <w:rsid w:val="00D944F4"/>
    <w:rsid w:val="00D946C9"/>
    <w:rsid w:val="00D948CF"/>
    <w:rsid w:val="00D94CF3"/>
    <w:rsid w:val="00D96796"/>
    <w:rsid w:val="00D967A8"/>
    <w:rsid w:val="00D9769C"/>
    <w:rsid w:val="00DA058E"/>
    <w:rsid w:val="00DA0C25"/>
    <w:rsid w:val="00DA125F"/>
    <w:rsid w:val="00DA172C"/>
    <w:rsid w:val="00DA2529"/>
    <w:rsid w:val="00DA2D33"/>
    <w:rsid w:val="00DA2D62"/>
    <w:rsid w:val="00DA412C"/>
    <w:rsid w:val="00DA512C"/>
    <w:rsid w:val="00DA5525"/>
    <w:rsid w:val="00DA5770"/>
    <w:rsid w:val="00DA6765"/>
    <w:rsid w:val="00DB003C"/>
    <w:rsid w:val="00DB0525"/>
    <w:rsid w:val="00DB0769"/>
    <w:rsid w:val="00DB1E91"/>
    <w:rsid w:val="00DB2F86"/>
    <w:rsid w:val="00DB4410"/>
    <w:rsid w:val="00DB47D5"/>
    <w:rsid w:val="00DB5117"/>
    <w:rsid w:val="00DB6031"/>
    <w:rsid w:val="00DB664A"/>
    <w:rsid w:val="00DB6A57"/>
    <w:rsid w:val="00DB6C8F"/>
    <w:rsid w:val="00DB6F7B"/>
    <w:rsid w:val="00DB7463"/>
    <w:rsid w:val="00DB751F"/>
    <w:rsid w:val="00DC14AF"/>
    <w:rsid w:val="00DC1720"/>
    <w:rsid w:val="00DC18C7"/>
    <w:rsid w:val="00DC2122"/>
    <w:rsid w:val="00DC24A2"/>
    <w:rsid w:val="00DC3633"/>
    <w:rsid w:val="00DC39AE"/>
    <w:rsid w:val="00DC4108"/>
    <w:rsid w:val="00DC43A9"/>
    <w:rsid w:val="00DC4EC7"/>
    <w:rsid w:val="00DC4F64"/>
    <w:rsid w:val="00DC50C5"/>
    <w:rsid w:val="00DC540F"/>
    <w:rsid w:val="00DC567C"/>
    <w:rsid w:val="00DC64A7"/>
    <w:rsid w:val="00DD0953"/>
    <w:rsid w:val="00DD1A95"/>
    <w:rsid w:val="00DD2C81"/>
    <w:rsid w:val="00DD2D0D"/>
    <w:rsid w:val="00DD351C"/>
    <w:rsid w:val="00DD5978"/>
    <w:rsid w:val="00DD795C"/>
    <w:rsid w:val="00DD7D87"/>
    <w:rsid w:val="00DE0275"/>
    <w:rsid w:val="00DE02FB"/>
    <w:rsid w:val="00DE2496"/>
    <w:rsid w:val="00DE289F"/>
    <w:rsid w:val="00DE3148"/>
    <w:rsid w:val="00DE397E"/>
    <w:rsid w:val="00DE426C"/>
    <w:rsid w:val="00DE440B"/>
    <w:rsid w:val="00DE6F6F"/>
    <w:rsid w:val="00DE7099"/>
    <w:rsid w:val="00DF0029"/>
    <w:rsid w:val="00DF075C"/>
    <w:rsid w:val="00DF0FAA"/>
    <w:rsid w:val="00DF1CF7"/>
    <w:rsid w:val="00DF341B"/>
    <w:rsid w:val="00DF39E9"/>
    <w:rsid w:val="00DF40BA"/>
    <w:rsid w:val="00DF431B"/>
    <w:rsid w:val="00DF464B"/>
    <w:rsid w:val="00DF5334"/>
    <w:rsid w:val="00DF54C0"/>
    <w:rsid w:val="00DF5CE3"/>
    <w:rsid w:val="00DF6601"/>
    <w:rsid w:val="00DF74D9"/>
    <w:rsid w:val="00DF7DC3"/>
    <w:rsid w:val="00E025D3"/>
    <w:rsid w:val="00E035F1"/>
    <w:rsid w:val="00E0360B"/>
    <w:rsid w:val="00E03A96"/>
    <w:rsid w:val="00E05238"/>
    <w:rsid w:val="00E05D56"/>
    <w:rsid w:val="00E079B8"/>
    <w:rsid w:val="00E105A9"/>
    <w:rsid w:val="00E1089C"/>
    <w:rsid w:val="00E120AF"/>
    <w:rsid w:val="00E13E63"/>
    <w:rsid w:val="00E14606"/>
    <w:rsid w:val="00E14EBC"/>
    <w:rsid w:val="00E15056"/>
    <w:rsid w:val="00E1562E"/>
    <w:rsid w:val="00E1567B"/>
    <w:rsid w:val="00E15A8E"/>
    <w:rsid w:val="00E15DB1"/>
    <w:rsid w:val="00E16E00"/>
    <w:rsid w:val="00E17552"/>
    <w:rsid w:val="00E200FB"/>
    <w:rsid w:val="00E21317"/>
    <w:rsid w:val="00E213F5"/>
    <w:rsid w:val="00E21B03"/>
    <w:rsid w:val="00E21CE7"/>
    <w:rsid w:val="00E22445"/>
    <w:rsid w:val="00E22E00"/>
    <w:rsid w:val="00E22E1C"/>
    <w:rsid w:val="00E23A59"/>
    <w:rsid w:val="00E23C04"/>
    <w:rsid w:val="00E241AC"/>
    <w:rsid w:val="00E24B59"/>
    <w:rsid w:val="00E260A3"/>
    <w:rsid w:val="00E26D15"/>
    <w:rsid w:val="00E26FAB"/>
    <w:rsid w:val="00E27289"/>
    <w:rsid w:val="00E27DDB"/>
    <w:rsid w:val="00E31702"/>
    <w:rsid w:val="00E31B75"/>
    <w:rsid w:val="00E3242E"/>
    <w:rsid w:val="00E330C9"/>
    <w:rsid w:val="00E3330E"/>
    <w:rsid w:val="00E3351F"/>
    <w:rsid w:val="00E33992"/>
    <w:rsid w:val="00E34A46"/>
    <w:rsid w:val="00E35ABF"/>
    <w:rsid w:val="00E35C55"/>
    <w:rsid w:val="00E3711C"/>
    <w:rsid w:val="00E37D8A"/>
    <w:rsid w:val="00E40DAE"/>
    <w:rsid w:val="00E40F62"/>
    <w:rsid w:val="00E42956"/>
    <w:rsid w:val="00E43000"/>
    <w:rsid w:val="00E43249"/>
    <w:rsid w:val="00E436A2"/>
    <w:rsid w:val="00E458D8"/>
    <w:rsid w:val="00E45CE0"/>
    <w:rsid w:val="00E45D1A"/>
    <w:rsid w:val="00E4606F"/>
    <w:rsid w:val="00E5035F"/>
    <w:rsid w:val="00E50543"/>
    <w:rsid w:val="00E518A7"/>
    <w:rsid w:val="00E5262C"/>
    <w:rsid w:val="00E529F5"/>
    <w:rsid w:val="00E5356B"/>
    <w:rsid w:val="00E5374E"/>
    <w:rsid w:val="00E53ACD"/>
    <w:rsid w:val="00E53D18"/>
    <w:rsid w:val="00E53E00"/>
    <w:rsid w:val="00E54221"/>
    <w:rsid w:val="00E54C38"/>
    <w:rsid w:val="00E5650A"/>
    <w:rsid w:val="00E574EC"/>
    <w:rsid w:val="00E57803"/>
    <w:rsid w:val="00E57871"/>
    <w:rsid w:val="00E57F9C"/>
    <w:rsid w:val="00E615F9"/>
    <w:rsid w:val="00E6193C"/>
    <w:rsid w:val="00E62BC2"/>
    <w:rsid w:val="00E63131"/>
    <w:rsid w:val="00E63DAA"/>
    <w:rsid w:val="00E647A7"/>
    <w:rsid w:val="00E64DCE"/>
    <w:rsid w:val="00E6577D"/>
    <w:rsid w:val="00E6609A"/>
    <w:rsid w:val="00E6647F"/>
    <w:rsid w:val="00E66957"/>
    <w:rsid w:val="00E66B3A"/>
    <w:rsid w:val="00E7063B"/>
    <w:rsid w:val="00E71F13"/>
    <w:rsid w:val="00E7221D"/>
    <w:rsid w:val="00E73345"/>
    <w:rsid w:val="00E736ED"/>
    <w:rsid w:val="00E7457E"/>
    <w:rsid w:val="00E74732"/>
    <w:rsid w:val="00E75284"/>
    <w:rsid w:val="00E75586"/>
    <w:rsid w:val="00E7615F"/>
    <w:rsid w:val="00E763FF"/>
    <w:rsid w:val="00E76AE0"/>
    <w:rsid w:val="00E77619"/>
    <w:rsid w:val="00E80CEA"/>
    <w:rsid w:val="00E81A87"/>
    <w:rsid w:val="00E83948"/>
    <w:rsid w:val="00E83CF9"/>
    <w:rsid w:val="00E84040"/>
    <w:rsid w:val="00E86E2E"/>
    <w:rsid w:val="00E9061A"/>
    <w:rsid w:val="00E90626"/>
    <w:rsid w:val="00E91920"/>
    <w:rsid w:val="00E92974"/>
    <w:rsid w:val="00E92F98"/>
    <w:rsid w:val="00E9331D"/>
    <w:rsid w:val="00E9459A"/>
    <w:rsid w:val="00E95322"/>
    <w:rsid w:val="00E95490"/>
    <w:rsid w:val="00E95537"/>
    <w:rsid w:val="00E9570A"/>
    <w:rsid w:val="00E962F2"/>
    <w:rsid w:val="00E96325"/>
    <w:rsid w:val="00E9661E"/>
    <w:rsid w:val="00E968C1"/>
    <w:rsid w:val="00E971F6"/>
    <w:rsid w:val="00EA0E54"/>
    <w:rsid w:val="00EA14B7"/>
    <w:rsid w:val="00EA1769"/>
    <w:rsid w:val="00EA17FD"/>
    <w:rsid w:val="00EA28CA"/>
    <w:rsid w:val="00EA3023"/>
    <w:rsid w:val="00EA3671"/>
    <w:rsid w:val="00EA5030"/>
    <w:rsid w:val="00EA5B92"/>
    <w:rsid w:val="00EA763F"/>
    <w:rsid w:val="00EA7AD2"/>
    <w:rsid w:val="00EB002A"/>
    <w:rsid w:val="00EB0315"/>
    <w:rsid w:val="00EB0DEA"/>
    <w:rsid w:val="00EB1F63"/>
    <w:rsid w:val="00EB27BC"/>
    <w:rsid w:val="00EB2853"/>
    <w:rsid w:val="00EB352B"/>
    <w:rsid w:val="00EB4A4E"/>
    <w:rsid w:val="00EB4CA1"/>
    <w:rsid w:val="00EB56BA"/>
    <w:rsid w:val="00EB5AD7"/>
    <w:rsid w:val="00EB5AD8"/>
    <w:rsid w:val="00EB6499"/>
    <w:rsid w:val="00EB64D3"/>
    <w:rsid w:val="00EB6A0B"/>
    <w:rsid w:val="00EB6A32"/>
    <w:rsid w:val="00EC0D2F"/>
    <w:rsid w:val="00EC27E8"/>
    <w:rsid w:val="00EC33A0"/>
    <w:rsid w:val="00EC3E16"/>
    <w:rsid w:val="00EC3F4D"/>
    <w:rsid w:val="00EC4836"/>
    <w:rsid w:val="00EC5088"/>
    <w:rsid w:val="00EC56D5"/>
    <w:rsid w:val="00ED161C"/>
    <w:rsid w:val="00ED215A"/>
    <w:rsid w:val="00ED2C4A"/>
    <w:rsid w:val="00ED2CA4"/>
    <w:rsid w:val="00ED3A15"/>
    <w:rsid w:val="00ED3A20"/>
    <w:rsid w:val="00ED3B80"/>
    <w:rsid w:val="00ED4BE2"/>
    <w:rsid w:val="00ED5E38"/>
    <w:rsid w:val="00EE0EF0"/>
    <w:rsid w:val="00EE12D8"/>
    <w:rsid w:val="00EE364A"/>
    <w:rsid w:val="00EE4490"/>
    <w:rsid w:val="00EE4EEF"/>
    <w:rsid w:val="00EE53EB"/>
    <w:rsid w:val="00EE6659"/>
    <w:rsid w:val="00EE6832"/>
    <w:rsid w:val="00EE6E6A"/>
    <w:rsid w:val="00EE71E1"/>
    <w:rsid w:val="00EE7E38"/>
    <w:rsid w:val="00EE7EA1"/>
    <w:rsid w:val="00EF0F76"/>
    <w:rsid w:val="00EF1755"/>
    <w:rsid w:val="00EF2528"/>
    <w:rsid w:val="00EF2A24"/>
    <w:rsid w:val="00EF39D0"/>
    <w:rsid w:val="00EF3D58"/>
    <w:rsid w:val="00EF4091"/>
    <w:rsid w:val="00EF4B09"/>
    <w:rsid w:val="00EF4F39"/>
    <w:rsid w:val="00EF6A77"/>
    <w:rsid w:val="00EF7063"/>
    <w:rsid w:val="00EF7084"/>
    <w:rsid w:val="00EF7C5C"/>
    <w:rsid w:val="00F00825"/>
    <w:rsid w:val="00F03B39"/>
    <w:rsid w:val="00F03D51"/>
    <w:rsid w:val="00F04052"/>
    <w:rsid w:val="00F04FED"/>
    <w:rsid w:val="00F056DC"/>
    <w:rsid w:val="00F05CDF"/>
    <w:rsid w:val="00F06673"/>
    <w:rsid w:val="00F06722"/>
    <w:rsid w:val="00F06961"/>
    <w:rsid w:val="00F07272"/>
    <w:rsid w:val="00F1016C"/>
    <w:rsid w:val="00F1066F"/>
    <w:rsid w:val="00F117EC"/>
    <w:rsid w:val="00F13B85"/>
    <w:rsid w:val="00F13EE5"/>
    <w:rsid w:val="00F1415F"/>
    <w:rsid w:val="00F14201"/>
    <w:rsid w:val="00F1508C"/>
    <w:rsid w:val="00F155F9"/>
    <w:rsid w:val="00F1578E"/>
    <w:rsid w:val="00F15C97"/>
    <w:rsid w:val="00F15E45"/>
    <w:rsid w:val="00F15FD4"/>
    <w:rsid w:val="00F16785"/>
    <w:rsid w:val="00F17795"/>
    <w:rsid w:val="00F2010A"/>
    <w:rsid w:val="00F20763"/>
    <w:rsid w:val="00F20B90"/>
    <w:rsid w:val="00F227C8"/>
    <w:rsid w:val="00F23CB7"/>
    <w:rsid w:val="00F242D3"/>
    <w:rsid w:val="00F2448E"/>
    <w:rsid w:val="00F257B5"/>
    <w:rsid w:val="00F25E88"/>
    <w:rsid w:val="00F2720E"/>
    <w:rsid w:val="00F2776D"/>
    <w:rsid w:val="00F27920"/>
    <w:rsid w:val="00F27B08"/>
    <w:rsid w:val="00F27C2C"/>
    <w:rsid w:val="00F312B0"/>
    <w:rsid w:val="00F31615"/>
    <w:rsid w:val="00F31AE6"/>
    <w:rsid w:val="00F346E6"/>
    <w:rsid w:val="00F3545A"/>
    <w:rsid w:val="00F35985"/>
    <w:rsid w:val="00F35F0F"/>
    <w:rsid w:val="00F36488"/>
    <w:rsid w:val="00F4021A"/>
    <w:rsid w:val="00F40864"/>
    <w:rsid w:val="00F44895"/>
    <w:rsid w:val="00F456F3"/>
    <w:rsid w:val="00F459B0"/>
    <w:rsid w:val="00F474B2"/>
    <w:rsid w:val="00F47723"/>
    <w:rsid w:val="00F50585"/>
    <w:rsid w:val="00F516E3"/>
    <w:rsid w:val="00F5227E"/>
    <w:rsid w:val="00F5284F"/>
    <w:rsid w:val="00F538AB"/>
    <w:rsid w:val="00F53E91"/>
    <w:rsid w:val="00F54493"/>
    <w:rsid w:val="00F54832"/>
    <w:rsid w:val="00F552A3"/>
    <w:rsid w:val="00F55576"/>
    <w:rsid w:val="00F55661"/>
    <w:rsid w:val="00F56808"/>
    <w:rsid w:val="00F57885"/>
    <w:rsid w:val="00F613D4"/>
    <w:rsid w:val="00F630B4"/>
    <w:rsid w:val="00F64716"/>
    <w:rsid w:val="00F64FF8"/>
    <w:rsid w:val="00F66040"/>
    <w:rsid w:val="00F66144"/>
    <w:rsid w:val="00F6630D"/>
    <w:rsid w:val="00F66327"/>
    <w:rsid w:val="00F669E8"/>
    <w:rsid w:val="00F6713F"/>
    <w:rsid w:val="00F70047"/>
    <w:rsid w:val="00F7337F"/>
    <w:rsid w:val="00F7429B"/>
    <w:rsid w:val="00F74ACE"/>
    <w:rsid w:val="00F74B51"/>
    <w:rsid w:val="00F74C76"/>
    <w:rsid w:val="00F77288"/>
    <w:rsid w:val="00F80694"/>
    <w:rsid w:val="00F81362"/>
    <w:rsid w:val="00F81428"/>
    <w:rsid w:val="00F81A3A"/>
    <w:rsid w:val="00F838CE"/>
    <w:rsid w:val="00F84AF7"/>
    <w:rsid w:val="00F84DB3"/>
    <w:rsid w:val="00F854EE"/>
    <w:rsid w:val="00F8595C"/>
    <w:rsid w:val="00F86611"/>
    <w:rsid w:val="00F90257"/>
    <w:rsid w:val="00F90E1E"/>
    <w:rsid w:val="00F910F7"/>
    <w:rsid w:val="00F91353"/>
    <w:rsid w:val="00F92CFB"/>
    <w:rsid w:val="00F92D89"/>
    <w:rsid w:val="00F9386F"/>
    <w:rsid w:val="00F94096"/>
    <w:rsid w:val="00F94218"/>
    <w:rsid w:val="00F943A4"/>
    <w:rsid w:val="00F9516E"/>
    <w:rsid w:val="00F957EC"/>
    <w:rsid w:val="00F959A4"/>
    <w:rsid w:val="00F95E3D"/>
    <w:rsid w:val="00F9630C"/>
    <w:rsid w:val="00F9684A"/>
    <w:rsid w:val="00FA040C"/>
    <w:rsid w:val="00FA0825"/>
    <w:rsid w:val="00FA08AD"/>
    <w:rsid w:val="00FA0F89"/>
    <w:rsid w:val="00FA14EC"/>
    <w:rsid w:val="00FA1A36"/>
    <w:rsid w:val="00FA28C1"/>
    <w:rsid w:val="00FA2CB4"/>
    <w:rsid w:val="00FA2F27"/>
    <w:rsid w:val="00FA4150"/>
    <w:rsid w:val="00FA44B6"/>
    <w:rsid w:val="00FA5766"/>
    <w:rsid w:val="00FA68DB"/>
    <w:rsid w:val="00FA6FAF"/>
    <w:rsid w:val="00FA7D7D"/>
    <w:rsid w:val="00FB0C06"/>
    <w:rsid w:val="00FB2775"/>
    <w:rsid w:val="00FB37B6"/>
    <w:rsid w:val="00FB5E57"/>
    <w:rsid w:val="00FB620D"/>
    <w:rsid w:val="00FB6F67"/>
    <w:rsid w:val="00FB7672"/>
    <w:rsid w:val="00FB774F"/>
    <w:rsid w:val="00FB7AF1"/>
    <w:rsid w:val="00FC0AD7"/>
    <w:rsid w:val="00FC10DE"/>
    <w:rsid w:val="00FC1F0F"/>
    <w:rsid w:val="00FC2189"/>
    <w:rsid w:val="00FC2D5F"/>
    <w:rsid w:val="00FC3AA4"/>
    <w:rsid w:val="00FC3F9A"/>
    <w:rsid w:val="00FC5603"/>
    <w:rsid w:val="00FC5FA3"/>
    <w:rsid w:val="00FC67F9"/>
    <w:rsid w:val="00FC6AE4"/>
    <w:rsid w:val="00FD00DD"/>
    <w:rsid w:val="00FD0B28"/>
    <w:rsid w:val="00FD0BC8"/>
    <w:rsid w:val="00FD0F2A"/>
    <w:rsid w:val="00FD17BA"/>
    <w:rsid w:val="00FD19BA"/>
    <w:rsid w:val="00FD1BF8"/>
    <w:rsid w:val="00FD2C9D"/>
    <w:rsid w:val="00FD2F74"/>
    <w:rsid w:val="00FD338D"/>
    <w:rsid w:val="00FD3862"/>
    <w:rsid w:val="00FD3B94"/>
    <w:rsid w:val="00FD40DD"/>
    <w:rsid w:val="00FD4235"/>
    <w:rsid w:val="00FD43B3"/>
    <w:rsid w:val="00FD46D4"/>
    <w:rsid w:val="00FD5034"/>
    <w:rsid w:val="00FD55C2"/>
    <w:rsid w:val="00FD5623"/>
    <w:rsid w:val="00FD6295"/>
    <w:rsid w:val="00FD7AC6"/>
    <w:rsid w:val="00FE1118"/>
    <w:rsid w:val="00FE1427"/>
    <w:rsid w:val="00FE1779"/>
    <w:rsid w:val="00FE19FD"/>
    <w:rsid w:val="00FE2CEF"/>
    <w:rsid w:val="00FE2DB4"/>
    <w:rsid w:val="00FE301A"/>
    <w:rsid w:val="00FE40E5"/>
    <w:rsid w:val="00FE44A0"/>
    <w:rsid w:val="00FE44B7"/>
    <w:rsid w:val="00FE4517"/>
    <w:rsid w:val="00FE4739"/>
    <w:rsid w:val="00FE4DB2"/>
    <w:rsid w:val="00FE681D"/>
    <w:rsid w:val="00FE6F3D"/>
    <w:rsid w:val="00FE74DF"/>
    <w:rsid w:val="00FE770C"/>
    <w:rsid w:val="00FE77E3"/>
    <w:rsid w:val="00FE7D8A"/>
    <w:rsid w:val="00FF0DBD"/>
    <w:rsid w:val="00FF2100"/>
    <w:rsid w:val="00FF2782"/>
    <w:rsid w:val="00FF2A29"/>
    <w:rsid w:val="00FF3631"/>
    <w:rsid w:val="00FF3A07"/>
    <w:rsid w:val="00FF3FEA"/>
    <w:rsid w:val="00FF4855"/>
    <w:rsid w:val="00FF4C16"/>
    <w:rsid w:val="00FF4C68"/>
    <w:rsid w:val="00FF4EDB"/>
    <w:rsid w:val="00FF72F9"/>
    <w:rsid w:val="00FF73C8"/>
    <w:rsid w:val="00FF7548"/>
    <w:rsid w:val="00FF7B89"/>
    <w:rsid w:val="020E47B2"/>
    <w:rsid w:val="0C0FBC74"/>
    <w:rsid w:val="0E49FBCD"/>
    <w:rsid w:val="10B0B534"/>
    <w:rsid w:val="1124A1E3"/>
    <w:rsid w:val="13553A36"/>
    <w:rsid w:val="13A0CC01"/>
    <w:rsid w:val="14AC8C75"/>
    <w:rsid w:val="173B7BFA"/>
    <w:rsid w:val="2111A4DA"/>
    <w:rsid w:val="242A4A11"/>
    <w:rsid w:val="25196D91"/>
    <w:rsid w:val="2E9B7BDE"/>
    <w:rsid w:val="303075A6"/>
    <w:rsid w:val="360FD935"/>
    <w:rsid w:val="37E8FF0C"/>
    <w:rsid w:val="393AC80F"/>
    <w:rsid w:val="3B67FB2C"/>
    <w:rsid w:val="3F4DECBA"/>
    <w:rsid w:val="40CD0BAD"/>
    <w:rsid w:val="42C881F8"/>
    <w:rsid w:val="45D14D1E"/>
    <w:rsid w:val="482BC1D5"/>
    <w:rsid w:val="4E4B4893"/>
    <w:rsid w:val="59A99541"/>
    <w:rsid w:val="5E302355"/>
    <w:rsid w:val="6276DF67"/>
    <w:rsid w:val="678BD2C6"/>
    <w:rsid w:val="755165AE"/>
    <w:rsid w:val="78A7BE38"/>
    <w:rsid w:val="7A71DC2A"/>
    <w:rsid w:val="7D5B0321"/>
    <w:rsid w:val="7DE38F8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EF0"/>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Roboto" w:hAnsi="Roboto"/>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CMA Table Template,Conclusion box,Table Grid nm,Dossier table,Section 3- footnotes,MSD Table Grid"/>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uiPriority w:val="4"/>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uiPriority w:val="4"/>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dvTTe692faf0" w:hAnsi="AdvTTe692faf0"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dvTTe692faf0" w:hAnsi="AdvTTe692faf0"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dvTTe692faf0" w:hAnsi="AdvTTe692faf0"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table" w:customStyle="1" w:styleId="MSAC">
    <w:name w:val="MSAC"/>
    <w:basedOn w:val="TableNormal"/>
    <w:next w:val="TableGrid"/>
    <w:locked/>
    <w:rsid w:val="002E4A7C"/>
    <w:pPr>
      <w:widowControl w:val="0"/>
      <w:spacing w:before="20" w:after="2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AdvTTe692faf0" w:hAnsi="AdvTTe692faf0"/>
        <w:b/>
        <w:sz w:val="20"/>
      </w:rPr>
      <w:tblPr/>
      <w:trPr>
        <w:tblHeader/>
      </w:trPr>
      <w:tcPr>
        <w:vAlign w:val="top"/>
      </w:tcPr>
    </w:tblStylePr>
  </w:style>
  <w:style w:type="paragraph" w:styleId="BodyText">
    <w:name w:val="Body Text"/>
    <w:basedOn w:val="Normal"/>
    <w:link w:val="BodyTextChar"/>
    <w:uiPriority w:val="99"/>
    <w:unhideWhenUsed/>
    <w:qFormat/>
    <w:rsid w:val="00386E93"/>
    <w:rPr>
      <w:rFonts w:asciiTheme="minorHAnsi" w:hAnsiTheme="minorHAnsi"/>
    </w:rPr>
  </w:style>
  <w:style w:type="character" w:customStyle="1" w:styleId="BodyTextChar">
    <w:name w:val="Body Text Char"/>
    <w:basedOn w:val="DefaultParagraphFont"/>
    <w:link w:val="BodyText"/>
    <w:uiPriority w:val="99"/>
    <w:rsid w:val="00386E93"/>
  </w:style>
  <w:style w:type="paragraph" w:styleId="EndnoteText">
    <w:name w:val="endnote text"/>
    <w:basedOn w:val="Normal"/>
    <w:link w:val="EndnoteTextChar"/>
    <w:uiPriority w:val="99"/>
    <w:semiHidden/>
    <w:unhideWhenUsed/>
    <w:rsid w:val="004D5E6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D5E69"/>
    <w:rPr>
      <w:rFonts w:ascii="Franklin Gothic Book" w:hAnsi="Franklin Gothic Book"/>
      <w:sz w:val="20"/>
      <w:szCs w:val="20"/>
    </w:rPr>
  </w:style>
  <w:style w:type="character" w:styleId="EndnoteReference">
    <w:name w:val="endnote reference"/>
    <w:basedOn w:val="DefaultParagraphFont"/>
    <w:uiPriority w:val="99"/>
    <w:semiHidden/>
    <w:unhideWhenUsed/>
    <w:rsid w:val="004D5E69"/>
    <w:rPr>
      <w:vertAlign w:val="superscript"/>
    </w:rPr>
  </w:style>
  <w:style w:type="character" w:customStyle="1" w:styleId="EndNoteBibliographyChar">
    <w:name w:val="EndNote Bibliography Char"/>
    <w:basedOn w:val="DefaultParagraphFont"/>
    <w:link w:val="EndNoteBibliography"/>
    <w:locked/>
    <w:rsid w:val="006C5979"/>
    <w:rPr>
      <w:rFonts w:ascii="Calibri Light" w:hAnsi="Calibri Light" w:cs="Calibri Light"/>
      <w:noProof/>
      <w:sz w:val="20"/>
      <w:lang w:val="en-US"/>
    </w:rPr>
  </w:style>
  <w:style w:type="paragraph" w:customStyle="1" w:styleId="EndNoteBibliography">
    <w:name w:val="EndNote Bibliography"/>
    <w:basedOn w:val="Normal"/>
    <w:link w:val="EndNoteBibliographyChar"/>
    <w:rsid w:val="006C5979"/>
    <w:pPr>
      <w:spacing w:before="0" w:line="240" w:lineRule="auto"/>
    </w:pPr>
    <w:rPr>
      <w:rFonts w:ascii="Calibri Light" w:hAnsi="Calibri Light" w:cs="Calibri Light"/>
      <w:noProof/>
      <w:sz w:val="20"/>
      <w:lang w:val="en-US"/>
    </w:rPr>
  </w:style>
  <w:style w:type="paragraph" w:customStyle="1" w:styleId="pf0">
    <w:name w:val="pf0"/>
    <w:basedOn w:val="Normal"/>
    <w:rsid w:val="00DF54C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F54C0"/>
    <w:rPr>
      <w:rFonts w:ascii="Segoe UI" w:hAnsi="Segoe UI" w:cs="Segoe UI" w:hint="default"/>
      <w:sz w:val="18"/>
      <w:szCs w:val="18"/>
    </w:rPr>
  </w:style>
  <w:style w:type="paragraph" w:customStyle="1" w:styleId="Default">
    <w:name w:val="Default"/>
    <w:rsid w:val="00494174"/>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224A35"/>
    <w:rPr>
      <w:color w:val="605E5C"/>
      <w:shd w:val="clear" w:color="auto" w:fill="E1DFDD"/>
    </w:rPr>
  </w:style>
  <w:style w:type="character" w:styleId="Mention">
    <w:name w:val="Mention"/>
    <w:basedOn w:val="DefaultParagraphFont"/>
    <w:uiPriority w:val="99"/>
    <w:unhideWhenUsed/>
    <w:rsid w:val="00224A35"/>
    <w:rPr>
      <w:color w:val="2B579A"/>
      <w:shd w:val="clear" w:color="auto" w:fill="E1DFDD"/>
    </w:rPr>
  </w:style>
  <w:style w:type="paragraph" w:customStyle="1" w:styleId="BulletBeforeDash">
    <w:name w:val="BulletBeforeDash"/>
    <w:basedOn w:val="Normal"/>
    <w:rsid w:val="009C466C"/>
    <w:pPr>
      <w:numPr>
        <w:numId w:val="24"/>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9C466C"/>
    <w:pPr>
      <w:numPr>
        <w:numId w:val="0"/>
      </w:numPr>
      <w:spacing w:before="0" w:after="240"/>
      <w:ind w:left="786" w:hanging="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9C466C"/>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9C466C"/>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9C466C"/>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9C466C"/>
    <w:pPr>
      <w:numPr>
        <w:numId w:val="25"/>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paragraph">
    <w:name w:val="paragraph"/>
    <w:basedOn w:val="Normal"/>
    <w:rsid w:val="00B75B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75B5C"/>
  </w:style>
  <w:style w:type="character" w:customStyle="1" w:styleId="eop">
    <w:name w:val="eop"/>
    <w:basedOn w:val="DefaultParagraphFont"/>
    <w:rsid w:val="00B7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32260905">
      <w:bodyDiv w:val="1"/>
      <w:marLeft w:val="0"/>
      <w:marRight w:val="0"/>
      <w:marTop w:val="0"/>
      <w:marBottom w:val="0"/>
      <w:divBdr>
        <w:top w:val="none" w:sz="0" w:space="0" w:color="auto"/>
        <w:left w:val="none" w:sz="0" w:space="0" w:color="auto"/>
        <w:bottom w:val="none" w:sz="0" w:space="0" w:color="auto"/>
        <w:right w:val="none" w:sz="0" w:space="0" w:color="auto"/>
      </w:divBdr>
      <w:divsChild>
        <w:div w:id="1490320769">
          <w:marLeft w:val="0"/>
          <w:marRight w:val="0"/>
          <w:marTop w:val="0"/>
          <w:marBottom w:val="0"/>
          <w:divBdr>
            <w:top w:val="none" w:sz="0" w:space="0" w:color="auto"/>
            <w:left w:val="none" w:sz="0" w:space="0" w:color="auto"/>
            <w:bottom w:val="none" w:sz="0" w:space="0" w:color="auto"/>
            <w:right w:val="none" w:sz="0" w:space="0" w:color="auto"/>
          </w:divBdr>
        </w:div>
        <w:div w:id="1852601175">
          <w:marLeft w:val="0"/>
          <w:marRight w:val="0"/>
          <w:marTop w:val="0"/>
          <w:marBottom w:val="0"/>
          <w:divBdr>
            <w:top w:val="none" w:sz="0" w:space="0" w:color="auto"/>
            <w:left w:val="none" w:sz="0" w:space="0" w:color="auto"/>
            <w:bottom w:val="none" w:sz="0" w:space="0" w:color="auto"/>
            <w:right w:val="none" w:sz="0" w:space="0" w:color="auto"/>
          </w:divBdr>
        </w:div>
      </w:divsChild>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46504040">
      <w:bodyDiv w:val="1"/>
      <w:marLeft w:val="0"/>
      <w:marRight w:val="0"/>
      <w:marTop w:val="0"/>
      <w:marBottom w:val="0"/>
      <w:divBdr>
        <w:top w:val="none" w:sz="0" w:space="0" w:color="auto"/>
        <w:left w:val="none" w:sz="0" w:space="0" w:color="auto"/>
        <w:bottom w:val="none" w:sz="0" w:space="0" w:color="auto"/>
        <w:right w:val="none" w:sz="0" w:space="0" w:color="auto"/>
      </w:divBdr>
    </w:div>
    <w:div w:id="257257794">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10258642">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7848566">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0093788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52123874">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0992313">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36981897">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7072892">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9522890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897233630">
      <w:bodyDiv w:val="1"/>
      <w:marLeft w:val="0"/>
      <w:marRight w:val="0"/>
      <w:marTop w:val="0"/>
      <w:marBottom w:val="0"/>
      <w:divBdr>
        <w:top w:val="none" w:sz="0" w:space="0" w:color="auto"/>
        <w:left w:val="none" w:sz="0" w:space="0" w:color="auto"/>
        <w:bottom w:val="none" w:sz="0" w:space="0" w:color="auto"/>
        <w:right w:val="none" w:sz="0" w:space="0" w:color="auto"/>
      </w:divBdr>
    </w:div>
    <w:div w:id="1949502499">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93950467">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19119094">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18256932">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msac.gov.au/internet/msac/publishing.nsf/Content/Home-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pubmed.ncbi.nlm.nih.gov/36637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38</Pages>
  <Words>16616</Words>
  <Characters>92053</Characters>
  <Application>Microsoft Office Word</Application>
  <DocSecurity>0</DocSecurity>
  <Lines>2245</Lines>
  <Paragraphs>1358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107311</CharactersWithSpaces>
  <SharedDoc>false</SharedDoc>
  <HyperlinkBase/>
  <HLinks>
    <vt:vector size="18" baseType="variant">
      <vt:variant>
        <vt:i4>6684716</vt:i4>
      </vt:variant>
      <vt:variant>
        <vt:i4>54</vt:i4>
      </vt:variant>
      <vt:variant>
        <vt:i4>0</vt:i4>
      </vt:variant>
      <vt:variant>
        <vt:i4>5</vt:i4>
      </vt:variant>
      <vt:variant>
        <vt:lpwstr>http://msac.gov.au/internet/msac/publishing.nsf/Content/Home-1</vt:lpwstr>
      </vt:variant>
      <vt:variant>
        <vt:lpwstr/>
      </vt:variant>
      <vt:variant>
        <vt:i4>3997744</vt:i4>
      </vt:variant>
      <vt:variant>
        <vt:i4>0</vt:i4>
      </vt:variant>
      <vt:variant>
        <vt:i4>0</vt:i4>
      </vt:variant>
      <vt:variant>
        <vt:i4>5</vt:i4>
      </vt:variant>
      <vt:variant>
        <vt:lpwstr>http://www.msac.gov.au/</vt:lpwstr>
      </vt:variant>
      <vt:variant>
        <vt:lpwstr/>
      </vt:variant>
      <vt:variant>
        <vt:i4>196613</vt:i4>
      </vt:variant>
      <vt:variant>
        <vt:i4>0</vt:i4>
      </vt:variant>
      <vt:variant>
        <vt:i4>0</vt:i4>
      </vt:variant>
      <vt:variant>
        <vt:i4>5</vt:i4>
      </vt:variant>
      <vt:variant>
        <vt:lpwstr>https://pubmed.ncbi.nlm.nih.gov/36637408/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2024-02-06T05:13:00Z</dcterms:created>
  <dcterms:modified xsi:type="dcterms:W3CDTF">2024-02-06T05:14:00Z</dcterms:modified>
  <cp:category/>
</cp:coreProperties>
</file>