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072772C7" w:rsidR="006478E7" w:rsidRPr="00490FBB" w:rsidRDefault="00BB0FFB" w:rsidP="00BB0FFB">
      <w:pPr>
        <w:pStyle w:val="Heading10"/>
        <w:spacing w:before="2880"/>
        <w:jc w:val="center"/>
        <w:rPr>
          <w:sz w:val="48"/>
          <w:szCs w:val="48"/>
        </w:rPr>
      </w:pPr>
      <w:r>
        <w:rPr>
          <w:sz w:val="48"/>
          <w:szCs w:val="48"/>
        </w:rPr>
        <w:t xml:space="preserve">MSAC </w:t>
      </w:r>
      <w:r w:rsidR="006478E7" w:rsidRPr="1E59DD0E">
        <w:rPr>
          <w:sz w:val="48"/>
          <w:szCs w:val="48"/>
        </w:rPr>
        <w:t>Application</w:t>
      </w:r>
      <w:r w:rsidR="006478E7" w:rsidRPr="00490FBB">
        <w:rPr>
          <w:sz w:val="48"/>
          <w:szCs w:val="48"/>
        </w:rPr>
        <w:t xml:space="preserve"> </w:t>
      </w:r>
      <w:r w:rsidR="009C14E8" w:rsidRPr="00111828">
        <w:rPr>
          <w:sz w:val="48"/>
          <w:szCs w:val="48"/>
        </w:rPr>
        <w:t>1772</w:t>
      </w:r>
    </w:p>
    <w:p w14:paraId="62A27B65" w14:textId="0BF26E16" w:rsidR="00DC18F3" w:rsidRDefault="003F4C97" w:rsidP="006478E7">
      <w:pPr>
        <w:pStyle w:val="Heading10"/>
        <w:jc w:val="center"/>
        <w:rPr>
          <w:color w:val="548DD4"/>
          <w:sz w:val="48"/>
          <w:szCs w:val="48"/>
        </w:rPr>
      </w:pPr>
      <w:r w:rsidRPr="003F4C97">
        <w:rPr>
          <w:color w:val="548DD4"/>
          <w:sz w:val="48"/>
          <w:szCs w:val="48"/>
        </w:rPr>
        <w:t>Single chamber leadless pacing with atrio-ventricular synchronous pacing</w:t>
      </w:r>
      <w:r w:rsidR="00135523">
        <w:rPr>
          <w:color w:val="548DD4"/>
          <w:sz w:val="48"/>
          <w:szCs w:val="48"/>
        </w:rPr>
        <w:t xml:space="preserve"> in patients with bradycardia</w:t>
      </w:r>
      <w:r w:rsidR="00DC18F3">
        <w:rPr>
          <w:color w:val="548DD4"/>
          <w:sz w:val="48"/>
          <w:szCs w:val="48"/>
        </w:rPr>
        <w:t xml:space="preserve"> </w:t>
      </w:r>
    </w:p>
    <w:p w14:paraId="483D64C2" w14:textId="77777777" w:rsidR="00DC18F3" w:rsidRDefault="00DC18F3" w:rsidP="006478E7">
      <w:pPr>
        <w:pStyle w:val="Heading10"/>
        <w:jc w:val="center"/>
        <w:rPr>
          <w:color w:val="548DD4"/>
          <w:sz w:val="48"/>
          <w:szCs w:val="48"/>
        </w:rPr>
      </w:pPr>
    </w:p>
    <w:p w14:paraId="11765312" w14:textId="18F1E24E" w:rsidR="006478E7" w:rsidRPr="00F557DC" w:rsidRDefault="00DC18F3" w:rsidP="006478E7">
      <w:pPr>
        <w:pStyle w:val="Heading10"/>
        <w:jc w:val="center"/>
        <w:rPr>
          <w:sz w:val="40"/>
          <w:szCs w:val="40"/>
        </w:rPr>
      </w:pPr>
      <w:r w:rsidRPr="00F557DC">
        <w:rPr>
          <w:color w:val="548DD4"/>
          <w:sz w:val="40"/>
          <w:szCs w:val="40"/>
        </w:rPr>
        <w:t>Applicant: Medtronic Australasia Pty Ltd</w:t>
      </w:r>
    </w:p>
    <w:p w14:paraId="23900CA0" w14:textId="634FE1CC" w:rsidR="006478E7" w:rsidRPr="00561DB5" w:rsidRDefault="00561DB5" w:rsidP="00561DB5">
      <w:pPr>
        <w:pStyle w:val="Heading1"/>
      </w:pPr>
      <w:r>
        <w:t>PICO</w:t>
      </w:r>
      <w:r w:rsidR="00297A70">
        <w:t xml:space="preserve"> Confirmation</w:t>
      </w:r>
      <w:r w:rsidR="006478E7" w:rsidRPr="00994DFE">
        <w:rPr>
          <w:i/>
          <w:iCs/>
        </w:rPr>
        <w:br w:type="page"/>
      </w:r>
    </w:p>
    <w:p w14:paraId="219312C8" w14:textId="3272C98A" w:rsidR="006478E7" w:rsidRPr="00D52956" w:rsidRDefault="006478E7" w:rsidP="00BB0FFB">
      <w:pPr>
        <w:pStyle w:val="Heading2"/>
      </w:pPr>
      <w:r w:rsidRPr="00D52956">
        <w:lastRenderedPageBreak/>
        <w:t>Summary of PI</w:t>
      </w:r>
      <w:r w:rsidR="00235B21">
        <w:t xml:space="preserve">CO criteria to define </w:t>
      </w:r>
      <w:r w:rsidRPr="00D52956">
        <w:t>question(s) to be addressed in an Assessment Report to the Medical Services Advisory Committee (MSAC)</w:t>
      </w:r>
    </w:p>
    <w:p w14:paraId="224459F3" w14:textId="365B7D45"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986B06">
        <w:rPr>
          <w:noProof/>
        </w:rPr>
        <w:t>1</w:t>
      </w:r>
      <w:r>
        <w:fldChar w:fldCharType="end"/>
      </w:r>
      <w:bookmarkEnd w:id="0"/>
      <w:r>
        <w:tab/>
        <w:t xml:space="preserve">PICO for </w:t>
      </w:r>
      <w:r w:rsidR="00EA58A6">
        <w:t xml:space="preserve">leadless pacing with </w:t>
      </w:r>
      <w:r w:rsidR="00527F3F">
        <w:t xml:space="preserve">the Micra AV </w:t>
      </w:r>
      <w:r>
        <w:t>in</w:t>
      </w:r>
      <w:r w:rsidR="00F633A1" w:rsidRPr="00F633A1">
        <w:t xml:space="preserve"> </w:t>
      </w:r>
      <w:r w:rsidR="00F633A1">
        <w:t>p</w:t>
      </w:r>
      <w:r w:rsidR="00F633A1" w:rsidRPr="00F633A1">
        <w:t xml:space="preserve">atients who are indicated for permanent pacing to treat bradycardia due to high-grade AV block and who are in sinus </w:t>
      </w:r>
      <w:proofErr w:type="gramStart"/>
      <w:r w:rsidR="00F633A1" w:rsidRPr="00F633A1">
        <w:t>rhythm</w:t>
      </w:r>
      <w:bookmarkEnd w:id="1"/>
      <w:proofErr w:type="gramEnd"/>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leadless pacing with the Micra AV in patients who are indicated for permanent pacing to treat bradycardia due to high-grade AV block and who are in sinus rhythm"/>
        <w:tblDescription w:val="This table summarises the PICO criteria for the application including population, intervention, comparator, outcomes and assessment questions. "/>
      </w:tblPr>
      <w:tblGrid>
        <w:gridCol w:w="1550"/>
        <w:gridCol w:w="8016"/>
      </w:tblGrid>
      <w:tr w:rsidR="006478E7" w:rsidRPr="00490FBB" w14:paraId="2A509B30" w14:textId="77777777" w:rsidTr="17E6E41C">
        <w:trPr>
          <w:trHeight w:val="372"/>
          <w:tblHeader/>
        </w:trPr>
        <w:tc>
          <w:tcPr>
            <w:tcW w:w="810"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36353E">
            <w:pPr>
              <w:pStyle w:val="TableHeading"/>
            </w:pPr>
            <w:bookmarkStart w:id="2" w:name="Title_Table1" w:colFirst="0" w:colLast="0"/>
            <w:r w:rsidRPr="00490FBB">
              <w:t>Component</w:t>
            </w:r>
          </w:p>
        </w:tc>
        <w:tc>
          <w:tcPr>
            <w:tcW w:w="4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36353E">
            <w:pPr>
              <w:pStyle w:val="TableHeading"/>
            </w:pPr>
            <w:r w:rsidRPr="00490FBB">
              <w:t>Description</w:t>
            </w:r>
          </w:p>
        </w:tc>
      </w:tr>
      <w:bookmarkEnd w:id="2"/>
      <w:tr w:rsidR="006478E7" w:rsidRPr="00490FBB" w14:paraId="78E0BB65" w14:textId="77777777" w:rsidTr="00537092">
        <w:tc>
          <w:tcPr>
            <w:tcW w:w="810"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E038F7">
            <w:pPr>
              <w:pStyle w:val="Tabletext"/>
            </w:pPr>
            <w:r>
              <w:t>Population</w:t>
            </w:r>
          </w:p>
        </w:tc>
        <w:tc>
          <w:tcPr>
            <w:tcW w:w="4190" w:type="pct"/>
            <w:tcBorders>
              <w:top w:val="single" w:sz="4" w:space="0" w:color="auto"/>
              <w:left w:val="single" w:sz="4" w:space="0" w:color="auto"/>
              <w:bottom w:val="single" w:sz="4" w:space="0" w:color="auto"/>
              <w:right w:val="single" w:sz="4" w:space="0" w:color="auto"/>
            </w:tcBorders>
            <w:hideMark/>
          </w:tcPr>
          <w:p w14:paraId="4A940F06" w14:textId="43D27B26" w:rsidR="00B05F68" w:rsidRDefault="00F854F8" w:rsidP="00E038F7">
            <w:pPr>
              <w:pStyle w:val="Tabletext"/>
              <w:rPr>
                <w:iCs/>
              </w:rPr>
            </w:pPr>
            <w:r>
              <w:rPr>
                <w:iCs/>
              </w:rPr>
              <w:t>P</w:t>
            </w:r>
            <w:r w:rsidR="00236A79">
              <w:rPr>
                <w:iCs/>
              </w:rPr>
              <w:t xml:space="preserve">atients who are indicated for permanent pacing to treat bradycardia due to paroxysmal or permanent high-grade </w:t>
            </w:r>
            <w:r w:rsidR="006D2042">
              <w:rPr>
                <w:iCs/>
              </w:rPr>
              <w:t>atrioventricular (</w:t>
            </w:r>
            <w:r w:rsidR="00236A79">
              <w:rPr>
                <w:iCs/>
              </w:rPr>
              <w:t>AV</w:t>
            </w:r>
            <w:r w:rsidR="006D2042">
              <w:rPr>
                <w:iCs/>
              </w:rPr>
              <w:t>)</w:t>
            </w:r>
            <w:r w:rsidR="00236A79">
              <w:rPr>
                <w:iCs/>
              </w:rPr>
              <w:t xml:space="preserve"> block and who are</w:t>
            </w:r>
            <w:r w:rsidR="00403589">
              <w:rPr>
                <w:iCs/>
              </w:rPr>
              <w:t xml:space="preserve"> </w:t>
            </w:r>
            <w:r w:rsidR="00236A79">
              <w:rPr>
                <w:iCs/>
              </w:rPr>
              <w:t>in sinus rhythm.</w:t>
            </w:r>
            <w:r w:rsidR="002326B2">
              <w:rPr>
                <w:iCs/>
              </w:rPr>
              <w:t xml:space="preserve"> </w:t>
            </w:r>
          </w:p>
          <w:p w14:paraId="5F311A68" w14:textId="0BBA7DC8" w:rsidR="00236A79" w:rsidRDefault="00236A79" w:rsidP="00E038F7">
            <w:pPr>
              <w:pStyle w:val="Tabletext"/>
              <w:rPr>
                <w:iCs/>
              </w:rPr>
            </w:pPr>
            <w:r>
              <w:rPr>
                <w:iCs/>
              </w:rPr>
              <w:t>The following criteria also apply:</w:t>
            </w:r>
            <w:r w:rsidR="001E273F">
              <w:rPr>
                <w:iCs/>
              </w:rPr>
              <w:t xml:space="preserve"> </w:t>
            </w:r>
          </w:p>
          <w:p w14:paraId="126883EC" w14:textId="0C78125D" w:rsidR="00236A79" w:rsidRDefault="0081666B" w:rsidP="00C57EEE">
            <w:pPr>
              <w:pStyle w:val="Tabletext"/>
              <w:numPr>
                <w:ilvl w:val="0"/>
                <w:numId w:val="6"/>
              </w:numPr>
              <w:rPr>
                <w:iCs/>
              </w:rPr>
            </w:pPr>
            <w:r>
              <w:rPr>
                <w:iCs/>
              </w:rPr>
              <w:t>A</w:t>
            </w:r>
            <w:r w:rsidR="00236A79" w:rsidRPr="00121891">
              <w:rPr>
                <w:iCs/>
              </w:rPr>
              <w:t xml:space="preserve"> dual chamber transvenous pacing system is considered a poor option (</w:t>
            </w:r>
            <w:proofErr w:type="gramStart"/>
            <w:r w:rsidR="00236A79" w:rsidRPr="00121891">
              <w:rPr>
                <w:iCs/>
              </w:rPr>
              <w:t>e.g.</w:t>
            </w:r>
            <w:proofErr w:type="gramEnd"/>
            <w:r w:rsidR="00236A79" w:rsidRPr="00121891">
              <w:rPr>
                <w:iCs/>
              </w:rPr>
              <w:t xml:space="preserve"> tortuous anatomy, a need to preserve venous access, increased risk of infection) or not deemed necessary for effective therapy</w:t>
            </w:r>
            <w:r>
              <w:rPr>
                <w:iCs/>
              </w:rPr>
              <w:t>.</w:t>
            </w:r>
          </w:p>
          <w:p w14:paraId="4A4FF7C2" w14:textId="6F385948" w:rsidR="006478E7" w:rsidRPr="00D52956" w:rsidRDefault="0081666B" w:rsidP="00C57EEE">
            <w:pPr>
              <w:pStyle w:val="Tabletext"/>
              <w:numPr>
                <w:ilvl w:val="0"/>
                <w:numId w:val="6"/>
              </w:numPr>
            </w:pPr>
            <w:r>
              <w:rPr>
                <w:iCs/>
              </w:rPr>
              <w:t>A</w:t>
            </w:r>
            <w:r w:rsidR="00236A79" w:rsidRPr="008A75C4">
              <w:rPr>
                <w:iCs/>
              </w:rPr>
              <w:t xml:space="preserve"> right ventricular transcatheter pacing system promoting AV synchrony at rest is acceptable</w:t>
            </w:r>
            <w:r w:rsidR="00A022F1">
              <w:rPr>
                <w:iCs/>
              </w:rPr>
              <w:t xml:space="preserve"> </w:t>
            </w:r>
            <w:r w:rsidR="00A022F1" w:rsidRPr="00A022F1">
              <w:rPr>
                <w:iCs/>
              </w:rPr>
              <w:t>(</w:t>
            </w:r>
            <w:proofErr w:type="gramStart"/>
            <w:r w:rsidR="00A022F1" w:rsidRPr="00A022F1">
              <w:rPr>
                <w:iCs/>
              </w:rPr>
              <w:t>i.e.</w:t>
            </w:r>
            <w:proofErr w:type="gramEnd"/>
            <w:r w:rsidR="00A022F1" w:rsidRPr="00A022F1">
              <w:rPr>
                <w:iCs/>
              </w:rPr>
              <w:t xml:space="preserve"> atrial pacing or close to 100% AV synchronicity is not required)</w:t>
            </w:r>
            <w:r w:rsidR="00236A79" w:rsidRPr="008A75C4">
              <w:rPr>
                <w:iCs/>
              </w:rPr>
              <w:t xml:space="preserve">. </w:t>
            </w:r>
          </w:p>
        </w:tc>
      </w:tr>
      <w:tr w:rsidR="006478E7" w:rsidRPr="00490FBB" w14:paraId="654E13A9" w14:textId="77777777" w:rsidTr="00537092">
        <w:tc>
          <w:tcPr>
            <w:tcW w:w="810" w:type="pct"/>
            <w:tcBorders>
              <w:top w:val="single" w:sz="4" w:space="0" w:color="auto"/>
              <w:left w:val="single" w:sz="8" w:space="0" w:color="auto"/>
              <w:bottom w:val="single" w:sz="4" w:space="0" w:color="auto"/>
              <w:right w:val="single" w:sz="4" w:space="0" w:color="auto"/>
            </w:tcBorders>
            <w:hideMark/>
          </w:tcPr>
          <w:p w14:paraId="5BF0C211" w14:textId="77777777" w:rsidR="006478E7" w:rsidRPr="00424708" w:rsidRDefault="006478E7" w:rsidP="00E038F7">
            <w:pPr>
              <w:pStyle w:val="Tabletext"/>
              <w:rPr>
                <w:rFonts w:eastAsia="Calibri"/>
              </w:rPr>
            </w:pPr>
            <w:r w:rsidRPr="00424708">
              <w:rPr>
                <w:rFonts w:eastAsia="Calibri"/>
              </w:rPr>
              <w:t>Intervention</w:t>
            </w:r>
          </w:p>
        </w:tc>
        <w:tc>
          <w:tcPr>
            <w:tcW w:w="4190" w:type="pct"/>
            <w:tcBorders>
              <w:top w:val="single" w:sz="4" w:space="0" w:color="auto"/>
              <w:left w:val="single" w:sz="4" w:space="0" w:color="auto"/>
              <w:bottom w:val="single" w:sz="4" w:space="0" w:color="auto"/>
              <w:right w:val="single" w:sz="4" w:space="0" w:color="auto"/>
            </w:tcBorders>
            <w:hideMark/>
          </w:tcPr>
          <w:p w14:paraId="3E51DB12" w14:textId="2CF0F743" w:rsidR="00424708" w:rsidRPr="00424708" w:rsidRDefault="00F66C1A" w:rsidP="00E038F7">
            <w:pPr>
              <w:pStyle w:val="Tabletext"/>
              <w:rPr>
                <w:rFonts w:eastAsia="Calibri"/>
              </w:rPr>
            </w:pPr>
            <w:r>
              <w:rPr>
                <w:rFonts w:eastAsia="Calibri"/>
              </w:rPr>
              <w:t xml:space="preserve">Insertion of a </w:t>
            </w:r>
            <w:r w:rsidR="00D7530A">
              <w:rPr>
                <w:rFonts w:eastAsia="Calibri"/>
              </w:rPr>
              <w:t xml:space="preserve">leadless pacemaker </w:t>
            </w:r>
            <w:r w:rsidR="00B256B6">
              <w:rPr>
                <w:rFonts w:eastAsia="Calibri"/>
              </w:rPr>
              <w:t>(LPM)</w:t>
            </w:r>
            <w:r w:rsidR="000A46D2">
              <w:rPr>
                <w:rFonts w:eastAsia="Calibri"/>
              </w:rPr>
              <w:t xml:space="preserve"> into the right ventricle,</w:t>
            </w:r>
            <w:r w:rsidR="00B256B6">
              <w:rPr>
                <w:rFonts w:eastAsia="Calibri"/>
              </w:rPr>
              <w:t xml:space="preserve"> </w:t>
            </w:r>
            <w:r w:rsidR="000A46D2">
              <w:rPr>
                <w:rFonts w:eastAsia="Calibri"/>
              </w:rPr>
              <w:t xml:space="preserve">that </w:t>
            </w:r>
            <w:r w:rsidR="00E94BF2">
              <w:rPr>
                <w:rFonts w:eastAsia="Calibri"/>
              </w:rPr>
              <w:t>promot</w:t>
            </w:r>
            <w:r w:rsidR="000A46D2">
              <w:rPr>
                <w:rFonts w:eastAsia="Calibri"/>
              </w:rPr>
              <w:t>es</w:t>
            </w:r>
            <w:r w:rsidR="00430387">
              <w:rPr>
                <w:rFonts w:eastAsia="Calibri"/>
              </w:rPr>
              <w:t xml:space="preserve"> </w:t>
            </w:r>
            <w:r w:rsidR="009B3DE4">
              <w:rPr>
                <w:rFonts w:eastAsia="Calibri"/>
              </w:rPr>
              <w:t>AV</w:t>
            </w:r>
            <w:r w:rsidR="004010B1">
              <w:rPr>
                <w:rFonts w:eastAsia="Calibri"/>
              </w:rPr>
              <w:t xml:space="preserve"> synchronous pacing</w:t>
            </w:r>
            <w:r w:rsidR="004077BC">
              <w:rPr>
                <w:rFonts w:eastAsia="Calibri"/>
              </w:rPr>
              <w:t xml:space="preserve"> (</w:t>
            </w:r>
            <w:r w:rsidR="00374639">
              <w:rPr>
                <w:rFonts w:eastAsia="Calibri"/>
              </w:rPr>
              <w:t xml:space="preserve">Medtronic </w:t>
            </w:r>
            <w:r w:rsidR="004077BC">
              <w:rPr>
                <w:rFonts w:eastAsia="Calibri"/>
              </w:rPr>
              <w:t>Micra AV)</w:t>
            </w:r>
            <w:r w:rsidR="004010B1">
              <w:rPr>
                <w:rFonts w:eastAsia="Calibri"/>
              </w:rPr>
              <w:t xml:space="preserve"> </w:t>
            </w:r>
          </w:p>
        </w:tc>
      </w:tr>
      <w:tr w:rsidR="006478E7" w:rsidRPr="00490FBB" w14:paraId="1F5647C3" w14:textId="77777777" w:rsidTr="00537092">
        <w:tc>
          <w:tcPr>
            <w:tcW w:w="810" w:type="pct"/>
            <w:tcBorders>
              <w:top w:val="single" w:sz="4" w:space="0" w:color="auto"/>
              <w:left w:val="single" w:sz="8" w:space="0" w:color="auto"/>
              <w:bottom w:val="single" w:sz="4" w:space="0" w:color="auto"/>
              <w:right w:val="single" w:sz="4" w:space="0" w:color="auto"/>
            </w:tcBorders>
            <w:hideMark/>
          </w:tcPr>
          <w:p w14:paraId="7F55173A" w14:textId="00EA87D1" w:rsidR="006478E7" w:rsidRPr="00490FBB" w:rsidRDefault="006478E7" w:rsidP="00E038F7">
            <w:pPr>
              <w:pStyle w:val="Tabletext"/>
            </w:pPr>
            <w:r w:rsidRPr="00490FBB">
              <w:t>Comparator</w:t>
            </w:r>
            <w:r w:rsidR="00454886" w:rsidDel="00454886">
              <w:t xml:space="preserve"> </w:t>
            </w:r>
          </w:p>
        </w:tc>
        <w:tc>
          <w:tcPr>
            <w:tcW w:w="4190" w:type="pct"/>
            <w:tcBorders>
              <w:top w:val="single" w:sz="4" w:space="0" w:color="auto"/>
              <w:left w:val="single" w:sz="4" w:space="0" w:color="auto"/>
              <w:bottom w:val="single" w:sz="4" w:space="0" w:color="auto"/>
              <w:right w:val="single" w:sz="4" w:space="0" w:color="auto"/>
            </w:tcBorders>
            <w:hideMark/>
          </w:tcPr>
          <w:p w14:paraId="156EA94E" w14:textId="75945A03" w:rsidR="006478E7" w:rsidRDefault="00387AB3" w:rsidP="00E038F7">
            <w:pPr>
              <w:pStyle w:val="Tabletext"/>
              <w:rPr>
                <w:rFonts w:eastAsia="Calibri"/>
              </w:rPr>
            </w:pPr>
            <w:r>
              <w:rPr>
                <w:rFonts w:eastAsia="Calibri"/>
              </w:rPr>
              <w:t xml:space="preserve">Primary: </w:t>
            </w:r>
            <w:r w:rsidR="00F72420">
              <w:rPr>
                <w:rFonts w:eastAsia="Calibri"/>
              </w:rPr>
              <w:t>i</w:t>
            </w:r>
            <w:r w:rsidR="00C43044">
              <w:rPr>
                <w:rFonts w:eastAsia="Calibri"/>
              </w:rPr>
              <w:t>nsertion of a conventional</w:t>
            </w:r>
            <w:r w:rsidR="00B256B6">
              <w:rPr>
                <w:rFonts w:eastAsia="Calibri"/>
              </w:rPr>
              <w:t>,</w:t>
            </w:r>
            <w:r w:rsidR="00C43044">
              <w:rPr>
                <w:rFonts w:eastAsia="Calibri"/>
              </w:rPr>
              <w:t xml:space="preserve"> d</w:t>
            </w:r>
            <w:r w:rsidR="00410CB3" w:rsidRPr="00284FF1">
              <w:rPr>
                <w:rFonts w:eastAsia="Calibri"/>
              </w:rPr>
              <w:t>ual chamber transvenous pacemaker</w:t>
            </w:r>
            <w:r w:rsidR="00284FF1" w:rsidRPr="00284FF1">
              <w:rPr>
                <w:rFonts w:eastAsia="Calibri"/>
              </w:rPr>
              <w:t xml:space="preserve"> (DC-TVPM)</w:t>
            </w:r>
          </w:p>
          <w:p w14:paraId="7E690E4B" w14:textId="58F7AA8F" w:rsidR="00387AB3" w:rsidRPr="00D52956" w:rsidRDefault="00387AB3" w:rsidP="00E038F7">
            <w:pPr>
              <w:pStyle w:val="Tabletext"/>
            </w:pPr>
            <w:r>
              <w:rPr>
                <w:rFonts w:eastAsia="Calibri"/>
              </w:rPr>
              <w:t xml:space="preserve">Secondary: </w:t>
            </w:r>
            <w:r w:rsidR="00F72420">
              <w:rPr>
                <w:rFonts w:eastAsia="Calibri"/>
              </w:rPr>
              <w:t>i</w:t>
            </w:r>
            <w:r>
              <w:rPr>
                <w:rFonts w:eastAsia="Calibri"/>
              </w:rPr>
              <w:t>nsertion of a Micra VR LPM</w:t>
            </w:r>
            <w:r w:rsidR="00D5343B">
              <w:rPr>
                <w:rFonts w:eastAsia="Calibri"/>
              </w:rPr>
              <w:t xml:space="preserve"> </w:t>
            </w:r>
            <w:r w:rsidR="00812EB0">
              <w:rPr>
                <w:rFonts w:eastAsia="Calibri"/>
              </w:rPr>
              <w:t>(if applicant intends to seek a higher PL benefit for the Micra AV)</w:t>
            </w:r>
          </w:p>
        </w:tc>
      </w:tr>
      <w:tr w:rsidR="006478E7" w:rsidRPr="00490FBB" w14:paraId="591B1D2D" w14:textId="77777777" w:rsidTr="00537092">
        <w:tc>
          <w:tcPr>
            <w:tcW w:w="810" w:type="pct"/>
            <w:tcBorders>
              <w:top w:val="single" w:sz="4" w:space="0" w:color="auto"/>
              <w:left w:val="single" w:sz="8" w:space="0" w:color="auto"/>
              <w:bottom w:val="single" w:sz="4" w:space="0" w:color="auto"/>
              <w:right w:val="single" w:sz="4" w:space="0" w:color="auto"/>
            </w:tcBorders>
            <w:hideMark/>
          </w:tcPr>
          <w:p w14:paraId="635F9D15" w14:textId="77777777" w:rsidR="006478E7" w:rsidRPr="00733F9E" w:rsidRDefault="006478E7" w:rsidP="00E038F7">
            <w:pPr>
              <w:pStyle w:val="Tabletext"/>
              <w:rPr>
                <w:color w:val="000000" w:themeColor="text1"/>
              </w:rPr>
            </w:pPr>
            <w:r w:rsidRPr="004D78BB">
              <w:rPr>
                <w:color w:val="000000" w:themeColor="text1"/>
              </w:rPr>
              <w:t>Outcomes</w:t>
            </w:r>
          </w:p>
        </w:tc>
        <w:tc>
          <w:tcPr>
            <w:tcW w:w="4190" w:type="pct"/>
            <w:tcBorders>
              <w:top w:val="single" w:sz="4" w:space="0" w:color="auto"/>
              <w:left w:val="single" w:sz="4" w:space="0" w:color="auto"/>
              <w:bottom w:val="single" w:sz="4" w:space="0" w:color="auto"/>
              <w:right w:val="single" w:sz="4" w:space="0" w:color="auto"/>
            </w:tcBorders>
            <w:hideMark/>
          </w:tcPr>
          <w:p w14:paraId="046F9CAA" w14:textId="715E1953" w:rsidR="00EA044B" w:rsidRPr="00EA044B" w:rsidRDefault="00EA044B" w:rsidP="00E038F7">
            <w:pPr>
              <w:pStyle w:val="Tabletext"/>
              <w:rPr>
                <w:rFonts w:eastAsia="Calibri" w:cs="Times New Roman"/>
                <w:b/>
                <w:bCs/>
                <w:color w:val="000000" w:themeColor="text1"/>
              </w:rPr>
            </w:pPr>
            <w:r>
              <w:rPr>
                <w:rFonts w:eastAsia="Calibri" w:cs="Times New Roman"/>
                <w:b/>
                <w:bCs/>
                <w:color w:val="000000" w:themeColor="text1"/>
              </w:rPr>
              <w:t>Technical performance</w:t>
            </w:r>
          </w:p>
          <w:p w14:paraId="6EE975DD" w14:textId="41E18A1E" w:rsidR="00EA044B" w:rsidRPr="00EA044B" w:rsidRDefault="00EA044B" w:rsidP="00E038F7">
            <w:pPr>
              <w:pStyle w:val="Tabletext"/>
              <w:rPr>
                <w:rFonts w:eastAsia="Calibri" w:cs="Times New Roman"/>
                <w:color w:val="000000" w:themeColor="text1"/>
              </w:rPr>
            </w:pPr>
            <w:r w:rsidRPr="00EA044B">
              <w:rPr>
                <w:rFonts w:eastAsia="Calibri" w:cs="Times New Roman"/>
                <w:color w:val="000000" w:themeColor="text1"/>
              </w:rPr>
              <w:t>Pacing performance (sensing, impedance, pacing threshold, AV synchronicity, rate-responsiveness)</w:t>
            </w:r>
          </w:p>
          <w:p w14:paraId="5A6BDB88" w14:textId="77777777" w:rsidR="00E01349" w:rsidRDefault="00EA044B" w:rsidP="00E038F7">
            <w:pPr>
              <w:pStyle w:val="Tabletext"/>
              <w:rPr>
                <w:rFonts w:eastAsia="Calibri" w:cs="Times New Roman"/>
                <w:color w:val="000000" w:themeColor="text1"/>
              </w:rPr>
            </w:pPr>
            <w:r w:rsidRPr="00EA044B">
              <w:rPr>
                <w:rFonts w:eastAsia="Calibri" w:cs="Times New Roman"/>
                <w:color w:val="000000" w:themeColor="text1"/>
              </w:rPr>
              <w:t>Battery life</w:t>
            </w:r>
          </w:p>
          <w:p w14:paraId="6F7E8B99" w14:textId="4664DFB1" w:rsidR="00EA044B" w:rsidRDefault="00EA044B" w:rsidP="004D78BB">
            <w:pPr>
              <w:pStyle w:val="Tabletext"/>
              <w:spacing w:before="120"/>
              <w:rPr>
                <w:rFonts w:eastAsia="Calibri" w:cs="Times New Roman"/>
                <w:b/>
                <w:bCs/>
                <w:color w:val="000000" w:themeColor="text1"/>
              </w:rPr>
            </w:pPr>
            <w:r>
              <w:rPr>
                <w:rFonts w:eastAsia="Calibri" w:cs="Times New Roman"/>
                <w:b/>
                <w:bCs/>
                <w:color w:val="000000" w:themeColor="text1"/>
              </w:rPr>
              <w:t>Patient</w:t>
            </w:r>
            <w:r w:rsidR="00117BA7">
              <w:rPr>
                <w:rFonts w:eastAsia="Calibri" w:cs="Times New Roman"/>
                <w:b/>
                <w:bCs/>
                <w:color w:val="000000" w:themeColor="text1"/>
              </w:rPr>
              <w:t>-</w:t>
            </w:r>
            <w:r>
              <w:rPr>
                <w:rFonts w:eastAsia="Calibri" w:cs="Times New Roman"/>
                <w:b/>
                <w:bCs/>
                <w:color w:val="000000" w:themeColor="text1"/>
              </w:rPr>
              <w:t>relevant effectiveness</w:t>
            </w:r>
          </w:p>
          <w:p w14:paraId="3359C646" w14:textId="5BA588EC" w:rsidR="00EA044B" w:rsidRPr="00EA044B" w:rsidRDefault="00EA044B" w:rsidP="00E038F7">
            <w:pPr>
              <w:pStyle w:val="Tabletext"/>
              <w:rPr>
                <w:rFonts w:eastAsia="Calibri" w:cs="Times New Roman"/>
                <w:color w:val="000000" w:themeColor="text1"/>
              </w:rPr>
            </w:pPr>
            <w:r w:rsidRPr="00EA044B">
              <w:rPr>
                <w:rFonts w:eastAsia="Calibri" w:cs="Times New Roman"/>
                <w:color w:val="000000" w:themeColor="text1"/>
              </w:rPr>
              <w:t>Mortality (all-cause, cardiovascular)</w:t>
            </w:r>
          </w:p>
          <w:p w14:paraId="16182F18" w14:textId="22759F40" w:rsidR="00EA044B" w:rsidRPr="00EA044B" w:rsidRDefault="00C0083B" w:rsidP="00E038F7">
            <w:pPr>
              <w:pStyle w:val="Tabletext"/>
              <w:rPr>
                <w:rFonts w:eastAsia="Calibri" w:cs="Times New Roman"/>
                <w:color w:val="000000" w:themeColor="text1"/>
              </w:rPr>
            </w:pPr>
            <w:r>
              <w:rPr>
                <w:rFonts w:eastAsia="Calibri" w:cs="Times New Roman"/>
                <w:color w:val="000000" w:themeColor="text1"/>
              </w:rPr>
              <w:t>E</w:t>
            </w:r>
            <w:r w:rsidR="00EA044B" w:rsidRPr="00EA044B">
              <w:rPr>
                <w:rFonts w:eastAsia="Calibri" w:cs="Times New Roman"/>
                <w:color w:val="000000" w:themeColor="text1"/>
              </w:rPr>
              <w:t>xercise capacity</w:t>
            </w:r>
          </w:p>
          <w:p w14:paraId="38D36005" w14:textId="7882A1AB" w:rsidR="00EA044B" w:rsidRPr="00EA044B" w:rsidRDefault="00EA044B" w:rsidP="00E038F7">
            <w:pPr>
              <w:pStyle w:val="Tabletext"/>
              <w:rPr>
                <w:rFonts w:eastAsia="Calibri" w:cs="Times New Roman"/>
                <w:color w:val="000000" w:themeColor="text1"/>
              </w:rPr>
            </w:pPr>
            <w:r w:rsidRPr="00EA044B">
              <w:rPr>
                <w:rFonts w:eastAsia="Calibri" w:cs="Times New Roman"/>
                <w:color w:val="000000" w:themeColor="text1"/>
              </w:rPr>
              <w:t>Switch to an alternative device (a different pacemaker or defibrillator)</w:t>
            </w:r>
          </w:p>
          <w:p w14:paraId="2017716A" w14:textId="46811874" w:rsidR="00EA044B" w:rsidRPr="00EA044B" w:rsidRDefault="00EA044B" w:rsidP="00E038F7">
            <w:pPr>
              <w:pStyle w:val="Tabletext"/>
              <w:rPr>
                <w:rFonts w:eastAsia="Calibri" w:cs="Times New Roman"/>
                <w:color w:val="000000" w:themeColor="text1"/>
              </w:rPr>
            </w:pPr>
            <w:r w:rsidRPr="00EA044B">
              <w:rPr>
                <w:rFonts w:eastAsia="Calibri" w:cs="Times New Roman"/>
                <w:color w:val="000000" w:themeColor="text1"/>
              </w:rPr>
              <w:t>Health-related quality of life</w:t>
            </w:r>
          </w:p>
          <w:p w14:paraId="6EF82890" w14:textId="77777777" w:rsidR="00EA044B" w:rsidRDefault="00EA044B" w:rsidP="00E038F7">
            <w:pPr>
              <w:pStyle w:val="Tabletext"/>
              <w:rPr>
                <w:rFonts w:eastAsia="Calibri" w:cs="Times New Roman"/>
                <w:color w:val="000000" w:themeColor="text1"/>
              </w:rPr>
            </w:pPr>
            <w:r w:rsidRPr="00EA044B">
              <w:rPr>
                <w:rFonts w:eastAsia="Calibri" w:cs="Times New Roman"/>
                <w:color w:val="000000" w:themeColor="text1"/>
              </w:rPr>
              <w:t>Patient satisfaction</w:t>
            </w:r>
          </w:p>
          <w:p w14:paraId="20C0ED6C" w14:textId="21D4FF26" w:rsidR="00451CD1" w:rsidRDefault="00451CD1" w:rsidP="00E038F7">
            <w:pPr>
              <w:pStyle w:val="Tabletext"/>
              <w:rPr>
                <w:rFonts w:eastAsia="Calibri" w:cs="Times New Roman"/>
                <w:color w:val="000000" w:themeColor="text1"/>
              </w:rPr>
            </w:pPr>
            <w:r w:rsidRPr="00451CD1">
              <w:rPr>
                <w:rFonts w:eastAsia="Calibri" w:cs="Times New Roman"/>
                <w:color w:val="000000" w:themeColor="text1"/>
              </w:rPr>
              <w:t>Any differential outcome by patient characteristics (</w:t>
            </w:r>
            <w:proofErr w:type="gramStart"/>
            <w:r w:rsidRPr="00451CD1">
              <w:rPr>
                <w:rFonts w:eastAsia="Calibri" w:cs="Times New Roman"/>
                <w:color w:val="000000" w:themeColor="text1"/>
              </w:rPr>
              <w:t>e.g.</w:t>
            </w:r>
            <w:proofErr w:type="gramEnd"/>
            <w:r w:rsidRPr="00451CD1">
              <w:rPr>
                <w:rFonts w:eastAsia="Calibri" w:cs="Times New Roman"/>
                <w:color w:val="000000" w:themeColor="text1"/>
              </w:rPr>
              <w:t xml:space="preserve"> age</w:t>
            </w:r>
            <w:r w:rsidR="00A7464D">
              <w:rPr>
                <w:rFonts w:eastAsia="Calibri" w:cs="Times New Roman"/>
                <w:color w:val="000000" w:themeColor="text1"/>
              </w:rPr>
              <w:t>, comorbidities</w:t>
            </w:r>
            <w:r w:rsidR="004F4E9B">
              <w:rPr>
                <w:rFonts w:eastAsia="Calibri" w:cs="Times New Roman"/>
                <w:color w:val="000000" w:themeColor="text1"/>
              </w:rPr>
              <w:t xml:space="preserve">, pacing </w:t>
            </w:r>
            <w:r w:rsidR="00C8517F">
              <w:rPr>
                <w:rFonts w:eastAsia="Calibri" w:cs="Times New Roman"/>
                <w:color w:val="000000" w:themeColor="text1"/>
              </w:rPr>
              <w:t>indications</w:t>
            </w:r>
            <w:r w:rsidRPr="00451CD1">
              <w:rPr>
                <w:rFonts w:eastAsia="Calibri" w:cs="Times New Roman"/>
                <w:color w:val="000000" w:themeColor="text1"/>
              </w:rPr>
              <w:t>)</w:t>
            </w:r>
          </w:p>
          <w:p w14:paraId="7D1F0452" w14:textId="77777777" w:rsidR="00EA044B" w:rsidRDefault="00117BA7" w:rsidP="004D78BB">
            <w:pPr>
              <w:pStyle w:val="Tabletext"/>
              <w:spacing w:before="120"/>
              <w:rPr>
                <w:rFonts w:eastAsia="Calibri" w:cs="Times New Roman"/>
                <w:b/>
                <w:bCs/>
                <w:color w:val="000000" w:themeColor="text1"/>
              </w:rPr>
            </w:pPr>
            <w:r w:rsidRPr="00117BA7">
              <w:rPr>
                <w:rFonts w:eastAsia="Calibri" w:cs="Times New Roman"/>
                <w:b/>
                <w:bCs/>
                <w:color w:val="000000" w:themeColor="text1"/>
              </w:rPr>
              <w:t>Safety</w:t>
            </w:r>
          </w:p>
          <w:p w14:paraId="2C413AAA" w14:textId="5D4E788D" w:rsidR="00F238A6" w:rsidRDefault="00F238A6" w:rsidP="00E038F7">
            <w:pPr>
              <w:pStyle w:val="Tabletext"/>
              <w:rPr>
                <w:rFonts w:eastAsia="Calibri" w:cs="Times New Roman"/>
                <w:color w:val="000000" w:themeColor="text1"/>
              </w:rPr>
            </w:pPr>
            <w:r>
              <w:rPr>
                <w:rFonts w:eastAsia="Calibri" w:cs="Times New Roman"/>
                <w:color w:val="000000" w:themeColor="text1"/>
              </w:rPr>
              <w:t>Implant success</w:t>
            </w:r>
            <w:r w:rsidR="00CB047A">
              <w:rPr>
                <w:rFonts w:eastAsia="Calibri" w:cs="Times New Roman"/>
                <w:color w:val="000000" w:themeColor="text1"/>
              </w:rPr>
              <w:t>/failure</w:t>
            </w:r>
            <w:r>
              <w:rPr>
                <w:rFonts w:eastAsia="Calibri" w:cs="Times New Roman"/>
                <w:color w:val="000000" w:themeColor="text1"/>
              </w:rPr>
              <w:t xml:space="preserve"> rates</w:t>
            </w:r>
          </w:p>
          <w:p w14:paraId="3199579E" w14:textId="431A6E31" w:rsidR="00117BA7" w:rsidRPr="00117BA7" w:rsidRDefault="00117BA7" w:rsidP="00E038F7">
            <w:pPr>
              <w:pStyle w:val="Tabletext"/>
              <w:rPr>
                <w:rFonts w:eastAsia="Calibri" w:cs="Times New Roman"/>
                <w:color w:val="000000" w:themeColor="text1"/>
              </w:rPr>
            </w:pPr>
            <w:r w:rsidRPr="00117BA7">
              <w:rPr>
                <w:rFonts w:eastAsia="Calibri" w:cs="Times New Roman"/>
                <w:color w:val="000000" w:themeColor="text1"/>
              </w:rPr>
              <w:t xml:space="preserve">Procedure-related mortality and major complications </w:t>
            </w:r>
            <w:r w:rsidR="00F238A6">
              <w:rPr>
                <w:rFonts w:eastAsia="Calibri" w:cs="Times New Roman"/>
                <w:color w:val="000000" w:themeColor="text1"/>
              </w:rPr>
              <w:t>(acute, chronic)</w:t>
            </w:r>
          </w:p>
          <w:p w14:paraId="62C3065D" w14:textId="03ECB6E5" w:rsidR="00117BA7" w:rsidRPr="00117BA7" w:rsidRDefault="00117BA7" w:rsidP="00E038F7">
            <w:pPr>
              <w:pStyle w:val="Tabletext"/>
              <w:rPr>
                <w:rFonts w:eastAsia="Calibri" w:cs="Times New Roman"/>
                <w:color w:val="000000" w:themeColor="text1"/>
              </w:rPr>
            </w:pPr>
            <w:r w:rsidRPr="00117BA7">
              <w:rPr>
                <w:rFonts w:eastAsia="Calibri" w:cs="Times New Roman"/>
                <w:color w:val="000000" w:themeColor="text1"/>
              </w:rPr>
              <w:t>Major device-related complications (device dislodgement, device malfunction, battery failure, device infection, pacemaker-induced arrhythmia)</w:t>
            </w:r>
          </w:p>
          <w:p w14:paraId="6ED7FFF0" w14:textId="2B311CD3" w:rsidR="00117BA7" w:rsidRPr="00117BA7" w:rsidRDefault="00117BA7" w:rsidP="00E038F7">
            <w:pPr>
              <w:pStyle w:val="Tabletext"/>
              <w:rPr>
                <w:rFonts w:eastAsia="Calibri" w:cs="Times New Roman"/>
                <w:color w:val="000000" w:themeColor="text1"/>
              </w:rPr>
            </w:pPr>
            <w:r w:rsidRPr="00117BA7">
              <w:rPr>
                <w:rFonts w:eastAsia="Calibri" w:cs="Times New Roman"/>
                <w:color w:val="000000" w:themeColor="text1"/>
              </w:rPr>
              <w:t>Pacemaker syndrome</w:t>
            </w:r>
          </w:p>
          <w:p w14:paraId="6F829870" w14:textId="2B818456" w:rsidR="00117BA7" w:rsidRPr="00117BA7" w:rsidRDefault="00117BA7" w:rsidP="00E038F7">
            <w:pPr>
              <w:pStyle w:val="Tabletext"/>
              <w:rPr>
                <w:rFonts w:eastAsia="Calibri" w:cs="Times New Roman"/>
                <w:color w:val="000000" w:themeColor="text1"/>
              </w:rPr>
            </w:pPr>
            <w:r w:rsidRPr="00117BA7">
              <w:rPr>
                <w:rFonts w:eastAsia="Calibri" w:cs="Times New Roman"/>
                <w:color w:val="000000" w:themeColor="text1"/>
              </w:rPr>
              <w:t>Device revision, retrieval, replacement, explantation</w:t>
            </w:r>
            <w:r w:rsidR="00B77AF2">
              <w:rPr>
                <w:rFonts w:eastAsia="Calibri" w:cs="Times New Roman"/>
                <w:color w:val="000000" w:themeColor="text1"/>
              </w:rPr>
              <w:t xml:space="preserve">, reintervention </w:t>
            </w:r>
            <w:r w:rsidR="00DF0063">
              <w:rPr>
                <w:rFonts w:eastAsia="Calibri" w:cs="Times New Roman"/>
                <w:color w:val="000000" w:themeColor="text1"/>
              </w:rPr>
              <w:t>rates</w:t>
            </w:r>
          </w:p>
          <w:p w14:paraId="49D79BC6" w14:textId="39B605D8" w:rsidR="00A11931" w:rsidRDefault="00117BA7" w:rsidP="00E038F7">
            <w:pPr>
              <w:pStyle w:val="Tabletext"/>
              <w:rPr>
                <w:rFonts w:eastAsia="Calibri" w:cs="Times New Roman"/>
                <w:color w:val="000000" w:themeColor="text1"/>
              </w:rPr>
            </w:pPr>
            <w:r w:rsidRPr="00117BA7">
              <w:rPr>
                <w:rFonts w:eastAsia="Calibri" w:cs="Times New Roman"/>
                <w:color w:val="000000" w:themeColor="text1"/>
              </w:rPr>
              <w:t>Any serious adverse event</w:t>
            </w:r>
            <w:r w:rsidR="00B64DB4">
              <w:rPr>
                <w:rFonts w:eastAsia="Calibri" w:cs="Times New Roman"/>
                <w:color w:val="000000" w:themeColor="text1"/>
              </w:rPr>
              <w:t>s</w:t>
            </w:r>
          </w:p>
          <w:p w14:paraId="51F2FA08" w14:textId="77777777" w:rsidR="00117BA7" w:rsidRDefault="00117BA7" w:rsidP="004D78BB">
            <w:pPr>
              <w:pStyle w:val="Tabletext"/>
              <w:spacing w:before="120"/>
              <w:rPr>
                <w:rFonts w:eastAsia="Calibri" w:cs="Times New Roman"/>
                <w:b/>
                <w:bCs/>
                <w:color w:val="000000" w:themeColor="text1"/>
              </w:rPr>
            </w:pPr>
            <w:r>
              <w:rPr>
                <w:rFonts w:eastAsia="Calibri" w:cs="Times New Roman"/>
                <w:b/>
                <w:bCs/>
                <w:color w:val="000000" w:themeColor="text1"/>
              </w:rPr>
              <w:t>Healthcare resources</w:t>
            </w:r>
          </w:p>
          <w:p w14:paraId="006E39FA" w14:textId="77777777" w:rsidR="00105FAB" w:rsidRDefault="00105FAB" w:rsidP="00E038F7">
            <w:pPr>
              <w:pStyle w:val="Tabletext"/>
              <w:rPr>
                <w:rFonts w:eastAsia="Calibri" w:cs="Times New Roman"/>
                <w:color w:val="000000" w:themeColor="text1"/>
              </w:rPr>
            </w:pPr>
            <w:r>
              <w:rPr>
                <w:rFonts w:eastAsia="Calibri" w:cs="Times New Roman"/>
                <w:color w:val="000000" w:themeColor="text1"/>
              </w:rPr>
              <w:t>Cost of the device and consumables</w:t>
            </w:r>
          </w:p>
          <w:p w14:paraId="6E9BE8C4" w14:textId="5F9E5EA4" w:rsidR="00CB1422" w:rsidRDefault="00117BA7" w:rsidP="00E038F7">
            <w:pPr>
              <w:pStyle w:val="Tabletext"/>
              <w:rPr>
                <w:rFonts w:eastAsia="Calibri" w:cs="Times New Roman"/>
                <w:color w:val="000000" w:themeColor="text1"/>
              </w:rPr>
            </w:pPr>
            <w:r w:rsidRPr="00117BA7">
              <w:rPr>
                <w:rFonts w:eastAsia="Calibri" w:cs="Times New Roman"/>
                <w:color w:val="000000" w:themeColor="text1"/>
              </w:rPr>
              <w:t xml:space="preserve">Procedure-related </w:t>
            </w:r>
            <w:r w:rsidR="00CB1422">
              <w:rPr>
                <w:rFonts w:eastAsia="Calibri" w:cs="Times New Roman"/>
                <w:color w:val="000000" w:themeColor="text1"/>
              </w:rPr>
              <w:t xml:space="preserve">costs </w:t>
            </w:r>
          </w:p>
          <w:p w14:paraId="1EE923DE" w14:textId="2ACE916F" w:rsidR="00117BA7" w:rsidRPr="00117BA7" w:rsidRDefault="00006321" w:rsidP="00E038F7">
            <w:pPr>
              <w:pStyle w:val="Tabletext"/>
              <w:rPr>
                <w:rFonts w:eastAsia="Calibri" w:cs="Times New Roman"/>
                <w:color w:val="000000" w:themeColor="text1"/>
              </w:rPr>
            </w:pPr>
            <w:r>
              <w:rPr>
                <w:rFonts w:eastAsia="Calibri" w:cs="Times New Roman"/>
                <w:color w:val="000000" w:themeColor="text1"/>
              </w:rPr>
              <w:t>F</w:t>
            </w:r>
            <w:r w:rsidR="00117BA7" w:rsidRPr="00117BA7">
              <w:rPr>
                <w:rFonts w:eastAsia="Calibri" w:cs="Times New Roman"/>
                <w:color w:val="000000" w:themeColor="text1"/>
              </w:rPr>
              <w:t xml:space="preserve">ollow-up </w:t>
            </w:r>
            <w:r>
              <w:rPr>
                <w:rFonts w:eastAsia="Calibri" w:cs="Times New Roman"/>
                <w:color w:val="000000" w:themeColor="text1"/>
              </w:rPr>
              <w:t>evaluation and monitoring</w:t>
            </w:r>
            <w:r w:rsidR="00117BA7" w:rsidRPr="00117BA7">
              <w:rPr>
                <w:rFonts w:eastAsia="Calibri" w:cs="Times New Roman"/>
                <w:color w:val="000000" w:themeColor="text1"/>
              </w:rPr>
              <w:t xml:space="preserve"> costs </w:t>
            </w:r>
          </w:p>
          <w:p w14:paraId="22FD0EF2" w14:textId="3D3BAF83" w:rsidR="00117BA7" w:rsidRDefault="002E20A2" w:rsidP="00E038F7">
            <w:pPr>
              <w:pStyle w:val="Tabletext"/>
              <w:rPr>
                <w:rFonts w:eastAsia="Calibri" w:cs="Times New Roman"/>
                <w:color w:val="000000" w:themeColor="text1"/>
              </w:rPr>
            </w:pPr>
            <w:r>
              <w:rPr>
                <w:rFonts w:eastAsia="Calibri" w:cs="Times New Roman"/>
                <w:color w:val="000000" w:themeColor="text1"/>
              </w:rPr>
              <w:t xml:space="preserve">Costs associated with the management of </w:t>
            </w:r>
            <w:proofErr w:type="gramStart"/>
            <w:r>
              <w:rPr>
                <w:rFonts w:eastAsia="Calibri" w:cs="Times New Roman"/>
                <w:color w:val="000000" w:themeColor="text1"/>
              </w:rPr>
              <w:t>complications</w:t>
            </w:r>
            <w:proofErr w:type="gramEnd"/>
          </w:p>
          <w:p w14:paraId="288A91FC" w14:textId="3CE9FB8F" w:rsidR="002E20A2" w:rsidRDefault="002E20A2" w:rsidP="00E90C65">
            <w:pPr>
              <w:pStyle w:val="Tabletext"/>
              <w:spacing w:before="120"/>
              <w:rPr>
                <w:rFonts w:eastAsia="Calibri" w:cs="Times New Roman"/>
                <w:b/>
                <w:bCs/>
                <w:color w:val="000000" w:themeColor="text1"/>
              </w:rPr>
            </w:pPr>
            <w:r>
              <w:rPr>
                <w:rFonts w:eastAsia="Calibri" w:cs="Times New Roman"/>
                <w:b/>
                <w:bCs/>
                <w:color w:val="000000" w:themeColor="text1"/>
              </w:rPr>
              <w:t>Cost</w:t>
            </w:r>
            <w:r w:rsidR="007A6802">
              <w:rPr>
                <w:rFonts w:eastAsia="Calibri" w:cs="Times New Roman"/>
                <w:b/>
                <w:bCs/>
                <w:color w:val="000000" w:themeColor="text1"/>
              </w:rPr>
              <w:t>-</w:t>
            </w:r>
            <w:r>
              <w:rPr>
                <w:rFonts w:eastAsia="Calibri" w:cs="Times New Roman"/>
                <w:b/>
                <w:bCs/>
                <w:color w:val="000000" w:themeColor="text1"/>
              </w:rPr>
              <w:t>effectiveness</w:t>
            </w:r>
          </w:p>
          <w:p w14:paraId="6F9242D7" w14:textId="4D30396D" w:rsidR="00117BA7" w:rsidRPr="00117BA7" w:rsidRDefault="002E20A2" w:rsidP="00E90C65">
            <w:pPr>
              <w:pStyle w:val="Tabletext"/>
              <w:spacing w:before="120"/>
              <w:rPr>
                <w:rFonts w:eastAsia="Calibri" w:cs="Times New Roman"/>
                <w:b/>
                <w:bCs/>
                <w:color w:val="000000" w:themeColor="text1"/>
              </w:rPr>
            </w:pPr>
            <w:r>
              <w:rPr>
                <w:rFonts w:eastAsia="Calibri" w:cs="Times New Roman"/>
                <w:b/>
                <w:bCs/>
                <w:color w:val="000000" w:themeColor="text1"/>
              </w:rPr>
              <w:t>Total Australian Government health care costs (</w:t>
            </w:r>
            <w:proofErr w:type="gramStart"/>
            <w:r w:rsidR="006E04B0">
              <w:rPr>
                <w:rFonts w:eastAsia="Calibri" w:cs="Times New Roman"/>
                <w:b/>
                <w:bCs/>
                <w:color w:val="000000" w:themeColor="text1"/>
              </w:rPr>
              <w:t>e.g.</w:t>
            </w:r>
            <w:proofErr w:type="gramEnd"/>
            <w:r w:rsidR="006E04B0">
              <w:rPr>
                <w:rFonts w:eastAsia="Calibri" w:cs="Times New Roman"/>
                <w:b/>
                <w:bCs/>
                <w:color w:val="000000" w:themeColor="text1"/>
              </w:rPr>
              <w:t xml:space="preserve"> </w:t>
            </w:r>
            <w:r w:rsidR="008256CA">
              <w:rPr>
                <w:rFonts w:eastAsia="Calibri" w:cs="Times New Roman"/>
                <w:b/>
                <w:bCs/>
                <w:color w:val="000000" w:themeColor="text1"/>
              </w:rPr>
              <w:t xml:space="preserve">public/private hospital, </w:t>
            </w:r>
            <w:r w:rsidR="006E04B0">
              <w:rPr>
                <w:rFonts w:eastAsia="Calibri" w:cs="Times New Roman"/>
                <w:b/>
                <w:bCs/>
                <w:color w:val="000000" w:themeColor="text1"/>
              </w:rPr>
              <w:t>PHI, OOP)</w:t>
            </w:r>
          </w:p>
        </w:tc>
      </w:tr>
      <w:tr w:rsidR="00BB1698" w:rsidRPr="00490FBB" w14:paraId="4A55FFDB" w14:textId="77777777" w:rsidTr="00537092">
        <w:tc>
          <w:tcPr>
            <w:tcW w:w="810"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1E50E5">
            <w:pPr>
              <w:pStyle w:val="Tabletext"/>
              <w:keepNext/>
            </w:pPr>
            <w:r w:rsidRPr="00490FBB">
              <w:lastRenderedPageBreak/>
              <w:t>Assessment questions</w:t>
            </w:r>
          </w:p>
        </w:tc>
        <w:tc>
          <w:tcPr>
            <w:tcW w:w="4190" w:type="pct"/>
            <w:tcBorders>
              <w:top w:val="single" w:sz="4" w:space="0" w:color="auto"/>
              <w:left w:val="single" w:sz="4" w:space="0" w:color="auto"/>
              <w:bottom w:val="single" w:sz="4" w:space="0" w:color="auto"/>
              <w:right w:val="single" w:sz="4" w:space="0" w:color="auto"/>
            </w:tcBorders>
          </w:tcPr>
          <w:p w14:paraId="7AB69A9A" w14:textId="574E18A1" w:rsidR="00BB1698" w:rsidRPr="00FD4C65" w:rsidRDefault="00BB1698" w:rsidP="001E50E5">
            <w:pPr>
              <w:pStyle w:val="Tabletext"/>
              <w:keepNext/>
              <w:rPr>
                <w:color w:val="000000" w:themeColor="text1"/>
              </w:rPr>
            </w:pPr>
            <w:r w:rsidRPr="00FD4C65">
              <w:rPr>
                <w:color w:val="000000" w:themeColor="text1"/>
              </w:rPr>
              <w:t>What</w:t>
            </w:r>
            <w:r w:rsidRPr="00490FBB">
              <w:rPr>
                <w:color w:val="000000" w:themeColor="text1"/>
              </w:rPr>
              <w:t xml:space="preserve"> is the </w:t>
            </w:r>
            <w:r w:rsidR="00B376E6">
              <w:rPr>
                <w:color w:val="000000" w:themeColor="text1"/>
              </w:rPr>
              <w:t xml:space="preserve">comparative </w:t>
            </w:r>
            <w:r w:rsidRPr="00490FBB">
              <w:rPr>
                <w:color w:val="000000" w:themeColor="text1"/>
              </w:rPr>
              <w:t xml:space="preserve">safety, effectiveness and cost-effectiveness of </w:t>
            </w:r>
            <w:r w:rsidR="009C17C8">
              <w:rPr>
                <w:color w:val="000000" w:themeColor="text1"/>
              </w:rPr>
              <w:t xml:space="preserve">the </w:t>
            </w:r>
            <w:r w:rsidR="00187AE4">
              <w:rPr>
                <w:color w:val="000000" w:themeColor="text1"/>
              </w:rPr>
              <w:t xml:space="preserve">insertion </w:t>
            </w:r>
            <w:r w:rsidR="0048242C">
              <w:rPr>
                <w:color w:val="000000" w:themeColor="text1"/>
              </w:rPr>
              <w:t xml:space="preserve">into the right ventricle </w:t>
            </w:r>
            <w:r w:rsidR="00187AE4">
              <w:rPr>
                <w:color w:val="000000" w:themeColor="text1"/>
              </w:rPr>
              <w:t>of a</w:t>
            </w:r>
            <w:r w:rsidR="00C81F2B">
              <w:rPr>
                <w:color w:val="000000" w:themeColor="text1"/>
              </w:rPr>
              <w:t>n</w:t>
            </w:r>
            <w:r w:rsidR="00187AE4">
              <w:rPr>
                <w:color w:val="000000" w:themeColor="text1"/>
              </w:rPr>
              <w:t xml:space="preserve"> </w:t>
            </w:r>
            <w:r w:rsidR="00B045BD">
              <w:rPr>
                <w:color w:val="000000" w:themeColor="text1"/>
              </w:rPr>
              <w:t xml:space="preserve">LPM </w:t>
            </w:r>
            <w:r w:rsidR="000B5351">
              <w:rPr>
                <w:color w:val="000000" w:themeColor="text1"/>
              </w:rPr>
              <w:t>promoting AV</w:t>
            </w:r>
            <w:r w:rsidR="00B045BD" w:rsidRPr="00B045BD">
              <w:rPr>
                <w:color w:val="000000" w:themeColor="text1"/>
              </w:rPr>
              <w:t xml:space="preserve"> synchronous pacing </w:t>
            </w:r>
            <w:r w:rsidR="00FA0C74">
              <w:rPr>
                <w:color w:val="000000" w:themeColor="text1"/>
              </w:rPr>
              <w:t xml:space="preserve">(Micra AV) </w:t>
            </w:r>
            <w:r w:rsidRPr="00490FBB">
              <w:rPr>
                <w:color w:val="000000" w:themeColor="text1"/>
              </w:rPr>
              <w:t xml:space="preserve">versus </w:t>
            </w:r>
            <w:r w:rsidR="004170DF">
              <w:rPr>
                <w:color w:val="000000" w:themeColor="text1"/>
              </w:rPr>
              <w:t xml:space="preserve">the insertion of </w:t>
            </w:r>
            <w:r w:rsidR="009C17C8">
              <w:rPr>
                <w:color w:val="000000" w:themeColor="text1"/>
              </w:rPr>
              <w:t xml:space="preserve">a </w:t>
            </w:r>
            <w:r w:rsidR="004170DF">
              <w:rPr>
                <w:color w:val="000000" w:themeColor="text1"/>
              </w:rPr>
              <w:t xml:space="preserve">conventional </w:t>
            </w:r>
            <w:r w:rsidR="009C17C8">
              <w:rPr>
                <w:color w:val="000000" w:themeColor="text1"/>
              </w:rPr>
              <w:t>DC-TVPM</w:t>
            </w:r>
            <w:r w:rsidRPr="00490FBB">
              <w:rPr>
                <w:color w:val="000000" w:themeColor="text1"/>
              </w:rPr>
              <w:t xml:space="preserve"> in </w:t>
            </w:r>
            <w:r w:rsidR="002A47F8">
              <w:rPr>
                <w:color w:val="000000" w:themeColor="text1"/>
              </w:rPr>
              <w:t>p</w:t>
            </w:r>
            <w:r w:rsidR="002A47F8">
              <w:rPr>
                <w:iCs/>
              </w:rPr>
              <w:t>atients who are indicated for permanent pacing to treat bradycardia due to paroxysmal or permanent high-grade AV block and who are in sinus rhythm</w:t>
            </w:r>
            <w:r w:rsidR="00904A17">
              <w:rPr>
                <w:iCs/>
              </w:rPr>
              <w:t>,</w:t>
            </w:r>
            <w:r w:rsidR="00026631">
              <w:rPr>
                <w:iCs/>
              </w:rPr>
              <w:t xml:space="preserve"> </w:t>
            </w:r>
            <w:r w:rsidR="00CC28A4" w:rsidRPr="00CC28A4">
              <w:rPr>
                <w:iCs/>
              </w:rPr>
              <w:t xml:space="preserve">and where a conventional </w:t>
            </w:r>
            <w:r w:rsidR="00EB1AEF">
              <w:rPr>
                <w:iCs/>
              </w:rPr>
              <w:t>DC-</w:t>
            </w:r>
            <w:r w:rsidR="00CC28A4" w:rsidRPr="00CC28A4">
              <w:rPr>
                <w:iCs/>
              </w:rPr>
              <w:t>TV</w:t>
            </w:r>
            <w:r w:rsidR="00EB1AEF">
              <w:rPr>
                <w:iCs/>
              </w:rPr>
              <w:t>PM</w:t>
            </w:r>
            <w:r w:rsidR="00CC28A4" w:rsidRPr="00CC28A4">
              <w:rPr>
                <w:iCs/>
              </w:rPr>
              <w:t xml:space="preserve"> is considered a poor option</w:t>
            </w:r>
            <w:r w:rsidR="00E300FD">
              <w:rPr>
                <w:iCs/>
              </w:rPr>
              <w:t xml:space="preserve"> </w:t>
            </w:r>
            <w:r w:rsidR="00CC28A4" w:rsidRPr="00CC28A4">
              <w:rPr>
                <w:iCs/>
              </w:rPr>
              <w:t>or not deemed necessary</w:t>
            </w:r>
            <w:r w:rsidR="00580808">
              <w:rPr>
                <w:iCs/>
              </w:rPr>
              <w:t xml:space="preserve"> for effective therapy</w:t>
            </w:r>
            <w:r w:rsidRPr="00FD4C65">
              <w:rPr>
                <w:color w:val="000000" w:themeColor="text1"/>
              </w:rPr>
              <w:t>?</w:t>
            </w:r>
          </w:p>
        </w:tc>
      </w:tr>
    </w:tbl>
    <w:p w14:paraId="5D5376EF" w14:textId="776463E7" w:rsidR="006478E7" w:rsidRPr="00490FBB" w:rsidRDefault="005F32ED" w:rsidP="005F32ED">
      <w:pPr>
        <w:pStyle w:val="Tablenotes"/>
      </w:pPr>
      <w:r>
        <w:t>AV</w:t>
      </w:r>
      <w:r w:rsidR="00ED5C91">
        <w:t xml:space="preserve"> = atrioventricular; </w:t>
      </w:r>
      <w:r w:rsidR="006E01CC">
        <w:t xml:space="preserve">DC-TVPM = </w:t>
      </w:r>
      <w:r w:rsidR="000C6A21">
        <w:t>dual</w:t>
      </w:r>
      <w:r w:rsidR="00751590">
        <w:t xml:space="preserve"> </w:t>
      </w:r>
      <w:r w:rsidR="000C6A21">
        <w:t>chamber transvenous pacemaker</w:t>
      </w:r>
      <w:r w:rsidR="006E01CC">
        <w:t xml:space="preserve">; </w:t>
      </w:r>
      <w:r w:rsidR="00581C22">
        <w:t xml:space="preserve">LPM = leadless pacemaker; </w:t>
      </w:r>
      <w:r w:rsidR="006E04B0">
        <w:t xml:space="preserve">OOP = </w:t>
      </w:r>
      <w:r w:rsidR="00E90C65">
        <w:t xml:space="preserve">patient </w:t>
      </w:r>
      <w:r w:rsidR="00A34818">
        <w:t>out-of-pocket</w:t>
      </w:r>
      <w:r w:rsidR="006E04B0">
        <w:t xml:space="preserve">; PHI = </w:t>
      </w:r>
      <w:r w:rsidR="00A34818">
        <w:t>private health insurer</w:t>
      </w:r>
      <w:r w:rsidR="006F113D">
        <w:t xml:space="preserve">; PL = </w:t>
      </w:r>
      <w:r w:rsidR="006F113D" w:rsidRPr="00297DAF">
        <w:t>Prescribed List of Medical Devices and Human Tissue Products</w:t>
      </w:r>
      <w:r w:rsidR="00FC59A1">
        <w:t>.</w:t>
      </w:r>
      <w:r w:rsidR="006478E7" w:rsidRPr="00490FBB">
        <w:br w:type="page"/>
      </w:r>
    </w:p>
    <w:p w14:paraId="53297713" w14:textId="660162A2" w:rsidR="00912660" w:rsidRDefault="00912660" w:rsidP="00713728">
      <w:pPr>
        <w:pStyle w:val="Heading2"/>
      </w:pPr>
      <w:r>
        <w:lastRenderedPageBreak/>
        <w:t>Purpose of application</w:t>
      </w:r>
    </w:p>
    <w:p w14:paraId="4F47F9D3" w14:textId="556C60F9" w:rsidR="004B12AA" w:rsidRDefault="004C2C5E" w:rsidP="004C2C5E">
      <w:pPr>
        <w:spacing w:after="240"/>
        <w:rPr>
          <w:iCs/>
        </w:rPr>
      </w:pPr>
      <w:r w:rsidRPr="009A3778">
        <w:rPr>
          <w:iCs/>
        </w:rPr>
        <w:t xml:space="preserve">An application </w:t>
      </w:r>
      <w:r w:rsidR="0069393B" w:rsidRPr="009A3778">
        <w:rPr>
          <w:iCs/>
        </w:rPr>
        <w:t xml:space="preserve">was received from </w:t>
      </w:r>
      <w:r w:rsidR="0069393B">
        <w:rPr>
          <w:iCs/>
        </w:rPr>
        <w:t>Medtronic Australasia Pty Ltd</w:t>
      </w:r>
      <w:r w:rsidR="0069393B" w:rsidRPr="009A3778">
        <w:rPr>
          <w:iCs/>
        </w:rPr>
        <w:t xml:space="preserve"> by the Department of Health</w:t>
      </w:r>
      <w:r w:rsidR="0069393B">
        <w:rPr>
          <w:iCs/>
        </w:rPr>
        <w:t xml:space="preserve"> and Aged Care</w:t>
      </w:r>
      <w:r w:rsidR="0069393B" w:rsidRPr="009A3778">
        <w:rPr>
          <w:iCs/>
        </w:rPr>
        <w:t xml:space="preserve"> </w:t>
      </w:r>
      <w:r w:rsidR="00D503AB" w:rsidRPr="00D503AB">
        <w:rPr>
          <w:iCs/>
        </w:rPr>
        <w:t xml:space="preserve">to facilitate the listing of the </w:t>
      </w:r>
      <w:r w:rsidR="00B10D37" w:rsidRPr="00D503AB">
        <w:rPr>
          <w:iCs/>
        </w:rPr>
        <w:t>Micra</w:t>
      </w:r>
      <w:r w:rsidR="00B10D37">
        <w:rPr>
          <w:rFonts w:cs="Calibri"/>
          <w:iCs/>
        </w:rPr>
        <w:t>™</w:t>
      </w:r>
      <w:r w:rsidR="00B10D37" w:rsidRPr="00D503AB">
        <w:rPr>
          <w:iCs/>
        </w:rPr>
        <w:t xml:space="preserve"> AV </w:t>
      </w:r>
      <w:r w:rsidR="00D503AB" w:rsidRPr="00D503AB">
        <w:rPr>
          <w:iCs/>
        </w:rPr>
        <w:t>leadless pacemaker (LPM) on the Prescribed List of Medical Devices and Human Tissue Products (PL)</w:t>
      </w:r>
      <w:r w:rsidR="00137B82">
        <w:rPr>
          <w:iCs/>
        </w:rPr>
        <w:t>,</w:t>
      </w:r>
      <w:r w:rsidR="003F141E">
        <w:rPr>
          <w:iCs/>
        </w:rPr>
        <w:t xml:space="preserve"> via the Tier 3 </w:t>
      </w:r>
      <w:r w:rsidR="00564831">
        <w:rPr>
          <w:iCs/>
        </w:rPr>
        <w:t>f</w:t>
      </w:r>
      <w:r w:rsidR="003F141E">
        <w:rPr>
          <w:iCs/>
        </w:rPr>
        <w:t xml:space="preserve">ull </w:t>
      </w:r>
      <w:r w:rsidR="00564831">
        <w:rPr>
          <w:iCs/>
        </w:rPr>
        <w:t>health technology assessment</w:t>
      </w:r>
      <w:r w:rsidR="003F141E">
        <w:rPr>
          <w:iCs/>
        </w:rPr>
        <w:t xml:space="preserve"> pathway</w:t>
      </w:r>
      <w:r w:rsidR="00D503AB">
        <w:rPr>
          <w:iCs/>
        </w:rPr>
        <w:t>.</w:t>
      </w:r>
      <w:r w:rsidR="00116DBC">
        <w:rPr>
          <w:iCs/>
        </w:rPr>
        <w:t xml:space="preserve"> The Tier 3 pathway has been nominated </w:t>
      </w:r>
      <w:r w:rsidR="00CA431F">
        <w:rPr>
          <w:iCs/>
        </w:rPr>
        <w:t>beca</w:t>
      </w:r>
      <w:r w:rsidR="00633881">
        <w:rPr>
          <w:iCs/>
        </w:rPr>
        <w:t>us</w:t>
      </w:r>
      <w:r w:rsidR="00CA431F">
        <w:rPr>
          <w:iCs/>
        </w:rPr>
        <w:t>e</w:t>
      </w:r>
      <w:r w:rsidR="001F6FA5">
        <w:rPr>
          <w:iCs/>
        </w:rPr>
        <w:t xml:space="preserve"> the </w:t>
      </w:r>
      <w:r w:rsidR="0094043C">
        <w:rPr>
          <w:iCs/>
        </w:rPr>
        <w:t xml:space="preserve">applicant </w:t>
      </w:r>
      <w:r w:rsidR="00A56278">
        <w:rPr>
          <w:iCs/>
        </w:rPr>
        <w:t xml:space="preserve">is intending </w:t>
      </w:r>
      <w:r w:rsidR="00BC37F3">
        <w:rPr>
          <w:iCs/>
        </w:rPr>
        <w:t xml:space="preserve">for </w:t>
      </w:r>
      <w:r w:rsidR="001F6FA5">
        <w:rPr>
          <w:iCs/>
        </w:rPr>
        <w:t>Micr</w:t>
      </w:r>
      <w:r w:rsidR="00E1466B">
        <w:rPr>
          <w:iCs/>
        </w:rPr>
        <w:t>a</w:t>
      </w:r>
      <w:r w:rsidR="001F6FA5">
        <w:rPr>
          <w:iCs/>
        </w:rPr>
        <w:t xml:space="preserve"> AV </w:t>
      </w:r>
      <w:r w:rsidR="00A56278">
        <w:rPr>
          <w:iCs/>
        </w:rPr>
        <w:t>to be listed on the PL at a higher benefit</w:t>
      </w:r>
      <w:r w:rsidR="00A9371E">
        <w:rPr>
          <w:iCs/>
        </w:rPr>
        <w:t xml:space="preserve"> than </w:t>
      </w:r>
      <w:r w:rsidR="00217015">
        <w:rPr>
          <w:iCs/>
        </w:rPr>
        <w:t xml:space="preserve">the comparator </w:t>
      </w:r>
      <w:r w:rsidR="00A9371E">
        <w:rPr>
          <w:iCs/>
        </w:rPr>
        <w:t xml:space="preserve">device </w:t>
      </w:r>
      <w:r w:rsidR="0015326B">
        <w:rPr>
          <w:iCs/>
        </w:rPr>
        <w:t>and</w:t>
      </w:r>
      <w:r w:rsidR="00562378" w:rsidRPr="00562378">
        <w:rPr>
          <w:iCs/>
        </w:rPr>
        <w:t xml:space="preserve"> a</w:t>
      </w:r>
      <w:r w:rsidR="0015326B">
        <w:rPr>
          <w:iCs/>
        </w:rPr>
        <w:t>n</w:t>
      </w:r>
      <w:r w:rsidR="00562378" w:rsidRPr="00562378">
        <w:rPr>
          <w:iCs/>
        </w:rPr>
        <w:t xml:space="preserve"> economic model will be required to assess the longer</w:t>
      </w:r>
      <w:r w:rsidR="00333E75">
        <w:rPr>
          <w:iCs/>
        </w:rPr>
        <w:t>-</w:t>
      </w:r>
      <w:r w:rsidR="00562378" w:rsidRPr="00562378">
        <w:rPr>
          <w:iCs/>
        </w:rPr>
        <w:t xml:space="preserve">term costs and benefits </w:t>
      </w:r>
      <w:r w:rsidR="003D4866">
        <w:rPr>
          <w:iCs/>
        </w:rPr>
        <w:t>to</w:t>
      </w:r>
      <w:r w:rsidR="00562378" w:rsidRPr="00562378">
        <w:rPr>
          <w:iCs/>
        </w:rPr>
        <w:t xml:space="preserve"> patients beyond the trial period.</w:t>
      </w:r>
    </w:p>
    <w:p w14:paraId="5EB744F9" w14:textId="5286269B" w:rsidR="00FC2069" w:rsidRPr="00A056FC" w:rsidRDefault="004B12AA" w:rsidP="004C2C5E">
      <w:pPr>
        <w:spacing w:after="240"/>
        <w:rPr>
          <w:i/>
        </w:rPr>
      </w:pPr>
      <w:r>
        <w:rPr>
          <w:iCs/>
        </w:rPr>
        <w:t xml:space="preserve">The </w:t>
      </w:r>
      <w:r w:rsidR="00702C84">
        <w:rPr>
          <w:iCs/>
        </w:rPr>
        <w:t xml:space="preserve">applicant </w:t>
      </w:r>
      <w:r w:rsidR="00416FF7">
        <w:rPr>
          <w:iCs/>
        </w:rPr>
        <w:t xml:space="preserve">considered the </w:t>
      </w:r>
      <w:r>
        <w:rPr>
          <w:iCs/>
        </w:rPr>
        <w:t xml:space="preserve">services associated with the </w:t>
      </w:r>
      <w:r w:rsidR="00F51C07">
        <w:rPr>
          <w:iCs/>
        </w:rPr>
        <w:t xml:space="preserve">proposed </w:t>
      </w:r>
      <w:r>
        <w:rPr>
          <w:iCs/>
        </w:rPr>
        <w:t xml:space="preserve">use of Micra AV </w:t>
      </w:r>
      <w:r w:rsidR="00EA68E4">
        <w:rPr>
          <w:iCs/>
        </w:rPr>
        <w:t>(insertion,</w:t>
      </w:r>
      <w:r w:rsidR="000F5517">
        <w:rPr>
          <w:iCs/>
        </w:rPr>
        <w:t xml:space="preserve"> retrieval and replacement, retrieval, </w:t>
      </w:r>
      <w:r w:rsidR="006B4F6D">
        <w:rPr>
          <w:iCs/>
        </w:rPr>
        <w:t>explantation by open</w:t>
      </w:r>
      <w:r w:rsidR="00554259">
        <w:rPr>
          <w:iCs/>
        </w:rPr>
        <w:t xml:space="preserve"> surgical approach)</w:t>
      </w:r>
      <w:r w:rsidR="00EA68E4">
        <w:rPr>
          <w:iCs/>
        </w:rPr>
        <w:t xml:space="preserve"> </w:t>
      </w:r>
      <w:r w:rsidR="00161AEC">
        <w:rPr>
          <w:iCs/>
        </w:rPr>
        <w:t>we</w:t>
      </w:r>
      <w:r w:rsidR="00E825C7">
        <w:rPr>
          <w:iCs/>
        </w:rPr>
        <w:t xml:space="preserve">re already </w:t>
      </w:r>
      <w:r w:rsidR="00BE5553">
        <w:rPr>
          <w:iCs/>
        </w:rPr>
        <w:t>listed on</w:t>
      </w:r>
      <w:r w:rsidR="00FF0854">
        <w:rPr>
          <w:iCs/>
        </w:rPr>
        <w:t xml:space="preserve"> the Medicare Benefits Schedule</w:t>
      </w:r>
      <w:r w:rsidR="00110EEB">
        <w:rPr>
          <w:iCs/>
        </w:rPr>
        <w:t xml:space="preserve"> </w:t>
      </w:r>
      <w:r w:rsidR="00104A0B">
        <w:rPr>
          <w:iCs/>
        </w:rPr>
        <w:t xml:space="preserve">(MBS) </w:t>
      </w:r>
      <w:r w:rsidR="00110EEB">
        <w:rPr>
          <w:iCs/>
        </w:rPr>
        <w:t xml:space="preserve">(see </w:t>
      </w:r>
      <w:r w:rsidR="00110EEB">
        <w:rPr>
          <w:iCs/>
        </w:rPr>
        <w:fldChar w:fldCharType="begin"/>
      </w:r>
      <w:r w:rsidR="00110EEB">
        <w:rPr>
          <w:iCs/>
        </w:rPr>
        <w:instrText xml:space="preserve"> REF _Ref157606048 \h </w:instrText>
      </w:r>
      <w:r w:rsidR="00110EEB">
        <w:rPr>
          <w:iCs/>
        </w:rPr>
      </w:r>
      <w:r w:rsidR="00110EEB">
        <w:rPr>
          <w:iCs/>
        </w:rPr>
        <w:fldChar w:fldCharType="separate"/>
      </w:r>
      <w:r w:rsidR="00986B06" w:rsidRPr="00DE762F">
        <w:t>Proposal for public funding</w:t>
      </w:r>
      <w:r w:rsidR="00110EEB">
        <w:rPr>
          <w:iCs/>
        </w:rPr>
        <w:fldChar w:fldCharType="end"/>
      </w:r>
      <w:r w:rsidR="00110EEB">
        <w:rPr>
          <w:iCs/>
        </w:rPr>
        <w:t>)</w:t>
      </w:r>
      <w:r w:rsidR="000C714B">
        <w:rPr>
          <w:iCs/>
        </w:rPr>
        <w:t>.</w:t>
      </w:r>
      <w:r w:rsidR="0092260B">
        <w:rPr>
          <w:iCs/>
        </w:rPr>
        <w:t xml:space="preserve"> </w:t>
      </w:r>
      <w:r w:rsidR="001556EE">
        <w:rPr>
          <w:iCs/>
        </w:rPr>
        <w:t xml:space="preserve">The applicant intends to </w:t>
      </w:r>
      <w:r w:rsidR="00494FFE">
        <w:rPr>
          <w:iCs/>
        </w:rPr>
        <w:t>apply</w:t>
      </w:r>
      <w:r w:rsidR="001556EE">
        <w:rPr>
          <w:iCs/>
        </w:rPr>
        <w:t xml:space="preserve"> </w:t>
      </w:r>
      <w:r w:rsidR="001215DB">
        <w:rPr>
          <w:iCs/>
        </w:rPr>
        <w:t>for PL listing of the</w:t>
      </w:r>
      <w:r w:rsidR="001556EE">
        <w:rPr>
          <w:iCs/>
        </w:rPr>
        <w:t xml:space="preserve"> Micra AV </w:t>
      </w:r>
      <w:r w:rsidR="00A2791F">
        <w:rPr>
          <w:iCs/>
        </w:rPr>
        <w:t>following</w:t>
      </w:r>
      <w:r w:rsidR="001556EE">
        <w:rPr>
          <w:iCs/>
        </w:rPr>
        <w:t xml:space="preserve"> MSAC </w:t>
      </w:r>
      <w:r w:rsidR="00A2791F">
        <w:rPr>
          <w:iCs/>
        </w:rPr>
        <w:t>consideration</w:t>
      </w:r>
      <w:r w:rsidR="001556EE">
        <w:rPr>
          <w:iCs/>
        </w:rPr>
        <w:t>.</w:t>
      </w:r>
    </w:p>
    <w:p w14:paraId="7F4451B8" w14:textId="0F3D12F9" w:rsidR="006674D4" w:rsidRDefault="00C8184D" w:rsidP="00D64B9F">
      <w:pPr>
        <w:spacing w:after="240"/>
        <w:rPr>
          <w:iCs/>
        </w:rPr>
      </w:pPr>
      <w:r w:rsidRPr="008E0E52">
        <w:rPr>
          <w:iCs/>
        </w:rPr>
        <w:t>While t</w:t>
      </w:r>
      <w:r w:rsidR="00D33709" w:rsidRPr="008E0E52">
        <w:rPr>
          <w:iCs/>
        </w:rPr>
        <w:t>he Micra AV has not been considered by MSAC</w:t>
      </w:r>
      <w:r w:rsidR="00381495">
        <w:rPr>
          <w:iCs/>
        </w:rPr>
        <w:t xml:space="preserve"> previously</w:t>
      </w:r>
      <w:r w:rsidRPr="008E0E52">
        <w:rPr>
          <w:iCs/>
        </w:rPr>
        <w:t>,</w:t>
      </w:r>
      <w:r w:rsidR="000B55DC" w:rsidRPr="008E0E52">
        <w:rPr>
          <w:iCs/>
        </w:rPr>
        <w:t xml:space="preserve"> </w:t>
      </w:r>
      <w:r w:rsidRPr="008E0E52">
        <w:rPr>
          <w:iCs/>
        </w:rPr>
        <w:t>t</w:t>
      </w:r>
      <w:r w:rsidR="000B55DC" w:rsidRPr="008E0E52">
        <w:rPr>
          <w:iCs/>
        </w:rPr>
        <w:t>he Medtronic</w:t>
      </w:r>
      <w:r w:rsidR="00D33709" w:rsidRPr="008E0E52">
        <w:rPr>
          <w:iCs/>
        </w:rPr>
        <w:t xml:space="preserve"> Micra VR</w:t>
      </w:r>
      <w:r w:rsidR="00F61975">
        <w:rPr>
          <w:rStyle w:val="FootnoteReference"/>
          <w:iCs/>
        </w:rPr>
        <w:footnoteReference w:id="2"/>
      </w:r>
      <w:r w:rsidR="000B55DC" w:rsidRPr="008E0E52">
        <w:rPr>
          <w:iCs/>
        </w:rPr>
        <w:t xml:space="preserve"> </w:t>
      </w:r>
      <w:r w:rsidR="00D27C92" w:rsidRPr="008E0E52">
        <w:rPr>
          <w:iCs/>
        </w:rPr>
        <w:t>was</w:t>
      </w:r>
      <w:r w:rsidR="00C53760" w:rsidRPr="008E0E52">
        <w:rPr>
          <w:iCs/>
        </w:rPr>
        <w:t xml:space="preserve"> considered by MSAC</w:t>
      </w:r>
      <w:r w:rsidR="00AE347C" w:rsidRPr="008E0E52">
        <w:rPr>
          <w:iCs/>
        </w:rPr>
        <w:t xml:space="preserve"> at the July 2022 meeting</w:t>
      </w:r>
      <w:r w:rsidR="000A6128" w:rsidRPr="008E0E52">
        <w:rPr>
          <w:iCs/>
        </w:rPr>
        <w:t xml:space="preserve"> (</w:t>
      </w:r>
      <w:hyperlink r:id="rId8" w:tooltip="This link goes to the MSAC webpage for MSAC application 1672" w:history="1">
        <w:r w:rsidR="000A6128" w:rsidRPr="008E0E52">
          <w:rPr>
            <w:rStyle w:val="Hyperlink"/>
            <w:rFonts w:ascii="Calibri" w:hAnsi="Calibri"/>
            <w:iCs/>
          </w:rPr>
          <w:t>MSAC application 1672</w:t>
        </w:r>
      </w:hyperlink>
      <w:r w:rsidR="000A6128" w:rsidRPr="008E0E52">
        <w:rPr>
          <w:iCs/>
        </w:rPr>
        <w:t>)</w:t>
      </w:r>
      <w:r w:rsidRPr="008E0E52">
        <w:rPr>
          <w:iCs/>
        </w:rPr>
        <w:t>.</w:t>
      </w:r>
      <w:r w:rsidR="00AE347C" w:rsidRPr="008E0E52">
        <w:rPr>
          <w:iCs/>
        </w:rPr>
        <w:t xml:space="preserve"> </w:t>
      </w:r>
      <w:r w:rsidR="00A00EDB" w:rsidRPr="008E0E52">
        <w:rPr>
          <w:iCs/>
        </w:rPr>
        <w:t>T</w:t>
      </w:r>
      <w:r w:rsidR="00AE347C" w:rsidRPr="008E0E52">
        <w:rPr>
          <w:iCs/>
        </w:rPr>
        <w:t>he services associated with the Micra VR device were subsequently listed on the MBS in November 2023.</w:t>
      </w:r>
      <w:r w:rsidR="00E74AF5" w:rsidRPr="008E0E52">
        <w:rPr>
          <w:iCs/>
        </w:rPr>
        <w:t xml:space="preserve"> The</w:t>
      </w:r>
      <w:r w:rsidR="008E0E52" w:rsidRPr="008E0E52">
        <w:rPr>
          <w:iCs/>
        </w:rPr>
        <w:t xml:space="preserve"> same</w:t>
      </w:r>
      <w:r w:rsidR="00E74AF5" w:rsidRPr="008E0E52">
        <w:rPr>
          <w:iCs/>
        </w:rPr>
        <w:t xml:space="preserve"> MBS items </w:t>
      </w:r>
      <w:r w:rsidR="00E1622B">
        <w:rPr>
          <w:iCs/>
        </w:rPr>
        <w:t>we</w:t>
      </w:r>
      <w:r w:rsidR="002866E5" w:rsidRPr="008E0E52">
        <w:rPr>
          <w:iCs/>
        </w:rPr>
        <w:t xml:space="preserve">re proposed </w:t>
      </w:r>
      <w:r w:rsidR="009D712E">
        <w:rPr>
          <w:iCs/>
        </w:rPr>
        <w:t xml:space="preserve">by the applicant </w:t>
      </w:r>
      <w:r w:rsidR="002866E5" w:rsidRPr="008E0E52">
        <w:rPr>
          <w:iCs/>
        </w:rPr>
        <w:t>to be used for the Micra AV device</w:t>
      </w:r>
      <w:r w:rsidR="007F25F2" w:rsidRPr="008E0E52">
        <w:rPr>
          <w:iCs/>
        </w:rPr>
        <w:t>.</w:t>
      </w:r>
    </w:p>
    <w:p w14:paraId="0E65AD1B" w14:textId="761B8049" w:rsidR="004C2C5E" w:rsidRPr="009A3778" w:rsidRDefault="0092260B" w:rsidP="004C2C5E">
      <w:pPr>
        <w:spacing w:after="240"/>
        <w:rPr>
          <w:iCs/>
        </w:rPr>
      </w:pPr>
      <w:r w:rsidRPr="00BB6B09">
        <w:rPr>
          <w:iCs/>
        </w:rPr>
        <w:t xml:space="preserve">The population </w:t>
      </w:r>
      <w:r w:rsidR="00863EC4" w:rsidRPr="00BB6B09">
        <w:rPr>
          <w:iCs/>
        </w:rPr>
        <w:t xml:space="preserve">proposed </w:t>
      </w:r>
      <w:r w:rsidR="00B0176A" w:rsidRPr="00BB6B09">
        <w:rPr>
          <w:iCs/>
        </w:rPr>
        <w:t xml:space="preserve">by the applicant </w:t>
      </w:r>
      <w:r w:rsidRPr="00BB6B09">
        <w:rPr>
          <w:iCs/>
        </w:rPr>
        <w:t xml:space="preserve">for </w:t>
      </w:r>
      <w:r w:rsidR="00554259" w:rsidRPr="00BB6B09">
        <w:rPr>
          <w:iCs/>
        </w:rPr>
        <w:t xml:space="preserve">insertion of </w:t>
      </w:r>
      <w:r w:rsidRPr="00BB6B09">
        <w:rPr>
          <w:iCs/>
        </w:rPr>
        <w:t xml:space="preserve">the Micra AV </w:t>
      </w:r>
      <w:r w:rsidR="00774DF8" w:rsidRPr="00BB6B09">
        <w:rPr>
          <w:iCs/>
        </w:rPr>
        <w:t>includes</w:t>
      </w:r>
      <w:r w:rsidRPr="00BB6B09">
        <w:rPr>
          <w:iCs/>
        </w:rPr>
        <w:t xml:space="preserve"> </w:t>
      </w:r>
      <w:r w:rsidR="00163C7F" w:rsidRPr="00BB6B09">
        <w:rPr>
          <w:iCs/>
        </w:rPr>
        <w:t xml:space="preserve">patients who are indicated for permanent pacing </w:t>
      </w:r>
      <w:r w:rsidR="002606CE">
        <w:rPr>
          <w:iCs/>
        </w:rPr>
        <w:t>to treat</w:t>
      </w:r>
      <w:r w:rsidR="00163C7F" w:rsidRPr="00BB6B09">
        <w:rPr>
          <w:iCs/>
        </w:rPr>
        <w:t xml:space="preserve"> bradycardia due to </w:t>
      </w:r>
      <w:r w:rsidR="007C48BE" w:rsidRPr="00BB6B09">
        <w:rPr>
          <w:iCs/>
        </w:rPr>
        <w:t>atrioventricular</w:t>
      </w:r>
      <w:r w:rsidR="003E6053" w:rsidRPr="00BB6B09">
        <w:rPr>
          <w:iCs/>
        </w:rPr>
        <w:t xml:space="preserve"> (</w:t>
      </w:r>
      <w:r w:rsidR="00163C7F" w:rsidRPr="00BB6B09">
        <w:rPr>
          <w:iCs/>
        </w:rPr>
        <w:t>AV</w:t>
      </w:r>
      <w:r w:rsidR="003E6053" w:rsidRPr="00BB6B09">
        <w:rPr>
          <w:iCs/>
        </w:rPr>
        <w:t>)</w:t>
      </w:r>
      <w:r w:rsidR="00163C7F" w:rsidRPr="00BB6B09">
        <w:rPr>
          <w:iCs/>
        </w:rPr>
        <w:t xml:space="preserve"> block and who are in sinus rhythm</w:t>
      </w:r>
      <w:r w:rsidR="004C2C5E" w:rsidRPr="00BB6B09">
        <w:rPr>
          <w:iCs/>
        </w:rPr>
        <w:t>.</w:t>
      </w:r>
    </w:p>
    <w:p w14:paraId="542AA9A9" w14:textId="7450E724" w:rsidR="00DE2CE4" w:rsidRPr="001A506B" w:rsidRDefault="00146E90" w:rsidP="001678F4">
      <w:pPr>
        <w:keepNext/>
        <w:spacing w:after="120"/>
      </w:pPr>
      <w:r w:rsidRPr="00E13F83">
        <w:t>The applicant claim</w:t>
      </w:r>
      <w:r w:rsidR="00950CE1">
        <w:t>ed</w:t>
      </w:r>
      <w:r w:rsidRPr="00E13F83">
        <w:t xml:space="preserve"> that </w:t>
      </w:r>
      <w:r w:rsidR="00927ED3">
        <w:t xml:space="preserve">the </w:t>
      </w:r>
      <w:r w:rsidR="00330C53">
        <w:t>insertion</w:t>
      </w:r>
      <w:r w:rsidR="008401F6">
        <w:t xml:space="preserve"> of the</w:t>
      </w:r>
      <w:r w:rsidR="00382FE1" w:rsidRPr="00D503AB">
        <w:t xml:space="preserve"> Micra AV </w:t>
      </w:r>
      <w:r w:rsidR="00B410AC">
        <w:t>in th</w:t>
      </w:r>
      <w:r w:rsidR="00E54D04">
        <w:t>e proposed</w:t>
      </w:r>
      <w:r w:rsidR="00B410AC">
        <w:t xml:space="preserve"> population </w:t>
      </w:r>
      <w:r w:rsidR="00E54D04">
        <w:t>would</w:t>
      </w:r>
      <w:r w:rsidR="00B410AC">
        <w:t xml:space="preserve"> </w:t>
      </w:r>
      <w:r w:rsidR="00320341">
        <w:t xml:space="preserve">result in superior health outcomes compared to </w:t>
      </w:r>
      <w:r w:rsidR="00E54D04">
        <w:t xml:space="preserve">the </w:t>
      </w:r>
      <w:r w:rsidR="00330C53" w:rsidRPr="00EE5176">
        <w:t>insertion of a conventional</w:t>
      </w:r>
      <w:r w:rsidR="009F0188">
        <w:t>, dual</w:t>
      </w:r>
      <w:r w:rsidR="008C2E96">
        <w:t xml:space="preserve"> chamber transvenous pacemaker</w:t>
      </w:r>
      <w:r w:rsidR="000B4F97" w:rsidRPr="00EE5176">
        <w:t xml:space="preserve"> </w:t>
      </w:r>
      <w:r w:rsidR="008C2E96">
        <w:t>(</w:t>
      </w:r>
      <w:r w:rsidR="00DA00AC" w:rsidRPr="00EE5176">
        <w:t>DC-TVPM</w:t>
      </w:r>
      <w:r w:rsidR="008C2E96">
        <w:t>)</w:t>
      </w:r>
      <w:r w:rsidR="00DA00AC" w:rsidRPr="00EE5176">
        <w:t>.</w:t>
      </w:r>
      <w:r w:rsidR="00871B1F" w:rsidRPr="00EE5176">
        <w:t xml:space="preserve"> </w:t>
      </w:r>
      <w:r w:rsidR="001A506B" w:rsidRPr="00EE5176">
        <w:t>Specifically</w:t>
      </w:r>
      <w:r w:rsidR="001A506B">
        <w:t>,</w:t>
      </w:r>
      <w:r w:rsidR="00556147" w:rsidRPr="00556147">
        <w:t xml:space="preserve"> </w:t>
      </w:r>
      <w:r w:rsidR="008868EE">
        <w:t xml:space="preserve">the clinical claims are that </w:t>
      </w:r>
      <w:r w:rsidR="00556147" w:rsidRPr="00556147">
        <w:t xml:space="preserve">the </w:t>
      </w:r>
      <w:r w:rsidR="0001512A" w:rsidRPr="00556147">
        <w:t xml:space="preserve">Micra AV </w:t>
      </w:r>
      <w:r w:rsidR="00556147" w:rsidRPr="00556147">
        <w:t>is:</w:t>
      </w:r>
    </w:p>
    <w:p w14:paraId="715602FF" w14:textId="662909C7" w:rsidR="00FC69E0" w:rsidRPr="005F2767" w:rsidRDefault="00A8063C" w:rsidP="00C57EEE">
      <w:pPr>
        <w:pStyle w:val="ListParagraph"/>
        <w:keepNext/>
        <w:numPr>
          <w:ilvl w:val="0"/>
          <w:numId w:val="2"/>
        </w:numPr>
        <w:spacing w:after="0" w:line="259" w:lineRule="auto"/>
        <w:ind w:left="714" w:hanging="357"/>
        <w:rPr>
          <w:iCs/>
          <w:szCs w:val="24"/>
        </w:rPr>
      </w:pPr>
      <w:r>
        <w:rPr>
          <w:iCs/>
          <w:szCs w:val="24"/>
        </w:rPr>
        <w:t>n</w:t>
      </w:r>
      <w:r w:rsidR="00FC69E0" w:rsidRPr="005F2767">
        <w:rPr>
          <w:iCs/>
          <w:szCs w:val="24"/>
        </w:rPr>
        <w:t xml:space="preserve">on-inferior with respect to efficacy (including mortality) </w:t>
      </w:r>
    </w:p>
    <w:p w14:paraId="0D31511C" w14:textId="4F6910D3" w:rsidR="00061F25" w:rsidRPr="005F2767" w:rsidRDefault="00A8063C" w:rsidP="00C57EEE">
      <w:pPr>
        <w:pStyle w:val="ListParagraph"/>
        <w:numPr>
          <w:ilvl w:val="0"/>
          <w:numId w:val="2"/>
        </w:numPr>
        <w:spacing w:before="120" w:after="240" w:line="259" w:lineRule="auto"/>
        <w:rPr>
          <w:iCs/>
          <w:szCs w:val="24"/>
        </w:rPr>
      </w:pPr>
      <w:r>
        <w:rPr>
          <w:iCs/>
          <w:szCs w:val="24"/>
        </w:rPr>
        <w:t>s</w:t>
      </w:r>
      <w:r w:rsidR="00061F25" w:rsidRPr="005F2767">
        <w:rPr>
          <w:iCs/>
          <w:szCs w:val="24"/>
        </w:rPr>
        <w:t>uperior with respect to quality of life</w:t>
      </w:r>
    </w:p>
    <w:p w14:paraId="3EAEFB85" w14:textId="0CB76052" w:rsidR="005F2767" w:rsidRDefault="00A8063C" w:rsidP="00C57EEE">
      <w:pPr>
        <w:pStyle w:val="ListParagraph"/>
        <w:numPr>
          <w:ilvl w:val="0"/>
          <w:numId w:val="2"/>
        </w:numPr>
        <w:spacing w:after="0" w:line="259" w:lineRule="auto"/>
        <w:ind w:left="714" w:hanging="357"/>
        <w:rPr>
          <w:iCs/>
          <w:szCs w:val="24"/>
        </w:rPr>
      </w:pPr>
      <w:r>
        <w:rPr>
          <w:iCs/>
          <w:szCs w:val="24"/>
        </w:rPr>
        <w:t>s</w:t>
      </w:r>
      <w:r w:rsidR="00556147" w:rsidRPr="005F2767">
        <w:rPr>
          <w:iCs/>
          <w:szCs w:val="24"/>
        </w:rPr>
        <w:t>uperior with respect to safety (complications over the longer term and reinterventions)</w:t>
      </w:r>
    </w:p>
    <w:p w14:paraId="5DB303A3" w14:textId="71F6F251" w:rsidR="00CB530E" w:rsidRDefault="002C0706" w:rsidP="00C57EEE">
      <w:pPr>
        <w:pStyle w:val="ListParagraph"/>
        <w:numPr>
          <w:ilvl w:val="0"/>
          <w:numId w:val="2"/>
        </w:numPr>
        <w:spacing w:before="120" w:after="240" w:line="259" w:lineRule="auto"/>
        <w:rPr>
          <w:iCs/>
          <w:szCs w:val="24"/>
        </w:rPr>
      </w:pPr>
      <w:r>
        <w:rPr>
          <w:iCs/>
          <w:szCs w:val="24"/>
        </w:rPr>
        <w:t>i</w:t>
      </w:r>
      <w:r w:rsidR="00C93E32" w:rsidRPr="005F2767">
        <w:rPr>
          <w:iCs/>
          <w:szCs w:val="24"/>
        </w:rPr>
        <w:t xml:space="preserve">nferior with respect to technical performance </w:t>
      </w:r>
      <w:r w:rsidR="00CB530E">
        <w:rPr>
          <w:iCs/>
          <w:szCs w:val="24"/>
        </w:rPr>
        <w:t xml:space="preserve">for </w:t>
      </w:r>
      <w:r w:rsidR="00C93E32" w:rsidRPr="005F2767">
        <w:rPr>
          <w:iCs/>
          <w:szCs w:val="24"/>
        </w:rPr>
        <w:t>AV synchronicity</w:t>
      </w:r>
    </w:p>
    <w:p w14:paraId="2B04B08D" w14:textId="29BB0709" w:rsidR="00C93E32" w:rsidRPr="005F2767" w:rsidRDefault="002C0706" w:rsidP="00C57EEE">
      <w:pPr>
        <w:pStyle w:val="ListParagraph"/>
        <w:numPr>
          <w:ilvl w:val="0"/>
          <w:numId w:val="2"/>
        </w:numPr>
        <w:spacing w:before="120" w:after="240" w:line="259" w:lineRule="auto"/>
        <w:rPr>
          <w:iCs/>
          <w:szCs w:val="24"/>
        </w:rPr>
      </w:pPr>
      <w:r>
        <w:rPr>
          <w:iCs/>
          <w:szCs w:val="24"/>
        </w:rPr>
        <w:t>n</w:t>
      </w:r>
      <w:r w:rsidR="00CB530E">
        <w:rPr>
          <w:iCs/>
          <w:szCs w:val="24"/>
        </w:rPr>
        <w:t xml:space="preserve">on-inferior </w:t>
      </w:r>
      <w:r w:rsidR="006365EB">
        <w:rPr>
          <w:iCs/>
          <w:szCs w:val="24"/>
        </w:rPr>
        <w:t>with respect to</w:t>
      </w:r>
      <w:r w:rsidR="00C93E32" w:rsidRPr="005F2767">
        <w:rPr>
          <w:iCs/>
          <w:szCs w:val="24"/>
        </w:rPr>
        <w:t xml:space="preserve"> all other </w:t>
      </w:r>
      <w:r w:rsidR="00433F98">
        <w:rPr>
          <w:iCs/>
          <w:szCs w:val="24"/>
        </w:rPr>
        <w:t>parameters</w:t>
      </w:r>
      <w:r w:rsidR="003959CA">
        <w:rPr>
          <w:iCs/>
          <w:szCs w:val="24"/>
        </w:rPr>
        <w:t xml:space="preserve"> for </w:t>
      </w:r>
      <w:r w:rsidR="00CB530E">
        <w:rPr>
          <w:iCs/>
          <w:szCs w:val="24"/>
        </w:rPr>
        <w:t>technical performance</w:t>
      </w:r>
      <w:r w:rsidR="00856F72">
        <w:rPr>
          <w:iCs/>
          <w:szCs w:val="24"/>
        </w:rPr>
        <w: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4CE27186" w:rsidR="007D6B83" w:rsidRPr="00DD2C11" w:rsidRDefault="007D6B83" w:rsidP="007D6B83">
      <w:pPr>
        <w:pStyle w:val="Heading3"/>
        <w:rPr>
          <w:color w:val="0070C0"/>
        </w:rPr>
      </w:pPr>
      <w:r w:rsidRPr="00DD2C11">
        <w:rPr>
          <w:color w:val="0070C0"/>
        </w:rPr>
        <w:t>Population</w:t>
      </w:r>
    </w:p>
    <w:p w14:paraId="50E14317" w14:textId="662354FC" w:rsidR="00820092" w:rsidRDefault="007A72EE" w:rsidP="00B600D9">
      <w:pPr>
        <w:spacing w:after="120"/>
        <w:rPr>
          <w:iCs/>
        </w:rPr>
      </w:pPr>
      <w:r>
        <w:t xml:space="preserve">The </w:t>
      </w:r>
      <w:r w:rsidR="00B600D9">
        <w:t xml:space="preserve">proposed population </w:t>
      </w:r>
      <w:r w:rsidR="00B600D9">
        <w:rPr>
          <w:iCs/>
        </w:rPr>
        <w:t>for insertion of the Micra AV is patients who are indicated for permanent pacing to treat bradycardia due to paroxysmal or permanent high-grade AV block and who are in sinus rhythm</w:t>
      </w:r>
      <w:r w:rsidR="00580F49">
        <w:rPr>
          <w:iCs/>
        </w:rPr>
        <w:t xml:space="preserve">. </w:t>
      </w:r>
      <w:r w:rsidR="00746CBF">
        <w:rPr>
          <w:iCs/>
        </w:rPr>
        <w:t xml:space="preserve">The type of AV block </w:t>
      </w:r>
      <w:r w:rsidR="00B60B1D">
        <w:rPr>
          <w:iCs/>
        </w:rPr>
        <w:t xml:space="preserve">(paroxysmal or permanent high grade) </w:t>
      </w:r>
      <w:r w:rsidR="00746CBF">
        <w:rPr>
          <w:iCs/>
        </w:rPr>
        <w:t xml:space="preserve">was not </w:t>
      </w:r>
      <w:r w:rsidR="002D0A56">
        <w:rPr>
          <w:iCs/>
        </w:rPr>
        <w:t>mentioned</w:t>
      </w:r>
      <w:r w:rsidR="00746CBF">
        <w:rPr>
          <w:iCs/>
        </w:rPr>
        <w:t xml:space="preserve"> in the application </w:t>
      </w:r>
      <w:r w:rsidR="005F19D5">
        <w:rPr>
          <w:iCs/>
        </w:rPr>
        <w:t xml:space="preserve">but </w:t>
      </w:r>
      <w:r w:rsidR="004F374F">
        <w:rPr>
          <w:iCs/>
        </w:rPr>
        <w:t xml:space="preserve">is specified </w:t>
      </w:r>
      <w:r w:rsidR="0084127C">
        <w:rPr>
          <w:iCs/>
        </w:rPr>
        <w:t xml:space="preserve">in the </w:t>
      </w:r>
      <w:r w:rsidR="0048584D">
        <w:rPr>
          <w:iCs/>
        </w:rPr>
        <w:t>Australian Register of Therapeutic Goods (</w:t>
      </w:r>
      <w:r w:rsidR="0084127C">
        <w:rPr>
          <w:iCs/>
        </w:rPr>
        <w:t>ARTG</w:t>
      </w:r>
      <w:r w:rsidR="0048584D">
        <w:rPr>
          <w:iCs/>
        </w:rPr>
        <w:t>)</w:t>
      </w:r>
      <w:r w:rsidR="0084127C">
        <w:rPr>
          <w:iCs/>
        </w:rPr>
        <w:t xml:space="preserve"> </w:t>
      </w:r>
      <w:r w:rsidR="00C4071F">
        <w:rPr>
          <w:iCs/>
        </w:rPr>
        <w:t>indication (see</w:t>
      </w:r>
      <w:r w:rsidR="00F62A0D">
        <w:rPr>
          <w:iCs/>
        </w:rPr>
        <w:t xml:space="preserve"> </w:t>
      </w:r>
      <w:r w:rsidR="00F62A0D">
        <w:rPr>
          <w:iCs/>
        </w:rPr>
        <w:fldChar w:fldCharType="begin"/>
      </w:r>
      <w:r w:rsidR="00F62A0D">
        <w:rPr>
          <w:iCs/>
        </w:rPr>
        <w:instrText xml:space="preserve"> REF _Ref161849616 \h </w:instrText>
      </w:r>
      <w:r w:rsidR="00F62A0D">
        <w:rPr>
          <w:iCs/>
        </w:rPr>
      </w:r>
      <w:r w:rsidR="00F62A0D">
        <w:rPr>
          <w:iCs/>
        </w:rPr>
        <w:fldChar w:fldCharType="separate"/>
      </w:r>
      <w:r w:rsidR="00F62A0D">
        <w:t>Regulatory status</w:t>
      </w:r>
      <w:r w:rsidR="00F62A0D">
        <w:rPr>
          <w:iCs/>
        </w:rPr>
        <w:fldChar w:fldCharType="end"/>
      </w:r>
      <w:r w:rsidR="00F62A0D">
        <w:rPr>
          <w:iCs/>
        </w:rPr>
        <w:t>,</w:t>
      </w:r>
      <w:r w:rsidR="00C4071F">
        <w:rPr>
          <w:iCs/>
        </w:rPr>
        <w:t xml:space="preserve"> </w:t>
      </w:r>
      <w:r w:rsidR="00C4071F">
        <w:rPr>
          <w:iCs/>
        </w:rPr>
        <w:fldChar w:fldCharType="begin"/>
      </w:r>
      <w:r w:rsidR="00C4071F">
        <w:rPr>
          <w:iCs/>
        </w:rPr>
        <w:instrText xml:space="preserve"> REF _Ref158032993 \h </w:instrText>
      </w:r>
      <w:r w:rsidR="00C4071F">
        <w:rPr>
          <w:iCs/>
        </w:rPr>
      </w:r>
      <w:r w:rsidR="00C4071F">
        <w:rPr>
          <w:iCs/>
        </w:rPr>
        <w:fldChar w:fldCharType="separate"/>
      </w:r>
      <w:r w:rsidR="00C4071F">
        <w:t xml:space="preserve">Table </w:t>
      </w:r>
      <w:r w:rsidR="00C4071F">
        <w:rPr>
          <w:noProof/>
        </w:rPr>
        <w:t>3</w:t>
      </w:r>
      <w:r w:rsidR="00C4071F">
        <w:rPr>
          <w:iCs/>
        </w:rPr>
        <w:fldChar w:fldCharType="end"/>
      </w:r>
      <w:r w:rsidR="00C4071F">
        <w:rPr>
          <w:iCs/>
        </w:rPr>
        <w:t>).</w:t>
      </w:r>
    </w:p>
    <w:p w14:paraId="2103DD6E" w14:textId="65B88F8C" w:rsidR="00B600D9" w:rsidRDefault="00B600D9" w:rsidP="00B600D9">
      <w:pPr>
        <w:spacing w:after="120"/>
        <w:rPr>
          <w:iCs/>
        </w:rPr>
      </w:pPr>
      <w:r>
        <w:rPr>
          <w:iCs/>
        </w:rPr>
        <w:t>The following criteria also apply</w:t>
      </w:r>
      <w:r w:rsidR="009B5753">
        <w:rPr>
          <w:iCs/>
        </w:rPr>
        <w:t>,</w:t>
      </w:r>
      <w:r>
        <w:rPr>
          <w:iCs/>
        </w:rPr>
        <w:t xml:space="preserve"> in line with the ARTG intended purpose for the Micra AV device:</w:t>
      </w:r>
    </w:p>
    <w:p w14:paraId="79A8D36C" w14:textId="7467CCDE" w:rsidR="00B600D9" w:rsidRDefault="00B600D9" w:rsidP="00C57EEE">
      <w:pPr>
        <w:pStyle w:val="ListParagraph"/>
        <w:numPr>
          <w:ilvl w:val="0"/>
          <w:numId w:val="4"/>
        </w:numPr>
        <w:rPr>
          <w:iCs/>
        </w:rPr>
      </w:pPr>
      <w:r>
        <w:rPr>
          <w:iCs/>
        </w:rPr>
        <w:t>A</w:t>
      </w:r>
      <w:r w:rsidRPr="00121891">
        <w:rPr>
          <w:iCs/>
        </w:rPr>
        <w:t xml:space="preserve"> dual chamber transvenous pacing system is considered a poor option (</w:t>
      </w:r>
      <w:proofErr w:type="gramStart"/>
      <w:r w:rsidRPr="00121891">
        <w:rPr>
          <w:iCs/>
        </w:rPr>
        <w:t>e.g.</w:t>
      </w:r>
      <w:proofErr w:type="gramEnd"/>
      <w:r w:rsidRPr="00121891">
        <w:rPr>
          <w:iCs/>
        </w:rPr>
        <w:t xml:space="preserve"> tortuous anatomy, a need to preserve venous access, increased risk of infection) or not deemed necessary for effective therapy.</w:t>
      </w:r>
    </w:p>
    <w:p w14:paraId="5CC3CABF" w14:textId="218C6847" w:rsidR="00B600D9" w:rsidRPr="008A75C4" w:rsidRDefault="00B600D9" w:rsidP="00C57EEE">
      <w:pPr>
        <w:pStyle w:val="ListParagraph"/>
        <w:numPr>
          <w:ilvl w:val="0"/>
          <w:numId w:val="4"/>
        </w:numPr>
        <w:rPr>
          <w:iCs/>
        </w:rPr>
      </w:pPr>
      <w:r w:rsidRPr="002C63BE">
        <w:rPr>
          <w:iCs/>
        </w:rPr>
        <w:lastRenderedPageBreak/>
        <w:t>A right ventricular transcatheter pacing system promoting AV synchrony at rest is acceptable</w:t>
      </w:r>
      <w:r w:rsidR="008720F7">
        <w:rPr>
          <w:iCs/>
        </w:rPr>
        <w:t xml:space="preserve"> (</w:t>
      </w:r>
      <w:proofErr w:type="gramStart"/>
      <w:r w:rsidR="008720F7">
        <w:rPr>
          <w:iCs/>
        </w:rPr>
        <w:t>i.e.</w:t>
      </w:r>
      <w:proofErr w:type="gramEnd"/>
      <w:r w:rsidR="00542366">
        <w:rPr>
          <w:iCs/>
        </w:rPr>
        <w:t xml:space="preserve"> </w:t>
      </w:r>
      <w:r w:rsidR="00A6793E">
        <w:rPr>
          <w:iCs/>
        </w:rPr>
        <w:t>atrial</w:t>
      </w:r>
      <w:r w:rsidR="009377F7">
        <w:rPr>
          <w:iCs/>
        </w:rPr>
        <w:t xml:space="preserve"> pacing or </w:t>
      </w:r>
      <w:r w:rsidR="00542366">
        <w:rPr>
          <w:iCs/>
        </w:rPr>
        <w:t xml:space="preserve">close to </w:t>
      </w:r>
      <w:r w:rsidR="009377F7">
        <w:rPr>
          <w:iCs/>
        </w:rPr>
        <w:t>100% AV synchronicity</w:t>
      </w:r>
      <w:r w:rsidR="00A6793E">
        <w:rPr>
          <w:iCs/>
        </w:rPr>
        <w:t xml:space="preserve"> is not required</w:t>
      </w:r>
      <w:r w:rsidR="009377F7">
        <w:rPr>
          <w:iCs/>
        </w:rPr>
        <w:t>)</w:t>
      </w:r>
      <w:r w:rsidRPr="008A75C4">
        <w:rPr>
          <w:iCs/>
        </w:rPr>
        <w:t>.</w:t>
      </w:r>
    </w:p>
    <w:p w14:paraId="776073A2" w14:textId="77777777" w:rsidR="00505F0C" w:rsidRDefault="00402030" w:rsidP="00B600D9">
      <w:r>
        <w:t>These criteria</w:t>
      </w:r>
      <w:r w:rsidRPr="00402030">
        <w:t xml:space="preserve"> require a degree of subjective interpretation on behalf of the clinician in terms of determining patient need for the device. </w:t>
      </w:r>
    </w:p>
    <w:p w14:paraId="3B92F3BD" w14:textId="043506E6" w:rsidR="00B600D9" w:rsidRDefault="00B600D9" w:rsidP="00B600D9">
      <w:r w:rsidRPr="00911073">
        <w:t xml:space="preserve">Micra AV is not appropriate </w:t>
      </w:r>
      <w:r>
        <w:t>for</w:t>
      </w:r>
      <w:r w:rsidRPr="00911073">
        <w:t xml:space="preserve"> patients who require pacing to the atrium</w:t>
      </w:r>
      <w:r w:rsidR="0049569A">
        <w:t xml:space="preserve"> </w:t>
      </w:r>
      <w:r w:rsidR="0049569A" w:rsidRPr="0049569A">
        <w:t>(</w:t>
      </w:r>
      <w:proofErr w:type="gramStart"/>
      <w:r w:rsidR="0049569A" w:rsidRPr="0049569A">
        <w:t>i.e.</w:t>
      </w:r>
      <w:proofErr w:type="gramEnd"/>
      <w:r w:rsidR="0049569A" w:rsidRPr="0049569A">
        <w:t xml:space="preserve"> patients with sinus bradycardia with or without chronotropic incompetence)</w:t>
      </w:r>
      <w:r>
        <w:t>,</w:t>
      </w:r>
      <w:r w:rsidRPr="00911073">
        <w:t xml:space="preserve"> or close to 100% AV synchronicity</w:t>
      </w:r>
      <w:r>
        <w:t>. According to the applicant, p</w:t>
      </w:r>
      <w:r w:rsidRPr="00DF79FC">
        <w:t xml:space="preserve">atients who do not require close to 100% AV synchronicity are typically older patients who have co-morbidities and </w:t>
      </w:r>
      <w:r>
        <w:t xml:space="preserve">with </w:t>
      </w:r>
      <w:r w:rsidRPr="00DF79FC">
        <w:t>restricted physical activity.</w:t>
      </w:r>
      <w:r w:rsidR="001D09A5">
        <w:t xml:space="preserve"> </w:t>
      </w:r>
    </w:p>
    <w:p w14:paraId="6A3B7841" w14:textId="66C4E047" w:rsidR="000D72DE" w:rsidRDefault="00416DEB" w:rsidP="0040543B">
      <w:r w:rsidRPr="00461B3A">
        <w:t>Whil</w:t>
      </w:r>
      <w:r w:rsidR="00FD0A4A">
        <w:t>e</w:t>
      </w:r>
      <w:r w:rsidRPr="00461B3A">
        <w:t xml:space="preserve"> </w:t>
      </w:r>
      <w:r w:rsidR="00407DF9">
        <w:t xml:space="preserve">some </w:t>
      </w:r>
      <w:r w:rsidR="000D72DE" w:rsidRPr="00461B3A">
        <w:t xml:space="preserve">patients with paroxysmal </w:t>
      </w:r>
      <w:r w:rsidR="00FF08FE">
        <w:t xml:space="preserve">or persistent </w:t>
      </w:r>
      <w:r w:rsidR="00BA6F97">
        <w:t>atrial fibrillation (</w:t>
      </w:r>
      <w:r w:rsidR="000D72DE" w:rsidRPr="00461B3A">
        <w:t>AF</w:t>
      </w:r>
      <w:r w:rsidR="00BA6F97">
        <w:t>)</w:t>
      </w:r>
      <w:r w:rsidR="000D72DE" w:rsidRPr="00461B3A">
        <w:t xml:space="preserve"> </w:t>
      </w:r>
      <w:r w:rsidR="003353FC">
        <w:t xml:space="preserve">may be suitable for the </w:t>
      </w:r>
      <w:r w:rsidR="00EC2892">
        <w:t xml:space="preserve">Micra AV </w:t>
      </w:r>
      <w:r w:rsidR="002F520E">
        <w:t>(</w:t>
      </w:r>
      <w:r w:rsidR="00B57C05">
        <w:t>as per the ARTG intended purpose</w:t>
      </w:r>
      <w:r w:rsidR="00A91939">
        <w:t xml:space="preserve">, </w:t>
      </w:r>
      <w:r w:rsidR="00A91939">
        <w:fldChar w:fldCharType="begin"/>
      </w:r>
      <w:r w:rsidR="00A91939">
        <w:instrText xml:space="preserve"> REF _Ref158032993 \h </w:instrText>
      </w:r>
      <w:r w:rsidR="00A91939">
        <w:fldChar w:fldCharType="separate"/>
      </w:r>
      <w:r w:rsidR="00A91939">
        <w:t xml:space="preserve">Table </w:t>
      </w:r>
      <w:r w:rsidR="00A91939">
        <w:rPr>
          <w:noProof/>
        </w:rPr>
        <w:t>3</w:t>
      </w:r>
      <w:r w:rsidR="00A91939">
        <w:fldChar w:fldCharType="end"/>
      </w:r>
      <w:r w:rsidR="002F520E">
        <w:t>)</w:t>
      </w:r>
      <w:r w:rsidR="008D2845">
        <w:t xml:space="preserve">, these patients are </w:t>
      </w:r>
      <w:r w:rsidR="00EC2892">
        <w:t>excluded from</w:t>
      </w:r>
      <w:r w:rsidR="008D2845">
        <w:t xml:space="preserve"> the PICO population</w:t>
      </w:r>
      <w:r w:rsidR="00836B1E">
        <w:t>.</w:t>
      </w:r>
      <w:r w:rsidR="00952C16">
        <w:t xml:space="preserve"> </w:t>
      </w:r>
    </w:p>
    <w:p w14:paraId="63FC2BA9" w14:textId="6CE4D8CB" w:rsidR="00CB4FF8" w:rsidRPr="00C85802" w:rsidRDefault="00CB4FF8" w:rsidP="00CB4FF8">
      <w:pPr>
        <w:rPr>
          <w:i/>
          <w:iCs/>
        </w:rPr>
      </w:pPr>
      <w:r w:rsidRPr="00C85802">
        <w:rPr>
          <w:i/>
          <w:iCs/>
        </w:rPr>
        <w:t xml:space="preserve">PASC advised that the PICO population should include patients </w:t>
      </w:r>
      <w:r>
        <w:rPr>
          <w:i/>
          <w:iCs/>
        </w:rPr>
        <w:t>in</w:t>
      </w:r>
      <w:r w:rsidRPr="00C85802">
        <w:rPr>
          <w:i/>
          <w:iCs/>
        </w:rPr>
        <w:t xml:space="preserve"> sinus rhythm but not with</w:t>
      </w:r>
      <w:r w:rsidR="00E947F1">
        <w:rPr>
          <w:i/>
          <w:iCs/>
        </w:rPr>
        <w:t xml:space="preserve"> AF</w:t>
      </w:r>
      <w:r w:rsidRPr="00C85802">
        <w:rPr>
          <w:i/>
          <w:iCs/>
        </w:rPr>
        <w:t>. PASC considered that patients who require atrial pacing (</w:t>
      </w:r>
      <w:proofErr w:type="gramStart"/>
      <w:r w:rsidRPr="00C85802">
        <w:rPr>
          <w:i/>
          <w:iCs/>
        </w:rPr>
        <w:t>i.e.</w:t>
      </w:r>
      <w:proofErr w:type="gramEnd"/>
      <w:r w:rsidRPr="00C85802">
        <w:rPr>
          <w:i/>
          <w:iCs/>
        </w:rPr>
        <w:t xml:space="preserve"> patients with sinus bradycardia with or without chronotropic incompetence) should be excluded, as the</w:t>
      </w:r>
      <w:r>
        <w:t xml:space="preserve"> </w:t>
      </w:r>
      <w:r w:rsidRPr="00C85802">
        <w:rPr>
          <w:i/>
          <w:iCs/>
        </w:rPr>
        <w:t>Micra AV does not pace the atrium. PASC noted that while defining patients for whom a DC-T</w:t>
      </w:r>
      <w:r>
        <w:rPr>
          <w:i/>
          <w:iCs/>
        </w:rPr>
        <w:t>VPM</w:t>
      </w:r>
      <w:r w:rsidRPr="00C85802">
        <w:rPr>
          <w:i/>
          <w:iCs/>
        </w:rPr>
        <w:t xml:space="preserve"> was a poor option should be </w:t>
      </w:r>
      <w:proofErr w:type="gramStart"/>
      <w:r w:rsidRPr="00C85802">
        <w:rPr>
          <w:i/>
          <w:iCs/>
        </w:rPr>
        <w:t>fairly straightforward</w:t>
      </w:r>
      <w:proofErr w:type="gramEnd"/>
      <w:r w:rsidRPr="00C85802">
        <w:rPr>
          <w:i/>
          <w:iCs/>
        </w:rPr>
        <w:t xml:space="preserve"> in clinical practice, the second proposed criteria ‘A right ventricular transcatheter pacing system promoting AV synchrony at rest is acceptable’ (taken from the ARTG intended purpose) required further refinement</w:t>
      </w:r>
      <w:r>
        <w:rPr>
          <w:i/>
          <w:iCs/>
        </w:rPr>
        <w:t>.</w:t>
      </w:r>
    </w:p>
    <w:p w14:paraId="5C23E914" w14:textId="77777777" w:rsidR="00CB4FF8" w:rsidRPr="00C85802" w:rsidRDefault="00CB4FF8" w:rsidP="00CB4FF8">
      <w:pPr>
        <w:rPr>
          <w:i/>
          <w:iCs/>
        </w:rPr>
      </w:pPr>
      <w:r w:rsidRPr="00C85802">
        <w:rPr>
          <w:i/>
          <w:iCs/>
        </w:rPr>
        <w:t>The applicant’s clinical expert advised that not all candidates for Micra AV are elderly and frail. Some younger patients may benefit from a leadless option, particularly those with recurrent infections, on renal dialysis, or with minimal pacing requirements. Insertion of an LPM would allow such patients to avoid lead issues until they no longer have ventricular capacity for further LPMs, then they could revert to a conventional TVPM.</w:t>
      </w:r>
    </w:p>
    <w:p w14:paraId="68B199AD" w14:textId="05C21AEE" w:rsidR="00CB4FF8" w:rsidRDefault="00CB4FF8" w:rsidP="00CB4FF8">
      <w:r w:rsidRPr="00C85802">
        <w:rPr>
          <w:i/>
          <w:iCs/>
        </w:rPr>
        <w:t xml:space="preserve">PASC noted the partial overlap in the Micra VR and Micra AV patient populations and considered the additional benefit of </w:t>
      </w:r>
      <w:r w:rsidR="00DD3CA8">
        <w:rPr>
          <w:i/>
          <w:iCs/>
        </w:rPr>
        <w:t xml:space="preserve">the </w:t>
      </w:r>
      <w:r w:rsidRPr="00C85802">
        <w:rPr>
          <w:i/>
          <w:iCs/>
        </w:rPr>
        <w:t xml:space="preserve">Micra AV over the Micra VR currently unclear. PASC noted that a proportion of patients who were indicated for Micra AV but received Micra VR because Micra AV was not on the PL at the time of implantation might switch to Micra AV if PL-listed. There might also be patients who received Micra VR for reasons like no venous access but might benefit from AV synchrony. PASC therefore advised the ADAR to also present comparative clinical evidence of Micra AV </w:t>
      </w:r>
      <w:r>
        <w:rPr>
          <w:i/>
          <w:iCs/>
        </w:rPr>
        <w:t>compared to</w:t>
      </w:r>
      <w:r w:rsidRPr="00C85802">
        <w:rPr>
          <w:i/>
          <w:iCs/>
        </w:rPr>
        <w:t xml:space="preserve"> Micra VR, especially in the context of a claim of superiority for reimbursement purpose</w:t>
      </w:r>
      <w:r>
        <w:rPr>
          <w:i/>
          <w:iCs/>
        </w:rPr>
        <w:t>s</w:t>
      </w:r>
      <w:r w:rsidRPr="00C85802">
        <w:rPr>
          <w:i/>
          <w:iCs/>
        </w:rPr>
        <w:t>.</w:t>
      </w:r>
      <w:r>
        <w:t xml:space="preserve"> </w:t>
      </w:r>
    </w:p>
    <w:p w14:paraId="7DAFCD4F" w14:textId="20C78F4F" w:rsidR="008D4821" w:rsidRPr="00DD2C11" w:rsidRDefault="00B760DD" w:rsidP="00B760DD">
      <w:pPr>
        <w:pStyle w:val="Heading4"/>
        <w:rPr>
          <w:rFonts w:cstheme="majorHAnsi"/>
        </w:rPr>
      </w:pPr>
      <w:r w:rsidRPr="00DD2C11">
        <w:rPr>
          <w:rFonts w:cstheme="majorHAnsi"/>
        </w:rPr>
        <w:t>Bradycardia</w:t>
      </w:r>
    </w:p>
    <w:p w14:paraId="5868704D" w14:textId="1743FE0A" w:rsidR="00625DFB" w:rsidRDefault="00E64A2F" w:rsidP="00FE16D5">
      <w:r w:rsidRPr="00E64A2F">
        <w:t>Bradycardia</w:t>
      </w:r>
      <w:r w:rsidR="00BC3ACE">
        <w:t xml:space="preserve"> </w:t>
      </w:r>
      <w:r w:rsidR="00C42D57">
        <w:t xml:space="preserve">is </w:t>
      </w:r>
      <w:r w:rsidR="00321085">
        <w:t xml:space="preserve">an </w:t>
      </w:r>
      <w:r w:rsidR="00C42D57" w:rsidRPr="00E64A2F">
        <w:t xml:space="preserve">abnormally slow heart </w:t>
      </w:r>
      <w:r w:rsidR="00321085">
        <w:t>rate</w:t>
      </w:r>
      <w:r w:rsidR="000A7B1F">
        <w:t>,</w:t>
      </w:r>
      <w:r w:rsidR="00C42D57">
        <w:t xml:space="preserve"> </w:t>
      </w:r>
      <w:r w:rsidR="00011C14">
        <w:t>defined as less than 60 beats per minute</w:t>
      </w:r>
      <w:r w:rsidR="008700B7">
        <w:t xml:space="preserve"> </w:t>
      </w:r>
      <w:r w:rsidR="00B672D1">
        <w:t>in adults</w:t>
      </w:r>
      <w:r w:rsidR="00FB65AE">
        <w:t>,</w:t>
      </w:r>
      <w:r w:rsidR="00C16BB0">
        <w:t xml:space="preserve"> except for well-trained athletes</w:t>
      </w:r>
      <w:r w:rsidR="00B672D1">
        <w:t xml:space="preserve"> </w:t>
      </w:r>
      <w:r w:rsidR="008700B7">
        <w:t>(</w:t>
      </w:r>
      <w:r w:rsidR="00052C4E">
        <w:t>NIH 2023</w:t>
      </w:r>
      <w:r w:rsidR="008700B7">
        <w:t>)</w:t>
      </w:r>
      <w:r w:rsidR="003A28DE">
        <w:t xml:space="preserve">. </w:t>
      </w:r>
      <w:r w:rsidR="003A28DE" w:rsidRPr="003A28DE">
        <w:t xml:space="preserve">If untreated, </w:t>
      </w:r>
      <w:r w:rsidR="006B396C">
        <w:t>it</w:t>
      </w:r>
      <w:r w:rsidR="003A28DE" w:rsidRPr="003A28DE">
        <w:t xml:space="preserve"> may lead to fatigue, fainting, palpitations, dizziness, heart failure and an increased risk of death</w:t>
      </w:r>
      <w:r w:rsidR="00BA4470">
        <w:t>.</w:t>
      </w:r>
      <w:r w:rsidR="00FF32E2">
        <w:t xml:space="preserve"> </w:t>
      </w:r>
      <w:r w:rsidR="007040ED">
        <w:t xml:space="preserve">Bradycardia </w:t>
      </w:r>
      <w:r w:rsidR="002E2096">
        <w:t xml:space="preserve">occurs </w:t>
      </w:r>
      <w:r w:rsidR="00D56ED2">
        <w:t>due to</w:t>
      </w:r>
      <w:r w:rsidR="002E2096">
        <w:t xml:space="preserve"> </w:t>
      </w:r>
      <w:r w:rsidR="00CB6BBF">
        <w:t xml:space="preserve">a </w:t>
      </w:r>
      <w:r w:rsidR="002E2096">
        <w:t xml:space="preserve">disturbance </w:t>
      </w:r>
      <w:r w:rsidR="00CB6BBF">
        <w:t xml:space="preserve">in </w:t>
      </w:r>
      <w:r w:rsidR="002E2096">
        <w:t xml:space="preserve">the generation or conduction of cardiac electrical </w:t>
      </w:r>
      <w:r w:rsidR="00C56ECD">
        <w:t>activity and</w:t>
      </w:r>
      <w:r w:rsidR="002E2096">
        <w:t xml:space="preserve"> </w:t>
      </w:r>
      <w:r w:rsidR="007040ED">
        <w:t xml:space="preserve">can be broadly </w:t>
      </w:r>
      <w:r w:rsidR="002E56D0">
        <w:t>categorised as stemming from</w:t>
      </w:r>
      <w:r w:rsidR="007040ED">
        <w:t xml:space="preserve"> sinus node dysfunction (SND) </w:t>
      </w:r>
      <w:r w:rsidR="007D5840">
        <w:t>or</w:t>
      </w:r>
      <w:r w:rsidR="007040ED">
        <w:t xml:space="preserve"> </w:t>
      </w:r>
      <w:r w:rsidR="00CF435E">
        <w:t>AV</w:t>
      </w:r>
      <w:r w:rsidR="007040ED">
        <w:t xml:space="preserve"> block</w:t>
      </w:r>
      <w:r w:rsidR="00BA3E0A" w:rsidRPr="00BA3E0A">
        <w:t xml:space="preserve">. </w:t>
      </w:r>
      <w:r w:rsidR="007040ED">
        <w:t>SND and high-degree AV</w:t>
      </w:r>
      <w:r w:rsidR="00D96E9E">
        <w:t xml:space="preserve"> block</w:t>
      </w:r>
      <w:r w:rsidR="007040ED">
        <w:t xml:space="preserve"> are the most common indications for </w:t>
      </w:r>
      <w:r w:rsidR="0077201F">
        <w:t>a permanent pacemaker</w:t>
      </w:r>
      <w:r w:rsidR="007040ED">
        <w:t xml:space="preserve"> </w:t>
      </w:r>
      <w:r w:rsidR="007040ED" w:rsidRPr="001A55EE">
        <w:t>(Glikson et al. 2021)</w:t>
      </w:r>
      <w:r w:rsidR="00F36669">
        <w:t>.</w:t>
      </w:r>
    </w:p>
    <w:p w14:paraId="6E2AF7C2" w14:textId="71B736C5" w:rsidR="001900FE" w:rsidRDefault="001900FE" w:rsidP="00D66489">
      <w:pPr>
        <w:pStyle w:val="Heading4"/>
      </w:pPr>
      <w:r>
        <w:t>AV block</w:t>
      </w:r>
    </w:p>
    <w:p w14:paraId="32EE72BF" w14:textId="21125DF1" w:rsidR="00C32C65" w:rsidRDefault="00492CB0" w:rsidP="00A273D4">
      <w:r w:rsidRPr="00492CB0">
        <w:t>AV</w:t>
      </w:r>
      <w:r w:rsidR="00CF435E">
        <w:t xml:space="preserve"> block</w:t>
      </w:r>
      <w:r w:rsidR="00863490">
        <w:t xml:space="preserve"> </w:t>
      </w:r>
      <w:r w:rsidR="00AF2D03">
        <w:t xml:space="preserve">occurs when there is a </w:t>
      </w:r>
      <w:r w:rsidRPr="00492CB0">
        <w:t>delay or disturbance in the transmission of an impulse from the atria to the ventricles</w:t>
      </w:r>
      <w:r w:rsidR="002035AA">
        <w:t xml:space="preserve"> </w:t>
      </w:r>
      <w:r w:rsidRPr="00492CB0">
        <w:t>due to an anatomical or functional impairment in the conduction system</w:t>
      </w:r>
      <w:r w:rsidR="003B0B33">
        <w:t xml:space="preserve"> of the heart</w:t>
      </w:r>
      <w:r w:rsidR="00050703">
        <w:t xml:space="preserve"> (</w:t>
      </w:r>
      <w:r w:rsidR="00050703" w:rsidRPr="000258ED">
        <w:t>Kashou</w:t>
      </w:r>
      <w:r w:rsidR="00050703">
        <w:t xml:space="preserve"> et al. 2023)</w:t>
      </w:r>
      <w:r w:rsidRPr="00492CB0">
        <w:t>. Th</w:t>
      </w:r>
      <w:r w:rsidR="003B0B33">
        <w:t>e</w:t>
      </w:r>
      <w:r w:rsidRPr="00492CB0">
        <w:t xml:space="preserve"> disruption </w:t>
      </w:r>
      <w:r w:rsidR="007D0037">
        <w:t>may</w:t>
      </w:r>
      <w:r w:rsidRPr="00492CB0">
        <w:t xml:space="preserve"> be transient or </w:t>
      </w:r>
      <w:r w:rsidR="001E17C9" w:rsidRPr="00492CB0">
        <w:t>permanent</w:t>
      </w:r>
      <w:r w:rsidR="001E17C9">
        <w:t xml:space="preserve"> and</w:t>
      </w:r>
      <w:r w:rsidR="00534652">
        <w:t xml:space="preserve"> can </w:t>
      </w:r>
      <w:r w:rsidR="006313AA">
        <w:t>occur at</w:t>
      </w:r>
      <w:r w:rsidR="00C97F09">
        <w:t xml:space="preserve"> various locations </w:t>
      </w:r>
      <w:r w:rsidR="006313AA">
        <w:t>with</w:t>
      </w:r>
      <w:r w:rsidR="001E17C9">
        <w:t>in</w:t>
      </w:r>
      <w:r w:rsidR="00C97F09">
        <w:t xml:space="preserve"> the conduction system </w:t>
      </w:r>
      <w:r w:rsidR="000258ED">
        <w:t>(</w:t>
      </w:r>
      <w:r w:rsidR="000258ED" w:rsidRPr="000258ED">
        <w:t>Kashou</w:t>
      </w:r>
      <w:r w:rsidR="000258ED">
        <w:t xml:space="preserve"> et al. 2023)</w:t>
      </w:r>
      <w:r w:rsidR="00044A0B">
        <w:t>.</w:t>
      </w:r>
    </w:p>
    <w:p w14:paraId="69DB8BB8" w14:textId="43927A82" w:rsidR="00F00CF3" w:rsidRDefault="00E010D0" w:rsidP="008D482D">
      <w:r>
        <w:lastRenderedPageBreak/>
        <w:t xml:space="preserve">According to the </w:t>
      </w:r>
      <w:r w:rsidR="000C69BD">
        <w:t>European Society of Cardiology (ESC) Guidelines on cardiac pacing and cardiac resynchronization therapy</w:t>
      </w:r>
      <w:r w:rsidR="00BE640F">
        <w:t xml:space="preserve"> (Glikson et al. 2021)</w:t>
      </w:r>
      <w:r w:rsidR="000C69BD">
        <w:t>, and the</w:t>
      </w:r>
      <w:r w:rsidR="00777F32">
        <w:t xml:space="preserve"> </w:t>
      </w:r>
      <w:r w:rsidR="00777F32" w:rsidRPr="00777F32">
        <w:t>2018 A</w:t>
      </w:r>
      <w:r w:rsidR="00777F32">
        <w:t xml:space="preserve">merican </w:t>
      </w:r>
      <w:r w:rsidR="00777F32" w:rsidRPr="00777F32">
        <w:t>C</w:t>
      </w:r>
      <w:r w:rsidR="00777F32">
        <w:t xml:space="preserve">ollege of </w:t>
      </w:r>
      <w:r w:rsidR="00777F32" w:rsidRPr="00777F32">
        <w:t>C</w:t>
      </w:r>
      <w:r w:rsidR="00777F32">
        <w:t>ardiology (ACC)</w:t>
      </w:r>
      <w:r w:rsidR="00777F32" w:rsidRPr="00777F32">
        <w:t>/A</w:t>
      </w:r>
      <w:r w:rsidR="00777F32">
        <w:t xml:space="preserve">merican </w:t>
      </w:r>
      <w:r w:rsidR="00777F32" w:rsidRPr="00777F32">
        <w:t>H</w:t>
      </w:r>
      <w:r w:rsidR="00777F32">
        <w:t xml:space="preserve">eart </w:t>
      </w:r>
      <w:r w:rsidR="00777F32" w:rsidRPr="00777F32">
        <w:t>A</w:t>
      </w:r>
      <w:r w:rsidR="00777F32">
        <w:t>ssociation (AHA)</w:t>
      </w:r>
      <w:r w:rsidR="00777F32" w:rsidRPr="00777F32">
        <w:t>/H</w:t>
      </w:r>
      <w:r w:rsidR="00777F32">
        <w:t xml:space="preserve">eart </w:t>
      </w:r>
      <w:r w:rsidR="00777F32" w:rsidRPr="00777F32">
        <w:t>R</w:t>
      </w:r>
      <w:r w:rsidR="00777F32">
        <w:t xml:space="preserve">hythm </w:t>
      </w:r>
      <w:r w:rsidR="00777F32" w:rsidRPr="00777F32">
        <w:t>S</w:t>
      </w:r>
      <w:r w:rsidR="00777F32">
        <w:t>ociety (HRS)</w:t>
      </w:r>
      <w:r w:rsidR="00777F32" w:rsidRPr="00777F32">
        <w:t xml:space="preserve"> Guideline on the </w:t>
      </w:r>
      <w:r w:rsidR="00041B25">
        <w:t>e</w:t>
      </w:r>
      <w:r w:rsidR="00777F32" w:rsidRPr="00777F32">
        <w:t xml:space="preserve">valuation and </w:t>
      </w:r>
      <w:r w:rsidR="00041B25">
        <w:t>m</w:t>
      </w:r>
      <w:r w:rsidR="00777F32" w:rsidRPr="00777F32">
        <w:t xml:space="preserve">anagement of </w:t>
      </w:r>
      <w:r w:rsidR="00041B25">
        <w:t>p</w:t>
      </w:r>
      <w:r w:rsidR="00777F32" w:rsidRPr="00777F32">
        <w:t xml:space="preserve">atients </w:t>
      </w:r>
      <w:r w:rsidR="00041B25">
        <w:t>w</w:t>
      </w:r>
      <w:r w:rsidR="00777F32" w:rsidRPr="00777F32">
        <w:t xml:space="preserve">ith </w:t>
      </w:r>
      <w:r w:rsidR="00041B25">
        <w:t>b</w:t>
      </w:r>
      <w:r w:rsidR="00777F32" w:rsidRPr="00777F32">
        <w:t xml:space="preserve">radycardia and </w:t>
      </w:r>
      <w:r w:rsidR="00041B25">
        <w:t>c</w:t>
      </w:r>
      <w:r w:rsidR="00777F32" w:rsidRPr="00777F32">
        <w:t xml:space="preserve">ardiac </w:t>
      </w:r>
      <w:r w:rsidR="00041B25">
        <w:t>c</w:t>
      </w:r>
      <w:r w:rsidR="00777F32" w:rsidRPr="00777F32">
        <w:t xml:space="preserve">onduction </w:t>
      </w:r>
      <w:r w:rsidR="00041B25">
        <w:t>d</w:t>
      </w:r>
      <w:r w:rsidR="00777F32" w:rsidRPr="00777F32">
        <w:t>elay</w:t>
      </w:r>
      <w:r w:rsidR="009F04D8">
        <w:t xml:space="preserve"> (Kusumoto et al. 2019),</w:t>
      </w:r>
      <w:r w:rsidR="000C69BD">
        <w:t xml:space="preserve"> </w:t>
      </w:r>
      <w:r w:rsidR="009F04D8">
        <w:t>n</w:t>
      </w:r>
      <w:r w:rsidR="0057588E">
        <w:t xml:space="preserve">ot all patients with bradycardia </w:t>
      </w:r>
      <w:r w:rsidR="008E6F98">
        <w:t>due to AV</w:t>
      </w:r>
      <w:r w:rsidR="00CF435E">
        <w:t xml:space="preserve"> block</w:t>
      </w:r>
      <w:r w:rsidR="008E6F98">
        <w:t xml:space="preserve"> </w:t>
      </w:r>
      <w:r w:rsidR="0057588E">
        <w:t xml:space="preserve">are indicated for permanent pacing. </w:t>
      </w:r>
      <w:r w:rsidR="00C320F9">
        <w:t>While the</w:t>
      </w:r>
      <w:r w:rsidR="00735EBC">
        <w:t xml:space="preserve"> presence or absence of symptoms is a major factor in </w:t>
      </w:r>
      <w:r w:rsidR="00340941">
        <w:t xml:space="preserve">determining whether </w:t>
      </w:r>
      <w:r w:rsidR="00BE047F">
        <w:t>a permanent pacemaker is required</w:t>
      </w:r>
      <w:r w:rsidR="00C320F9">
        <w:t>, o</w:t>
      </w:r>
      <w:r w:rsidR="0019750B">
        <w:t>ther considerations include the</w:t>
      </w:r>
      <w:r w:rsidR="00F00CF3">
        <w:t xml:space="preserve"> site of the AV</w:t>
      </w:r>
      <w:r w:rsidR="00CF435E">
        <w:t xml:space="preserve"> block</w:t>
      </w:r>
      <w:r w:rsidR="00F00CF3">
        <w:t>, whether the patient has a systemic disease that leads to progressive AV</w:t>
      </w:r>
      <w:r w:rsidR="00CF435E">
        <w:t xml:space="preserve"> block</w:t>
      </w:r>
      <w:r w:rsidR="00F00CF3">
        <w:t xml:space="preserve"> or higher risk for ventricular arrhythmias, </w:t>
      </w:r>
      <w:r w:rsidR="0034029F">
        <w:t xml:space="preserve">and the potential harms associated with significant amounts of right ventricular pacing </w:t>
      </w:r>
      <w:r w:rsidR="00F00CF3">
        <w:t>(Kusumoto et al. 2019).</w:t>
      </w:r>
    </w:p>
    <w:p w14:paraId="799A7542" w14:textId="4D9311EB" w:rsidR="007754CC" w:rsidRDefault="007754CC" w:rsidP="00D66489">
      <w:pPr>
        <w:pStyle w:val="Heading4"/>
      </w:pPr>
      <w:r>
        <w:t>Permanent pacing</w:t>
      </w:r>
    </w:p>
    <w:p w14:paraId="1933D273" w14:textId="6572AD5C" w:rsidR="002377A8" w:rsidRDefault="005F0084" w:rsidP="008D482D">
      <w:r>
        <w:t xml:space="preserve">Permanent pacing </w:t>
      </w:r>
      <w:r w:rsidRPr="00AD7FCC">
        <w:t>works by preventing the heart from beating slower than a predefined rate by delivering an electrical stimulus to the myocardium when required</w:t>
      </w:r>
      <w:r>
        <w:t xml:space="preserve">. </w:t>
      </w:r>
      <w:r w:rsidR="00A049F8" w:rsidRPr="00A049F8">
        <w:t xml:space="preserve">There are two main types of </w:t>
      </w:r>
      <w:r w:rsidR="000C1904">
        <w:t xml:space="preserve">permanent </w:t>
      </w:r>
      <w:r w:rsidR="00A049F8" w:rsidRPr="00A049F8">
        <w:t>pacemaker systems</w:t>
      </w:r>
      <w:r w:rsidR="000C1904">
        <w:t xml:space="preserve"> </w:t>
      </w:r>
      <w:r w:rsidR="00A049F8" w:rsidRPr="00A049F8">
        <w:t>– conventional transvenous system</w:t>
      </w:r>
      <w:r w:rsidR="00577BDD">
        <w:t>s</w:t>
      </w:r>
      <w:r w:rsidR="00A049F8" w:rsidRPr="00A049F8">
        <w:t xml:space="preserve"> and leadless system</w:t>
      </w:r>
      <w:r w:rsidR="00577BDD">
        <w:t>s</w:t>
      </w:r>
      <w:r w:rsidR="00A049F8" w:rsidRPr="00A049F8">
        <w:t xml:space="preserve">. </w:t>
      </w:r>
    </w:p>
    <w:p w14:paraId="16E6739E" w14:textId="4BFB0509" w:rsidR="000856CB" w:rsidRDefault="009C4B1E" w:rsidP="000207CB">
      <w:pPr>
        <w:spacing w:after="120"/>
      </w:pPr>
      <w:r w:rsidRPr="009C4B1E">
        <w:t xml:space="preserve">Currently available permanent pacemakers are available in two main </w:t>
      </w:r>
      <w:r w:rsidR="00E5182C">
        <w:t>types</w:t>
      </w:r>
      <w:r w:rsidRPr="009C4B1E">
        <w:t>: single</w:t>
      </w:r>
      <w:r w:rsidR="00E5182C">
        <w:t xml:space="preserve"> </w:t>
      </w:r>
      <w:r w:rsidRPr="009C4B1E">
        <w:t>chamber or dual</w:t>
      </w:r>
      <w:r w:rsidR="00F8698B">
        <w:t xml:space="preserve"> </w:t>
      </w:r>
      <w:r w:rsidRPr="009C4B1E">
        <w:t xml:space="preserve">chamber. </w:t>
      </w:r>
      <w:r w:rsidR="00814F46">
        <w:t xml:space="preserve">The terminology single chamber </w:t>
      </w:r>
      <w:r w:rsidR="007F2118">
        <w:t xml:space="preserve">and </w:t>
      </w:r>
      <w:r w:rsidR="00814F46">
        <w:t>dual chamber traditional</w:t>
      </w:r>
      <w:r w:rsidR="00384756">
        <w:t>l</w:t>
      </w:r>
      <w:r w:rsidR="00814F46">
        <w:t>y refers to both the</w:t>
      </w:r>
      <w:r w:rsidR="00384756">
        <w:t xml:space="preserve"> location of the device hardware, as well as the chambers that the device has a function in (</w:t>
      </w:r>
      <w:proofErr w:type="gramStart"/>
      <w:r w:rsidR="00384756">
        <w:t>i.e.</w:t>
      </w:r>
      <w:proofErr w:type="gramEnd"/>
      <w:r w:rsidR="00384756">
        <w:t xml:space="preserve"> sensing or pacing).</w:t>
      </w:r>
      <w:r w:rsidR="00814F46">
        <w:t xml:space="preserve"> </w:t>
      </w:r>
    </w:p>
    <w:p w14:paraId="254BE812" w14:textId="30AFC2F6" w:rsidR="00FD394C" w:rsidRDefault="000856CB" w:rsidP="000207CB">
      <w:pPr>
        <w:spacing w:after="120"/>
      </w:pPr>
      <w:r>
        <w:t>P</w:t>
      </w:r>
      <w:r w:rsidR="005453C6" w:rsidRPr="00754DA1">
        <w:t>acemakers have various modes of pacing, represented using a generic code known as NBG</w:t>
      </w:r>
      <w:r w:rsidR="00265D1B">
        <w:rPr>
          <w:rStyle w:val="FootnoteReference"/>
        </w:rPr>
        <w:footnoteReference w:id="3"/>
      </w:r>
      <w:r w:rsidR="005453C6" w:rsidRPr="00754DA1">
        <w:t>. The first letter represents the area being paced (A</w:t>
      </w:r>
      <w:r w:rsidR="00C21F51">
        <w:t> </w:t>
      </w:r>
      <w:r w:rsidR="005453C6" w:rsidRPr="00754DA1">
        <w:t>=</w:t>
      </w:r>
      <w:r w:rsidR="00C21F51">
        <w:t> </w:t>
      </w:r>
      <w:r w:rsidR="005453C6" w:rsidRPr="00754DA1">
        <w:t>atrium, V</w:t>
      </w:r>
      <w:r w:rsidR="00C21F51">
        <w:t> </w:t>
      </w:r>
      <w:r w:rsidR="005453C6" w:rsidRPr="00754DA1">
        <w:t>=</w:t>
      </w:r>
      <w:r w:rsidR="00C21F51">
        <w:t> </w:t>
      </w:r>
      <w:r w:rsidR="005453C6" w:rsidRPr="00754DA1">
        <w:t>ventricle, D</w:t>
      </w:r>
      <w:r w:rsidR="00C21F51">
        <w:t> </w:t>
      </w:r>
      <w:r w:rsidR="005453C6" w:rsidRPr="00754DA1">
        <w:t>=</w:t>
      </w:r>
      <w:r w:rsidR="00C21F51">
        <w:t> </w:t>
      </w:r>
      <w:r w:rsidR="005453C6" w:rsidRPr="00754DA1">
        <w:t>dual</w:t>
      </w:r>
      <w:r w:rsidR="005453C6">
        <w:t>, O</w:t>
      </w:r>
      <w:r w:rsidR="00C21F51">
        <w:t> </w:t>
      </w:r>
      <w:r w:rsidR="005453C6">
        <w:t>=</w:t>
      </w:r>
      <w:r w:rsidR="00C21F51">
        <w:t> </w:t>
      </w:r>
      <w:r w:rsidR="005453C6">
        <w:t>none</w:t>
      </w:r>
      <w:r w:rsidR="005453C6" w:rsidRPr="00754DA1">
        <w:t>), the second letter represents the area being sensed, and the third letter is the response of the pacemaker to sensing (O</w:t>
      </w:r>
      <w:r w:rsidR="00C21F51">
        <w:t> </w:t>
      </w:r>
      <w:r w:rsidR="005453C6" w:rsidRPr="00754DA1">
        <w:t>=</w:t>
      </w:r>
      <w:r w:rsidR="00C21F51">
        <w:t> </w:t>
      </w:r>
      <w:r w:rsidR="005453C6" w:rsidRPr="00754DA1">
        <w:t>none, I</w:t>
      </w:r>
      <w:r w:rsidR="00C21F51">
        <w:t> </w:t>
      </w:r>
      <w:r w:rsidR="005453C6" w:rsidRPr="00754DA1">
        <w:t>=</w:t>
      </w:r>
      <w:r w:rsidR="00C21F51">
        <w:t> </w:t>
      </w:r>
      <w:r w:rsidR="005453C6" w:rsidRPr="00754DA1">
        <w:t>inhibiting, T</w:t>
      </w:r>
      <w:r w:rsidR="00C21F51">
        <w:t> </w:t>
      </w:r>
      <w:r w:rsidR="005453C6" w:rsidRPr="00754DA1">
        <w:t>=</w:t>
      </w:r>
      <w:r w:rsidR="00C21F51">
        <w:t> </w:t>
      </w:r>
      <w:r w:rsidR="005453C6" w:rsidRPr="00754DA1">
        <w:t>triggering, D</w:t>
      </w:r>
      <w:r w:rsidR="00C21F51">
        <w:t> </w:t>
      </w:r>
      <w:r w:rsidR="005453C6" w:rsidRPr="00754DA1">
        <w:t>=</w:t>
      </w:r>
      <w:r w:rsidR="00C21F51">
        <w:t> </w:t>
      </w:r>
      <w:r w:rsidR="005453C6" w:rsidRPr="00754DA1">
        <w:t>dual). The fourth letter is for rate adaptiveness (O</w:t>
      </w:r>
      <w:r w:rsidR="00C21F51">
        <w:t> </w:t>
      </w:r>
      <w:r w:rsidR="005453C6" w:rsidRPr="00754DA1">
        <w:t>=</w:t>
      </w:r>
      <w:r w:rsidR="00C21F51">
        <w:t> </w:t>
      </w:r>
      <w:r w:rsidR="005453C6" w:rsidRPr="00754DA1">
        <w:t>none, R</w:t>
      </w:r>
      <w:r w:rsidR="00C21F51">
        <w:t> </w:t>
      </w:r>
      <w:r w:rsidR="005453C6" w:rsidRPr="00754DA1">
        <w:t>=</w:t>
      </w:r>
      <w:r w:rsidR="00C21F51">
        <w:t> </w:t>
      </w:r>
      <w:r w:rsidR="005453C6" w:rsidRPr="00754DA1">
        <w:t>rate adaptiveness) (Lak and Goyal 2022).</w:t>
      </w:r>
      <w:r w:rsidR="000207CB">
        <w:t xml:space="preserve"> </w:t>
      </w:r>
      <w:r w:rsidR="00193B7A">
        <w:t>According to the 2021 ESC Guidelines</w:t>
      </w:r>
      <w:r w:rsidR="00A56C11">
        <w:t xml:space="preserve"> on cardiac pacing and cardiac resynchronization therapy (Glikson et al. 2021)</w:t>
      </w:r>
      <w:r w:rsidR="00913174">
        <w:t>,</w:t>
      </w:r>
      <w:r w:rsidR="00A56C11">
        <w:t xml:space="preserve"> </w:t>
      </w:r>
      <w:r w:rsidR="00087852">
        <w:t>s</w:t>
      </w:r>
      <w:r w:rsidR="00FD394C" w:rsidRPr="00FD394C">
        <w:t xml:space="preserve">election of </w:t>
      </w:r>
      <w:r w:rsidR="00087852">
        <w:t xml:space="preserve">the </w:t>
      </w:r>
      <w:r w:rsidR="00FD394C" w:rsidRPr="00FD394C">
        <w:t>ideal pacing mode involves consideration of the</w:t>
      </w:r>
      <w:r w:rsidR="00913174">
        <w:t xml:space="preserve"> </w:t>
      </w:r>
      <w:r w:rsidR="00087852">
        <w:t xml:space="preserve">underlying morbidity, </w:t>
      </w:r>
      <w:r w:rsidR="00AC0C05">
        <w:t>the impact of pacing therapy on morbidity, and</w:t>
      </w:r>
      <w:r w:rsidR="008448BE">
        <w:t xml:space="preserve"> the potential harmful effect of the</w:t>
      </w:r>
      <w:r w:rsidR="00E53C68">
        <w:t xml:space="preserve"> chosen pacing modality</w:t>
      </w:r>
      <w:r w:rsidR="00FD394C" w:rsidRPr="00FD394C">
        <w:t xml:space="preserve">. </w:t>
      </w:r>
    </w:p>
    <w:p w14:paraId="684ADCCB" w14:textId="007183D9" w:rsidR="000432D8" w:rsidRDefault="000432D8" w:rsidP="00187132">
      <w:pPr>
        <w:spacing w:after="120"/>
      </w:pPr>
      <w:r w:rsidRPr="00637F2C">
        <w:t>Epicardial pacemakers</w:t>
      </w:r>
      <w:r>
        <w:t xml:space="preserve"> are an alternative but less commonly used type of pacemaker</w:t>
      </w:r>
      <w:r w:rsidR="00BC2F36">
        <w:t xml:space="preserve"> (NHS 2022)</w:t>
      </w:r>
      <w:r w:rsidRPr="002C3607">
        <w:t>.</w:t>
      </w:r>
      <w:r>
        <w:t xml:space="preserve"> </w:t>
      </w:r>
      <w:r w:rsidR="005651CD">
        <w:t xml:space="preserve">The pacemaker is usually placed under the skin of the abdomen. </w:t>
      </w:r>
      <w:r>
        <w:t>The leads are attached to the outer surface of the heart (rather than inside the heart’s chambers) and are inserted via minimally invasive surgery (thoracotomy, thoracoscopy and robotic techniques) (Glikson et al. 2021).</w:t>
      </w:r>
    </w:p>
    <w:p w14:paraId="7C2FE7B6" w14:textId="08922DAC" w:rsidR="00EE68E2" w:rsidRDefault="00610860" w:rsidP="00B87149">
      <w:pPr>
        <w:pStyle w:val="Heading4"/>
      </w:pPr>
      <w:r>
        <w:t>Referral and work up for</w:t>
      </w:r>
      <w:r w:rsidR="00EE68E2">
        <w:t xml:space="preserve"> </w:t>
      </w:r>
      <w:r w:rsidR="00EF36FB">
        <w:t xml:space="preserve">permanent </w:t>
      </w:r>
      <w:proofErr w:type="gramStart"/>
      <w:r w:rsidR="00B87149">
        <w:t>pac</w:t>
      </w:r>
      <w:r>
        <w:t>ing</w:t>
      </w:r>
      <w:proofErr w:type="gramEnd"/>
    </w:p>
    <w:p w14:paraId="0509EA47" w14:textId="2C3720F6" w:rsidR="00BB30EA" w:rsidRDefault="00BB30EA" w:rsidP="00187132">
      <w:pPr>
        <w:spacing w:after="120"/>
      </w:pPr>
      <w:r w:rsidRPr="00BB30EA">
        <w:t xml:space="preserve">In Australia, patients with symptomatic bradycardia may initially present to the hospital or to a general practitioner, with subsequent referral to a specialist cardiologist. In the lead up to being considered eligible for </w:t>
      </w:r>
      <w:r w:rsidR="00917075">
        <w:t>a permanent pacemaker</w:t>
      </w:r>
      <w:r w:rsidRPr="00BB30EA">
        <w:t xml:space="preserve">, evaluation of the patient’s history and physical examination </w:t>
      </w:r>
      <w:r w:rsidR="007A3049">
        <w:t>is an important</w:t>
      </w:r>
      <w:r w:rsidRPr="00BB30EA">
        <w:t xml:space="preserve"> component of the medical evaluation, together with a resting electrocardiography (ECG) to document rhythm, </w:t>
      </w:r>
      <w:proofErr w:type="gramStart"/>
      <w:r w:rsidRPr="00BB30EA">
        <w:t>rate</w:t>
      </w:r>
      <w:proofErr w:type="gramEnd"/>
      <w:r w:rsidRPr="00BB30EA">
        <w:t xml:space="preserve"> and conduction, and to screen for structural heart disease or systemic illness (Kusumoto et al. 2019). Further non-invasive testing may include exercise ECG testing, ambulatory ECG, imaging, laboratory testing, genetic </w:t>
      </w:r>
      <w:proofErr w:type="gramStart"/>
      <w:r w:rsidRPr="00BB30EA">
        <w:t>testing</w:t>
      </w:r>
      <w:proofErr w:type="gramEnd"/>
      <w:r w:rsidRPr="00BB30EA">
        <w:t xml:space="preserve"> and sleep apnoea testing. Invasive testing (such as implantable cardiac monitors and electrophysiology studies) may be required in some patients where non-invasive tests are non-diagnostic (Kusumoto et al. 2019).</w:t>
      </w:r>
    </w:p>
    <w:p w14:paraId="056A6255" w14:textId="77777777" w:rsidR="00A7465F" w:rsidRPr="0040117D" w:rsidRDefault="00A7465F" w:rsidP="00AF47B6">
      <w:pPr>
        <w:pStyle w:val="Heading4"/>
      </w:pPr>
      <w:r>
        <w:lastRenderedPageBreak/>
        <w:t>Estimated size of the proposed population in Australia</w:t>
      </w:r>
    </w:p>
    <w:p w14:paraId="6512677D" w14:textId="52EFB94C" w:rsidR="00A7465F" w:rsidRDefault="00245333" w:rsidP="006F6DB5">
      <w:pPr>
        <w:rPr>
          <w:lang w:val="en-GB" w:eastAsia="ja-JP"/>
        </w:rPr>
      </w:pPr>
      <w:r>
        <w:rPr>
          <w:lang w:val="en-GB" w:eastAsia="ja-JP"/>
        </w:rPr>
        <w:t>T</w:t>
      </w:r>
      <w:r w:rsidRPr="00245333">
        <w:rPr>
          <w:lang w:val="en-GB" w:eastAsia="ja-JP"/>
        </w:rPr>
        <w:t xml:space="preserve">he proposed population is a subgroup of the overall patient population considered for the use of </w:t>
      </w:r>
      <w:r w:rsidR="005B1DCD">
        <w:rPr>
          <w:lang w:val="en-GB" w:eastAsia="ja-JP"/>
        </w:rPr>
        <w:t xml:space="preserve">a </w:t>
      </w:r>
      <w:r>
        <w:rPr>
          <w:lang w:val="en-GB" w:eastAsia="ja-JP"/>
        </w:rPr>
        <w:t>DC-</w:t>
      </w:r>
      <w:r w:rsidRPr="00245333">
        <w:rPr>
          <w:lang w:val="en-GB" w:eastAsia="ja-JP"/>
        </w:rPr>
        <w:t>TVPM.</w:t>
      </w:r>
      <w:r w:rsidR="00294188">
        <w:rPr>
          <w:lang w:val="en-GB" w:eastAsia="ja-JP"/>
        </w:rPr>
        <w:t xml:space="preserve"> </w:t>
      </w:r>
      <w:r w:rsidR="00BC57E4" w:rsidRPr="00BC57E4">
        <w:rPr>
          <w:lang w:val="en-GB" w:eastAsia="ja-JP"/>
        </w:rPr>
        <w:t xml:space="preserve">Based on the usage statistics for MBS item 38356 (insertion, </w:t>
      </w:r>
      <w:proofErr w:type="gramStart"/>
      <w:r w:rsidR="00BC57E4" w:rsidRPr="00BC57E4">
        <w:rPr>
          <w:lang w:val="en-GB" w:eastAsia="ja-JP"/>
        </w:rPr>
        <w:t>removal</w:t>
      </w:r>
      <w:proofErr w:type="gramEnd"/>
      <w:r w:rsidR="00BC57E4" w:rsidRPr="00BC57E4">
        <w:rPr>
          <w:lang w:val="en-GB" w:eastAsia="ja-JP"/>
        </w:rPr>
        <w:t xml:space="preserve"> or replacement of dual chamber permanent transvenous electrodes), </w:t>
      </w:r>
      <w:r w:rsidR="00B21104">
        <w:rPr>
          <w:lang w:val="en-GB" w:eastAsia="ja-JP"/>
        </w:rPr>
        <w:t xml:space="preserve">the applicant estimates that </w:t>
      </w:r>
      <w:r w:rsidR="00BC57E4" w:rsidRPr="00BC57E4">
        <w:rPr>
          <w:lang w:val="en-GB" w:eastAsia="ja-JP"/>
        </w:rPr>
        <w:t xml:space="preserve">approximately 8,900 – 9,700 implantation procedures </w:t>
      </w:r>
      <w:r w:rsidR="002B63D0">
        <w:rPr>
          <w:lang w:val="en-GB" w:eastAsia="ja-JP"/>
        </w:rPr>
        <w:t>will be</w:t>
      </w:r>
      <w:r w:rsidR="00BC57E4" w:rsidRPr="00BC57E4">
        <w:rPr>
          <w:lang w:val="en-GB" w:eastAsia="ja-JP"/>
        </w:rPr>
        <w:t xml:space="preserve"> performed for </w:t>
      </w:r>
      <w:r w:rsidR="00BC57E4">
        <w:rPr>
          <w:lang w:val="en-GB" w:eastAsia="ja-JP"/>
        </w:rPr>
        <w:t>DC-</w:t>
      </w:r>
      <w:r w:rsidR="00BC57E4" w:rsidRPr="00BC57E4">
        <w:rPr>
          <w:lang w:val="en-GB" w:eastAsia="ja-JP"/>
        </w:rPr>
        <w:t>TVPM each year</w:t>
      </w:r>
      <w:r w:rsidR="002B63D0">
        <w:rPr>
          <w:lang w:val="en-GB" w:eastAsia="ja-JP"/>
        </w:rPr>
        <w:t xml:space="preserve"> from 2024 to </w:t>
      </w:r>
      <w:r w:rsidR="0038142B">
        <w:rPr>
          <w:lang w:val="en-GB" w:eastAsia="ja-JP"/>
        </w:rPr>
        <w:t>2027</w:t>
      </w:r>
      <w:r w:rsidR="00BC57E4" w:rsidRPr="00BC57E4">
        <w:rPr>
          <w:lang w:val="en-GB" w:eastAsia="ja-JP"/>
        </w:rPr>
        <w:t xml:space="preserve">. </w:t>
      </w:r>
      <w:r w:rsidR="008C588A">
        <w:rPr>
          <w:lang w:val="en-GB" w:eastAsia="ja-JP"/>
        </w:rPr>
        <w:t>Of those, t</w:t>
      </w:r>
      <w:r w:rsidR="00A7465F">
        <w:rPr>
          <w:lang w:val="en-GB" w:eastAsia="ja-JP"/>
        </w:rPr>
        <w:t xml:space="preserve">he applicant estimates that </w:t>
      </w:r>
      <w:r w:rsidR="00602763">
        <w:rPr>
          <w:lang w:val="en-GB" w:eastAsia="ja-JP"/>
        </w:rPr>
        <w:t>up to</w:t>
      </w:r>
      <w:r w:rsidR="007875D7">
        <w:rPr>
          <w:lang w:val="en-GB" w:eastAsia="ja-JP"/>
        </w:rPr>
        <w:t xml:space="preserve"> 35% </w:t>
      </w:r>
      <w:r w:rsidR="008C588A">
        <w:rPr>
          <w:lang w:val="en-GB" w:eastAsia="ja-JP"/>
        </w:rPr>
        <w:t>will be</w:t>
      </w:r>
      <w:r w:rsidR="00FE4BA8" w:rsidRPr="00FE4BA8">
        <w:rPr>
          <w:lang w:val="en-GB" w:eastAsia="ja-JP"/>
        </w:rPr>
        <w:t xml:space="preserve"> in patients </w:t>
      </w:r>
      <w:r w:rsidR="00B55501">
        <w:rPr>
          <w:lang w:val="en-GB" w:eastAsia="ja-JP"/>
        </w:rPr>
        <w:t>with AV block and normal sinus rhythm</w:t>
      </w:r>
      <w:r w:rsidR="00753CD9">
        <w:rPr>
          <w:lang w:val="en-GB" w:eastAsia="ja-JP"/>
        </w:rPr>
        <w:t xml:space="preserve">, equating to </w:t>
      </w:r>
      <w:r w:rsidR="0087285F" w:rsidRPr="0087285F">
        <w:rPr>
          <w:lang w:val="en-GB" w:eastAsia="ja-JP"/>
        </w:rPr>
        <w:t>approximately 3,100 – 3,400 patients</w:t>
      </w:r>
      <w:r w:rsidR="00A64A7D">
        <w:rPr>
          <w:lang w:val="en-GB" w:eastAsia="ja-JP"/>
        </w:rPr>
        <w:t xml:space="preserve"> each year</w:t>
      </w:r>
      <w:r w:rsidR="00B55501">
        <w:rPr>
          <w:lang w:val="en-GB" w:eastAsia="ja-JP"/>
        </w:rPr>
        <w:t>.</w:t>
      </w:r>
    </w:p>
    <w:p w14:paraId="0E38780D" w14:textId="77777777" w:rsidR="007A66C8" w:rsidRPr="00DD2C11" w:rsidRDefault="007A66C8" w:rsidP="00713728">
      <w:pPr>
        <w:pStyle w:val="Heading3"/>
        <w:rPr>
          <w:color w:val="0070C0"/>
        </w:rPr>
      </w:pPr>
      <w:bookmarkStart w:id="3" w:name="_Ref158622360"/>
      <w:r w:rsidRPr="00DD2C11">
        <w:rPr>
          <w:color w:val="0070C0"/>
        </w:rPr>
        <w:t>Intervention</w:t>
      </w:r>
      <w:bookmarkEnd w:id="3"/>
    </w:p>
    <w:p w14:paraId="3072B6B9" w14:textId="7533AAB0" w:rsidR="002B1307" w:rsidRDefault="002B1307" w:rsidP="007E5D2E">
      <w:r>
        <w:t>The proposed intervention is the i</w:t>
      </w:r>
      <w:r w:rsidRPr="002B1307">
        <w:t>nsertion of a</w:t>
      </w:r>
      <w:r w:rsidR="00A6465C">
        <w:t>n</w:t>
      </w:r>
      <w:r w:rsidRPr="002B1307">
        <w:t xml:space="preserve"> LPM</w:t>
      </w:r>
      <w:r w:rsidR="003C4342">
        <w:t xml:space="preserve"> into the right ventricle, that</w:t>
      </w:r>
      <w:r w:rsidR="00BF4842">
        <w:t xml:space="preserve"> </w:t>
      </w:r>
      <w:r w:rsidR="00191BFF" w:rsidRPr="002B1307">
        <w:t>pro</w:t>
      </w:r>
      <w:r w:rsidR="00191BFF">
        <w:t>mot</w:t>
      </w:r>
      <w:r w:rsidR="008A5E93">
        <w:t>es</w:t>
      </w:r>
      <w:r w:rsidR="00191BFF" w:rsidRPr="002B1307">
        <w:t xml:space="preserve"> </w:t>
      </w:r>
      <w:r w:rsidR="00191BFF">
        <w:t>AV</w:t>
      </w:r>
      <w:r w:rsidRPr="002B1307">
        <w:t xml:space="preserve"> synchronous pacing</w:t>
      </w:r>
      <w:r w:rsidR="00612BFE">
        <w:t xml:space="preserve"> (Micra AV)</w:t>
      </w:r>
      <w:r>
        <w:t xml:space="preserve">. </w:t>
      </w:r>
    </w:p>
    <w:p w14:paraId="645DC0F1" w14:textId="638EDE16" w:rsidR="009C1B2C" w:rsidRDefault="007E5D2E" w:rsidP="007E5D2E">
      <w:r w:rsidRPr="00C0493E">
        <w:t xml:space="preserve">There are two types of </w:t>
      </w:r>
      <w:r w:rsidR="0037078F">
        <w:t>LPM</w:t>
      </w:r>
      <w:r w:rsidRPr="00C0493E">
        <w:t xml:space="preserve"> systems </w:t>
      </w:r>
      <w:r>
        <w:t xml:space="preserve">currently </w:t>
      </w:r>
      <w:r w:rsidRPr="00C0493E">
        <w:t>available in Australia</w:t>
      </w:r>
      <w:r w:rsidR="00684903">
        <w:t xml:space="preserve">, both of which </w:t>
      </w:r>
      <w:r w:rsidR="003D211C">
        <w:t>are solely indicated for right ventricular pacing</w:t>
      </w:r>
      <w:r w:rsidR="00FC0C5F">
        <w:t xml:space="preserve">: </w:t>
      </w:r>
      <w:r w:rsidR="005F6D6C">
        <w:t>Micra VR</w:t>
      </w:r>
      <w:r w:rsidRPr="00C0493E">
        <w:t xml:space="preserve"> </w:t>
      </w:r>
      <w:r w:rsidR="00946CE8">
        <w:t>(</w:t>
      </w:r>
      <w:hyperlink r:id="rId9" w:tooltip="This link goes to the MSAC webpage for MSAC application 1672" w:history="1">
        <w:r w:rsidR="00E51DA7" w:rsidRPr="00395B0D">
          <w:rPr>
            <w:rStyle w:val="Hyperlink"/>
            <w:rFonts w:ascii="Calibri" w:hAnsi="Calibri"/>
          </w:rPr>
          <w:t>MSAC application 1672</w:t>
        </w:r>
      </w:hyperlink>
      <w:r w:rsidR="00946CE8">
        <w:t xml:space="preserve">) </w:t>
      </w:r>
      <w:r w:rsidRPr="00C0493E">
        <w:t>provid</w:t>
      </w:r>
      <w:r w:rsidR="002C396B">
        <w:t>es</w:t>
      </w:r>
      <w:r w:rsidRPr="00C0493E">
        <w:t xml:space="preserve"> VVI pacing</w:t>
      </w:r>
      <w:r w:rsidR="000C0278">
        <w:rPr>
          <w:rStyle w:val="FootnoteReference"/>
        </w:rPr>
        <w:footnoteReference w:id="4"/>
      </w:r>
      <w:r w:rsidRPr="00C0493E">
        <w:t xml:space="preserve"> and </w:t>
      </w:r>
      <w:r w:rsidR="0077111A">
        <w:t xml:space="preserve">Micra AV </w:t>
      </w:r>
      <w:r w:rsidR="002C396B">
        <w:t xml:space="preserve">(current application) </w:t>
      </w:r>
      <w:r w:rsidR="00B665A4" w:rsidRPr="00C0493E">
        <w:t>pro</w:t>
      </w:r>
      <w:r w:rsidR="00B665A4">
        <w:t>motes</w:t>
      </w:r>
      <w:r w:rsidRPr="00C0493E">
        <w:t xml:space="preserve"> AV synchronous </w:t>
      </w:r>
      <w:r w:rsidR="004934AE">
        <w:t xml:space="preserve">VDD </w:t>
      </w:r>
      <w:r w:rsidRPr="00C0493E">
        <w:t>pacing</w:t>
      </w:r>
      <w:r w:rsidR="00DB1ADC">
        <w:rPr>
          <w:rStyle w:val="FootnoteReference"/>
        </w:rPr>
        <w:footnoteReference w:id="5"/>
      </w:r>
      <w:r w:rsidRPr="00C0493E">
        <w:t>.</w:t>
      </w:r>
      <w:r>
        <w:t xml:space="preserve"> </w:t>
      </w:r>
    </w:p>
    <w:p w14:paraId="59028C7F" w14:textId="7AEAF051" w:rsidR="005C5C96" w:rsidRDefault="006E610D" w:rsidP="007E5D2E">
      <w:r>
        <w:t>Notably, t</w:t>
      </w:r>
      <w:r w:rsidR="0005009E" w:rsidRPr="008E26B6">
        <w:t>he</w:t>
      </w:r>
      <w:r w:rsidR="000F0349">
        <w:t xml:space="preserve"> Food and Drug Administration</w:t>
      </w:r>
      <w:r w:rsidR="000F0349" w:rsidRPr="008E26B6">
        <w:t xml:space="preserve"> </w:t>
      </w:r>
      <w:r w:rsidR="00D77A15">
        <w:t>(</w:t>
      </w:r>
      <w:r w:rsidR="0036351A" w:rsidRPr="0036351A">
        <w:t xml:space="preserve">FDA) has </w:t>
      </w:r>
      <w:hyperlink r:id="rId10" w:tooltip="Hyperlink to FDA Premarket Approval for Aveir DR Leadless System" w:history="1">
        <w:r w:rsidR="0036351A" w:rsidRPr="0036351A">
          <w:rPr>
            <w:rStyle w:val="Hyperlink"/>
            <w:rFonts w:ascii="Calibri" w:hAnsi="Calibri"/>
          </w:rPr>
          <w:t>recently approved</w:t>
        </w:r>
      </w:hyperlink>
      <w:r w:rsidR="0005009E" w:rsidRPr="008E26B6">
        <w:t xml:space="preserve"> dual chamber </w:t>
      </w:r>
      <w:r w:rsidR="001D0266">
        <w:t xml:space="preserve">leadless </w:t>
      </w:r>
      <w:r w:rsidR="00ED2C92">
        <w:t>pacing</w:t>
      </w:r>
      <w:r w:rsidR="00863683">
        <w:t xml:space="preserve"> using the </w:t>
      </w:r>
      <w:r w:rsidR="003235A3">
        <w:t>AVEIR</w:t>
      </w:r>
      <w:r w:rsidR="00157E00">
        <w:t xml:space="preserve"> DR Leadless System</w:t>
      </w:r>
      <w:r w:rsidR="00863683">
        <w:t xml:space="preserve"> </w:t>
      </w:r>
      <w:r w:rsidR="002414F9" w:rsidRPr="008E26B6">
        <w:t>developed by</w:t>
      </w:r>
      <w:r w:rsidR="0005009E" w:rsidRPr="008E26B6">
        <w:t xml:space="preserve"> Abbott</w:t>
      </w:r>
      <w:r w:rsidR="008E26B6" w:rsidRPr="008E26B6">
        <w:t>. The sy</w:t>
      </w:r>
      <w:r w:rsidR="00A54EC5">
        <w:t>s</w:t>
      </w:r>
      <w:r w:rsidR="008E26B6" w:rsidRPr="008E26B6">
        <w:t>tem</w:t>
      </w:r>
      <w:r w:rsidR="0086115B" w:rsidRPr="008E26B6">
        <w:t xml:space="preserve"> </w:t>
      </w:r>
      <w:r w:rsidR="0050448E" w:rsidRPr="008E26B6">
        <w:t>consists of two percutaneously implanted devices, the single-chamber AVEIR VR leadless pacemaker implanted in the right ventricle, and the AVEIR AR single-chamber pacemaker implanted in the right atrium</w:t>
      </w:r>
      <w:r w:rsidR="008E26B6">
        <w:t xml:space="preserve"> </w:t>
      </w:r>
      <w:r w:rsidR="00A54EC5">
        <w:t>(Ali 2023)</w:t>
      </w:r>
      <w:r w:rsidR="0050448E" w:rsidRPr="008E26B6">
        <w:t xml:space="preserve">. </w:t>
      </w:r>
      <w:r w:rsidR="008E26B6" w:rsidRPr="008E26B6">
        <w:t>No</w:t>
      </w:r>
      <w:r w:rsidR="00FE7611" w:rsidRPr="008E26B6">
        <w:t xml:space="preserve"> dual chamber LPMs are currently </w:t>
      </w:r>
      <w:r w:rsidR="0005009E" w:rsidRPr="008E26B6">
        <w:t>available in Australia.</w:t>
      </w:r>
    </w:p>
    <w:p w14:paraId="15C71923" w14:textId="4566F78A" w:rsidR="00A34E79" w:rsidRDefault="00E371E8" w:rsidP="00674410">
      <w:pPr>
        <w:spacing w:after="120"/>
      </w:pPr>
      <w:r>
        <w:t>The</w:t>
      </w:r>
      <w:r w:rsidR="00D62D98">
        <w:t xml:space="preserve"> Micra VR and Micra AV </w:t>
      </w:r>
      <w:r w:rsidR="007248E9">
        <w:t xml:space="preserve">LPMs </w:t>
      </w:r>
      <w:r w:rsidR="00D62D98">
        <w:t xml:space="preserve">are identical in </w:t>
      </w:r>
      <w:r w:rsidR="00737A3A">
        <w:t>size</w:t>
      </w:r>
      <w:r w:rsidR="00D943C2">
        <w:t>, mass</w:t>
      </w:r>
      <w:r w:rsidR="007511A2">
        <w:t xml:space="preserve">, </w:t>
      </w:r>
      <w:r w:rsidR="00D943C2">
        <w:t>appearance</w:t>
      </w:r>
      <w:r w:rsidR="00DC4D92">
        <w:t xml:space="preserve">, </w:t>
      </w:r>
      <w:proofErr w:type="gramStart"/>
      <w:r w:rsidR="007511A2">
        <w:t>design</w:t>
      </w:r>
      <w:proofErr w:type="gramEnd"/>
      <w:r w:rsidR="00DC4D92">
        <w:t xml:space="preserve"> and implant procedure</w:t>
      </w:r>
      <w:r w:rsidR="00E41A9B">
        <w:t xml:space="preserve">. </w:t>
      </w:r>
      <w:r w:rsidR="00FE2BB9">
        <w:t>Both</w:t>
      </w:r>
      <w:r w:rsidR="00DB5AE5" w:rsidRPr="00DB5AE5">
        <w:t xml:space="preserve"> device</w:t>
      </w:r>
      <w:r w:rsidR="00FE2BB9">
        <w:t>s</w:t>
      </w:r>
      <w:r w:rsidR="00DB5AE5" w:rsidRPr="00DB5AE5">
        <w:t xml:space="preserve"> sense the electrical activity of the patient’s heart using sensing and pacing electrodes enclosed in a hermetically sealed titanium capsule.</w:t>
      </w:r>
      <w:r w:rsidR="000A40EE">
        <w:t xml:space="preserve"> </w:t>
      </w:r>
      <w:r w:rsidR="00FB034A">
        <w:t>Micra AV is considered a dual chamber pacemaker in terms of its functionality</w:t>
      </w:r>
      <w:r w:rsidR="004C24C0">
        <w:t xml:space="preserve"> </w:t>
      </w:r>
      <w:r w:rsidR="00D454EF">
        <w:t xml:space="preserve">and pacing mode </w:t>
      </w:r>
      <w:r w:rsidR="004C24C0">
        <w:t xml:space="preserve">(senses the atrium and ventricle, </w:t>
      </w:r>
      <w:r w:rsidR="007718F1">
        <w:t xml:space="preserve">and </w:t>
      </w:r>
      <w:r w:rsidR="004C24C0">
        <w:t>paces the ventricle)</w:t>
      </w:r>
      <w:r w:rsidR="00FB034A">
        <w:t xml:space="preserve">, </w:t>
      </w:r>
      <w:r w:rsidR="00DA43F2">
        <w:t>but</w:t>
      </w:r>
      <w:r w:rsidR="00FB034A">
        <w:t xml:space="preserve"> single chamber in terms of the location of the hardware</w:t>
      </w:r>
      <w:r w:rsidR="004C24C0">
        <w:t xml:space="preserve"> (ventricle only)</w:t>
      </w:r>
      <w:r w:rsidR="00FB034A">
        <w:t>.</w:t>
      </w:r>
      <w:r w:rsidR="006B6C00">
        <w:t xml:space="preserve"> </w:t>
      </w:r>
      <w:r w:rsidR="00E64EE2">
        <w:t>From this perspective it is considered novel</w:t>
      </w:r>
      <w:r w:rsidR="0001191C">
        <w:t xml:space="preserve">, as it can sense activity in the atrium without hardware </w:t>
      </w:r>
      <w:proofErr w:type="gramStart"/>
      <w:r w:rsidR="0001191C">
        <w:t xml:space="preserve">being </w:t>
      </w:r>
      <w:r w:rsidR="00A17543">
        <w:t>located in</w:t>
      </w:r>
      <w:proofErr w:type="gramEnd"/>
      <w:r w:rsidR="00A17543">
        <w:t xml:space="preserve"> that chamber</w:t>
      </w:r>
      <w:r w:rsidR="0001191C">
        <w:t>.</w:t>
      </w:r>
      <w:r w:rsidR="007974F7">
        <w:t xml:space="preserve"> </w:t>
      </w:r>
    </w:p>
    <w:p w14:paraId="01A6D85E" w14:textId="77777777" w:rsidR="00751AF0" w:rsidRPr="005D00C7" w:rsidRDefault="00751AF0" w:rsidP="00751AF0">
      <w:pPr>
        <w:rPr>
          <w:i/>
          <w:iCs/>
        </w:rPr>
      </w:pPr>
      <w:r w:rsidRPr="005D00C7">
        <w:rPr>
          <w:i/>
          <w:iCs/>
        </w:rPr>
        <w:t>PASC noted the similarities between the Micra devices in terms of size and insertion/retrieval procedures, noting that the Micra AV is an update of the Micra VR with the capability to provide physiological pacing, albeit very limited.</w:t>
      </w:r>
    </w:p>
    <w:p w14:paraId="78C73F73" w14:textId="77777777" w:rsidR="00751AF0" w:rsidRPr="005D00C7" w:rsidRDefault="00751AF0" w:rsidP="00751AF0">
      <w:pPr>
        <w:rPr>
          <w:i/>
          <w:iCs/>
        </w:rPr>
      </w:pPr>
      <w:r w:rsidRPr="005D00C7">
        <w:rPr>
          <w:i/>
          <w:iCs/>
        </w:rPr>
        <w:t xml:space="preserve">PASC noted that the Micra AV is variably described as single or dual chamber. By strict definition the Micra AV is a VDD pacemaker at heart rates &lt; 100 beats per minute (bpm) and VVIR pacemaker at heart rates &gt; 100 bpm and has more similarities to a single chamber than dual chamber pacemaker. </w:t>
      </w:r>
    </w:p>
    <w:p w14:paraId="0EDA0C8D" w14:textId="77777777" w:rsidR="00751AF0" w:rsidRPr="005D00C7" w:rsidRDefault="00751AF0" w:rsidP="00751AF0">
      <w:pPr>
        <w:rPr>
          <w:i/>
          <w:iCs/>
        </w:rPr>
      </w:pPr>
      <w:r w:rsidRPr="005D00C7">
        <w:rPr>
          <w:i/>
          <w:iCs/>
        </w:rPr>
        <w:t xml:space="preserve">PASC noted that a truly dual chamber LPM (providing atrial and ventricular pacing) would likely be available in Australia soon, and patients who receive the Micra AV may need to transition to a dual chamber LPM over time. </w:t>
      </w:r>
    </w:p>
    <w:p w14:paraId="11B0D214" w14:textId="2907ADCD" w:rsidR="00EC410A" w:rsidRDefault="009F1723" w:rsidP="004A0204">
      <w:r w:rsidRPr="009F1723">
        <w:lastRenderedPageBreak/>
        <w:t xml:space="preserve">The Micra AV </w:t>
      </w:r>
      <w:r w:rsidR="00491585">
        <w:t xml:space="preserve">is </w:t>
      </w:r>
      <w:r w:rsidRPr="009F1723">
        <w:t>inserted via the femoral vein and implanted directly into the right ventricular myocardium</w:t>
      </w:r>
      <w:r w:rsidR="0082503B">
        <w:t>, negating the need for transvenous wires</w:t>
      </w:r>
      <w:r w:rsidR="00236FCB">
        <w:t xml:space="preserve">. </w:t>
      </w:r>
      <w:r w:rsidR="0052709B">
        <w:t xml:space="preserve">The device is anchored in the cardiac tissue via </w:t>
      </w:r>
      <w:r w:rsidR="00D06014">
        <w:t>four electrically inactive tines.</w:t>
      </w:r>
      <w:r w:rsidR="00174552">
        <w:t xml:space="preserve"> </w:t>
      </w:r>
      <w:r w:rsidR="00174552" w:rsidRPr="00174552">
        <w:t xml:space="preserve">Fluoroscopic guidance is used throughout the procedure to navigate the delivery system, deploy the device, and assess the adequacy of the device fixation in the patient’s cardiac tissue. </w:t>
      </w:r>
    </w:p>
    <w:p w14:paraId="6FCEE986" w14:textId="29E525C4" w:rsidR="00DE5875" w:rsidRDefault="001851AA" w:rsidP="004A0204">
      <w:r>
        <w:t xml:space="preserve">The Micra AV system contains the implantable device and the delivery catheter system. </w:t>
      </w:r>
      <w:r w:rsidR="001A7C09">
        <w:t xml:space="preserve">The delivery catheter is used to </w:t>
      </w:r>
      <w:r w:rsidR="00217D75">
        <w:t xml:space="preserve">carry, </w:t>
      </w:r>
      <w:proofErr w:type="gramStart"/>
      <w:r w:rsidR="00217D75">
        <w:t>deliver</w:t>
      </w:r>
      <w:proofErr w:type="gramEnd"/>
      <w:r w:rsidR="00300484">
        <w:t xml:space="preserve"> and</w:t>
      </w:r>
      <w:r w:rsidR="00A82E70">
        <w:t xml:space="preserve"> position</w:t>
      </w:r>
      <w:r w:rsidR="00300484">
        <w:t xml:space="preserve"> the device</w:t>
      </w:r>
      <w:r w:rsidR="00A82E70">
        <w:t xml:space="preserve">, test device fixation, </w:t>
      </w:r>
      <w:r w:rsidR="00F36338">
        <w:t>and</w:t>
      </w:r>
      <w:r w:rsidR="00A82E70">
        <w:t xml:space="preserve"> recapture and reposition the device if required</w:t>
      </w:r>
      <w:r w:rsidR="008A5D12">
        <w:t xml:space="preserve"> during the implant procedure</w:t>
      </w:r>
      <w:r w:rsidR="00A82E70">
        <w:t>.</w:t>
      </w:r>
      <w:r w:rsidR="00F36338">
        <w:t xml:space="preserve"> The delivery catheter is compatible with </w:t>
      </w:r>
      <w:r w:rsidR="00FB540E">
        <w:t>a 7.8 mm (23</w:t>
      </w:r>
      <w:r w:rsidR="00824CCD">
        <w:t> </w:t>
      </w:r>
      <w:r w:rsidR="00FB540E">
        <w:t xml:space="preserve">Fr) introducer sheath </w:t>
      </w:r>
      <w:r w:rsidR="00F93DD1">
        <w:t>that is 56 cm</w:t>
      </w:r>
      <w:r w:rsidR="00652BAE">
        <w:t xml:space="preserve"> </w:t>
      </w:r>
      <w:r w:rsidR="00902402">
        <w:t xml:space="preserve">or longer </w:t>
      </w:r>
      <w:r w:rsidR="00AD7B6B">
        <w:t>(</w:t>
      </w:r>
      <w:r w:rsidR="00652BAE">
        <w:t>such as the Medtronic Micra Introducer</w:t>
      </w:r>
      <w:r w:rsidR="00924FDF">
        <w:t>, packaged separately</w:t>
      </w:r>
      <w:r w:rsidR="00AD7B6B">
        <w:t>)</w:t>
      </w:r>
      <w:r w:rsidR="00652BAE">
        <w:t>.</w:t>
      </w:r>
      <w:r w:rsidR="00B502B0">
        <w:t xml:space="preserve"> </w:t>
      </w:r>
    </w:p>
    <w:p w14:paraId="23D3AFC9" w14:textId="0F9FD3FD" w:rsidR="00E140D3" w:rsidRDefault="00677819" w:rsidP="004A0204">
      <w:r>
        <w:t>A standard</w:t>
      </w:r>
      <w:r w:rsidR="006B06B3">
        <w:t xml:space="preserve"> Medtronic </w:t>
      </w:r>
      <w:r>
        <w:t xml:space="preserve">cardiac device </w:t>
      </w:r>
      <w:r w:rsidR="006B06B3">
        <w:t xml:space="preserve">programmer </w:t>
      </w:r>
      <w:r w:rsidR="00F42DF0">
        <w:t>is used in conjunction with</w:t>
      </w:r>
      <w:r w:rsidR="0050086C">
        <w:t xml:space="preserve"> the Micra A</w:t>
      </w:r>
      <w:r w:rsidR="00B502B0">
        <w:t>V</w:t>
      </w:r>
      <w:r w:rsidR="0050086C">
        <w:t xml:space="preserve"> device</w:t>
      </w:r>
      <w:r w:rsidR="00837A35">
        <w:t xml:space="preserve">. </w:t>
      </w:r>
      <w:r w:rsidR="009A5E25" w:rsidRPr="009A5E25">
        <w:t>The programmer is applicable to all implantable Medtronic cardiac devices and is not patient-specific.</w:t>
      </w:r>
      <w:r w:rsidR="00FB58A2">
        <w:t xml:space="preserve"> </w:t>
      </w:r>
      <w:proofErr w:type="gramStart"/>
      <w:r w:rsidR="00414223" w:rsidRPr="00414223">
        <w:t>Similar to</w:t>
      </w:r>
      <w:proofErr w:type="gramEnd"/>
      <w:r w:rsidR="00414223" w:rsidRPr="00414223">
        <w:t xml:space="preserve"> TVPMs, Micra has traditional remote monitoring capabilities, but it is not capable of Bluetooth monitoring due to its small size.</w:t>
      </w:r>
    </w:p>
    <w:p w14:paraId="56C226BC" w14:textId="22125D12" w:rsidR="000F687B" w:rsidRDefault="00CB5127" w:rsidP="004A0204">
      <w:r>
        <w:t>The Micra AV</w:t>
      </w:r>
      <w:r w:rsidR="00C148DD">
        <w:t xml:space="preserve"> </w:t>
      </w:r>
      <w:r w:rsidR="00B63383">
        <w:t xml:space="preserve">monitors for bradycardia and AV synchrony by </w:t>
      </w:r>
      <w:r w:rsidR="00E66E93">
        <w:t>sens</w:t>
      </w:r>
      <w:r w:rsidR="00B63383">
        <w:t>ing</w:t>
      </w:r>
      <w:r w:rsidR="00E66E93">
        <w:t xml:space="preserve"> the </w:t>
      </w:r>
      <w:r w:rsidR="00E66E93" w:rsidRPr="00596EBB">
        <w:t xml:space="preserve">electrical and mechanical activity </w:t>
      </w:r>
      <w:r w:rsidR="00A15DEF" w:rsidRPr="00596EBB">
        <w:t>in the</w:t>
      </w:r>
      <w:r w:rsidR="00400C5A" w:rsidRPr="00596EBB">
        <w:t xml:space="preserve"> heart</w:t>
      </w:r>
      <w:r w:rsidR="00A15DEF" w:rsidRPr="00596EBB">
        <w:t xml:space="preserve"> </w:t>
      </w:r>
      <w:r w:rsidR="00400C5A" w:rsidRPr="00596EBB">
        <w:t>(</w:t>
      </w:r>
      <w:r w:rsidR="00A15DEF" w:rsidRPr="00596EBB">
        <w:t>atrium and ventricle</w:t>
      </w:r>
      <w:r w:rsidR="00400C5A" w:rsidRPr="00596EBB">
        <w:t>)</w:t>
      </w:r>
      <w:r w:rsidR="009F1723" w:rsidRPr="009F1723">
        <w:t>.</w:t>
      </w:r>
      <w:r w:rsidR="00657D10">
        <w:t xml:space="preserve"> </w:t>
      </w:r>
      <w:r w:rsidR="00A52609">
        <w:t>In response to bradycardia</w:t>
      </w:r>
      <w:r w:rsidR="00682AB8">
        <w:t>,</w:t>
      </w:r>
      <w:r w:rsidR="00A52609">
        <w:t xml:space="preserve"> t</w:t>
      </w:r>
      <w:r w:rsidR="00657D10">
        <w:t>he device pro</w:t>
      </w:r>
      <w:r w:rsidR="00A755A7">
        <w:t xml:space="preserve">motes </w:t>
      </w:r>
      <w:r w:rsidR="00FB3988">
        <w:t>AV synchron</w:t>
      </w:r>
      <w:r w:rsidR="003D326B">
        <w:t>ous</w:t>
      </w:r>
      <w:r w:rsidR="00FB3988">
        <w:t xml:space="preserve"> </w:t>
      </w:r>
      <w:r w:rsidR="00657D10">
        <w:t>pacing</w:t>
      </w:r>
      <w:r w:rsidR="00C40FDE">
        <w:t xml:space="preserve"> of the </w:t>
      </w:r>
      <w:r w:rsidR="007E5C53">
        <w:t xml:space="preserve">right </w:t>
      </w:r>
      <w:r w:rsidR="00C40FDE">
        <w:t>ventricle</w:t>
      </w:r>
      <w:r w:rsidR="00A52609">
        <w:t xml:space="preserve">, </w:t>
      </w:r>
      <w:r w:rsidR="00685474">
        <w:t>based on sensed mechanical activity in the atrium</w:t>
      </w:r>
      <w:r w:rsidR="00A470EF">
        <w:t xml:space="preserve"> </w:t>
      </w:r>
      <w:r w:rsidR="00EF76CE" w:rsidRPr="008D3B56">
        <w:t>(h</w:t>
      </w:r>
      <w:r w:rsidR="00C44EF2" w:rsidRPr="008D3B56">
        <w:t>ence, the patient must be predominantly in sinus rhythm</w:t>
      </w:r>
      <w:r w:rsidR="003A06B2" w:rsidRPr="008D3B56">
        <w:t>).</w:t>
      </w:r>
      <w:r w:rsidR="003A06B2">
        <w:t xml:space="preserve"> </w:t>
      </w:r>
      <w:r w:rsidR="00384D95">
        <w:t>Mechanical activity in the atrium is sense</w:t>
      </w:r>
      <w:r w:rsidR="00974277">
        <w:t>d</w:t>
      </w:r>
      <w:r w:rsidR="00384D95">
        <w:t xml:space="preserve"> by an </w:t>
      </w:r>
      <w:r w:rsidR="00A47F79">
        <w:t xml:space="preserve">internal </w:t>
      </w:r>
      <w:r w:rsidR="00FB147E">
        <w:t xml:space="preserve">three-axis </w:t>
      </w:r>
      <w:r w:rsidR="00384D95">
        <w:t xml:space="preserve">accelerometer </w:t>
      </w:r>
      <w:r w:rsidR="00F6290A">
        <w:t>(Medtronic 2020)</w:t>
      </w:r>
      <w:r w:rsidR="00384D95">
        <w:t>.</w:t>
      </w:r>
      <w:r w:rsidR="00AC1807" w:rsidRPr="00AC1807">
        <w:t xml:space="preserve"> </w:t>
      </w:r>
    </w:p>
    <w:p w14:paraId="552368C6" w14:textId="324053E7" w:rsidR="009F1723" w:rsidRDefault="001B78B6" w:rsidP="004A0204">
      <w:r w:rsidRPr="009F1723">
        <w:t>Th</w:t>
      </w:r>
      <w:r>
        <w:t xml:space="preserve">e pacing provided by the Micra AV </w:t>
      </w:r>
      <w:r w:rsidR="00BD3CAF">
        <w:t xml:space="preserve">when the patient is at rest </w:t>
      </w:r>
      <w:r>
        <w:t>is referred to as VDD pacing</w:t>
      </w:r>
      <w:r w:rsidR="00B412A4">
        <w:t>.</w:t>
      </w:r>
      <w:r w:rsidR="00B80479">
        <w:t xml:space="preserve"> </w:t>
      </w:r>
      <w:r w:rsidR="00A64FB9">
        <w:t>During periods of high patient activity (detected by an activity sensor in the device), the Micra AV provides VVIR pacing</w:t>
      </w:r>
      <w:r w:rsidR="004D1BD6">
        <w:t xml:space="preserve"> (Medtronic 2020)</w:t>
      </w:r>
      <w:r w:rsidR="00A64FB9">
        <w:t>. In VVIR mode the ventricle is paced if no intrinsic ventricular events are sensed before the current pacing interval ends</w:t>
      </w:r>
      <w:r w:rsidR="005033CA">
        <w:t xml:space="preserve">, and pacing occurs at the sensor rate </w:t>
      </w:r>
      <w:r w:rsidR="00A64FB9">
        <w:t>(Medtronic 2020).</w:t>
      </w:r>
    </w:p>
    <w:p w14:paraId="5628D5DE" w14:textId="10981CB6" w:rsidR="00E014BD" w:rsidRDefault="00887478" w:rsidP="00E014BD">
      <w:r w:rsidRPr="00DF661C">
        <w:t xml:space="preserve">Device-mediated AV synchrony can be limited at high sinus rates (Medtronic 2020). </w:t>
      </w:r>
      <w:r w:rsidR="00DA45C7">
        <w:t>Clinical trials have demonstrated that</w:t>
      </w:r>
      <w:r w:rsidR="00B42494" w:rsidRPr="00DF661C">
        <w:t xml:space="preserve"> </w:t>
      </w:r>
      <w:r w:rsidR="00E014BD" w:rsidRPr="00DF661C">
        <w:t xml:space="preserve">AV synchrony ranged from </w:t>
      </w:r>
      <w:r w:rsidR="00CF4E11" w:rsidRPr="00DF661C">
        <w:t xml:space="preserve">62.7% during fast walking </w:t>
      </w:r>
      <w:r w:rsidR="00CF4E11">
        <w:t xml:space="preserve">to </w:t>
      </w:r>
      <w:r w:rsidR="00E014BD" w:rsidRPr="00DF661C">
        <w:t xml:space="preserve">81.5% during sitting </w:t>
      </w:r>
      <w:r w:rsidR="00E014BD" w:rsidRPr="004479FC">
        <w:t xml:space="preserve">(Chinitz </w:t>
      </w:r>
      <w:r w:rsidR="000C61BB">
        <w:t xml:space="preserve">et al. </w:t>
      </w:r>
      <w:r w:rsidR="00E014BD" w:rsidRPr="004479FC">
        <w:t>2018)</w:t>
      </w:r>
      <w:r w:rsidR="00E639C5" w:rsidRPr="004479FC">
        <w:t>,</w:t>
      </w:r>
      <w:r w:rsidR="00E639C5">
        <w:t xml:space="preserve"> and from</w:t>
      </w:r>
      <w:r w:rsidR="00CF4E11">
        <w:t xml:space="preserve"> </w:t>
      </w:r>
      <w:r w:rsidR="00CF4E11" w:rsidRPr="00DF661C">
        <w:t>69.8% whilst standing</w:t>
      </w:r>
      <w:r w:rsidR="00E639C5">
        <w:t xml:space="preserve"> </w:t>
      </w:r>
      <w:r w:rsidR="00CF4E11">
        <w:t xml:space="preserve">to </w:t>
      </w:r>
      <w:r w:rsidR="00E014BD" w:rsidRPr="00DF661C">
        <w:t>89.2% at rest</w:t>
      </w:r>
      <w:r w:rsidR="0068753B">
        <w:t>, with</w:t>
      </w:r>
      <w:r w:rsidR="00E014BD" w:rsidRPr="00DF661C">
        <w:t xml:space="preserve"> average AV synchrony remain</w:t>
      </w:r>
      <w:r w:rsidR="0068753B">
        <w:t>ing</w:t>
      </w:r>
      <w:r w:rsidR="00E014BD" w:rsidRPr="00DF661C">
        <w:t xml:space="preserve"> ≥ 70% for all man</w:t>
      </w:r>
      <w:r w:rsidR="003B531A">
        <w:t>o</w:t>
      </w:r>
      <w:r w:rsidR="00E014BD" w:rsidRPr="00DF661C">
        <w:t>euv</w:t>
      </w:r>
      <w:r w:rsidR="003B531A">
        <w:t>re</w:t>
      </w:r>
      <w:r w:rsidR="00E014BD" w:rsidRPr="00DF661C">
        <w:t xml:space="preserve">s </w:t>
      </w:r>
      <w:r w:rsidR="00323D79" w:rsidRPr="00DF661C">
        <w:t xml:space="preserve">in high-degree AV block patients </w:t>
      </w:r>
      <w:r w:rsidR="00E014BD" w:rsidRPr="00933B17">
        <w:t xml:space="preserve">(Steinwender </w:t>
      </w:r>
      <w:r w:rsidR="000C61BB">
        <w:t xml:space="preserve">et al. </w:t>
      </w:r>
      <w:r w:rsidR="00E014BD" w:rsidRPr="00933B17">
        <w:t>2020).</w:t>
      </w:r>
    </w:p>
    <w:p w14:paraId="27941E85" w14:textId="6EC01160" w:rsidR="004B42D9" w:rsidRDefault="00643E47" w:rsidP="00324D8A">
      <w:r>
        <w:t xml:space="preserve">According to the </w:t>
      </w:r>
      <w:r w:rsidR="00FE7981">
        <w:t xml:space="preserve">Micra AV </w:t>
      </w:r>
      <w:hyperlink r:id="rId11" w:tooltip="Hyperlink to the Medtronic Micra AV MC1AVR1 Device Manual" w:history="1">
        <w:r w:rsidR="00952C71" w:rsidRPr="00907616">
          <w:rPr>
            <w:rStyle w:val="Hyperlink"/>
            <w:rFonts w:ascii="Calibri" w:hAnsi="Calibri"/>
          </w:rPr>
          <w:t>Device Manua</w:t>
        </w:r>
        <w:r w:rsidR="00907616" w:rsidRPr="00907616">
          <w:rPr>
            <w:rStyle w:val="Hyperlink"/>
            <w:rFonts w:ascii="Calibri" w:hAnsi="Calibri"/>
          </w:rPr>
          <w:t>l</w:t>
        </w:r>
      </w:hyperlink>
      <w:r w:rsidR="00907616">
        <w:t>, t</w:t>
      </w:r>
      <w:r w:rsidR="00007B41" w:rsidRPr="0001437B">
        <w:t xml:space="preserve">he </w:t>
      </w:r>
      <w:r w:rsidR="0033638C">
        <w:t>projected</w:t>
      </w:r>
      <w:r w:rsidR="0033638C" w:rsidRPr="0001437B">
        <w:t xml:space="preserve"> </w:t>
      </w:r>
      <w:r w:rsidR="008E6F49" w:rsidRPr="0001437B">
        <w:t xml:space="preserve">longevity of the </w:t>
      </w:r>
      <w:r w:rsidR="00007B41" w:rsidRPr="0001437B">
        <w:t xml:space="preserve">Micra AV </w:t>
      </w:r>
      <w:r w:rsidR="008E6F49" w:rsidRPr="0001437B">
        <w:t>batter</w:t>
      </w:r>
      <w:r w:rsidR="006B6238" w:rsidRPr="0001437B">
        <w:t xml:space="preserve">y </w:t>
      </w:r>
      <w:r w:rsidR="00C25DD9">
        <w:t xml:space="preserve">(based on accelerated battery discharge data and device modelling) </w:t>
      </w:r>
      <w:r w:rsidR="00007B41" w:rsidRPr="0001437B">
        <w:t xml:space="preserve">is </w:t>
      </w:r>
      <w:r w:rsidR="006B6238" w:rsidRPr="0001437B">
        <w:t>approximately 8 to 13 years, depending on the mode of pacing</w:t>
      </w:r>
      <w:r w:rsidR="00C135EB">
        <w:rPr>
          <w:rStyle w:val="FootnoteReference"/>
        </w:rPr>
        <w:footnoteReference w:id="6"/>
      </w:r>
      <w:r w:rsidR="006B6238" w:rsidRPr="0001437B">
        <w:t xml:space="preserve">. </w:t>
      </w:r>
      <w:r w:rsidR="00CF305F">
        <w:t xml:space="preserve">Notably, a Micra AV2 </w:t>
      </w:r>
      <w:r w:rsidR="00E5320F">
        <w:t>has been developed by Medtronic</w:t>
      </w:r>
      <w:r w:rsidR="00CF305F">
        <w:t xml:space="preserve"> </w:t>
      </w:r>
      <w:r w:rsidR="001D6527">
        <w:t>and is reported to have a projected median</w:t>
      </w:r>
      <w:r w:rsidR="00413605">
        <w:t xml:space="preserve"> longevity of 15.6 years</w:t>
      </w:r>
      <w:r w:rsidR="002F7750">
        <w:t xml:space="preserve"> (</w:t>
      </w:r>
      <w:r w:rsidR="00413605">
        <w:t>44</w:t>
      </w:r>
      <w:r w:rsidR="00BE5BA3">
        <w:t xml:space="preserve"> percent more than </w:t>
      </w:r>
      <w:r w:rsidR="008E7919">
        <w:t xml:space="preserve">the </w:t>
      </w:r>
      <w:r w:rsidR="00BE5BA3">
        <w:t>Micra AV</w:t>
      </w:r>
      <w:r w:rsidR="002F7750">
        <w:t>)</w:t>
      </w:r>
      <w:r w:rsidR="00BE5BA3">
        <w:t xml:space="preserve"> </w:t>
      </w:r>
      <w:r w:rsidR="00AF5617">
        <w:t>(Medtronic 2023)</w:t>
      </w:r>
      <w:r w:rsidR="0066068D">
        <w:t>.</w:t>
      </w:r>
      <w:r w:rsidR="0005665A">
        <w:t xml:space="preserve"> </w:t>
      </w:r>
      <w:r w:rsidR="00CC3AD3">
        <w:t>The Micra AV2 is also</w:t>
      </w:r>
      <w:r w:rsidR="001B4AFC">
        <w:t xml:space="preserve"> reported to have</w:t>
      </w:r>
      <w:r w:rsidR="004A55F8">
        <w:t xml:space="preserve"> improved </w:t>
      </w:r>
      <w:r w:rsidR="002F40FC">
        <w:t xml:space="preserve">automatic </w:t>
      </w:r>
      <w:r w:rsidR="004A55F8">
        <w:t xml:space="preserve">AV synchrony at heart rates between 80 – 100 </w:t>
      </w:r>
      <w:r w:rsidR="0006238D">
        <w:t>beats per minute</w:t>
      </w:r>
      <w:r w:rsidR="002F40FC">
        <w:t xml:space="preserve">, </w:t>
      </w:r>
      <w:r w:rsidR="006101DA">
        <w:t>and reduced</w:t>
      </w:r>
      <w:r w:rsidR="00C87CFF">
        <w:t xml:space="preserve"> tip pressure </w:t>
      </w:r>
      <w:r w:rsidR="00226D7B">
        <w:t>from</w:t>
      </w:r>
      <w:r w:rsidR="00C87CFF">
        <w:t xml:space="preserve"> the catheter delivery system during implant </w:t>
      </w:r>
      <w:r w:rsidR="009251AD">
        <w:t>(Medtronic 2023)</w:t>
      </w:r>
      <w:r w:rsidR="00C87CFF">
        <w:t xml:space="preserve">. </w:t>
      </w:r>
      <w:r w:rsidR="0005665A">
        <w:t>The current MSAC application pertains to the Micra AV device</w:t>
      </w:r>
      <w:r w:rsidR="009671F5">
        <w:t xml:space="preserve"> </w:t>
      </w:r>
      <w:r w:rsidR="003B0E85">
        <w:t>–</w:t>
      </w:r>
      <w:r w:rsidR="001B1780">
        <w:t xml:space="preserve"> </w:t>
      </w:r>
      <w:r w:rsidR="009671F5">
        <w:t>t</w:t>
      </w:r>
      <w:r w:rsidR="001B63E9">
        <w:t xml:space="preserve">he Micra AV2 is not currently </w:t>
      </w:r>
      <w:r w:rsidR="00AA577D">
        <w:t>included in</w:t>
      </w:r>
      <w:r w:rsidR="006E5914">
        <w:t xml:space="preserve"> the ARTG.</w:t>
      </w:r>
    </w:p>
    <w:p w14:paraId="299DE3AE" w14:textId="4A42A114" w:rsidR="00516D8E" w:rsidRDefault="007E7D56" w:rsidP="00324D8A">
      <w:r w:rsidRPr="007E7D56">
        <w:t>The Micra AV is not intended to be removed at the end of its service life</w:t>
      </w:r>
      <w:r w:rsidR="0033654B">
        <w:t xml:space="preserve"> (Medtronic 2020)</w:t>
      </w:r>
      <w:r>
        <w:t xml:space="preserve"> but remains in</w:t>
      </w:r>
      <w:r w:rsidR="00E700FF">
        <w:t> </w:t>
      </w:r>
      <w:r>
        <w:t xml:space="preserve">situ </w:t>
      </w:r>
      <w:r w:rsidR="00CC25D4">
        <w:t>and a new</w:t>
      </w:r>
      <w:r w:rsidR="008D4DE0">
        <w:t xml:space="preserve"> LPM </w:t>
      </w:r>
      <w:r w:rsidR="00DD6CF3">
        <w:t xml:space="preserve">is </w:t>
      </w:r>
      <w:r w:rsidR="008D4DE0">
        <w:t>inserted in the right ventricle</w:t>
      </w:r>
      <w:r w:rsidR="00C5739B">
        <w:t xml:space="preserve"> (or alternative pacing approach i</w:t>
      </w:r>
      <w:r w:rsidR="00FF1D82">
        <w:t>f</w:t>
      </w:r>
      <w:r w:rsidR="00C5739B">
        <w:t xml:space="preserve"> there is a change </w:t>
      </w:r>
      <w:r w:rsidR="00C5739B">
        <w:lastRenderedPageBreak/>
        <w:t>in management)</w:t>
      </w:r>
      <w:r>
        <w:t>.</w:t>
      </w:r>
      <w:r w:rsidR="00751815">
        <w:t xml:space="preserve"> </w:t>
      </w:r>
      <w:r w:rsidR="00163442">
        <w:t>Concerns regarding</w:t>
      </w:r>
      <w:r w:rsidR="00E16251">
        <w:t xml:space="preserve"> leaving the Micra VR device in situ were raised by both PASC and MSAC in relation to </w:t>
      </w:r>
      <w:hyperlink r:id="rId12" w:tooltip="This link goes to the MSAC webpage for MSAC application 1672" w:history="1">
        <w:r w:rsidR="00E16251" w:rsidRPr="00395B0D">
          <w:rPr>
            <w:rStyle w:val="Hyperlink"/>
            <w:rFonts w:ascii="Calibri" w:hAnsi="Calibri"/>
          </w:rPr>
          <w:t xml:space="preserve">MSAC application </w:t>
        </w:r>
        <w:r w:rsidR="0023185F" w:rsidRPr="00395B0D">
          <w:rPr>
            <w:rStyle w:val="Hyperlink"/>
            <w:rFonts w:ascii="Calibri" w:hAnsi="Calibri"/>
          </w:rPr>
          <w:t>1672</w:t>
        </w:r>
      </w:hyperlink>
      <w:r w:rsidR="0023185F">
        <w:t>.</w:t>
      </w:r>
      <w:r w:rsidR="00282574">
        <w:t xml:space="preserve"> The </w:t>
      </w:r>
      <w:r w:rsidR="0027318F">
        <w:t>Public Summary Document (</w:t>
      </w:r>
      <w:r w:rsidR="00644C7B">
        <w:t>PSD</w:t>
      </w:r>
      <w:r w:rsidR="0027318F">
        <w:t>)</w:t>
      </w:r>
      <w:r w:rsidR="00AD0A71">
        <w:t xml:space="preserve"> noted the lack of available </w:t>
      </w:r>
      <w:r w:rsidR="002D4968">
        <w:t xml:space="preserve">data </w:t>
      </w:r>
      <w:r w:rsidR="002E1874">
        <w:t xml:space="preserve">regarding strategies to replace the Micra VR </w:t>
      </w:r>
      <w:r w:rsidR="0008386C">
        <w:t>and</w:t>
      </w:r>
      <w:r w:rsidR="000D08A2">
        <w:t xml:space="preserve"> the implications of leaving </w:t>
      </w:r>
      <w:r w:rsidR="004F64B6">
        <w:t>devices in situ</w:t>
      </w:r>
      <w:r w:rsidR="00416EA6">
        <w:t xml:space="preserve"> at the end of their</w:t>
      </w:r>
      <w:r w:rsidR="0008386C">
        <w:t xml:space="preserve"> service life</w:t>
      </w:r>
      <w:r w:rsidR="002D4968">
        <w:t>.</w:t>
      </w:r>
    </w:p>
    <w:p w14:paraId="74D6EC27" w14:textId="6E0E40F5" w:rsidR="00AA46C4" w:rsidRDefault="00E052CF" w:rsidP="00324D8A">
      <w:r>
        <w:t xml:space="preserve">The applicant </w:t>
      </w:r>
      <w:r w:rsidR="00D41F45">
        <w:t>wa</w:t>
      </w:r>
      <w:r w:rsidR="00AC1296">
        <w:t>s</w:t>
      </w:r>
      <w:r>
        <w:t xml:space="preserve"> not aware of any research published</w:t>
      </w:r>
      <w:r w:rsidR="000630D1">
        <w:t xml:space="preserve"> since MSAC application 1672 </w:t>
      </w:r>
      <w:r w:rsidR="00C74F3C">
        <w:t xml:space="preserve">regarding the </w:t>
      </w:r>
      <w:r w:rsidR="00125042">
        <w:t xml:space="preserve">maximum </w:t>
      </w:r>
      <w:r w:rsidR="00C74F3C">
        <w:t xml:space="preserve">number of Micra devices that may be implanted in the right </w:t>
      </w:r>
      <w:r w:rsidR="0087257D">
        <w:t>ventricle but</w:t>
      </w:r>
      <w:r w:rsidR="009739E4">
        <w:t xml:space="preserve"> </w:t>
      </w:r>
      <w:r w:rsidR="007B3B10">
        <w:t>advised</w:t>
      </w:r>
      <w:r w:rsidR="009739E4">
        <w:t xml:space="preserve"> that i</w:t>
      </w:r>
      <w:r w:rsidR="00D4790A">
        <w:t xml:space="preserve">n practice no more than two devices have been implanted in patients. </w:t>
      </w:r>
      <w:r w:rsidR="00DF4662">
        <w:t>The</w:t>
      </w:r>
      <w:r w:rsidR="0087257D">
        <w:t xml:space="preserve"> applicant</w:t>
      </w:r>
      <w:r w:rsidR="00153F5E">
        <w:t xml:space="preserve"> </w:t>
      </w:r>
      <w:r w:rsidR="00DF4662">
        <w:t>confirmed that t</w:t>
      </w:r>
      <w:r w:rsidR="00221003">
        <w:t xml:space="preserve">he research cited in MSAC application 1672 by </w:t>
      </w:r>
      <w:r w:rsidR="00221003" w:rsidRPr="00153F5E">
        <w:t>Omdahl</w:t>
      </w:r>
      <w:r w:rsidR="00602EE7" w:rsidRPr="00153F5E">
        <w:t xml:space="preserve"> et al</w:t>
      </w:r>
      <w:r w:rsidR="00E2701E">
        <w:t>.</w:t>
      </w:r>
      <w:r w:rsidR="00602EE7" w:rsidRPr="00153F5E">
        <w:t xml:space="preserve"> (2016)</w:t>
      </w:r>
      <w:r w:rsidR="00602EE7">
        <w:t xml:space="preserve"> is generalisable to the Micra AV device as it </w:t>
      </w:r>
      <w:r w:rsidR="00E2701E">
        <w:t>has the same dimensions</w:t>
      </w:r>
      <w:r w:rsidR="002D6FC6">
        <w:t xml:space="preserve"> and implant procedure as the Micra VR. </w:t>
      </w:r>
      <w:r w:rsidR="00D8622B">
        <w:t>This research demonstrated that</w:t>
      </w:r>
      <w:r w:rsidR="00574686">
        <w:t xml:space="preserve"> three Micra devices could be accommodated </w:t>
      </w:r>
      <w:r w:rsidR="00F62F4E">
        <w:t xml:space="preserve">in traditional pacing locations </w:t>
      </w:r>
      <w:r w:rsidR="007D3001">
        <w:t xml:space="preserve">in the right ventricle </w:t>
      </w:r>
      <w:r w:rsidR="00F62F4E">
        <w:t xml:space="preserve">in six human cadaver hearts and one reanimated </w:t>
      </w:r>
      <w:r w:rsidR="007D3001">
        <w:t>heart</w:t>
      </w:r>
      <w:r w:rsidR="00A562EB">
        <w:t xml:space="preserve"> not deemed viable for transplant</w:t>
      </w:r>
      <w:r w:rsidR="007D3001">
        <w:t xml:space="preserve">. </w:t>
      </w:r>
      <w:r w:rsidR="004F4F76">
        <w:t>T</w:t>
      </w:r>
      <w:r w:rsidR="002D6FC6">
        <w:t>h</w:t>
      </w:r>
      <w:r w:rsidR="007F7A6B">
        <w:t>e</w:t>
      </w:r>
      <w:r w:rsidR="002D6FC6">
        <w:t xml:space="preserve"> research only </w:t>
      </w:r>
      <w:r w:rsidR="00B444CE">
        <w:t>quantified</w:t>
      </w:r>
      <w:r w:rsidR="002D6FC6">
        <w:t xml:space="preserve"> physical distance</w:t>
      </w:r>
      <w:r w:rsidR="00B444CE">
        <w:t>s</w:t>
      </w:r>
      <w:r w:rsidR="002D6FC6">
        <w:t xml:space="preserve"> between </w:t>
      </w:r>
      <w:r w:rsidR="00B444CE">
        <w:t xml:space="preserve">the </w:t>
      </w:r>
      <w:r w:rsidR="002D6FC6">
        <w:t>devices</w:t>
      </w:r>
      <w:r w:rsidR="00B444CE">
        <w:t xml:space="preserve">, </w:t>
      </w:r>
      <w:r w:rsidR="00E71060">
        <w:t xml:space="preserve">and the authors acknowledged that further research was required to </w:t>
      </w:r>
      <w:r w:rsidR="00494360">
        <w:t xml:space="preserve">determine whether device performance or cardiac function may be </w:t>
      </w:r>
      <w:r w:rsidR="002C27FD">
        <w:t xml:space="preserve">altered </w:t>
      </w:r>
      <w:r w:rsidR="003E28EA">
        <w:t xml:space="preserve">by having </w:t>
      </w:r>
      <w:r w:rsidR="00B7202C">
        <w:t>multiple devices in the right ventricle.</w:t>
      </w:r>
    </w:p>
    <w:p w14:paraId="4F42F6AD" w14:textId="3F0B81BE" w:rsidR="0001437B" w:rsidRDefault="00290F57" w:rsidP="00324D8A">
      <w:r>
        <w:t>Th</w:t>
      </w:r>
      <w:r w:rsidR="00261888">
        <w:t>e</w:t>
      </w:r>
      <w:r w:rsidR="005D6991">
        <w:t xml:space="preserve"> </w:t>
      </w:r>
      <w:r w:rsidR="007A5CE3">
        <w:t>concerns</w:t>
      </w:r>
      <w:r w:rsidR="00164BC1">
        <w:t xml:space="preserve"> previously</w:t>
      </w:r>
      <w:r w:rsidR="007A5CE3">
        <w:t xml:space="preserve"> raised by </w:t>
      </w:r>
      <w:r w:rsidR="005D6991">
        <w:t>PASC and MSAC</w:t>
      </w:r>
      <w:r w:rsidR="00261888">
        <w:t xml:space="preserve"> </w:t>
      </w:r>
      <w:r w:rsidR="00A01549">
        <w:t xml:space="preserve">in relation to end of service life management </w:t>
      </w:r>
      <w:r>
        <w:t>should be addressed in the assessment report</w:t>
      </w:r>
      <w:r w:rsidR="00261888">
        <w:t xml:space="preserve"> for MSAC application 1772</w:t>
      </w:r>
      <w:r>
        <w:t>.</w:t>
      </w:r>
    </w:p>
    <w:p w14:paraId="43262DB0" w14:textId="77777777" w:rsidR="000C060F" w:rsidRPr="005D00C7" w:rsidRDefault="000C060F" w:rsidP="000C060F">
      <w:pPr>
        <w:rPr>
          <w:i/>
          <w:iCs/>
        </w:rPr>
      </w:pPr>
      <w:r w:rsidRPr="005D00C7">
        <w:rPr>
          <w:i/>
          <w:iCs/>
        </w:rPr>
        <w:t xml:space="preserve">The applicant confirmed that the lifespan of the Micra AV is 8 – 13 years; the more the atrial algorithm is used, the shorter the lifespan. The applicant clarified that the device is designed to be left in situ when replaced, and that most patients will require one or two devices in their lifetime, with a small proportion requiring three. The applicant’s clinical expert referenced data from the United States indicating that of all patients who require a pacemaker (regardless of type), 70% of patients will only require one pacemaker in their lifetime.  </w:t>
      </w:r>
    </w:p>
    <w:p w14:paraId="2AB39BD8" w14:textId="77777777" w:rsidR="000C060F" w:rsidRPr="005A41A2" w:rsidRDefault="000C060F" w:rsidP="000C060F">
      <w:pPr>
        <w:rPr>
          <w:i/>
          <w:iCs/>
        </w:rPr>
      </w:pPr>
      <w:r w:rsidRPr="005D00C7">
        <w:rPr>
          <w:i/>
          <w:iCs/>
        </w:rPr>
        <w:t>The applicant confirmed that Micra devices can be left in situ for cremation, though it was acknowledged that this is not yet reflected in all local guidelines.</w:t>
      </w:r>
    </w:p>
    <w:p w14:paraId="07727A63" w14:textId="5B005EB1" w:rsidR="00B8531B" w:rsidRDefault="00B8531B" w:rsidP="00A87EBB">
      <w:pPr>
        <w:rPr>
          <w:lang w:val="en-GB" w:eastAsia="ja-JP"/>
        </w:rPr>
      </w:pPr>
      <w:r>
        <w:rPr>
          <w:lang w:val="en-GB" w:eastAsia="ja-JP"/>
        </w:rPr>
        <w:t xml:space="preserve">The proposed use of the Micra AV is summarised in </w:t>
      </w:r>
      <w:r>
        <w:rPr>
          <w:lang w:val="en-GB" w:eastAsia="ja-JP"/>
        </w:rPr>
        <w:fldChar w:fldCharType="begin"/>
      </w:r>
      <w:r>
        <w:rPr>
          <w:lang w:val="en-GB" w:eastAsia="ja-JP"/>
        </w:rPr>
        <w:instrText xml:space="preserve"> REF _Ref158279496 \h </w:instrText>
      </w:r>
      <w:r>
        <w:rPr>
          <w:lang w:val="en-GB" w:eastAsia="ja-JP"/>
        </w:rPr>
      </w:r>
      <w:r>
        <w:rPr>
          <w:lang w:val="en-GB" w:eastAsia="ja-JP"/>
        </w:rPr>
        <w:fldChar w:fldCharType="separate"/>
      </w:r>
      <w:r w:rsidR="00986B06">
        <w:t xml:space="preserve">Table </w:t>
      </w:r>
      <w:r w:rsidR="00986B06">
        <w:rPr>
          <w:noProof/>
        </w:rPr>
        <w:t>2</w:t>
      </w:r>
      <w:r>
        <w:rPr>
          <w:lang w:val="en-GB" w:eastAsia="ja-JP"/>
        </w:rPr>
        <w:fldChar w:fldCharType="end"/>
      </w:r>
      <w:r>
        <w:rPr>
          <w:lang w:val="en-GB" w:eastAsia="ja-JP"/>
        </w:rPr>
        <w:t>.</w:t>
      </w:r>
      <w:r w:rsidR="00B300B5">
        <w:rPr>
          <w:lang w:val="en-GB" w:eastAsia="ja-JP"/>
        </w:rPr>
        <w:t xml:space="preserve"> </w:t>
      </w:r>
      <w:r w:rsidR="0030544C">
        <w:rPr>
          <w:lang w:val="en-GB" w:eastAsia="ja-JP"/>
        </w:rPr>
        <w:t>The applicant confirmed that</w:t>
      </w:r>
      <w:r w:rsidR="00C52FEB" w:rsidRPr="00C52FEB">
        <w:rPr>
          <w:lang w:val="en-GB" w:eastAsia="ja-JP"/>
        </w:rPr>
        <w:t xml:space="preserve"> the lead up to diagnosis of patients </w:t>
      </w:r>
      <w:r w:rsidR="00D43371">
        <w:rPr>
          <w:lang w:val="en-GB" w:eastAsia="ja-JP"/>
        </w:rPr>
        <w:t xml:space="preserve">and the </w:t>
      </w:r>
      <w:r w:rsidR="00D43371" w:rsidRPr="00C52FEB">
        <w:rPr>
          <w:lang w:val="en-GB" w:eastAsia="ja-JP"/>
        </w:rPr>
        <w:t xml:space="preserve">work up </w:t>
      </w:r>
      <w:r w:rsidR="00D43371">
        <w:rPr>
          <w:lang w:val="en-GB" w:eastAsia="ja-JP"/>
        </w:rPr>
        <w:t xml:space="preserve">to </w:t>
      </w:r>
      <w:r w:rsidR="00733221">
        <w:rPr>
          <w:lang w:val="en-GB" w:eastAsia="ja-JP"/>
        </w:rPr>
        <w:t xml:space="preserve">determine eligibility for a permanent pacemaker </w:t>
      </w:r>
      <w:r w:rsidR="00C52FEB" w:rsidRPr="00C52FEB">
        <w:rPr>
          <w:lang w:val="en-GB" w:eastAsia="ja-JP"/>
        </w:rPr>
        <w:t xml:space="preserve">will not change </w:t>
      </w:r>
      <w:proofErr w:type="gramStart"/>
      <w:r w:rsidR="00C52FEB" w:rsidRPr="00C52FEB">
        <w:rPr>
          <w:lang w:val="en-GB" w:eastAsia="ja-JP"/>
        </w:rPr>
        <w:t>as a consequence of</w:t>
      </w:r>
      <w:proofErr w:type="gramEnd"/>
      <w:r w:rsidR="00C52FEB" w:rsidRPr="00C52FEB">
        <w:rPr>
          <w:lang w:val="en-GB" w:eastAsia="ja-JP"/>
        </w:rPr>
        <w:t xml:space="preserve"> the introduction of the proposed intervention.</w:t>
      </w:r>
      <w:r w:rsidR="00FE673C">
        <w:rPr>
          <w:lang w:val="en-GB" w:eastAsia="ja-JP"/>
        </w:rPr>
        <w:t xml:space="preserve"> </w:t>
      </w:r>
      <w:r w:rsidR="00B456B0">
        <w:rPr>
          <w:lang w:val="en-GB" w:eastAsia="ja-JP"/>
        </w:rPr>
        <w:t xml:space="preserve">The applicant also confirmed that </w:t>
      </w:r>
      <w:r w:rsidR="00EF4306">
        <w:rPr>
          <w:lang w:val="en-GB" w:eastAsia="ja-JP"/>
        </w:rPr>
        <w:t>clinical management does not differ for a patient receiving a second or subsequent LPM</w:t>
      </w:r>
      <w:r w:rsidR="003029F0">
        <w:rPr>
          <w:lang w:val="en-GB" w:eastAsia="ja-JP"/>
        </w:rPr>
        <w:t xml:space="preserve">, compared to </w:t>
      </w:r>
      <w:r w:rsidR="005132DC">
        <w:rPr>
          <w:lang w:val="en-GB" w:eastAsia="ja-JP"/>
        </w:rPr>
        <w:t xml:space="preserve">a patient receiving an </w:t>
      </w:r>
      <w:r w:rsidR="003029F0">
        <w:rPr>
          <w:lang w:val="en-GB" w:eastAsia="ja-JP"/>
        </w:rPr>
        <w:t>initial LPM.</w:t>
      </w:r>
    </w:p>
    <w:p w14:paraId="519B0132" w14:textId="77777777" w:rsidR="001D4434" w:rsidRPr="005D00C7" w:rsidRDefault="001D4434" w:rsidP="001D4434">
      <w:pPr>
        <w:rPr>
          <w:i/>
          <w:iCs/>
        </w:rPr>
      </w:pPr>
      <w:r w:rsidRPr="005D00C7">
        <w:rPr>
          <w:i/>
          <w:iCs/>
        </w:rPr>
        <w:t xml:space="preserve">The applicant advised PASC that the frequency of follow-up after insertion of a Micra AV is the same as for a TVPM and noted that the Micra AV has remote monitoring capabilities. The applicant’s clinical expert advised that follow-up is slightly more demanding for the first few sessions following insertion of the Micra AV device compared with a TVPM. </w:t>
      </w:r>
    </w:p>
    <w:p w14:paraId="4DCDEB40" w14:textId="00D8D04B" w:rsidR="00B8531B" w:rsidRPr="004A0204" w:rsidRDefault="00B8531B" w:rsidP="002A4C1E">
      <w:pPr>
        <w:pStyle w:val="Caption"/>
      </w:pPr>
      <w:bookmarkStart w:id="4" w:name="_Ref158279496"/>
      <w:r>
        <w:t xml:space="preserve">Table </w:t>
      </w:r>
      <w:r>
        <w:fldChar w:fldCharType="begin"/>
      </w:r>
      <w:r>
        <w:instrText xml:space="preserve"> SEQ Table \* ARABIC </w:instrText>
      </w:r>
      <w:r>
        <w:fldChar w:fldCharType="separate"/>
      </w:r>
      <w:r w:rsidR="00986B06">
        <w:rPr>
          <w:noProof/>
        </w:rPr>
        <w:t>2</w:t>
      </w:r>
      <w:r>
        <w:fldChar w:fldCharType="end"/>
      </w:r>
      <w:bookmarkEnd w:id="4"/>
      <w:r>
        <w:tab/>
        <w:t>Proposed use of the Micra AV</w:t>
      </w:r>
    </w:p>
    <w:tbl>
      <w:tblPr>
        <w:tblStyle w:val="TableGrid"/>
        <w:tblW w:w="0" w:type="auto"/>
        <w:tblInd w:w="0" w:type="dxa"/>
        <w:tblLook w:val="04A0" w:firstRow="1" w:lastRow="0" w:firstColumn="1" w:lastColumn="0" w:noHBand="0" w:noVBand="1"/>
        <w:tblCaption w:val="Proposed use of the Micra AV"/>
        <w:tblDescription w:val="This tables shows the proposed use of the Micra AV including purpose, referral, mode of delivery, clinical setting, prerequisites and training, provider type, procedure-specific equipment/consumables, required health system resources and frequency of replacement,."/>
      </w:tblPr>
      <w:tblGrid>
        <w:gridCol w:w="1555"/>
        <w:gridCol w:w="8016"/>
      </w:tblGrid>
      <w:tr w:rsidR="00B8531B" w14:paraId="10ABE798" w14:textId="77777777" w:rsidTr="00D752C7">
        <w:trPr>
          <w:tblHeader/>
        </w:trPr>
        <w:tc>
          <w:tcPr>
            <w:tcW w:w="1555" w:type="dxa"/>
          </w:tcPr>
          <w:p w14:paraId="6FC6D46F" w14:textId="77777777" w:rsidR="00B8531B" w:rsidRDefault="00B8531B" w:rsidP="002A4C1E">
            <w:pPr>
              <w:pStyle w:val="TableHeading"/>
              <w:rPr>
                <w:lang w:val="en-GB"/>
              </w:rPr>
            </w:pPr>
            <w:r>
              <w:rPr>
                <w:lang w:val="en-GB"/>
              </w:rPr>
              <w:t>Criteria</w:t>
            </w:r>
          </w:p>
        </w:tc>
        <w:tc>
          <w:tcPr>
            <w:tcW w:w="8016" w:type="dxa"/>
          </w:tcPr>
          <w:p w14:paraId="39D08C87" w14:textId="77777777" w:rsidR="00B8531B" w:rsidRDefault="00B8531B" w:rsidP="002A4C1E">
            <w:pPr>
              <w:pStyle w:val="TableHeading"/>
              <w:rPr>
                <w:lang w:val="en-GB"/>
              </w:rPr>
            </w:pPr>
            <w:r>
              <w:rPr>
                <w:lang w:val="en-GB"/>
              </w:rPr>
              <w:t>Description</w:t>
            </w:r>
          </w:p>
        </w:tc>
      </w:tr>
      <w:tr w:rsidR="00B8531B" w14:paraId="0708A6E0" w14:textId="77777777" w:rsidTr="00D752C7">
        <w:tc>
          <w:tcPr>
            <w:tcW w:w="1555" w:type="dxa"/>
          </w:tcPr>
          <w:p w14:paraId="2DE06FD0" w14:textId="77777777" w:rsidR="00B8531B" w:rsidRPr="008E466F" w:rsidRDefault="00B8531B" w:rsidP="002A4C1E">
            <w:pPr>
              <w:pStyle w:val="TableHeading"/>
              <w:rPr>
                <w:b w:val="0"/>
                <w:bCs/>
                <w:lang w:val="en-GB"/>
              </w:rPr>
            </w:pPr>
            <w:r w:rsidRPr="00253FDF">
              <w:rPr>
                <w:b w:val="0"/>
                <w:lang w:val="en-GB"/>
              </w:rPr>
              <w:t>Purpose</w:t>
            </w:r>
          </w:p>
        </w:tc>
        <w:tc>
          <w:tcPr>
            <w:tcW w:w="8016" w:type="dxa"/>
          </w:tcPr>
          <w:p w14:paraId="162E3DE1" w14:textId="7860E665" w:rsidR="007242A1" w:rsidRDefault="00B8531B" w:rsidP="002A4C1E">
            <w:pPr>
              <w:pStyle w:val="TableText0"/>
              <w:keepNext/>
              <w:rPr>
                <w:lang w:val="en-GB" w:eastAsia="ja-JP"/>
              </w:rPr>
            </w:pPr>
            <w:r w:rsidRPr="0049238E">
              <w:rPr>
                <w:lang w:val="en-GB" w:eastAsia="ja-JP"/>
              </w:rPr>
              <w:t xml:space="preserve">The </w:t>
            </w:r>
            <w:r w:rsidRPr="00C342F2">
              <w:rPr>
                <w:lang w:val="en-GB" w:eastAsia="ja-JP"/>
              </w:rPr>
              <w:t xml:space="preserve">Micra AV is </w:t>
            </w:r>
            <w:r w:rsidR="00E3237F">
              <w:rPr>
                <w:lang w:val="en-GB" w:eastAsia="ja-JP"/>
              </w:rPr>
              <w:t xml:space="preserve">intended to </w:t>
            </w:r>
            <w:r w:rsidRPr="001755A8">
              <w:rPr>
                <w:lang w:val="en-GB" w:eastAsia="ja-JP"/>
              </w:rPr>
              <w:t xml:space="preserve">provide rate-responsive bradycardia pacing to the right ventricle and </w:t>
            </w:r>
            <w:r w:rsidR="000B0E7B">
              <w:rPr>
                <w:lang w:val="en-GB" w:eastAsia="ja-JP"/>
              </w:rPr>
              <w:t xml:space="preserve">promote </w:t>
            </w:r>
            <w:r w:rsidRPr="001755A8">
              <w:rPr>
                <w:lang w:val="en-GB" w:eastAsia="ja-JP"/>
              </w:rPr>
              <w:t>AV synchrony based on mechanical sensing of atrial activity</w:t>
            </w:r>
            <w:r w:rsidR="00557ED4">
              <w:rPr>
                <w:lang w:val="en-GB" w:eastAsia="ja-JP"/>
              </w:rPr>
              <w:t>,</w:t>
            </w:r>
            <w:r w:rsidR="001606A9">
              <w:rPr>
                <w:lang w:val="en-GB" w:eastAsia="ja-JP"/>
              </w:rPr>
              <w:t xml:space="preserve"> in </w:t>
            </w:r>
            <w:r w:rsidR="00731185">
              <w:rPr>
                <w:iCs/>
              </w:rPr>
              <w:t>the proposed patient population</w:t>
            </w:r>
            <w:r w:rsidRPr="001755A8">
              <w:rPr>
                <w:lang w:val="en-GB" w:eastAsia="ja-JP"/>
              </w:rPr>
              <w:t>.</w:t>
            </w:r>
          </w:p>
        </w:tc>
      </w:tr>
      <w:tr w:rsidR="00B8531B" w14:paraId="1FB21B51" w14:textId="77777777" w:rsidTr="00D752C7">
        <w:tc>
          <w:tcPr>
            <w:tcW w:w="1555" w:type="dxa"/>
          </w:tcPr>
          <w:p w14:paraId="71F69373" w14:textId="77777777" w:rsidR="00B8531B" w:rsidRPr="008E466F" w:rsidRDefault="00B8531B" w:rsidP="000E7169">
            <w:pPr>
              <w:pStyle w:val="TableHeading"/>
              <w:keepNext w:val="0"/>
              <w:rPr>
                <w:b w:val="0"/>
                <w:bCs/>
                <w:lang w:val="en-GB"/>
              </w:rPr>
            </w:pPr>
            <w:r w:rsidRPr="008E466F">
              <w:rPr>
                <w:b w:val="0"/>
                <w:bCs/>
                <w:lang w:val="en-GB"/>
              </w:rPr>
              <w:t>Referral</w:t>
            </w:r>
          </w:p>
        </w:tc>
        <w:tc>
          <w:tcPr>
            <w:tcW w:w="8016" w:type="dxa"/>
          </w:tcPr>
          <w:p w14:paraId="1B8385D6" w14:textId="77777777" w:rsidR="00B8531B" w:rsidRDefault="00B8531B" w:rsidP="000E7169">
            <w:pPr>
              <w:pStyle w:val="TableText0"/>
              <w:rPr>
                <w:lang w:val="en-GB" w:eastAsia="ja-JP"/>
              </w:rPr>
            </w:pPr>
            <w:r>
              <w:rPr>
                <w:lang w:val="en-GB" w:eastAsia="ja-JP"/>
              </w:rPr>
              <w:t>General practitioner or non-interventional cardiologist</w:t>
            </w:r>
          </w:p>
        </w:tc>
      </w:tr>
      <w:tr w:rsidR="00B8531B" w14:paraId="52DFBE37" w14:textId="77777777" w:rsidTr="00D752C7">
        <w:tc>
          <w:tcPr>
            <w:tcW w:w="1555" w:type="dxa"/>
          </w:tcPr>
          <w:p w14:paraId="0D622F83" w14:textId="77777777" w:rsidR="00B8531B" w:rsidRPr="008E466F" w:rsidRDefault="00B8531B" w:rsidP="000E7169">
            <w:pPr>
              <w:pStyle w:val="TableHeading"/>
              <w:keepNext w:val="0"/>
              <w:rPr>
                <w:b w:val="0"/>
                <w:bCs/>
                <w:lang w:val="en-GB"/>
              </w:rPr>
            </w:pPr>
            <w:r w:rsidRPr="008E466F">
              <w:rPr>
                <w:b w:val="0"/>
                <w:bCs/>
                <w:lang w:val="en-GB"/>
              </w:rPr>
              <w:t>Mode of delivery</w:t>
            </w:r>
          </w:p>
        </w:tc>
        <w:tc>
          <w:tcPr>
            <w:tcW w:w="8016" w:type="dxa"/>
          </w:tcPr>
          <w:p w14:paraId="0AC56C7D" w14:textId="77777777" w:rsidR="00B8531B" w:rsidRDefault="00B8531B" w:rsidP="000E7169">
            <w:pPr>
              <w:pStyle w:val="TableText0"/>
              <w:rPr>
                <w:lang w:val="en-GB" w:eastAsia="ja-JP"/>
              </w:rPr>
            </w:pPr>
            <w:r>
              <w:rPr>
                <w:lang w:val="en-GB" w:eastAsia="ja-JP"/>
              </w:rPr>
              <w:t>Percutaneous insertion via the femoral vein</w:t>
            </w:r>
          </w:p>
        </w:tc>
      </w:tr>
      <w:tr w:rsidR="00B8531B" w14:paraId="0AAC1419" w14:textId="77777777" w:rsidTr="00D752C7">
        <w:tc>
          <w:tcPr>
            <w:tcW w:w="1555" w:type="dxa"/>
          </w:tcPr>
          <w:p w14:paraId="6C9136C5" w14:textId="77777777" w:rsidR="00B8531B" w:rsidRPr="008E466F" w:rsidRDefault="00B8531B" w:rsidP="000E7169">
            <w:pPr>
              <w:pStyle w:val="TableHeading"/>
              <w:keepNext w:val="0"/>
              <w:rPr>
                <w:b w:val="0"/>
                <w:bCs/>
                <w:lang w:val="en-GB"/>
              </w:rPr>
            </w:pPr>
            <w:r w:rsidRPr="008E466F">
              <w:rPr>
                <w:b w:val="0"/>
                <w:bCs/>
                <w:lang w:val="en-GB"/>
              </w:rPr>
              <w:t>Clinical setting</w:t>
            </w:r>
          </w:p>
        </w:tc>
        <w:tc>
          <w:tcPr>
            <w:tcW w:w="8016" w:type="dxa"/>
          </w:tcPr>
          <w:p w14:paraId="020EBE6D" w14:textId="115140E8" w:rsidR="00B8531B" w:rsidRDefault="00F501CD" w:rsidP="000E7169">
            <w:pPr>
              <w:pStyle w:val="TableText0"/>
              <w:rPr>
                <w:lang w:val="en-GB" w:eastAsia="ja-JP"/>
              </w:rPr>
            </w:pPr>
            <w:r>
              <w:rPr>
                <w:lang w:val="en-GB" w:eastAsia="ja-JP"/>
              </w:rPr>
              <w:t>Hospital (p</w:t>
            </w:r>
            <w:r w:rsidR="00932F1F">
              <w:rPr>
                <w:lang w:val="en-GB" w:eastAsia="ja-JP"/>
              </w:rPr>
              <w:t>ublic or private</w:t>
            </w:r>
            <w:r>
              <w:rPr>
                <w:lang w:val="en-GB" w:eastAsia="ja-JP"/>
              </w:rPr>
              <w:t>)</w:t>
            </w:r>
            <w:r w:rsidR="00932F1F">
              <w:rPr>
                <w:lang w:val="en-GB" w:eastAsia="ja-JP"/>
              </w:rPr>
              <w:t xml:space="preserve"> inpatient</w:t>
            </w:r>
          </w:p>
        </w:tc>
      </w:tr>
      <w:tr w:rsidR="00B8531B" w14:paraId="317DCF24" w14:textId="77777777" w:rsidTr="00D752C7">
        <w:tc>
          <w:tcPr>
            <w:tcW w:w="1555" w:type="dxa"/>
          </w:tcPr>
          <w:p w14:paraId="068BB4EA" w14:textId="3ADE1CEA" w:rsidR="00B8531B" w:rsidRPr="008E466F" w:rsidRDefault="00F52BEB" w:rsidP="000E7169">
            <w:pPr>
              <w:pStyle w:val="TableHeading"/>
              <w:keepNext w:val="0"/>
              <w:rPr>
                <w:b w:val="0"/>
                <w:bCs/>
                <w:lang w:val="en-GB"/>
              </w:rPr>
            </w:pPr>
            <w:r>
              <w:rPr>
                <w:b w:val="0"/>
                <w:bCs/>
                <w:lang w:val="en-GB"/>
              </w:rPr>
              <w:lastRenderedPageBreak/>
              <w:t xml:space="preserve">Prerequisites and </w:t>
            </w:r>
            <w:r w:rsidR="00B8531B" w:rsidRPr="008E466F">
              <w:rPr>
                <w:b w:val="0"/>
                <w:bCs/>
                <w:lang w:val="en-GB"/>
              </w:rPr>
              <w:t>training</w:t>
            </w:r>
          </w:p>
        </w:tc>
        <w:tc>
          <w:tcPr>
            <w:tcW w:w="8016" w:type="dxa"/>
          </w:tcPr>
          <w:p w14:paraId="286478DF" w14:textId="51FFFFAC" w:rsidR="00712AC9" w:rsidRPr="00227244" w:rsidRDefault="00543FA0" w:rsidP="000E7169">
            <w:pPr>
              <w:pStyle w:val="TableText0"/>
              <w:rPr>
                <w:lang w:val="en-GB" w:eastAsia="ja-JP"/>
              </w:rPr>
            </w:pPr>
            <w:r>
              <w:rPr>
                <w:lang w:val="en-GB" w:eastAsia="ja-JP"/>
              </w:rPr>
              <w:t>Providers</w:t>
            </w:r>
            <w:r w:rsidR="00B8531B" w:rsidRPr="00B5783B">
              <w:rPr>
                <w:lang w:val="en-GB" w:eastAsia="ja-JP"/>
              </w:rPr>
              <w:t xml:space="preserve"> who intend to perform insertion of a Medtronic Micra LPM undergo online training modules via Medtronic Academy and attend a Medtronic sponsored in-person training course. </w:t>
            </w:r>
            <w:r w:rsidR="001B4D3C">
              <w:rPr>
                <w:lang w:val="en-GB" w:eastAsia="ja-JP"/>
              </w:rPr>
              <w:t xml:space="preserve">Training is provided free of charge. </w:t>
            </w:r>
            <w:r w:rsidR="00B8531B">
              <w:rPr>
                <w:lang w:val="en-GB" w:eastAsia="ja-JP"/>
              </w:rPr>
              <w:t>P</w:t>
            </w:r>
            <w:r w:rsidR="00B8531B" w:rsidRPr="00B5783B">
              <w:rPr>
                <w:lang w:val="en-GB" w:eastAsia="ja-JP"/>
              </w:rPr>
              <w:t>roficiency in femoral venous access and large bore catheter manipulation</w:t>
            </w:r>
            <w:r w:rsidR="00B8531B">
              <w:rPr>
                <w:lang w:val="en-GB" w:eastAsia="ja-JP"/>
              </w:rPr>
              <w:t xml:space="preserve"> are recommended prerequisites</w:t>
            </w:r>
            <w:r w:rsidR="00B8531B" w:rsidRPr="00B5783B">
              <w:rPr>
                <w:lang w:val="en-GB" w:eastAsia="ja-JP"/>
              </w:rPr>
              <w:t>.</w:t>
            </w:r>
            <w:r w:rsidR="00B8531B">
              <w:rPr>
                <w:lang w:val="en-GB" w:eastAsia="ja-JP"/>
              </w:rPr>
              <w:t xml:space="preserve"> S</w:t>
            </w:r>
            <w:r w:rsidR="00B8531B" w:rsidRPr="002F1F9C">
              <w:rPr>
                <w:lang w:val="en-GB" w:eastAsia="ja-JP"/>
              </w:rPr>
              <w:t xml:space="preserve">upport by a Medtronic Micra </w:t>
            </w:r>
            <w:r w:rsidR="005E3D9A">
              <w:rPr>
                <w:lang w:val="en-GB" w:eastAsia="ja-JP"/>
              </w:rPr>
              <w:t>t</w:t>
            </w:r>
            <w:r w:rsidR="00B8531B" w:rsidRPr="002F1F9C">
              <w:rPr>
                <w:lang w:val="en-GB" w:eastAsia="ja-JP"/>
              </w:rPr>
              <w:t xml:space="preserve">echnical </w:t>
            </w:r>
            <w:r w:rsidR="005E3D9A">
              <w:rPr>
                <w:lang w:val="en-GB" w:eastAsia="ja-JP"/>
              </w:rPr>
              <w:t>e</w:t>
            </w:r>
            <w:r w:rsidR="00B8531B" w:rsidRPr="002F1F9C">
              <w:rPr>
                <w:lang w:val="en-GB" w:eastAsia="ja-JP"/>
              </w:rPr>
              <w:t xml:space="preserve">xpert </w:t>
            </w:r>
            <w:r w:rsidR="00B8531B">
              <w:rPr>
                <w:lang w:val="en-GB" w:eastAsia="ja-JP"/>
              </w:rPr>
              <w:t xml:space="preserve">is </w:t>
            </w:r>
            <w:r w:rsidR="00B8531B" w:rsidRPr="00A13F3E">
              <w:rPr>
                <w:lang w:val="en-GB" w:eastAsia="ja-JP"/>
              </w:rPr>
              <w:t xml:space="preserve">recommended </w:t>
            </w:r>
            <w:r w:rsidR="00B8531B">
              <w:rPr>
                <w:lang w:val="en-GB" w:eastAsia="ja-JP"/>
              </w:rPr>
              <w:t>for</w:t>
            </w:r>
            <w:r w:rsidR="00B8531B" w:rsidRPr="00A13F3E">
              <w:rPr>
                <w:lang w:val="en-GB" w:eastAsia="ja-JP"/>
              </w:rPr>
              <w:t xml:space="preserve"> </w:t>
            </w:r>
            <w:r w:rsidR="00B8531B">
              <w:rPr>
                <w:lang w:val="en-GB" w:eastAsia="ja-JP"/>
              </w:rPr>
              <w:t>at least</w:t>
            </w:r>
            <w:r w:rsidR="00B8531B" w:rsidRPr="00A13F3E">
              <w:rPr>
                <w:lang w:val="en-GB" w:eastAsia="ja-JP"/>
              </w:rPr>
              <w:t xml:space="preserve"> the first </w:t>
            </w:r>
            <w:r w:rsidR="00B8531B">
              <w:rPr>
                <w:lang w:val="en-GB" w:eastAsia="ja-JP"/>
              </w:rPr>
              <w:t>ten</w:t>
            </w:r>
            <w:r w:rsidR="00B8531B" w:rsidRPr="00A13F3E">
              <w:rPr>
                <w:lang w:val="en-GB" w:eastAsia="ja-JP"/>
              </w:rPr>
              <w:t xml:space="preserve"> implants. </w:t>
            </w:r>
          </w:p>
        </w:tc>
      </w:tr>
      <w:tr w:rsidR="00B8531B" w14:paraId="67375E25" w14:textId="77777777" w:rsidTr="00D752C7">
        <w:tc>
          <w:tcPr>
            <w:tcW w:w="1555" w:type="dxa"/>
          </w:tcPr>
          <w:p w14:paraId="42806089" w14:textId="77777777" w:rsidR="00B8531B" w:rsidRPr="008E466F" w:rsidRDefault="00B8531B" w:rsidP="000E7169">
            <w:pPr>
              <w:pStyle w:val="TableHeading"/>
              <w:keepNext w:val="0"/>
              <w:rPr>
                <w:b w:val="0"/>
                <w:bCs/>
                <w:lang w:val="en-GB"/>
              </w:rPr>
            </w:pPr>
            <w:r w:rsidRPr="008E466F">
              <w:rPr>
                <w:b w:val="0"/>
                <w:bCs/>
                <w:lang w:val="en-GB"/>
              </w:rPr>
              <w:t>Provider type</w:t>
            </w:r>
          </w:p>
        </w:tc>
        <w:tc>
          <w:tcPr>
            <w:tcW w:w="8016" w:type="dxa"/>
          </w:tcPr>
          <w:p w14:paraId="5204340C" w14:textId="77777777" w:rsidR="00B8531B" w:rsidRDefault="00B8531B" w:rsidP="000E7169">
            <w:pPr>
              <w:pStyle w:val="TableText0"/>
              <w:rPr>
                <w:lang w:val="en-GB" w:eastAsia="ja-JP"/>
              </w:rPr>
            </w:pPr>
            <w:r>
              <w:rPr>
                <w:lang w:val="en-GB" w:eastAsia="ja-JP"/>
              </w:rPr>
              <w:t>S</w:t>
            </w:r>
            <w:r w:rsidRPr="000F6E1E">
              <w:rPr>
                <w:lang w:val="en-GB" w:eastAsia="ja-JP"/>
              </w:rPr>
              <w:t xml:space="preserve">pecialist cardiologist (interventional cardiologist, cardiac electrophysiologist) </w:t>
            </w:r>
          </w:p>
          <w:p w14:paraId="064D86C1" w14:textId="77777777" w:rsidR="00B8531B" w:rsidRDefault="00B8531B" w:rsidP="000E7169">
            <w:pPr>
              <w:pStyle w:val="TableText0"/>
              <w:rPr>
                <w:lang w:val="en-GB" w:eastAsia="ja-JP"/>
              </w:rPr>
            </w:pPr>
            <w:r>
              <w:rPr>
                <w:lang w:val="en-GB" w:eastAsia="ja-JP"/>
              </w:rPr>
              <w:t>C</w:t>
            </w:r>
            <w:r w:rsidRPr="000F6E1E">
              <w:rPr>
                <w:lang w:val="en-GB" w:eastAsia="ja-JP"/>
              </w:rPr>
              <w:t>ardiac surgeon</w:t>
            </w:r>
          </w:p>
        </w:tc>
      </w:tr>
      <w:tr w:rsidR="00B8531B" w14:paraId="13A12E21" w14:textId="77777777" w:rsidTr="00D752C7">
        <w:tc>
          <w:tcPr>
            <w:tcW w:w="1555" w:type="dxa"/>
          </w:tcPr>
          <w:p w14:paraId="5223AEF2" w14:textId="6ED98B18" w:rsidR="00B8531B" w:rsidRPr="008E466F" w:rsidRDefault="00B8531B" w:rsidP="000E7169">
            <w:pPr>
              <w:pStyle w:val="TableHeading"/>
              <w:keepNext w:val="0"/>
              <w:rPr>
                <w:b w:val="0"/>
                <w:bCs/>
                <w:lang w:val="en-GB"/>
              </w:rPr>
            </w:pPr>
            <w:r>
              <w:rPr>
                <w:b w:val="0"/>
                <w:bCs/>
                <w:lang w:val="en-GB"/>
              </w:rPr>
              <w:t>Procedure-specific equipment/</w:t>
            </w:r>
            <w:r w:rsidR="00D752C7">
              <w:rPr>
                <w:b w:val="0"/>
                <w:bCs/>
                <w:lang w:val="en-GB"/>
              </w:rPr>
              <w:t xml:space="preserve"> </w:t>
            </w:r>
            <w:r>
              <w:rPr>
                <w:b w:val="0"/>
                <w:bCs/>
                <w:lang w:val="en-GB"/>
              </w:rPr>
              <w:t>consumables</w:t>
            </w:r>
          </w:p>
        </w:tc>
        <w:tc>
          <w:tcPr>
            <w:tcW w:w="8016" w:type="dxa"/>
          </w:tcPr>
          <w:p w14:paraId="3DFB5D45" w14:textId="77777777" w:rsidR="00B8531B" w:rsidRDefault="00B8531B" w:rsidP="000E7169">
            <w:pPr>
              <w:pStyle w:val="TableText0"/>
              <w:rPr>
                <w:lang w:val="en-GB" w:eastAsia="ja-JP"/>
              </w:rPr>
            </w:pPr>
            <w:r>
              <w:rPr>
                <w:lang w:val="en-GB" w:eastAsia="ja-JP"/>
              </w:rPr>
              <w:t>Micra AV device</w:t>
            </w:r>
          </w:p>
          <w:p w14:paraId="6F35F45C" w14:textId="77777777" w:rsidR="00B8531B" w:rsidRDefault="00B8531B" w:rsidP="000E7169">
            <w:pPr>
              <w:pStyle w:val="TableText0"/>
              <w:rPr>
                <w:lang w:val="en-GB" w:eastAsia="ja-JP"/>
              </w:rPr>
            </w:pPr>
            <w:r>
              <w:rPr>
                <w:lang w:val="en-GB" w:eastAsia="ja-JP"/>
              </w:rPr>
              <w:t>Delivery catheter system</w:t>
            </w:r>
          </w:p>
          <w:p w14:paraId="03EC5487" w14:textId="017C29FD" w:rsidR="00B8531B" w:rsidRDefault="00B8531B" w:rsidP="000E7169">
            <w:pPr>
              <w:pStyle w:val="TableText0"/>
              <w:rPr>
                <w:lang w:val="en-GB" w:eastAsia="ja-JP"/>
              </w:rPr>
            </w:pPr>
            <w:r>
              <w:rPr>
                <w:lang w:val="en-GB" w:eastAsia="ja-JP"/>
              </w:rPr>
              <w:t>Single-use introducer</w:t>
            </w:r>
          </w:p>
          <w:p w14:paraId="1C737020" w14:textId="77777777" w:rsidR="00B8531B" w:rsidRDefault="00B8531B" w:rsidP="000E7169">
            <w:pPr>
              <w:pStyle w:val="TableText0"/>
              <w:rPr>
                <w:lang w:val="en-GB" w:eastAsia="ja-JP"/>
              </w:rPr>
            </w:pPr>
            <w:r>
              <w:rPr>
                <w:lang w:val="en-GB" w:eastAsia="ja-JP"/>
              </w:rPr>
              <w:t>Medtronic programmer and software</w:t>
            </w:r>
          </w:p>
        </w:tc>
      </w:tr>
      <w:tr w:rsidR="00F26149" w14:paraId="58FD60EE" w14:textId="77777777" w:rsidTr="00D752C7">
        <w:tc>
          <w:tcPr>
            <w:tcW w:w="1555" w:type="dxa"/>
          </w:tcPr>
          <w:p w14:paraId="01E0BBE5" w14:textId="77777777" w:rsidR="00F26149" w:rsidRPr="008E466F" w:rsidRDefault="00F26149" w:rsidP="00BD112F">
            <w:pPr>
              <w:pStyle w:val="TableHeading"/>
              <w:rPr>
                <w:b w:val="0"/>
                <w:bCs/>
                <w:lang w:val="en-GB"/>
              </w:rPr>
            </w:pPr>
            <w:r w:rsidRPr="008E466F">
              <w:rPr>
                <w:b w:val="0"/>
                <w:bCs/>
                <w:lang w:val="en-GB"/>
              </w:rPr>
              <w:t xml:space="preserve">Required </w:t>
            </w:r>
            <w:r>
              <w:rPr>
                <w:b w:val="0"/>
                <w:bCs/>
                <w:lang w:val="en-GB"/>
              </w:rPr>
              <w:t>health system resources</w:t>
            </w:r>
          </w:p>
        </w:tc>
        <w:tc>
          <w:tcPr>
            <w:tcW w:w="8016" w:type="dxa"/>
          </w:tcPr>
          <w:p w14:paraId="2594FEAF" w14:textId="77777777" w:rsidR="00F26149" w:rsidRDefault="00F26149" w:rsidP="00BD112F">
            <w:pPr>
              <w:pStyle w:val="TableText0"/>
              <w:keepNext/>
              <w:rPr>
                <w:lang w:val="en-GB" w:eastAsia="ja-JP"/>
              </w:rPr>
            </w:pPr>
            <w:r>
              <w:rPr>
                <w:lang w:val="en-GB" w:eastAsia="ja-JP"/>
              </w:rPr>
              <w:t>T</w:t>
            </w:r>
            <w:r w:rsidRPr="00A165F2">
              <w:rPr>
                <w:lang w:val="en-GB" w:eastAsia="ja-JP"/>
              </w:rPr>
              <w:t xml:space="preserve">he infrastructure required </w:t>
            </w:r>
            <w:r>
              <w:rPr>
                <w:lang w:val="en-GB" w:eastAsia="ja-JP"/>
              </w:rPr>
              <w:t xml:space="preserve">is expected to be </w:t>
            </w:r>
            <w:r w:rsidRPr="00A165F2">
              <w:rPr>
                <w:lang w:val="en-GB" w:eastAsia="ja-JP"/>
              </w:rPr>
              <w:t xml:space="preserve">the same as </w:t>
            </w:r>
            <w:r>
              <w:rPr>
                <w:lang w:val="en-GB" w:eastAsia="ja-JP"/>
              </w:rPr>
              <w:t xml:space="preserve">is currently required </w:t>
            </w:r>
            <w:r w:rsidRPr="00A165F2">
              <w:rPr>
                <w:lang w:val="en-GB" w:eastAsia="ja-JP"/>
              </w:rPr>
              <w:t>for the Micra VR</w:t>
            </w:r>
            <w:r>
              <w:rPr>
                <w:lang w:val="en-GB" w:eastAsia="ja-JP"/>
              </w:rPr>
              <w:t>:</w:t>
            </w:r>
          </w:p>
          <w:p w14:paraId="5FFB45C8" w14:textId="77777777" w:rsidR="00F26149" w:rsidRDefault="00F26149" w:rsidP="00BD112F">
            <w:pPr>
              <w:pStyle w:val="TableText0"/>
              <w:keepNext/>
              <w:rPr>
                <w:lang w:val="en-GB" w:eastAsia="ja-JP"/>
              </w:rPr>
            </w:pPr>
            <w:r>
              <w:rPr>
                <w:lang w:val="en-GB" w:eastAsia="ja-JP"/>
              </w:rPr>
              <w:t xml:space="preserve">Sterile surgical environment, properly equipped and </w:t>
            </w:r>
            <w:proofErr w:type="gramStart"/>
            <w:r>
              <w:rPr>
                <w:lang w:val="en-GB" w:eastAsia="ja-JP"/>
              </w:rPr>
              <w:t>staffed</w:t>
            </w:r>
            <w:proofErr w:type="gramEnd"/>
          </w:p>
          <w:p w14:paraId="45B10211" w14:textId="77777777" w:rsidR="00F26149" w:rsidRDefault="00F26149" w:rsidP="00BD112F">
            <w:pPr>
              <w:pStyle w:val="TableText0"/>
              <w:keepNext/>
              <w:rPr>
                <w:lang w:val="en-GB" w:eastAsia="ja-JP"/>
              </w:rPr>
            </w:pPr>
            <w:r>
              <w:rPr>
                <w:lang w:val="en-GB" w:eastAsia="ja-JP"/>
              </w:rPr>
              <w:t>Anaesthesia</w:t>
            </w:r>
          </w:p>
          <w:p w14:paraId="32A91C0B" w14:textId="77777777" w:rsidR="00F26149" w:rsidRDefault="00F26149" w:rsidP="00BD112F">
            <w:pPr>
              <w:pStyle w:val="TableText0"/>
              <w:keepNext/>
              <w:rPr>
                <w:lang w:val="en-GB" w:eastAsia="ja-JP"/>
              </w:rPr>
            </w:pPr>
            <w:r>
              <w:rPr>
                <w:lang w:val="en-GB" w:eastAsia="ja-JP"/>
              </w:rPr>
              <w:t>Fluoroscopy</w:t>
            </w:r>
          </w:p>
          <w:p w14:paraId="1CA5B1FB" w14:textId="77777777" w:rsidR="00F26149" w:rsidRDefault="00F26149" w:rsidP="00BD112F">
            <w:pPr>
              <w:pStyle w:val="TableText0"/>
              <w:keepNext/>
              <w:rPr>
                <w:lang w:val="en-GB" w:eastAsia="ja-JP"/>
              </w:rPr>
            </w:pPr>
            <w:r>
              <w:rPr>
                <w:lang w:val="en-GB" w:eastAsia="ja-JP"/>
              </w:rPr>
              <w:t>Professional service for implantation of the device</w:t>
            </w:r>
          </w:p>
          <w:p w14:paraId="1BA9B7D0" w14:textId="45E6C4EB" w:rsidR="00F26149" w:rsidRPr="00954605" w:rsidRDefault="00F26149" w:rsidP="00BD112F">
            <w:pPr>
              <w:pStyle w:val="TableText0"/>
              <w:keepNext/>
              <w:rPr>
                <w:lang w:val="en-GB" w:eastAsia="ja-JP"/>
              </w:rPr>
            </w:pPr>
            <w:r>
              <w:rPr>
                <w:lang w:val="en-GB" w:eastAsia="ja-JP"/>
              </w:rPr>
              <w:t>Hospitalisation</w:t>
            </w:r>
            <w:r w:rsidR="001876B5">
              <w:rPr>
                <w:lang w:val="en-GB" w:eastAsia="ja-JP"/>
              </w:rPr>
              <w:t xml:space="preserve"> (</w:t>
            </w:r>
            <w:r w:rsidR="00534CC9">
              <w:rPr>
                <w:lang w:val="en-GB" w:eastAsia="ja-JP"/>
              </w:rPr>
              <w:t xml:space="preserve">can be performed as a day procedure though </w:t>
            </w:r>
            <w:r w:rsidR="00791527">
              <w:rPr>
                <w:lang w:val="en-GB" w:eastAsia="ja-JP"/>
              </w:rPr>
              <w:t>patients are</w:t>
            </w:r>
            <w:r w:rsidR="00534CC9">
              <w:rPr>
                <w:lang w:val="en-GB" w:eastAsia="ja-JP"/>
              </w:rPr>
              <w:t xml:space="preserve"> </w:t>
            </w:r>
            <w:r w:rsidR="00A0574A">
              <w:rPr>
                <w:lang w:val="en-GB" w:eastAsia="ja-JP"/>
              </w:rPr>
              <w:t>generally admitted overnight</w:t>
            </w:r>
            <w:r w:rsidR="001876B5">
              <w:rPr>
                <w:lang w:val="en-GB" w:eastAsia="ja-JP"/>
              </w:rPr>
              <w:t>)</w:t>
            </w:r>
          </w:p>
        </w:tc>
      </w:tr>
      <w:tr w:rsidR="002517D5" w14:paraId="6490B100" w14:textId="77777777" w:rsidTr="00D752C7">
        <w:tc>
          <w:tcPr>
            <w:tcW w:w="1555" w:type="dxa"/>
          </w:tcPr>
          <w:p w14:paraId="13C102F8" w14:textId="77777777" w:rsidR="002517D5" w:rsidRPr="008E466F" w:rsidRDefault="002517D5" w:rsidP="000E7169">
            <w:pPr>
              <w:pStyle w:val="TableHeading"/>
              <w:keepNext w:val="0"/>
              <w:rPr>
                <w:b w:val="0"/>
                <w:bCs/>
                <w:lang w:val="en-GB"/>
              </w:rPr>
            </w:pPr>
            <w:r w:rsidRPr="008E466F">
              <w:rPr>
                <w:b w:val="0"/>
                <w:bCs/>
                <w:lang w:val="en-GB"/>
              </w:rPr>
              <w:t xml:space="preserve">Frequency of </w:t>
            </w:r>
            <w:r>
              <w:rPr>
                <w:b w:val="0"/>
                <w:bCs/>
                <w:lang w:val="en-GB"/>
              </w:rPr>
              <w:t>replacement</w:t>
            </w:r>
          </w:p>
        </w:tc>
        <w:tc>
          <w:tcPr>
            <w:tcW w:w="8016" w:type="dxa"/>
          </w:tcPr>
          <w:p w14:paraId="6E9BA833" w14:textId="77777777" w:rsidR="002517D5" w:rsidRDefault="002517D5" w:rsidP="000E7169">
            <w:pPr>
              <w:pStyle w:val="TableText0"/>
              <w:rPr>
                <w:lang w:val="en-GB" w:eastAsia="ja-JP"/>
              </w:rPr>
            </w:pPr>
            <w:r>
              <w:rPr>
                <w:lang w:val="en-GB" w:eastAsia="ja-JP"/>
              </w:rPr>
              <w:t>Variable. According to the applicant the current battery life for the Micra AV is 8 to 13 years depending on the pacing mode. Patients who outlive the battery life and who continue with leadless pacing will require additional devices/services. The number of devices/services required will depend on the length of time the patient requires the Micra AV, and the actual battery life experienced by the patient.</w:t>
            </w:r>
          </w:p>
        </w:tc>
      </w:tr>
    </w:tbl>
    <w:p w14:paraId="02E09806" w14:textId="27451F94" w:rsidR="00B8531B" w:rsidRDefault="00B8531B" w:rsidP="00B8531B">
      <w:pPr>
        <w:pStyle w:val="Tablenotes"/>
        <w:spacing w:after="0"/>
        <w:rPr>
          <w:lang w:val="en-GB" w:eastAsia="ja-JP"/>
        </w:rPr>
      </w:pPr>
      <w:r>
        <w:rPr>
          <w:lang w:val="en-GB" w:eastAsia="ja-JP"/>
        </w:rPr>
        <w:t>LPM = leadless pacemaker.</w:t>
      </w:r>
    </w:p>
    <w:p w14:paraId="7D34DA1E" w14:textId="00D1A243" w:rsidR="00B8531B" w:rsidRDefault="00B8531B" w:rsidP="00065ED1">
      <w:pPr>
        <w:pStyle w:val="Tablenotes"/>
        <w:spacing w:after="240"/>
        <w:rPr>
          <w:lang w:val="en-GB" w:eastAsia="ja-JP"/>
        </w:rPr>
      </w:pPr>
      <w:r>
        <w:rPr>
          <w:lang w:val="en-GB" w:eastAsia="ja-JP"/>
        </w:rPr>
        <w:t>Source: MSAC application 1772</w:t>
      </w:r>
      <w:r w:rsidR="00420A02">
        <w:rPr>
          <w:lang w:val="en-GB" w:eastAsia="ja-JP"/>
        </w:rPr>
        <w:t xml:space="preserve"> and</w:t>
      </w:r>
      <w:r w:rsidR="00EA727C">
        <w:rPr>
          <w:lang w:val="en-GB" w:eastAsia="ja-JP"/>
        </w:rPr>
        <w:t xml:space="preserve"> </w:t>
      </w:r>
      <w:hyperlink r:id="rId13" w:tooltip="This link goes to the Micra AV Device Manual (PDF document) provided by the applicant" w:history="1">
        <w:r w:rsidRPr="00EA3DCE">
          <w:rPr>
            <w:rStyle w:val="Hyperlink"/>
            <w:rFonts w:ascii="Arial Narrow" w:hAnsi="Arial Narrow" w:cs="Arial"/>
            <w:lang w:val="en-GB" w:eastAsia="ja-JP"/>
          </w:rPr>
          <w:t xml:space="preserve">Micra AV Device </w:t>
        </w:r>
        <w:r w:rsidR="00A2417B">
          <w:rPr>
            <w:rStyle w:val="Hyperlink"/>
            <w:rFonts w:ascii="Arial Narrow" w:hAnsi="Arial Narrow" w:cs="Arial"/>
            <w:lang w:val="en-GB" w:eastAsia="ja-JP"/>
          </w:rPr>
          <w:t>M</w:t>
        </w:r>
        <w:r w:rsidRPr="00EA3DCE">
          <w:rPr>
            <w:rStyle w:val="Hyperlink"/>
            <w:rFonts w:ascii="Arial Narrow" w:hAnsi="Arial Narrow" w:cs="Arial"/>
            <w:lang w:val="en-GB" w:eastAsia="ja-JP"/>
          </w:rPr>
          <w:t>anual</w:t>
        </w:r>
      </w:hyperlink>
      <w:r w:rsidR="00EA727C" w:rsidRPr="00EA727C">
        <w:t xml:space="preserve"> </w:t>
      </w:r>
      <w:r w:rsidR="00EA727C">
        <w:rPr>
          <w:lang w:val="en-GB" w:eastAsia="ja-JP"/>
        </w:rPr>
        <w:t xml:space="preserve">provided by </w:t>
      </w:r>
      <w:r w:rsidR="00420A02">
        <w:rPr>
          <w:lang w:val="en-GB" w:eastAsia="ja-JP"/>
        </w:rPr>
        <w:t xml:space="preserve">the </w:t>
      </w:r>
      <w:r w:rsidR="00EA727C">
        <w:rPr>
          <w:lang w:val="en-GB" w:eastAsia="ja-JP"/>
        </w:rPr>
        <w:t>applicant</w:t>
      </w:r>
      <w:r w:rsidR="00845188">
        <w:rPr>
          <w:lang w:val="en-GB" w:eastAsia="ja-JP"/>
        </w:rPr>
        <w:t>.</w:t>
      </w:r>
    </w:p>
    <w:p w14:paraId="1A22E79D" w14:textId="16C7F188" w:rsidR="00184428" w:rsidRDefault="00184428" w:rsidP="00184428">
      <w:pPr>
        <w:pStyle w:val="Heading4"/>
        <w:rPr>
          <w:lang w:val="en-GB" w:eastAsia="ja-JP"/>
        </w:rPr>
      </w:pPr>
      <w:r>
        <w:rPr>
          <w:lang w:val="en-GB" w:eastAsia="ja-JP"/>
        </w:rPr>
        <w:t>Funding</w:t>
      </w:r>
      <w:r w:rsidR="00914392">
        <w:rPr>
          <w:lang w:val="en-GB" w:eastAsia="ja-JP"/>
        </w:rPr>
        <w:t xml:space="preserve"> of the device</w:t>
      </w:r>
    </w:p>
    <w:p w14:paraId="0AB5EC1F" w14:textId="32764DB6" w:rsidR="00316BF4" w:rsidRDefault="00316BF4" w:rsidP="00B8531B">
      <w:pPr>
        <w:rPr>
          <w:lang w:val="en-GB" w:eastAsia="ja-JP"/>
        </w:rPr>
      </w:pPr>
      <w:r>
        <w:rPr>
          <w:lang w:val="en-GB" w:eastAsia="ja-JP"/>
        </w:rPr>
        <w:t xml:space="preserve">The Micra AV is </w:t>
      </w:r>
      <w:r w:rsidR="00093614">
        <w:rPr>
          <w:lang w:val="en-GB" w:eastAsia="ja-JP"/>
        </w:rPr>
        <w:t xml:space="preserve">not </w:t>
      </w:r>
      <w:r>
        <w:rPr>
          <w:lang w:val="en-GB" w:eastAsia="ja-JP"/>
        </w:rPr>
        <w:t xml:space="preserve">currently </w:t>
      </w:r>
      <w:r w:rsidR="00415C2E">
        <w:rPr>
          <w:lang w:val="en-GB" w:eastAsia="ja-JP"/>
        </w:rPr>
        <w:t xml:space="preserve">listed </w:t>
      </w:r>
      <w:r>
        <w:rPr>
          <w:lang w:val="en-GB" w:eastAsia="ja-JP"/>
        </w:rPr>
        <w:t xml:space="preserve">on the PL. </w:t>
      </w:r>
      <w:r w:rsidR="001A46F7">
        <w:rPr>
          <w:lang w:val="en-GB" w:eastAsia="ja-JP"/>
        </w:rPr>
        <w:t>T</w:t>
      </w:r>
      <w:r w:rsidR="00C45AE4" w:rsidRPr="00C45AE4">
        <w:rPr>
          <w:lang w:val="en-GB" w:eastAsia="ja-JP"/>
        </w:rPr>
        <w:t>he Micra VR was listed on the PL in November 2023 (billing code MI516) at a benefit of $10,083.</w:t>
      </w:r>
    </w:p>
    <w:p w14:paraId="6FA0BD17" w14:textId="2FA0CF70" w:rsidR="00B8531B" w:rsidRPr="0096197A" w:rsidRDefault="00B8531B" w:rsidP="00B8531B">
      <w:pPr>
        <w:rPr>
          <w:lang w:val="en-GB" w:eastAsia="ja-JP"/>
        </w:rPr>
      </w:pPr>
      <w:r>
        <w:rPr>
          <w:lang w:val="en-GB" w:eastAsia="ja-JP"/>
        </w:rPr>
        <w:t xml:space="preserve">The </w:t>
      </w:r>
      <w:r w:rsidR="00DD7C61">
        <w:rPr>
          <w:lang w:val="en-GB" w:eastAsia="ja-JP"/>
        </w:rPr>
        <w:t xml:space="preserve">current </w:t>
      </w:r>
      <w:r>
        <w:rPr>
          <w:lang w:val="en-GB" w:eastAsia="ja-JP"/>
        </w:rPr>
        <w:t xml:space="preserve">application did not </w:t>
      </w:r>
      <w:r w:rsidR="00A26764">
        <w:rPr>
          <w:lang w:val="en-GB" w:eastAsia="ja-JP"/>
        </w:rPr>
        <w:t>specify</w:t>
      </w:r>
      <w:r>
        <w:rPr>
          <w:lang w:val="en-GB" w:eastAsia="ja-JP"/>
        </w:rPr>
        <w:t xml:space="preserve"> the</w:t>
      </w:r>
      <w:r w:rsidR="00410647">
        <w:rPr>
          <w:lang w:val="en-GB" w:eastAsia="ja-JP"/>
        </w:rPr>
        <w:t xml:space="preserve"> funding</w:t>
      </w:r>
      <w:r w:rsidR="006443F1">
        <w:rPr>
          <w:lang w:val="en-GB" w:eastAsia="ja-JP"/>
        </w:rPr>
        <w:t xml:space="preserve"> source for the</w:t>
      </w:r>
      <w:r>
        <w:rPr>
          <w:lang w:val="en-GB" w:eastAsia="ja-JP"/>
        </w:rPr>
        <w:t xml:space="preserve"> Medtronic programmers and software. This should be </w:t>
      </w:r>
      <w:r w:rsidRPr="00186F97">
        <w:rPr>
          <w:lang w:val="en-GB" w:eastAsia="ja-JP"/>
        </w:rPr>
        <w:t>addressed in the assessment report</w:t>
      </w:r>
      <w:r w:rsidR="00AC052F">
        <w:rPr>
          <w:lang w:val="en-GB" w:eastAsia="ja-JP"/>
        </w:rPr>
        <w:t>,</w:t>
      </w:r>
      <w:r w:rsidRPr="00186F97">
        <w:rPr>
          <w:lang w:val="en-GB" w:eastAsia="ja-JP"/>
        </w:rPr>
        <w:t xml:space="preserve"> and the costs </w:t>
      </w:r>
      <w:r w:rsidR="004543A9">
        <w:rPr>
          <w:lang w:val="en-GB" w:eastAsia="ja-JP"/>
        </w:rPr>
        <w:t>included in</w:t>
      </w:r>
      <w:r w:rsidRPr="00186F97">
        <w:rPr>
          <w:lang w:val="en-GB" w:eastAsia="ja-JP"/>
        </w:rPr>
        <w:t xml:space="preserve"> the economic evaluation </w:t>
      </w:r>
      <w:r>
        <w:rPr>
          <w:lang w:val="en-GB" w:eastAsia="ja-JP"/>
        </w:rPr>
        <w:t>where</w:t>
      </w:r>
      <w:r w:rsidRPr="00186F97">
        <w:rPr>
          <w:lang w:val="en-GB" w:eastAsia="ja-JP"/>
        </w:rPr>
        <w:t xml:space="preserve"> relevant</w:t>
      </w:r>
      <w:r>
        <w:rPr>
          <w:lang w:val="en-GB" w:eastAsia="ja-JP"/>
        </w:rPr>
        <w:t xml:space="preserve"> </w:t>
      </w:r>
      <w:r w:rsidR="00E23CCC">
        <w:rPr>
          <w:lang w:val="en-GB" w:eastAsia="ja-JP"/>
        </w:rPr>
        <w:t>(</w:t>
      </w:r>
      <w:r>
        <w:rPr>
          <w:lang w:val="en-GB" w:eastAsia="ja-JP"/>
        </w:rPr>
        <w:t>as well as the costs for the Micra AV device, delivery catheter system and single-use introducer</w:t>
      </w:r>
      <w:r w:rsidR="00E23CCC">
        <w:rPr>
          <w:lang w:val="en-GB" w:eastAsia="ja-JP"/>
        </w:rPr>
        <w:t>)</w:t>
      </w:r>
      <w:r w:rsidRPr="00186F97">
        <w:rPr>
          <w:lang w:val="en-GB" w:eastAsia="ja-JP"/>
        </w:rPr>
        <w:t>.</w:t>
      </w:r>
    </w:p>
    <w:p w14:paraId="6F105E0F" w14:textId="263137BB" w:rsidR="005307C5" w:rsidRDefault="003E423C" w:rsidP="003E423C">
      <w:pPr>
        <w:pStyle w:val="Heading4"/>
      </w:pPr>
      <w:bookmarkStart w:id="5" w:name="_Ref161849616"/>
      <w:r>
        <w:t>Regulatory status</w:t>
      </w:r>
      <w:bookmarkEnd w:id="5"/>
    </w:p>
    <w:p w14:paraId="7700E29D" w14:textId="4E2648CB" w:rsidR="00650C2F" w:rsidRDefault="00D706A5" w:rsidP="004A0204">
      <w:r>
        <w:t xml:space="preserve">As of </w:t>
      </w:r>
      <w:proofErr w:type="gramStart"/>
      <w:r w:rsidR="00486936">
        <w:t>19 March</w:t>
      </w:r>
      <w:r>
        <w:t xml:space="preserve"> 2024</w:t>
      </w:r>
      <w:proofErr w:type="gramEnd"/>
      <w:r>
        <w:t xml:space="preserve"> t</w:t>
      </w:r>
      <w:r w:rsidR="005B1C35">
        <w:t xml:space="preserve">here </w:t>
      </w:r>
      <w:r w:rsidR="00290F57">
        <w:t>we</w:t>
      </w:r>
      <w:r w:rsidR="005B1C35">
        <w:t xml:space="preserve">re four </w:t>
      </w:r>
      <w:r w:rsidR="00FA5B0F">
        <w:t xml:space="preserve">individual </w:t>
      </w:r>
      <w:r w:rsidR="005B1C35">
        <w:t xml:space="preserve">ARTG </w:t>
      </w:r>
      <w:r w:rsidR="00486936">
        <w:t xml:space="preserve">entries </w:t>
      </w:r>
      <w:r w:rsidR="00A124B1">
        <w:t>under</w:t>
      </w:r>
      <w:r w:rsidR="00661F6B">
        <w:t xml:space="preserve"> GMDN code 60789 (intracardiac pacemaker). Two of these </w:t>
      </w:r>
      <w:r w:rsidR="00486936">
        <w:t xml:space="preserve">entries </w:t>
      </w:r>
      <w:r w:rsidR="004858EA">
        <w:t>we</w:t>
      </w:r>
      <w:r w:rsidR="005E5DB3">
        <w:t xml:space="preserve">re </w:t>
      </w:r>
      <w:r w:rsidR="003979AF">
        <w:t>for</w:t>
      </w:r>
      <w:r w:rsidR="005E5DB3">
        <w:t xml:space="preserve"> the </w:t>
      </w:r>
      <w:r w:rsidR="0066441B">
        <w:t>Micra AV</w:t>
      </w:r>
      <w:r w:rsidR="004B1F44">
        <w:t xml:space="preserve"> </w:t>
      </w:r>
      <w:r w:rsidR="005E5DB3">
        <w:t>device</w:t>
      </w:r>
      <w:r w:rsidR="0073211E" w:rsidRPr="0073211E">
        <w:t xml:space="preserve"> </w:t>
      </w:r>
      <w:r w:rsidR="00814FB8">
        <w:t xml:space="preserve">(see </w:t>
      </w:r>
      <w:r w:rsidR="00814FB8">
        <w:fldChar w:fldCharType="begin"/>
      </w:r>
      <w:r w:rsidR="00814FB8">
        <w:instrText xml:space="preserve"> REF _Ref158032993 \h </w:instrText>
      </w:r>
      <w:r w:rsidR="00814FB8">
        <w:fldChar w:fldCharType="separate"/>
      </w:r>
      <w:r w:rsidR="00986B06">
        <w:t xml:space="preserve">Table </w:t>
      </w:r>
      <w:r w:rsidR="00986B06">
        <w:rPr>
          <w:noProof/>
        </w:rPr>
        <w:t>3</w:t>
      </w:r>
      <w:r w:rsidR="00814FB8">
        <w:fldChar w:fldCharType="end"/>
      </w:r>
      <w:r w:rsidR="00814FB8">
        <w:t>)</w:t>
      </w:r>
      <w:r w:rsidR="004A7C0E">
        <w:t xml:space="preserve">. </w:t>
      </w:r>
      <w:r w:rsidR="00014B99">
        <w:t xml:space="preserve">The remaining two </w:t>
      </w:r>
      <w:r w:rsidR="00486936">
        <w:t xml:space="preserve">entries </w:t>
      </w:r>
      <w:r w:rsidR="004858EA">
        <w:t>we</w:t>
      </w:r>
      <w:r w:rsidR="00014B99">
        <w:t>re for the</w:t>
      </w:r>
      <w:r w:rsidR="00A458D1">
        <w:t xml:space="preserve"> </w:t>
      </w:r>
      <w:r w:rsidR="0036064B">
        <w:t xml:space="preserve">Medtronic </w:t>
      </w:r>
      <w:r w:rsidR="00A458D1" w:rsidRPr="00A458D1">
        <w:t>Micra single chamber transcatheter pacing system</w:t>
      </w:r>
      <w:r w:rsidR="000A67DC">
        <w:t xml:space="preserve"> (Micra VR).</w:t>
      </w:r>
    </w:p>
    <w:p w14:paraId="10D309DF" w14:textId="30696DF2" w:rsidR="00C5698E" w:rsidRDefault="00C5698E" w:rsidP="00C5698E">
      <w:r w:rsidRPr="00C10237">
        <w:t xml:space="preserve">The proposed population in this PICO </w:t>
      </w:r>
      <w:r w:rsidR="004308B3">
        <w:t>C</w:t>
      </w:r>
      <w:r w:rsidRPr="00C10237">
        <w:t xml:space="preserve">onfirmation </w:t>
      </w:r>
      <w:r w:rsidR="006E6B5D">
        <w:t xml:space="preserve">is a subset of the </w:t>
      </w:r>
      <w:r w:rsidR="00652EB1">
        <w:t>population defined in the</w:t>
      </w:r>
      <w:r w:rsidRPr="00C10237">
        <w:t xml:space="preserve"> </w:t>
      </w:r>
      <w:r w:rsidR="006E6C3C">
        <w:t xml:space="preserve">ARTG </w:t>
      </w:r>
      <w:r w:rsidRPr="00C10237">
        <w:t>intended purpose for the Micra AV</w:t>
      </w:r>
      <w:r w:rsidR="008F2DB6">
        <w:t xml:space="preserve"> (see </w:t>
      </w:r>
      <w:r w:rsidR="008F2DB6">
        <w:fldChar w:fldCharType="begin"/>
      </w:r>
      <w:r w:rsidR="008F2DB6">
        <w:instrText xml:space="preserve"> REF _Ref158032993 \h </w:instrText>
      </w:r>
      <w:r w:rsidR="008F2DB6">
        <w:fldChar w:fldCharType="separate"/>
      </w:r>
      <w:r w:rsidR="00986B06">
        <w:t xml:space="preserve">Table </w:t>
      </w:r>
      <w:r w:rsidR="00986B06">
        <w:rPr>
          <w:noProof/>
        </w:rPr>
        <w:t>3</w:t>
      </w:r>
      <w:r w:rsidR="008F2DB6">
        <w:fldChar w:fldCharType="end"/>
      </w:r>
      <w:r w:rsidR="008F2DB6">
        <w:t>)</w:t>
      </w:r>
      <w:r w:rsidRPr="00C10237">
        <w:t>.</w:t>
      </w:r>
    </w:p>
    <w:p w14:paraId="330ECD7E" w14:textId="7646AD97" w:rsidR="004A7C0E" w:rsidRDefault="004A7C0E" w:rsidP="004A7C0E">
      <w:pPr>
        <w:pStyle w:val="Caption"/>
      </w:pPr>
      <w:bookmarkStart w:id="6" w:name="_Ref158032993"/>
      <w:r>
        <w:t xml:space="preserve">Table </w:t>
      </w:r>
      <w:r>
        <w:fldChar w:fldCharType="begin"/>
      </w:r>
      <w:r>
        <w:instrText xml:space="preserve"> SEQ Table \* ARABIC </w:instrText>
      </w:r>
      <w:r>
        <w:fldChar w:fldCharType="separate"/>
      </w:r>
      <w:r w:rsidR="00986B06">
        <w:rPr>
          <w:noProof/>
        </w:rPr>
        <w:t>3</w:t>
      </w:r>
      <w:r>
        <w:fldChar w:fldCharType="end"/>
      </w:r>
      <w:bookmarkEnd w:id="6"/>
      <w:r>
        <w:tab/>
        <w:t>ARTG summary for the Micra AV</w:t>
      </w:r>
      <w:r w:rsidR="00B21DE4">
        <w:t xml:space="preserve"> and Micra introducer</w:t>
      </w:r>
    </w:p>
    <w:tbl>
      <w:tblPr>
        <w:tblStyle w:val="TableGrid"/>
        <w:tblW w:w="0" w:type="auto"/>
        <w:tblInd w:w="0" w:type="dxa"/>
        <w:tblLook w:val="04A0" w:firstRow="1" w:lastRow="0" w:firstColumn="1" w:lastColumn="0" w:noHBand="0" w:noVBand="1"/>
        <w:tblCaption w:val="ARTG summary for the Micra AV and Micra introducer"/>
        <w:tblDescription w:val="This table summarises the ARTG listings for the Micra AV and Micra introducer including functional description and intended purpose."/>
      </w:tblPr>
      <w:tblGrid>
        <w:gridCol w:w="1413"/>
        <w:gridCol w:w="1984"/>
        <w:gridCol w:w="2127"/>
        <w:gridCol w:w="4047"/>
      </w:tblGrid>
      <w:tr w:rsidR="00CD3AF7" w14:paraId="10655A23" w14:textId="77777777" w:rsidTr="00FB35A0">
        <w:trPr>
          <w:tblHeader/>
        </w:trPr>
        <w:tc>
          <w:tcPr>
            <w:tcW w:w="1413" w:type="dxa"/>
          </w:tcPr>
          <w:p w14:paraId="15EFA534" w14:textId="49FF2D36" w:rsidR="00CD3AF7" w:rsidRDefault="00CD3AF7" w:rsidP="00CD3AF7">
            <w:pPr>
              <w:pStyle w:val="TableHeading"/>
              <w:rPr>
                <w:lang w:val="en-GB"/>
              </w:rPr>
            </w:pPr>
            <w:r>
              <w:rPr>
                <w:lang w:val="en-GB"/>
              </w:rPr>
              <w:t xml:space="preserve">Product name </w:t>
            </w:r>
            <w:r w:rsidR="000C7D53">
              <w:rPr>
                <w:lang w:val="en-GB"/>
              </w:rPr>
              <w:t>(</w:t>
            </w:r>
            <w:r>
              <w:rPr>
                <w:lang w:val="en-GB"/>
              </w:rPr>
              <w:t>sponsor</w:t>
            </w:r>
            <w:r w:rsidR="000C7D53">
              <w:rPr>
                <w:lang w:val="en-GB"/>
              </w:rPr>
              <w:t>)</w:t>
            </w:r>
          </w:p>
        </w:tc>
        <w:tc>
          <w:tcPr>
            <w:tcW w:w="1984" w:type="dxa"/>
          </w:tcPr>
          <w:p w14:paraId="25A187A5" w14:textId="3FB858DE" w:rsidR="00CD3AF7" w:rsidRDefault="00D11786" w:rsidP="00D11786">
            <w:pPr>
              <w:pStyle w:val="TableHeading"/>
              <w:rPr>
                <w:lang w:val="en-GB"/>
              </w:rPr>
            </w:pPr>
            <w:r>
              <w:rPr>
                <w:lang w:val="en-GB"/>
              </w:rPr>
              <w:t>ARTG summary</w:t>
            </w:r>
          </w:p>
        </w:tc>
        <w:tc>
          <w:tcPr>
            <w:tcW w:w="2127" w:type="dxa"/>
          </w:tcPr>
          <w:p w14:paraId="40DD90EB" w14:textId="44D00700" w:rsidR="00CD3AF7" w:rsidRDefault="00D11786" w:rsidP="00D11786">
            <w:pPr>
              <w:pStyle w:val="TableHeading"/>
              <w:rPr>
                <w:lang w:val="en-GB"/>
              </w:rPr>
            </w:pPr>
            <w:r>
              <w:rPr>
                <w:lang w:val="en-GB"/>
              </w:rPr>
              <w:t>Functional description</w:t>
            </w:r>
          </w:p>
        </w:tc>
        <w:tc>
          <w:tcPr>
            <w:tcW w:w="4047" w:type="dxa"/>
          </w:tcPr>
          <w:p w14:paraId="0F0D6842" w14:textId="156C1E90" w:rsidR="00CD3AF7" w:rsidRDefault="00D11786" w:rsidP="00D11786">
            <w:pPr>
              <w:pStyle w:val="TableHeading"/>
              <w:rPr>
                <w:lang w:val="en-GB"/>
              </w:rPr>
            </w:pPr>
            <w:r>
              <w:rPr>
                <w:lang w:val="en-GB"/>
              </w:rPr>
              <w:t>Intended purpose</w:t>
            </w:r>
          </w:p>
        </w:tc>
      </w:tr>
      <w:tr w:rsidR="00CD3AF7" w14:paraId="3DCCD4E9" w14:textId="77777777" w:rsidTr="00FB35A0">
        <w:trPr>
          <w:trHeight w:val="560"/>
        </w:trPr>
        <w:tc>
          <w:tcPr>
            <w:tcW w:w="1413" w:type="dxa"/>
          </w:tcPr>
          <w:p w14:paraId="760D0AB5" w14:textId="77777777" w:rsidR="00CD3AF7" w:rsidRDefault="005E1E56" w:rsidP="004C3C8F">
            <w:pPr>
              <w:pStyle w:val="TableText0"/>
              <w:rPr>
                <w:lang w:val="en-GB" w:eastAsia="ja-JP"/>
              </w:rPr>
            </w:pPr>
            <w:r w:rsidRPr="005E1E56">
              <w:rPr>
                <w:lang w:val="en-GB" w:eastAsia="ja-JP"/>
              </w:rPr>
              <w:t>Micra AV MC1AVR1 - Intracardiac pacemaker</w:t>
            </w:r>
          </w:p>
          <w:p w14:paraId="1B3F9FFF" w14:textId="20BEA573" w:rsidR="005E1E56" w:rsidRDefault="000C7D53" w:rsidP="000C7D53">
            <w:pPr>
              <w:pStyle w:val="TableText0"/>
              <w:spacing w:before="120" w:after="120"/>
              <w:rPr>
                <w:lang w:val="en-GB" w:eastAsia="ja-JP"/>
              </w:rPr>
            </w:pPr>
            <w:r>
              <w:rPr>
                <w:lang w:val="en-GB" w:eastAsia="ja-JP"/>
              </w:rPr>
              <w:lastRenderedPageBreak/>
              <w:t>(</w:t>
            </w:r>
            <w:r w:rsidR="005E1E56" w:rsidRPr="005E1E56">
              <w:rPr>
                <w:lang w:val="en-GB" w:eastAsia="ja-JP"/>
              </w:rPr>
              <w:t>Medtronic Australasia Pty Ltd</w:t>
            </w:r>
            <w:r>
              <w:rPr>
                <w:lang w:val="en-GB" w:eastAsia="ja-JP"/>
              </w:rPr>
              <w:t>)</w:t>
            </w:r>
          </w:p>
        </w:tc>
        <w:tc>
          <w:tcPr>
            <w:tcW w:w="1984" w:type="dxa"/>
          </w:tcPr>
          <w:p w14:paraId="5AD03BCB" w14:textId="4744B512" w:rsidR="00CD3AF7" w:rsidRPr="004C3C8F" w:rsidRDefault="00D11786" w:rsidP="004C3C8F">
            <w:pPr>
              <w:pStyle w:val="TableText0"/>
              <w:rPr>
                <w:b/>
                <w:bCs/>
                <w:lang w:val="en-GB" w:eastAsia="ja-JP"/>
              </w:rPr>
            </w:pPr>
            <w:r w:rsidRPr="004C3C8F">
              <w:rPr>
                <w:b/>
                <w:bCs/>
                <w:lang w:val="en-GB" w:eastAsia="ja-JP"/>
              </w:rPr>
              <w:lastRenderedPageBreak/>
              <w:t>ARTG ID:</w:t>
            </w:r>
            <w:r w:rsidR="003F0260">
              <w:rPr>
                <w:b/>
                <w:bCs/>
                <w:lang w:val="en-GB" w:eastAsia="ja-JP"/>
              </w:rPr>
              <w:t xml:space="preserve"> </w:t>
            </w:r>
            <w:r w:rsidR="003F0260" w:rsidRPr="003F0260">
              <w:rPr>
                <w:lang w:val="en-GB" w:eastAsia="ja-JP"/>
              </w:rPr>
              <w:t>376750</w:t>
            </w:r>
          </w:p>
          <w:p w14:paraId="50F8DA67" w14:textId="6395BE89" w:rsidR="00D11786" w:rsidRPr="00545EAA" w:rsidRDefault="00D11786" w:rsidP="004C3C8F">
            <w:pPr>
              <w:pStyle w:val="TableText0"/>
              <w:rPr>
                <w:lang w:val="en-GB" w:eastAsia="ja-JP"/>
              </w:rPr>
            </w:pPr>
            <w:r w:rsidRPr="004C3C8F">
              <w:rPr>
                <w:b/>
                <w:bCs/>
                <w:lang w:val="en-GB" w:eastAsia="ja-JP"/>
              </w:rPr>
              <w:t>Start date:</w:t>
            </w:r>
            <w:r w:rsidR="00545EAA">
              <w:rPr>
                <w:b/>
                <w:bCs/>
                <w:lang w:val="en-GB" w:eastAsia="ja-JP"/>
              </w:rPr>
              <w:t xml:space="preserve"> </w:t>
            </w:r>
            <w:proofErr w:type="gramStart"/>
            <w:r w:rsidR="00545EAA" w:rsidRPr="00545EAA">
              <w:rPr>
                <w:lang w:val="en-GB" w:eastAsia="ja-JP"/>
              </w:rPr>
              <w:t>22/10/2021</w:t>
            </w:r>
            <w:proofErr w:type="gramEnd"/>
          </w:p>
          <w:p w14:paraId="2F72F59C" w14:textId="43F2F490" w:rsidR="00D11786" w:rsidRPr="00545EAA" w:rsidRDefault="00D11786" w:rsidP="004C3C8F">
            <w:pPr>
              <w:pStyle w:val="TableText0"/>
              <w:rPr>
                <w:lang w:val="en-GB" w:eastAsia="ja-JP"/>
              </w:rPr>
            </w:pPr>
            <w:r w:rsidRPr="004C3C8F">
              <w:rPr>
                <w:b/>
                <w:bCs/>
                <w:lang w:val="en-GB" w:eastAsia="ja-JP"/>
              </w:rPr>
              <w:t>Category:</w:t>
            </w:r>
            <w:r w:rsidR="00545EAA">
              <w:rPr>
                <w:b/>
                <w:bCs/>
                <w:lang w:val="en-GB" w:eastAsia="ja-JP"/>
              </w:rPr>
              <w:t xml:space="preserve"> </w:t>
            </w:r>
            <w:r w:rsidR="00545EAA" w:rsidRPr="00545EAA">
              <w:rPr>
                <w:lang w:val="en-GB" w:eastAsia="ja-JP"/>
              </w:rPr>
              <w:t>Medical Device AIMD</w:t>
            </w:r>
          </w:p>
          <w:p w14:paraId="4BC1CA26" w14:textId="77777777" w:rsidR="00D11786" w:rsidRDefault="004C3C8F" w:rsidP="004C3C8F">
            <w:pPr>
              <w:pStyle w:val="TableText0"/>
              <w:rPr>
                <w:lang w:val="en-GB" w:eastAsia="ja-JP"/>
              </w:rPr>
            </w:pPr>
            <w:r w:rsidRPr="004C3C8F">
              <w:rPr>
                <w:b/>
                <w:bCs/>
                <w:lang w:val="en-GB" w:eastAsia="ja-JP"/>
              </w:rPr>
              <w:lastRenderedPageBreak/>
              <w:t>GMDN:</w:t>
            </w:r>
            <w:r w:rsidR="00556030">
              <w:rPr>
                <w:b/>
                <w:bCs/>
                <w:lang w:val="en-GB" w:eastAsia="ja-JP"/>
              </w:rPr>
              <w:t xml:space="preserve"> </w:t>
            </w:r>
            <w:r w:rsidR="00556030" w:rsidRPr="00556030">
              <w:rPr>
                <w:lang w:val="en-GB" w:eastAsia="ja-JP"/>
              </w:rPr>
              <w:t>60789 Intracardiac pacemaker</w:t>
            </w:r>
          </w:p>
          <w:p w14:paraId="6474E27A" w14:textId="77777777" w:rsidR="00C3669F" w:rsidRPr="00265976" w:rsidRDefault="00C3669F" w:rsidP="00C3669F">
            <w:pPr>
              <w:pStyle w:val="TableText0"/>
              <w:spacing w:before="360"/>
              <w:rPr>
                <w:lang w:val="en-GB" w:eastAsia="ja-JP"/>
              </w:rPr>
            </w:pPr>
            <w:r w:rsidRPr="004C3C8F">
              <w:rPr>
                <w:b/>
                <w:bCs/>
                <w:lang w:val="en-GB" w:eastAsia="ja-JP"/>
              </w:rPr>
              <w:t>ARTG ID:</w:t>
            </w:r>
            <w:r>
              <w:rPr>
                <w:b/>
                <w:bCs/>
                <w:lang w:val="en-GB" w:eastAsia="ja-JP"/>
              </w:rPr>
              <w:t xml:space="preserve"> </w:t>
            </w:r>
            <w:r w:rsidRPr="00265976">
              <w:rPr>
                <w:lang w:val="en-GB" w:eastAsia="ja-JP"/>
              </w:rPr>
              <w:t>391833</w:t>
            </w:r>
          </w:p>
          <w:p w14:paraId="732157E1" w14:textId="77777777" w:rsidR="00C3669F" w:rsidRPr="00265976" w:rsidRDefault="00C3669F" w:rsidP="00C3669F">
            <w:pPr>
              <w:pStyle w:val="TableText0"/>
              <w:rPr>
                <w:lang w:val="en-GB" w:eastAsia="ja-JP"/>
              </w:rPr>
            </w:pPr>
            <w:r w:rsidRPr="004C3C8F">
              <w:rPr>
                <w:b/>
                <w:bCs/>
                <w:lang w:val="en-GB" w:eastAsia="ja-JP"/>
              </w:rPr>
              <w:t>Start date:</w:t>
            </w:r>
            <w:r>
              <w:rPr>
                <w:b/>
                <w:bCs/>
                <w:lang w:val="en-GB" w:eastAsia="ja-JP"/>
              </w:rPr>
              <w:t xml:space="preserve"> </w:t>
            </w:r>
            <w:proofErr w:type="gramStart"/>
            <w:r w:rsidRPr="006B30E9">
              <w:rPr>
                <w:lang w:val="en-GB" w:eastAsia="ja-JP"/>
              </w:rPr>
              <w:t>5/07/2022</w:t>
            </w:r>
            <w:proofErr w:type="gramEnd"/>
          </w:p>
          <w:p w14:paraId="613552B7" w14:textId="77777777" w:rsidR="00C3669F" w:rsidRPr="006B30E9" w:rsidRDefault="00C3669F" w:rsidP="00C3669F">
            <w:pPr>
              <w:pStyle w:val="TableText0"/>
              <w:rPr>
                <w:lang w:val="en-GB" w:eastAsia="ja-JP"/>
              </w:rPr>
            </w:pPr>
            <w:r w:rsidRPr="004C3C8F">
              <w:rPr>
                <w:b/>
                <w:bCs/>
                <w:lang w:val="en-GB" w:eastAsia="ja-JP"/>
              </w:rPr>
              <w:t>Category:</w:t>
            </w:r>
            <w:r>
              <w:rPr>
                <w:b/>
                <w:bCs/>
                <w:lang w:val="en-GB" w:eastAsia="ja-JP"/>
              </w:rPr>
              <w:t xml:space="preserve"> </w:t>
            </w:r>
            <w:r w:rsidRPr="006B30E9">
              <w:rPr>
                <w:lang w:val="en-GB" w:eastAsia="ja-JP"/>
              </w:rPr>
              <w:t>Medical Device Class III</w:t>
            </w:r>
          </w:p>
          <w:p w14:paraId="72E9C4B6" w14:textId="55B3199C" w:rsidR="00C3669F" w:rsidRPr="004C3C8F" w:rsidRDefault="00C3669F" w:rsidP="00C3669F">
            <w:pPr>
              <w:pStyle w:val="TableText0"/>
              <w:rPr>
                <w:b/>
                <w:bCs/>
                <w:lang w:val="en-GB" w:eastAsia="ja-JP"/>
              </w:rPr>
            </w:pPr>
            <w:r w:rsidRPr="004C3C8F">
              <w:rPr>
                <w:b/>
                <w:bCs/>
                <w:lang w:val="en-GB" w:eastAsia="ja-JP"/>
              </w:rPr>
              <w:t>GMDN:</w:t>
            </w:r>
            <w:r>
              <w:rPr>
                <w:b/>
                <w:bCs/>
                <w:lang w:val="en-GB" w:eastAsia="ja-JP"/>
              </w:rPr>
              <w:t xml:space="preserve"> </w:t>
            </w:r>
            <w:r w:rsidRPr="00E93931">
              <w:rPr>
                <w:lang w:val="en-GB" w:eastAsia="ja-JP"/>
              </w:rPr>
              <w:t>60789 Intracardiac pacemaker</w:t>
            </w:r>
          </w:p>
        </w:tc>
        <w:tc>
          <w:tcPr>
            <w:tcW w:w="2127" w:type="dxa"/>
          </w:tcPr>
          <w:p w14:paraId="0D2C7A79" w14:textId="29FDB3FC" w:rsidR="00CD3AF7" w:rsidRDefault="007C734F" w:rsidP="004C3C8F">
            <w:pPr>
              <w:pStyle w:val="TableText0"/>
              <w:rPr>
                <w:lang w:val="en-GB" w:eastAsia="ja-JP"/>
              </w:rPr>
            </w:pPr>
            <w:r w:rsidRPr="007C734F">
              <w:rPr>
                <w:lang w:val="en-GB" w:eastAsia="ja-JP"/>
              </w:rPr>
              <w:lastRenderedPageBreak/>
              <w:t xml:space="preserve">MR Conditional dual chamber, transcatheter pacing system with SureScan technology is a programmable cardiac device that monitors and </w:t>
            </w:r>
            <w:r w:rsidRPr="007C734F">
              <w:rPr>
                <w:lang w:val="en-GB" w:eastAsia="ja-JP"/>
              </w:rPr>
              <w:lastRenderedPageBreak/>
              <w:t>regulates the patient's heart rate by providing rate-responsive bradycardia pacing to the right ventricle and AV synchrony based on the mechanical sensing of atrial activity. The device senses both the electrical activity and the mechanical activity of the patient's heart using sensing and pacing electrodes and an accelerometer enclosed in a titanium capsule.</w:t>
            </w:r>
          </w:p>
        </w:tc>
        <w:tc>
          <w:tcPr>
            <w:tcW w:w="4047" w:type="dxa"/>
          </w:tcPr>
          <w:p w14:paraId="5A2A5BB9" w14:textId="4C226369" w:rsidR="00AA2F5B" w:rsidRDefault="007C734F" w:rsidP="004C3C8F">
            <w:pPr>
              <w:pStyle w:val="TableText0"/>
              <w:rPr>
                <w:lang w:val="en-GB" w:eastAsia="ja-JP"/>
              </w:rPr>
            </w:pPr>
            <w:r w:rsidRPr="007C734F">
              <w:rPr>
                <w:lang w:val="en-GB" w:eastAsia="ja-JP"/>
              </w:rPr>
              <w:lastRenderedPageBreak/>
              <w:t xml:space="preserve">Transcatheter pacing systems are sterile, </w:t>
            </w:r>
            <w:proofErr w:type="gramStart"/>
            <w:r w:rsidRPr="007C734F">
              <w:rPr>
                <w:lang w:val="en-GB" w:eastAsia="ja-JP"/>
              </w:rPr>
              <w:t>single-use</w:t>
            </w:r>
            <w:proofErr w:type="gramEnd"/>
            <w:r w:rsidRPr="007C734F">
              <w:rPr>
                <w:lang w:val="en-GB" w:eastAsia="ja-JP"/>
              </w:rPr>
              <w:t xml:space="preserve"> only, active implantable medical devices that are implanted in patients by health care professionals trained in cardiology. Transcatheter pacing systems are intended to improve cardiac output, prevent symptoms of and protect against arrhythmias related </w:t>
            </w:r>
            <w:r w:rsidRPr="007C734F">
              <w:rPr>
                <w:lang w:val="en-GB" w:eastAsia="ja-JP"/>
              </w:rPr>
              <w:lastRenderedPageBreak/>
              <w:t>to cardiac impulse formation or conduction disorders by providing pacing therapy to the heart.</w:t>
            </w:r>
          </w:p>
          <w:p w14:paraId="5C8201B7" w14:textId="7DCAD2B5" w:rsidR="00AA2F5B" w:rsidRDefault="007C734F" w:rsidP="004C3C8F">
            <w:pPr>
              <w:pStyle w:val="TableText0"/>
              <w:rPr>
                <w:lang w:val="en-GB" w:eastAsia="ja-JP"/>
              </w:rPr>
            </w:pPr>
            <w:r w:rsidRPr="007C734F">
              <w:rPr>
                <w:lang w:val="en-GB" w:eastAsia="ja-JP"/>
              </w:rPr>
              <w:t xml:space="preserve">Micra AV Model MC1AVR1 is indicated for VDD pacing in patients </w:t>
            </w:r>
            <w:bookmarkStart w:id="7" w:name="_Hlk158298676"/>
            <w:r w:rsidRPr="007C734F">
              <w:rPr>
                <w:lang w:val="en-GB" w:eastAsia="ja-JP"/>
              </w:rPr>
              <w:t>when a dual chamber transvenous pacing system is considered a poor option or not deemed necessary for effective therapy</w:t>
            </w:r>
            <w:bookmarkEnd w:id="7"/>
            <w:r w:rsidRPr="007C734F">
              <w:rPr>
                <w:lang w:val="en-GB" w:eastAsia="ja-JP"/>
              </w:rPr>
              <w:t>, and when a right ventricular transcatheter pacing system promoting AV synchrony at rest is acceptable. Conditions when a patient is considered a poor candidate for transvenous pacing may include, but are not limited to, tortuous anatomy, a need to preserve venous access, or increased risk of infection. The device provides AV synchrony at rest and rate responsive (VVIR) pacing during periods of high patient activity. Device-mediated AV synchrony can vary depending on patient condition and activity levels, and it can be limited at high sinus rates. During periods of intermittent AV synchrony, the device will provide ventricular pacing support with an increased potential for pacing rate variability. Micra AV Model MC1AVR1 is indicated for use in patients who have experienced one of the following:</w:t>
            </w:r>
          </w:p>
          <w:p w14:paraId="4F9DAA92" w14:textId="044FA071" w:rsidR="00AA2F5B" w:rsidRDefault="007C734F" w:rsidP="00C57EEE">
            <w:pPr>
              <w:pStyle w:val="TableText0"/>
              <w:numPr>
                <w:ilvl w:val="0"/>
                <w:numId w:val="3"/>
              </w:numPr>
              <w:rPr>
                <w:lang w:val="en-GB" w:eastAsia="ja-JP"/>
              </w:rPr>
            </w:pPr>
            <w:r w:rsidRPr="007C734F">
              <w:rPr>
                <w:lang w:val="en-GB" w:eastAsia="ja-JP"/>
              </w:rPr>
              <w:t>Paroxysmal or permanent high-grade AV block in the absence of AF</w:t>
            </w:r>
          </w:p>
          <w:p w14:paraId="6035AF92" w14:textId="2E1204D1" w:rsidR="00AA2F5B" w:rsidRDefault="007C734F" w:rsidP="00C57EEE">
            <w:pPr>
              <w:pStyle w:val="TableText0"/>
              <w:numPr>
                <w:ilvl w:val="0"/>
                <w:numId w:val="3"/>
              </w:numPr>
              <w:rPr>
                <w:lang w:val="en-GB" w:eastAsia="ja-JP"/>
              </w:rPr>
            </w:pPr>
            <w:r w:rsidRPr="007C734F">
              <w:rPr>
                <w:lang w:val="en-GB" w:eastAsia="ja-JP"/>
              </w:rPr>
              <w:t>Paroxysmal or permanent high-grade AV block in the presence of paroxysmal AF</w:t>
            </w:r>
          </w:p>
          <w:p w14:paraId="60564DA5" w14:textId="69026AC7" w:rsidR="00AA2F5B" w:rsidRDefault="007C734F" w:rsidP="00C57EEE">
            <w:pPr>
              <w:pStyle w:val="TableText0"/>
              <w:numPr>
                <w:ilvl w:val="0"/>
                <w:numId w:val="3"/>
              </w:numPr>
              <w:rPr>
                <w:lang w:val="en-GB" w:eastAsia="ja-JP"/>
              </w:rPr>
            </w:pPr>
            <w:r w:rsidRPr="007C734F">
              <w:rPr>
                <w:lang w:val="en-GB" w:eastAsia="ja-JP"/>
              </w:rPr>
              <w:t xml:space="preserve">Paroxysmal or permanent high-grade AV block in the presence of persistent AF when attempts at restoring sinus rhythm are still </w:t>
            </w:r>
            <w:proofErr w:type="gramStart"/>
            <w:r w:rsidRPr="007C734F">
              <w:rPr>
                <w:lang w:val="en-GB" w:eastAsia="ja-JP"/>
              </w:rPr>
              <w:t>planned</w:t>
            </w:r>
            <w:proofErr w:type="gramEnd"/>
          </w:p>
          <w:p w14:paraId="7E632D46" w14:textId="069D6C74" w:rsidR="00CD3AF7" w:rsidRDefault="007C734F" w:rsidP="004C3C8F">
            <w:pPr>
              <w:pStyle w:val="TableText0"/>
              <w:rPr>
                <w:lang w:val="en-GB" w:eastAsia="ja-JP"/>
              </w:rPr>
            </w:pPr>
            <w:r w:rsidRPr="007C734F">
              <w:rPr>
                <w:lang w:val="en-GB" w:eastAsia="ja-JP"/>
              </w:rPr>
              <w:t>The device is designed to be used only in the right ventricle.</w:t>
            </w:r>
          </w:p>
        </w:tc>
      </w:tr>
      <w:tr w:rsidR="00B21DE4" w14:paraId="5729D92A" w14:textId="77777777" w:rsidTr="00FB35A0">
        <w:trPr>
          <w:trHeight w:val="560"/>
        </w:trPr>
        <w:tc>
          <w:tcPr>
            <w:tcW w:w="1413" w:type="dxa"/>
          </w:tcPr>
          <w:p w14:paraId="45BF7EE8" w14:textId="3F9723D0" w:rsidR="00B21DE4" w:rsidRDefault="000E0E4C" w:rsidP="00D4177A">
            <w:pPr>
              <w:pStyle w:val="TableText0"/>
              <w:keepNext/>
              <w:rPr>
                <w:lang w:val="en-GB" w:eastAsia="ja-JP"/>
              </w:rPr>
            </w:pPr>
            <w:r w:rsidRPr="000E0E4C">
              <w:rPr>
                <w:lang w:val="en-GB" w:eastAsia="ja-JP"/>
              </w:rPr>
              <w:lastRenderedPageBreak/>
              <w:t>Micra Introducer - Model MI2355A - Cardiovascular device introducer,</w:t>
            </w:r>
            <w:r w:rsidR="008E3FAA">
              <w:rPr>
                <w:lang w:val="en-GB" w:eastAsia="ja-JP"/>
              </w:rPr>
              <w:t xml:space="preserve"> </w:t>
            </w:r>
            <w:r w:rsidRPr="000E0E4C">
              <w:rPr>
                <w:lang w:val="en-GB" w:eastAsia="ja-JP"/>
              </w:rPr>
              <w:t>non-steerable</w:t>
            </w:r>
          </w:p>
          <w:p w14:paraId="159CE798" w14:textId="1176A481" w:rsidR="00E75218" w:rsidRPr="005E1E56" w:rsidRDefault="00E75218" w:rsidP="00D4177A">
            <w:pPr>
              <w:pStyle w:val="TableText0"/>
              <w:keepNext/>
              <w:rPr>
                <w:lang w:val="en-GB" w:eastAsia="ja-JP"/>
              </w:rPr>
            </w:pPr>
            <w:r>
              <w:rPr>
                <w:lang w:val="en-GB" w:eastAsia="ja-JP"/>
              </w:rPr>
              <w:t>(</w:t>
            </w:r>
            <w:r w:rsidRPr="00E75218">
              <w:rPr>
                <w:lang w:val="en-GB" w:eastAsia="ja-JP"/>
              </w:rPr>
              <w:t>Medtronic Australasia Pty Ltd</w:t>
            </w:r>
            <w:r>
              <w:rPr>
                <w:lang w:val="en-GB" w:eastAsia="ja-JP"/>
              </w:rPr>
              <w:t>)</w:t>
            </w:r>
          </w:p>
        </w:tc>
        <w:tc>
          <w:tcPr>
            <w:tcW w:w="1984" w:type="dxa"/>
          </w:tcPr>
          <w:p w14:paraId="45EB1F58" w14:textId="59CA8A93" w:rsidR="00E75218" w:rsidRPr="004C3C8F" w:rsidRDefault="00E75218" w:rsidP="00D4177A">
            <w:pPr>
              <w:pStyle w:val="TableText0"/>
              <w:keepNext/>
              <w:rPr>
                <w:b/>
                <w:bCs/>
                <w:lang w:val="en-GB" w:eastAsia="ja-JP"/>
              </w:rPr>
            </w:pPr>
            <w:r w:rsidRPr="004C3C8F">
              <w:rPr>
                <w:b/>
                <w:bCs/>
                <w:lang w:val="en-GB" w:eastAsia="ja-JP"/>
              </w:rPr>
              <w:t>ARTG ID:</w:t>
            </w:r>
            <w:r>
              <w:rPr>
                <w:b/>
                <w:bCs/>
                <w:lang w:val="en-GB" w:eastAsia="ja-JP"/>
              </w:rPr>
              <w:t xml:space="preserve"> </w:t>
            </w:r>
            <w:r w:rsidR="00266E16" w:rsidRPr="00266E16">
              <w:rPr>
                <w:lang w:val="en-GB" w:eastAsia="ja-JP"/>
              </w:rPr>
              <w:t>221570</w:t>
            </w:r>
          </w:p>
          <w:p w14:paraId="681E5B6B" w14:textId="4DFDA5FB" w:rsidR="00E75218" w:rsidRPr="00545EAA" w:rsidRDefault="00E75218" w:rsidP="00D4177A">
            <w:pPr>
              <w:pStyle w:val="TableText0"/>
              <w:keepNext/>
              <w:rPr>
                <w:lang w:val="en-GB" w:eastAsia="ja-JP"/>
              </w:rPr>
            </w:pPr>
            <w:r w:rsidRPr="004C3C8F">
              <w:rPr>
                <w:b/>
                <w:bCs/>
                <w:lang w:val="en-GB" w:eastAsia="ja-JP"/>
              </w:rPr>
              <w:t>Start date:</w:t>
            </w:r>
            <w:r>
              <w:rPr>
                <w:b/>
                <w:bCs/>
                <w:lang w:val="en-GB" w:eastAsia="ja-JP"/>
              </w:rPr>
              <w:t xml:space="preserve"> </w:t>
            </w:r>
            <w:proofErr w:type="gramStart"/>
            <w:r w:rsidR="00266E16" w:rsidRPr="00266E16">
              <w:rPr>
                <w:lang w:val="en-GB" w:eastAsia="ja-JP"/>
              </w:rPr>
              <w:t>24/03/2014</w:t>
            </w:r>
            <w:proofErr w:type="gramEnd"/>
          </w:p>
          <w:p w14:paraId="6FA5F9A6" w14:textId="383EAE6C" w:rsidR="00E75218" w:rsidRPr="00545EAA" w:rsidRDefault="00E75218" w:rsidP="00D4177A">
            <w:pPr>
              <w:pStyle w:val="TableText0"/>
              <w:keepNext/>
              <w:rPr>
                <w:lang w:val="en-GB" w:eastAsia="ja-JP"/>
              </w:rPr>
            </w:pPr>
            <w:r w:rsidRPr="004C3C8F">
              <w:rPr>
                <w:b/>
                <w:bCs/>
                <w:lang w:val="en-GB" w:eastAsia="ja-JP"/>
              </w:rPr>
              <w:t>Category:</w:t>
            </w:r>
            <w:r>
              <w:rPr>
                <w:b/>
                <w:bCs/>
                <w:lang w:val="en-GB" w:eastAsia="ja-JP"/>
              </w:rPr>
              <w:t xml:space="preserve"> </w:t>
            </w:r>
            <w:r w:rsidR="00882C5E" w:rsidRPr="00882C5E">
              <w:rPr>
                <w:lang w:val="en-GB" w:eastAsia="ja-JP"/>
              </w:rPr>
              <w:t>Medical Device Class III</w:t>
            </w:r>
          </w:p>
          <w:p w14:paraId="3F6D7DBF" w14:textId="7C5E20B4" w:rsidR="00B21DE4" w:rsidRPr="004C3C8F" w:rsidRDefault="00E75218" w:rsidP="00C41329">
            <w:pPr>
              <w:pStyle w:val="TableText0"/>
              <w:keepNext/>
              <w:rPr>
                <w:b/>
                <w:bCs/>
                <w:lang w:val="en-GB" w:eastAsia="ja-JP"/>
              </w:rPr>
            </w:pPr>
            <w:r w:rsidRPr="004C3C8F">
              <w:rPr>
                <w:b/>
                <w:bCs/>
                <w:lang w:val="en-GB" w:eastAsia="ja-JP"/>
              </w:rPr>
              <w:t>GMDN:</w:t>
            </w:r>
            <w:r>
              <w:rPr>
                <w:b/>
                <w:bCs/>
                <w:lang w:val="en-GB" w:eastAsia="ja-JP"/>
              </w:rPr>
              <w:t xml:space="preserve"> </w:t>
            </w:r>
            <w:r w:rsidR="00882C5E" w:rsidRPr="00882C5E">
              <w:rPr>
                <w:lang w:val="en-GB" w:eastAsia="ja-JP"/>
              </w:rPr>
              <w:t>57941 Cardiovascular device introducer, non-steerable</w:t>
            </w:r>
          </w:p>
        </w:tc>
        <w:tc>
          <w:tcPr>
            <w:tcW w:w="2127" w:type="dxa"/>
          </w:tcPr>
          <w:p w14:paraId="667DE5D2" w14:textId="0EF271E8" w:rsidR="00B21DE4" w:rsidRPr="007C734F" w:rsidRDefault="00F140FE" w:rsidP="00D4177A">
            <w:pPr>
              <w:pStyle w:val="TableText0"/>
              <w:keepNext/>
              <w:rPr>
                <w:lang w:val="en-GB" w:eastAsia="ja-JP"/>
              </w:rPr>
            </w:pPr>
            <w:r w:rsidRPr="00F140FE">
              <w:rPr>
                <w:lang w:val="en-GB" w:eastAsia="ja-JP"/>
              </w:rPr>
              <w:t>The Micra introducer is a single-use, disposable, hydrophilically coated sheath that provides a</w:t>
            </w:r>
            <w:r>
              <w:rPr>
                <w:lang w:val="en-GB" w:eastAsia="ja-JP"/>
              </w:rPr>
              <w:t xml:space="preserve"> </w:t>
            </w:r>
            <w:r w:rsidRPr="00F140FE">
              <w:rPr>
                <w:lang w:val="en-GB" w:eastAsia="ja-JP"/>
              </w:rPr>
              <w:t>flexible and hemostatic conduit for the insertion of intravascular devices into the venous system to minimize blood loss. The system</w:t>
            </w:r>
            <w:r>
              <w:rPr>
                <w:lang w:val="en-GB" w:eastAsia="ja-JP"/>
              </w:rPr>
              <w:t xml:space="preserve"> </w:t>
            </w:r>
            <w:r w:rsidRPr="00F140FE">
              <w:rPr>
                <w:lang w:val="en-GB" w:eastAsia="ja-JP"/>
              </w:rPr>
              <w:t>is comprised of 2 components: a dilator that accom</w:t>
            </w:r>
            <w:r w:rsidR="005D4DBD">
              <w:rPr>
                <w:lang w:val="en-GB" w:eastAsia="ja-JP"/>
              </w:rPr>
              <w:t>m</w:t>
            </w:r>
            <w:r w:rsidRPr="00F140FE">
              <w:rPr>
                <w:lang w:val="en-GB" w:eastAsia="ja-JP"/>
              </w:rPr>
              <w:t>odates a guidewire and an introducer.</w:t>
            </w:r>
          </w:p>
        </w:tc>
        <w:tc>
          <w:tcPr>
            <w:tcW w:w="4047" w:type="dxa"/>
          </w:tcPr>
          <w:p w14:paraId="06E6968A" w14:textId="7B9408DF" w:rsidR="00B21DE4" w:rsidRPr="007C734F" w:rsidRDefault="00DC5328" w:rsidP="00D4177A">
            <w:pPr>
              <w:pStyle w:val="TableText0"/>
              <w:keepNext/>
              <w:rPr>
                <w:lang w:val="en-GB" w:eastAsia="ja-JP"/>
              </w:rPr>
            </w:pPr>
            <w:r w:rsidRPr="00DC5328">
              <w:rPr>
                <w:lang w:val="en-GB" w:eastAsia="ja-JP"/>
              </w:rPr>
              <w:t>The Micra introducer is intended to provide a conduit for the insertion of devices into the venous system and to minimize blood loss</w:t>
            </w:r>
            <w:r w:rsidR="006158F6">
              <w:rPr>
                <w:lang w:val="en-GB" w:eastAsia="ja-JP"/>
              </w:rPr>
              <w:t xml:space="preserve"> </w:t>
            </w:r>
            <w:r w:rsidRPr="00DC5328">
              <w:rPr>
                <w:lang w:val="en-GB" w:eastAsia="ja-JP"/>
              </w:rPr>
              <w:t>associated with such insertions</w:t>
            </w:r>
            <w:r w:rsidR="006158F6">
              <w:rPr>
                <w:lang w:val="en-GB" w:eastAsia="ja-JP"/>
              </w:rPr>
              <w:t>.</w:t>
            </w:r>
          </w:p>
        </w:tc>
      </w:tr>
    </w:tbl>
    <w:p w14:paraId="420FCB4D" w14:textId="57ABB780" w:rsidR="0073211E" w:rsidRPr="00642D04" w:rsidRDefault="00A158DC" w:rsidP="00285E71">
      <w:pPr>
        <w:pStyle w:val="Tablenotes"/>
        <w:spacing w:after="0"/>
        <w:rPr>
          <w:lang w:val="en-GB" w:eastAsia="ja-JP"/>
        </w:rPr>
      </w:pPr>
      <w:r>
        <w:rPr>
          <w:lang w:val="en-GB" w:eastAsia="ja-JP"/>
        </w:rPr>
        <w:t>AF = </w:t>
      </w:r>
      <w:r w:rsidR="00B7769D">
        <w:rPr>
          <w:lang w:val="en-GB" w:eastAsia="ja-JP"/>
        </w:rPr>
        <w:t xml:space="preserve">atrial fibrillation; </w:t>
      </w:r>
      <w:r w:rsidR="00972663">
        <w:rPr>
          <w:lang w:val="en-GB" w:eastAsia="ja-JP"/>
        </w:rPr>
        <w:t xml:space="preserve">AIMD = </w:t>
      </w:r>
      <w:r w:rsidR="005D5E46">
        <w:rPr>
          <w:lang w:val="en-GB" w:eastAsia="ja-JP"/>
        </w:rPr>
        <w:t xml:space="preserve">active implantable medical device; </w:t>
      </w:r>
      <w:r w:rsidR="00285E71" w:rsidRPr="00972663">
        <w:rPr>
          <w:lang w:val="en-GB" w:eastAsia="ja-JP"/>
        </w:rPr>
        <w:t>ARTG = Australian Register of Therapeutic Goods</w:t>
      </w:r>
      <w:r w:rsidR="00972663">
        <w:rPr>
          <w:lang w:val="en-GB" w:eastAsia="ja-JP"/>
        </w:rPr>
        <w:t xml:space="preserve">; </w:t>
      </w:r>
      <w:r>
        <w:rPr>
          <w:lang w:val="en-GB" w:eastAsia="ja-JP"/>
        </w:rPr>
        <w:t>AV = atrioventricular</w:t>
      </w:r>
      <w:r w:rsidR="008A3AD2">
        <w:rPr>
          <w:lang w:val="en-GB" w:eastAsia="ja-JP"/>
        </w:rPr>
        <w:t xml:space="preserve">; </w:t>
      </w:r>
      <w:r w:rsidR="008A3AD2" w:rsidRPr="00021106">
        <w:rPr>
          <w:lang w:val="en-GB" w:eastAsia="ja-JP"/>
        </w:rPr>
        <w:t>MR</w:t>
      </w:r>
      <w:r w:rsidR="00D31A7E">
        <w:rPr>
          <w:lang w:val="en-GB" w:eastAsia="ja-JP"/>
        </w:rPr>
        <w:t> </w:t>
      </w:r>
      <w:r w:rsidR="008A3AD2">
        <w:rPr>
          <w:lang w:val="en-GB" w:eastAsia="ja-JP"/>
        </w:rPr>
        <w:t>=</w:t>
      </w:r>
      <w:r w:rsidR="00D31A7E">
        <w:rPr>
          <w:lang w:val="en-GB" w:eastAsia="ja-JP"/>
        </w:rPr>
        <w:t> </w:t>
      </w:r>
      <w:r w:rsidR="00DA342A">
        <w:rPr>
          <w:lang w:val="en-GB" w:eastAsia="ja-JP"/>
        </w:rPr>
        <w:t>magnetic resonance</w:t>
      </w:r>
      <w:r w:rsidR="00724819">
        <w:rPr>
          <w:lang w:val="en-GB" w:eastAsia="ja-JP"/>
        </w:rPr>
        <w:t>.</w:t>
      </w:r>
    </w:p>
    <w:p w14:paraId="2BF0AADA" w14:textId="46A8F6BF" w:rsidR="00913543" w:rsidRDefault="00913543" w:rsidP="00065ED1">
      <w:pPr>
        <w:pStyle w:val="Tablenotes"/>
        <w:spacing w:after="240"/>
        <w:rPr>
          <w:lang w:val="en-GB" w:eastAsia="ja-JP"/>
        </w:rPr>
      </w:pPr>
      <w:r w:rsidRPr="00285E71">
        <w:rPr>
          <w:lang w:val="en-GB" w:eastAsia="ja-JP"/>
        </w:rPr>
        <w:t>Source</w:t>
      </w:r>
      <w:r w:rsidR="00A2315C" w:rsidRPr="00285E71">
        <w:rPr>
          <w:lang w:val="en-GB" w:eastAsia="ja-JP"/>
        </w:rPr>
        <w:t>:</w:t>
      </w:r>
      <w:r w:rsidR="00A2315C">
        <w:rPr>
          <w:lang w:val="en-GB" w:eastAsia="ja-JP"/>
        </w:rPr>
        <w:t xml:space="preserve"> A</w:t>
      </w:r>
      <w:r w:rsidR="00C10237">
        <w:rPr>
          <w:lang w:val="en-GB" w:eastAsia="ja-JP"/>
        </w:rPr>
        <w:t>RT</w:t>
      </w:r>
      <w:r w:rsidR="00A2315C">
        <w:rPr>
          <w:lang w:val="en-GB" w:eastAsia="ja-JP"/>
        </w:rPr>
        <w:t xml:space="preserve">G </w:t>
      </w:r>
      <w:r w:rsidR="00F33682">
        <w:rPr>
          <w:lang w:val="en-GB" w:eastAsia="ja-JP"/>
        </w:rPr>
        <w:t>P</w:t>
      </w:r>
      <w:r w:rsidR="00571CDD">
        <w:rPr>
          <w:lang w:val="en-GB" w:eastAsia="ja-JP"/>
        </w:rPr>
        <w:t xml:space="preserve">ublic </w:t>
      </w:r>
      <w:r w:rsidR="00F33682">
        <w:rPr>
          <w:lang w:val="en-GB" w:eastAsia="ja-JP"/>
        </w:rPr>
        <w:t>S</w:t>
      </w:r>
      <w:r w:rsidR="00571CDD">
        <w:rPr>
          <w:lang w:val="en-GB" w:eastAsia="ja-JP"/>
        </w:rPr>
        <w:t>ummary documents</w:t>
      </w:r>
      <w:r w:rsidR="00285E71">
        <w:rPr>
          <w:lang w:val="en-GB" w:eastAsia="ja-JP"/>
        </w:rPr>
        <w:t>.</w:t>
      </w:r>
    </w:p>
    <w:p w14:paraId="665B0675" w14:textId="5B4AD333" w:rsidR="007A66C8" w:rsidRPr="00F87B4A" w:rsidRDefault="007A66C8" w:rsidP="00713728">
      <w:pPr>
        <w:pStyle w:val="Heading3"/>
        <w:rPr>
          <w:color w:val="0070C0"/>
        </w:rPr>
      </w:pPr>
      <w:r w:rsidRPr="00F87B4A">
        <w:rPr>
          <w:color w:val="0070C0"/>
        </w:rPr>
        <w:t>Comparator</w:t>
      </w:r>
      <w:r w:rsidR="007D6B83" w:rsidRPr="00F87B4A">
        <w:rPr>
          <w:color w:val="0070C0"/>
        </w:rPr>
        <w:t>(</w:t>
      </w:r>
      <w:r w:rsidR="008F1532" w:rsidRPr="00F87B4A">
        <w:rPr>
          <w:color w:val="0070C0"/>
        </w:rPr>
        <w:t>s</w:t>
      </w:r>
      <w:r w:rsidR="007D6B83" w:rsidRPr="00F87B4A">
        <w:rPr>
          <w:color w:val="0070C0"/>
        </w:rPr>
        <w:t>)</w:t>
      </w:r>
    </w:p>
    <w:p w14:paraId="61BB5AD3" w14:textId="703C6C55" w:rsidR="002642E7" w:rsidRDefault="00851D57" w:rsidP="00C56D41">
      <w:r>
        <w:t xml:space="preserve">The comparator proposed by the applicant is the insertion of a </w:t>
      </w:r>
      <w:r w:rsidR="00A0326E">
        <w:t xml:space="preserve">conventional </w:t>
      </w:r>
      <w:r w:rsidR="00ED1CE8">
        <w:t>DC-TVPM.</w:t>
      </w:r>
      <w:r w:rsidR="005D7DBA">
        <w:t xml:space="preserve"> </w:t>
      </w:r>
      <w:r w:rsidR="005D7DBA" w:rsidRPr="005D7DBA">
        <w:t xml:space="preserve">Conventional </w:t>
      </w:r>
      <w:r w:rsidR="007A3B1D">
        <w:t>DC</w:t>
      </w:r>
      <w:r w:rsidR="00F56510">
        <w:t>-</w:t>
      </w:r>
      <w:r w:rsidR="005D7DBA" w:rsidRPr="005D7DBA">
        <w:t>TVPM</w:t>
      </w:r>
      <w:r w:rsidR="008E5FCF">
        <w:t>s</w:t>
      </w:r>
      <w:r w:rsidR="005D7DBA" w:rsidRPr="005D7DBA">
        <w:t xml:space="preserve"> have a long history of use and have essentially remained unchanged over time with reliance on a pulse generator </w:t>
      </w:r>
      <w:r w:rsidR="0058087A">
        <w:t>that</w:t>
      </w:r>
      <w:r w:rsidR="005D7DBA" w:rsidRPr="005D7DBA">
        <w:t xml:space="preserve"> is implanted in a subcutaneous pocket (created at time of insertion) in the infraclavicular region of the anterior chest wall</w:t>
      </w:r>
      <w:r w:rsidR="00992E22">
        <w:t>, and a connecting transvenous lead system</w:t>
      </w:r>
      <w:r w:rsidR="005D7DBA" w:rsidRPr="005D7DBA">
        <w:t xml:space="preserve">. The pulse </w:t>
      </w:r>
      <w:r w:rsidR="005D7DBA" w:rsidRPr="005D7DBA">
        <w:lastRenderedPageBreak/>
        <w:t>generator produces the electrical activity required to be transmitted to the myocardium, via the electrodes (leads).</w:t>
      </w:r>
    </w:p>
    <w:p w14:paraId="52D53DD8" w14:textId="699D91A1" w:rsidR="007D5E0A" w:rsidRDefault="00BA6811" w:rsidP="00C56D41">
      <w:r>
        <w:t>According to t</w:t>
      </w:r>
      <w:r w:rsidR="00C56D41" w:rsidRPr="007D32FB">
        <w:t>h</w:t>
      </w:r>
      <w:r w:rsidR="00E747BB" w:rsidRPr="007D32FB">
        <w:t xml:space="preserve">e </w:t>
      </w:r>
      <w:r w:rsidR="008D26A6">
        <w:t>applicant’s advisory board</w:t>
      </w:r>
      <w:r w:rsidR="002539C4">
        <w:t xml:space="preserve"> (</w:t>
      </w:r>
      <w:r w:rsidR="002539C4" w:rsidRPr="007754CC">
        <w:t xml:space="preserve">seven </w:t>
      </w:r>
      <w:r w:rsidR="002539C4">
        <w:t xml:space="preserve">Australian specialist cardiologists </w:t>
      </w:r>
      <w:r w:rsidR="00DE311E">
        <w:t xml:space="preserve">who are experts </w:t>
      </w:r>
      <w:r w:rsidR="002539C4" w:rsidRPr="007754CC">
        <w:t>in the management of th</w:t>
      </w:r>
      <w:r w:rsidR="006C2346">
        <w:t>is</w:t>
      </w:r>
      <w:r w:rsidR="002539C4" w:rsidRPr="007754CC">
        <w:t xml:space="preserve"> p</w:t>
      </w:r>
      <w:r w:rsidR="006C2346">
        <w:t>opulation</w:t>
      </w:r>
      <w:r w:rsidR="002539C4">
        <w:t>)</w:t>
      </w:r>
      <w:r w:rsidR="00FC3E55">
        <w:t>,</w:t>
      </w:r>
      <w:r w:rsidR="00E747BB" w:rsidRPr="007D32FB">
        <w:t xml:space="preserve"> </w:t>
      </w:r>
      <w:r w:rsidR="000A7017">
        <w:t>p</w:t>
      </w:r>
      <w:r w:rsidR="00C56D41" w:rsidRPr="00A150F3">
        <w:t xml:space="preserve">atients with AV block who are in sinus rhythm and who are indicated for permanent pacing receive a DC-TVPM with two leads and DDD mode, even </w:t>
      </w:r>
      <w:r w:rsidR="00A523C7">
        <w:t>if</w:t>
      </w:r>
      <w:r w:rsidR="00C56D41" w:rsidRPr="00A150F3">
        <w:t xml:space="preserve"> right ventricular pacing alone would be sufficient.</w:t>
      </w:r>
      <w:r w:rsidR="000A7017">
        <w:t xml:space="preserve"> </w:t>
      </w:r>
      <w:r w:rsidR="007D5E0A">
        <w:t xml:space="preserve">This is consistent with the </w:t>
      </w:r>
      <w:r w:rsidR="009A5DD2">
        <w:t>ESC Guidelines</w:t>
      </w:r>
      <w:r w:rsidR="00923163">
        <w:t xml:space="preserve"> </w:t>
      </w:r>
      <w:r w:rsidR="005B133D">
        <w:t xml:space="preserve">that recommend DDD mode as the default </w:t>
      </w:r>
      <w:r w:rsidR="003C4A99">
        <w:t xml:space="preserve">pacing </w:t>
      </w:r>
      <w:r w:rsidR="005B133D">
        <w:t>option, and VDD mode only when there is a reason to avoid two leads</w:t>
      </w:r>
      <w:r w:rsidR="00923163">
        <w:t xml:space="preserve"> (Glikson et al. 2021)</w:t>
      </w:r>
      <w:r w:rsidR="005B133D">
        <w:t>.</w:t>
      </w:r>
      <w:r w:rsidR="00BB0805" w:rsidRPr="007754CC">
        <w:t xml:space="preserve"> </w:t>
      </w:r>
      <w:r w:rsidR="00355BAE">
        <w:t>T</w:t>
      </w:r>
      <w:r w:rsidR="00BB0805">
        <w:t xml:space="preserve">he </w:t>
      </w:r>
      <w:r w:rsidR="00BB0805" w:rsidRPr="007754CC">
        <w:t xml:space="preserve">advisory board </w:t>
      </w:r>
      <w:r w:rsidR="00355BAE">
        <w:t xml:space="preserve">indicated </w:t>
      </w:r>
      <w:r w:rsidR="00BB0805">
        <w:t xml:space="preserve">that </w:t>
      </w:r>
      <w:r w:rsidR="00BB0805" w:rsidRPr="007754CC">
        <w:t xml:space="preserve">the use of VDD </w:t>
      </w:r>
      <w:r w:rsidR="004A551F">
        <w:t>TVPM</w:t>
      </w:r>
      <w:r w:rsidR="00BB0805" w:rsidRPr="007754CC">
        <w:t xml:space="preserve"> technology is no longer relevant in current Australian clinical practice</w:t>
      </w:r>
      <w:r w:rsidR="00BB0805">
        <w:t xml:space="preserve">. </w:t>
      </w:r>
      <w:r w:rsidR="009011EE" w:rsidRPr="003B3243">
        <w:t>VDD TVPM</w:t>
      </w:r>
      <w:r w:rsidR="00BB0805" w:rsidRPr="003B3243">
        <w:t xml:space="preserve"> devices are not currently listed on the PL and are no longer </w:t>
      </w:r>
      <w:r w:rsidR="005524DF" w:rsidRPr="003B3243">
        <w:t>sold</w:t>
      </w:r>
      <w:r w:rsidR="00BB0805" w:rsidRPr="003B3243">
        <w:t xml:space="preserve"> in Australia (</w:t>
      </w:r>
      <w:r w:rsidR="00BB0805" w:rsidRPr="00363C92">
        <w:t>Mond</w:t>
      </w:r>
      <w:r w:rsidR="00BB0805" w:rsidRPr="003B3243">
        <w:t xml:space="preserve"> </w:t>
      </w:r>
      <w:r w:rsidR="0068298E">
        <w:t xml:space="preserve">and Crozier </w:t>
      </w:r>
      <w:r w:rsidR="00BB0805" w:rsidRPr="003B3243">
        <w:t>2019).</w:t>
      </w:r>
    </w:p>
    <w:p w14:paraId="75777D6D" w14:textId="3F413467" w:rsidR="00D84431" w:rsidRDefault="000A7017" w:rsidP="00C56D41">
      <w:r w:rsidRPr="005D7DBA">
        <w:t xml:space="preserve">In DDD mode, two leads are inserted percutaneously either via subclavian, </w:t>
      </w:r>
      <w:proofErr w:type="gramStart"/>
      <w:r w:rsidRPr="005D7DBA">
        <w:t>cephalic</w:t>
      </w:r>
      <w:proofErr w:type="gramEnd"/>
      <w:r w:rsidRPr="005D7DBA">
        <w:t xml:space="preserve"> or axillary veins, and guided transvenously via the tricuspid valve into the ventricle and atrium. The position of the wire is checked using fluoroscopy. The lead can either be attached passively with tines, which become fixed via granulation tissue formation, or can be actively fixed to the myocardium using a screw.</w:t>
      </w:r>
      <w:r w:rsidR="006F71FD">
        <w:t xml:space="preserve"> </w:t>
      </w:r>
      <w:r w:rsidR="000149D4" w:rsidRPr="003F6D0E">
        <w:t xml:space="preserve">In this mode the ventricle and atrium </w:t>
      </w:r>
      <w:r w:rsidR="00D87B7D">
        <w:t>are</w:t>
      </w:r>
      <w:r w:rsidR="000149D4" w:rsidRPr="003F6D0E">
        <w:t xml:space="preserve"> sensed and paced. There is also a rate responsiveness function </w:t>
      </w:r>
      <w:r w:rsidR="000149D4">
        <w:t>that</w:t>
      </w:r>
      <w:r w:rsidR="000149D4" w:rsidRPr="003F6D0E">
        <w:t xml:space="preserve"> allows the programmed rate to increase with increased physical activity, such as strenuous exercise, to allow for a compensatory increase in cardiac output.</w:t>
      </w:r>
    </w:p>
    <w:p w14:paraId="0DEA45A2" w14:textId="4256DA99" w:rsidR="00C56D41" w:rsidRDefault="006F71FD" w:rsidP="00C56D41">
      <w:r w:rsidRPr="006F71FD">
        <w:t xml:space="preserve">The </w:t>
      </w:r>
      <w:r w:rsidR="00756872">
        <w:t xml:space="preserve">applicant claims that </w:t>
      </w:r>
      <w:r w:rsidRPr="006F71FD">
        <w:t xml:space="preserve">current management of these patients using a DC-TVPM with DDD mode means the patients receive ‘more pacing’ than required for the condition and are implanted with more hardware than necessary. </w:t>
      </w:r>
      <w:r w:rsidR="009D1515">
        <w:t>P</w:t>
      </w:r>
      <w:r w:rsidR="00D807C0">
        <w:t xml:space="preserve">roposed </w:t>
      </w:r>
      <w:r w:rsidRPr="006F71FD">
        <w:t>benefits of using</w:t>
      </w:r>
      <w:r w:rsidR="00CA2E37">
        <w:t xml:space="preserve"> </w:t>
      </w:r>
      <w:r w:rsidR="00A967A5">
        <w:t>the</w:t>
      </w:r>
      <w:r w:rsidRPr="006F71FD">
        <w:t xml:space="preserve"> Micra AV over a </w:t>
      </w:r>
      <w:r w:rsidR="00CA2E37" w:rsidRPr="006F71FD">
        <w:t xml:space="preserve">DDD </w:t>
      </w:r>
      <w:r w:rsidRPr="006F71FD">
        <w:t xml:space="preserve">DC-TVPM </w:t>
      </w:r>
      <w:r w:rsidR="00A967A5">
        <w:t>include</w:t>
      </w:r>
      <w:r w:rsidRPr="006F71FD">
        <w:t xml:space="preserve"> the lack of leads and generator in the subcutaneous pocket that can cause infections and lead complications, which is particularly important in this typically frail patient population.</w:t>
      </w:r>
      <w:r w:rsidR="00E76DB2">
        <w:t xml:space="preserve"> </w:t>
      </w:r>
    </w:p>
    <w:p w14:paraId="722476EC" w14:textId="501DB8A1" w:rsidR="008311D2" w:rsidRDefault="00D47458" w:rsidP="00C56D41">
      <w:pPr>
        <w:rPr>
          <w:highlight w:val="yellow"/>
        </w:rPr>
      </w:pPr>
      <w:r>
        <w:t>According to t</w:t>
      </w:r>
      <w:r w:rsidR="009E6802" w:rsidRPr="003441A9">
        <w:t>he applicant</w:t>
      </w:r>
      <w:r w:rsidR="00744AD1">
        <w:t>,</w:t>
      </w:r>
      <w:r w:rsidR="009E6802" w:rsidRPr="003441A9">
        <w:t xml:space="preserve"> </w:t>
      </w:r>
      <w:r w:rsidR="00A0716B" w:rsidRPr="003441A9">
        <w:t>the</w:t>
      </w:r>
      <w:r w:rsidR="00A0716B" w:rsidRPr="00A0716B">
        <w:t xml:space="preserve"> health care resources </w:t>
      </w:r>
      <w:r>
        <w:t xml:space="preserve">required </w:t>
      </w:r>
      <w:r w:rsidR="00A0716B">
        <w:t xml:space="preserve">to </w:t>
      </w:r>
      <w:r w:rsidR="00A0716B" w:rsidRPr="00A0716B">
        <w:t>deliver</w:t>
      </w:r>
      <w:r w:rsidR="00A0716B">
        <w:t xml:space="preserve"> </w:t>
      </w:r>
      <w:r w:rsidR="00A0716B" w:rsidRPr="00A0716B">
        <w:t xml:space="preserve">the comparator </w:t>
      </w:r>
      <w:r w:rsidR="00390D65">
        <w:t xml:space="preserve">service </w:t>
      </w:r>
      <w:r w:rsidR="00A0716B" w:rsidRPr="00A0716B">
        <w:t xml:space="preserve">are </w:t>
      </w:r>
      <w:proofErr w:type="gramStart"/>
      <w:r w:rsidR="00A0716B" w:rsidRPr="00A0716B">
        <w:t>similar to</w:t>
      </w:r>
      <w:proofErr w:type="gramEnd"/>
      <w:r w:rsidR="00A0716B" w:rsidRPr="00A0716B">
        <w:t xml:space="preserve"> those </w:t>
      </w:r>
      <w:r w:rsidR="00826222">
        <w:t>required</w:t>
      </w:r>
      <w:r w:rsidR="00DA6DA4">
        <w:t xml:space="preserve"> to </w:t>
      </w:r>
      <w:r w:rsidR="00A0716B" w:rsidRPr="00A0716B">
        <w:t xml:space="preserve">deliver </w:t>
      </w:r>
      <w:r w:rsidR="00DA6DA4">
        <w:t>the Micra AV</w:t>
      </w:r>
      <w:r w:rsidR="00390D65">
        <w:t xml:space="preserve"> service</w:t>
      </w:r>
      <w:r w:rsidR="00A0716B" w:rsidRPr="00A0716B">
        <w:t xml:space="preserve"> </w:t>
      </w:r>
      <w:r w:rsidR="0073420A">
        <w:t>(</w:t>
      </w:r>
      <w:r w:rsidR="00A0716B" w:rsidRPr="00A0716B">
        <w:t>includ</w:t>
      </w:r>
      <w:r w:rsidR="00DA6DA4">
        <w:t xml:space="preserve">ing </w:t>
      </w:r>
      <w:r w:rsidR="00A0716B" w:rsidRPr="00A0716B">
        <w:t>anaesthesia, the professional service itself and hospitalisation</w:t>
      </w:r>
      <w:r w:rsidR="00211068">
        <w:t xml:space="preserve"> </w:t>
      </w:r>
      <w:r w:rsidR="0073420A">
        <w:t>[</w:t>
      </w:r>
      <w:r w:rsidR="00A0716B" w:rsidRPr="00A0716B">
        <w:t xml:space="preserve">with patients </w:t>
      </w:r>
      <w:r w:rsidR="00A90B06">
        <w:t xml:space="preserve">generally </w:t>
      </w:r>
      <w:r w:rsidR="00A0716B" w:rsidRPr="00A0716B">
        <w:t>admitted overnight</w:t>
      </w:r>
      <w:r w:rsidR="003E3EB3" w:rsidRPr="003E3EB3">
        <w:t xml:space="preserve"> </w:t>
      </w:r>
      <w:r w:rsidR="003E3EB3" w:rsidRPr="00A0716B">
        <w:t>for both procedures</w:t>
      </w:r>
      <w:r w:rsidR="0073420A">
        <w:t>]</w:t>
      </w:r>
      <w:r w:rsidR="00211068">
        <w:t>)</w:t>
      </w:r>
      <w:r w:rsidR="00A0716B" w:rsidRPr="00A0716B">
        <w:t>.</w:t>
      </w:r>
      <w:r w:rsidR="00C47A5A">
        <w:t xml:space="preserve"> </w:t>
      </w:r>
      <w:r w:rsidR="001F470B">
        <w:t xml:space="preserve">The frequency of </w:t>
      </w:r>
      <w:r w:rsidR="002A6938">
        <w:t xml:space="preserve">patient monitoring </w:t>
      </w:r>
      <w:r w:rsidR="004A60B0">
        <w:t>is</w:t>
      </w:r>
      <w:r w:rsidR="007A6029">
        <w:t xml:space="preserve"> also</w:t>
      </w:r>
      <w:r w:rsidR="00C52B41">
        <w:t xml:space="preserve"> </w:t>
      </w:r>
      <w:r w:rsidR="00596B58">
        <w:t xml:space="preserve">the same </w:t>
      </w:r>
      <w:r w:rsidR="004A60B0">
        <w:t>for patients who receive a TVPM or a</w:t>
      </w:r>
      <w:r w:rsidR="007A6029">
        <w:t>n LPM</w:t>
      </w:r>
      <w:r w:rsidR="00C52B41">
        <w:t>.</w:t>
      </w:r>
    </w:p>
    <w:p w14:paraId="7966AF72" w14:textId="237B3C72" w:rsidR="00F91806" w:rsidRDefault="18508B15" w:rsidP="00C56D41">
      <w:r>
        <w:t>T</w:t>
      </w:r>
      <w:r w:rsidR="68AE7514">
        <w:t>he</w:t>
      </w:r>
      <w:r w:rsidR="5063F39D">
        <w:t xml:space="preserve"> November 2023 </w:t>
      </w:r>
      <w:r w:rsidR="68AE7514">
        <w:t>PL includes</w:t>
      </w:r>
      <w:r w:rsidR="4F4C83E8">
        <w:t xml:space="preserve"> 22 </w:t>
      </w:r>
      <w:r w:rsidR="652B4BBC">
        <w:t xml:space="preserve">separate </w:t>
      </w:r>
      <w:r w:rsidR="00672604">
        <w:t>bi</w:t>
      </w:r>
      <w:r w:rsidR="4F4C83E8">
        <w:t xml:space="preserve">lling codes for </w:t>
      </w:r>
      <w:r w:rsidR="00672604">
        <w:t>dual chamber pacemakers</w:t>
      </w:r>
      <w:r w:rsidR="652B4BBC">
        <w:t xml:space="preserve">, ranging </w:t>
      </w:r>
      <w:r w:rsidR="53CE5B1F">
        <w:t xml:space="preserve">in PL benefit </w:t>
      </w:r>
      <w:r w:rsidR="652B4BBC">
        <w:t xml:space="preserve">from </w:t>
      </w:r>
      <w:r w:rsidR="534EF3DF">
        <w:t xml:space="preserve">$6,596 to </w:t>
      </w:r>
      <w:r w:rsidR="66EBAFF8">
        <w:t>$7,26</w:t>
      </w:r>
      <w:r w:rsidR="292E6B84">
        <w:t>8</w:t>
      </w:r>
      <w:r w:rsidR="0135DFE4">
        <w:t xml:space="preserve"> (</w:t>
      </w:r>
      <w:r w:rsidR="66EBAFF8">
        <w:t xml:space="preserve">or </w:t>
      </w:r>
      <w:r w:rsidR="292E6B84">
        <w:t xml:space="preserve">up to </w:t>
      </w:r>
      <w:r w:rsidR="53CE5B1F">
        <w:t>$8,718</w:t>
      </w:r>
      <w:r w:rsidR="55A0B36F">
        <w:t xml:space="preserve"> </w:t>
      </w:r>
      <w:r w:rsidR="292E6B84">
        <w:t xml:space="preserve">for DC-TVPMs </w:t>
      </w:r>
      <w:r w:rsidR="55A0B36F">
        <w:t>with a remote monitoring service</w:t>
      </w:r>
      <w:r w:rsidR="0135DFE4">
        <w:t>)</w:t>
      </w:r>
      <w:r w:rsidR="53CE5B1F">
        <w:t>.</w:t>
      </w:r>
      <w:r w:rsidR="11D53FDB">
        <w:t xml:space="preserve"> </w:t>
      </w:r>
      <w:r w:rsidR="44480391">
        <w:t xml:space="preserve">The PL benefit for </w:t>
      </w:r>
      <w:r w:rsidR="3C123AA1">
        <w:t xml:space="preserve">most </w:t>
      </w:r>
      <w:r w:rsidR="44480391">
        <w:t>l</w:t>
      </w:r>
      <w:r w:rsidR="11D53FDB">
        <w:t xml:space="preserve">eads (electrodes) </w:t>
      </w:r>
      <w:r w:rsidR="090A0767">
        <w:t xml:space="preserve">for TVPMs </w:t>
      </w:r>
      <w:r w:rsidR="44480391">
        <w:t>is</w:t>
      </w:r>
      <w:r w:rsidR="11D53FDB">
        <w:t xml:space="preserve"> </w:t>
      </w:r>
      <w:r w:rsidR="7EB51A16">
        <w:t>$624</w:t>
      </w:r>
      <w:r w:rsidR="1D2429AB">
        <w:t xml:space="preserve"> </w:t>
      </w:r>
      <w:r w:rsidR="34B63330">
        <w:t>to</w:t>
      </w:r>
      <w:r w:rsidR="1D2429AB">
        <w:t xml:space="preserve"> $634</w:t>
      </w:r>
      <w:r w:rsidR="7EB51A16">
        <w:t xml:space="preserve"> </w:t>
      </w:r>
      <w:r w:rsidR="3B0F5293">
        <w:t xml:space="preserve">per lead </w:t>
      </w:r>
      <w:r w:rsidR="43EBA488">
        <w:t>(</w:t>
      </w:r>
      <w:r w:rsidR="3B5C1167">
        <w:t xml:space="preserve">transvenous, </w:t>
      </w:r>
      <w:r w:rsidR="43EBA488">
        <w:t>bi-polar</w:t>
      </w:r>
      <w:r w:rsidR="13EF9211">
        <w:t>,</w:t>
      </w:r>
      <w:r w:rsidR="69E461B6">
        <w:t xml:space="preserve"> </w:t>
      </w:r>
      <w:proofErr w:type="gramStart"/>
      <w:r w:rsidR="69E461B6">
        <w:t>passive</w:t>
      </w:r>
      <w:proofErr w:type="gramEnd"/>
      <w:r w:rsidR="69E461B6">
        <w:t xml:space="preserve"> or active, steroid,</w:t>
      </w:r>
      <w:r w:rsidR="21F6DB93">
        <w:t xml:space="preserve"> right ventricular/atrial</w:t>
      </w:r>
      <w:r w:rsidR="43EBA488">
        <w:t>)</w:t>
      </w:r>
      <w:r w:rsidR="7EB51A16">
        <w:t>.</w:t>
      </w:r>
    </w:p>
    <w:p w14:paraId="3F187D51" w14:textId="01FBDFFF" w:rsidR="00A73CF7" w:rsidRPr="00BB1B40" w:rsidRDefault="00F66058" w:rsidP="00C56D41">
      <w:r w:rsidRPr="00BB1B40">
        <w:t xml:space="preserve">The MBS items </w:t>
      </w:r>
      <w:r w:rsidR="00207451" w:rsidRPr="00BB1B40">
        <w:t>relevant to the</w:t>
      </w:r>
      <w:r w:rsidRPr="00BB1B40">
        <w:t xml:space="preserve"> insertion</w:t>
      </w:r>
      <w:r w:rsidR="00207451" w:rsidRPr="00BB1B40">
        <w:t xml:space="preserve">, </w:t>
      </w:r>
      <w:proofErr w:type="gramStart"/>
      <w:r w:rsidR="00207451" w:rsidRPr="00BB1B40">
        <w:t>removal</w:t>
      </w:r>
      <w:proofErr w:type="gramEnd"/>
      <w:r w:rsidR="00207451" w:rsidRPr="00BB1B40">
        <w:t xml:space="preserve"> or replacement of a </w:t>
      </w:r>
      <w:r w:rsidR="00F26EA2" w:rsidRPr="00BB1B40">
        <w:t>DC-</w:t>
      </w:r>
      <w:r w:rsidR="00207451" w:rsidRPr="00BB1B40">
        <w:t>TVPM</w:t>
      </w:r>
      <w:r w:rsidR="00F26EA2" w:rsidRPr="00BB1B40">
        <w:t xml:space="preserve"> and leads are summarised in </w:t>
      </w:r>
      <w:r w:rsidR="00F26EA2" w:rsidRPr="00BB1B40">
        <w:fldChar w:fldCharType="begin"/>
      </w:r>
      <w:r w:rsidR="00F26EA2" w:rsidRPr="00BB1B40">
        <w:instrText xml:space="preserve"> REF _Ref159572333 \h </w:instrText>
      </w:r>
      <w:r w:rsidR="00967220" w:rsidRPr="00BB1B40">
        <w:instrText xml:space="preserve"> \* MERGEFORMAT </w:instrText>
      </w:r>
      <w:r w:rsidR="00F26EA2" w:rsidRPr="00BB1B40">
        <w:fldChar w:fldCharType="separate"/>
      </w:r>
      <w:r w:rsidR="006D7FB1">
        <w:t xml:space="preserve">Table </w:t>
      </w:r>
      <w:r w:rsidR="006D7FB1">
        <w:rPr>
          <w:noProof/>
        </w:rPr>
        <w:t>4</w:t>
      </w:r>
      <w:r w:rsidR="00F26EA2" w:rsidRPr="00BB1B40">
        <w:fldChar w:fldCharType="end"/>
      </w:r>
      <w:r w:rsidR="00967220" w:rsidRPr="00BB1B40">
        <w:t>.</w:t>
      </w:r>
      <w:r w:rsidR="008311D2" w:rsidRPr="00BB1B40">
        <w:t xml:space="preserve"> </w:t>
      </w:r>
      <w:r w:rsidR="00DE0FAB" w:rsidRPr="00BB1B40">
        <w:t xml:space="preserve">Of note, </w:t>
      </w:r>
      <w:r w:rsidR="00826222" w:rsidRPr="00BB1B40">
        <w:t xml:space="preserve">item 38353 can be used for the insertion of either a dual or single chamber </w:t>
      </w:r>
      <w:r w:rsidR="00826222">
        <w:t xml:space="preserve">pacemaker </w:t>
      </w:r>
      <w:r w:rsidR="00826222" w:rsidRPr="00BB1B40">
        <w:t>generator</w:t>
      </w:r>
      <w:r w:rsidR="00826222">
        <w:t>, while</w:t>
      </w:r>
      <w:r w:rsidR="00826222" w:rsidRPr="00BB1B40">
        <w:t xml:space="preserve"> </w:t>
      </w:r>
      <w:r w:rsidR="008311D2" w:rsidRPr="00BB1B40">
        <w:t>item 38356 is specific to the insertion of leads for a dual</w:t>
      </w:r>
      <w:r w:rsidR="00123BF2">
        <w:t xml:space="preserve"> </w:t>
      </w:r>
      <w:r w:rsidR="008311D2" w:rsidRPr="00BB1B40">
        <w:t xml:space="preserve">chamber </w:t>
      </w:r>
      <w:r w:rsidR="00DE0FAB" w:rsidRPr="00BB1B40">
        <w:t>TV</w:t>
      </w:r>
      <w:r w:rsidR="008311D2" w:rsidRPr="00BB1B40">
        <w:t>PM.</w:t>
      </w:r>
      <w:r w:rsidR="00DD6859">
        <w:t xml:space="preserve"> </w:t>
      </w:r>
      <w:r w:rsidR="00DD6859" w:rsidRPr="00DD6859">
        <w:t>A separate MBS item is available for percutaneous extraction of chronically implanted transvenous leads (MBS item 38358).</w:t>
      </w:r>
    </w:p>
    <w:p w14:paraId="08E9E4F5" w14:textId="0B09A56A" w:rsidR="00FB43B4" w:rsidRDefault="00FB43B4" w:rsidP="007E4622">
      <w:pPr>
        <w:pStyle w:val="Caption"/>
      </w:pPr>
      <w:bookmarkStart w:id="8" w:name="_Ref159572333"/>
      <w:r>
        <w:lastRenderedPageBreak/>
        <w:t xml:space="preserve">Table </w:t>
      </w:r>
      <w:r>
        <w:fldChar w:fldCharType="begin"/>
      </w:r>
      <w:r>
        <w:instrText xml:space="preserve"> SEQ Table \* ARABIC </w:instrText>
      </w:r>
      <w:r>
        <w:fldChar w:fldCharType="separate"/>
      </w:r>
      <w:r w:rsidR="006D7FB1">
        <w:rPr>
          <w:noProof/>
        </w:rPr>
        <w:t>4</w:t>
      </w:r>
      <w:r>
        <w:fldChar w:fldCharType="end"/>
      </w:r>
      <w:bookmarkEnd w:id="8"/>
      <w:r>
        <w:tab/>
        <w:t xml:space="preserve">MBS items </w:t>
      </w:r>
      <w:r w:rsidR="00233014">
        <w:t xml:space="preserve">associated with </w:t>
      </w:r>
      <w:r w:rsidR="005064BF">
        <w:t>a</w:t>
      </w:r>
      <w:r w:rsidR="00D42F9D">
        <w:t xml:space="preserve"> </w:t>
      </w:r>
      <w:r w:rsidR="00756A6C">
        <w:t>DC-</w:t>
      </w:r>
      <w:r w:rsidR="00B01C8D">
        <w:t>TVPM</w:t>
      </w:r>
      <w:r w:rsidR="003504B6">
        <w:t xml:space="preserve"> and </w:t>
      </w:r>
      <w:proofErr w:type="gramStart"/>
      <w:r w:rsidR="003504B6">
        <w:t>leads</w:t>
      </w:r>
      <w:proofErr w:type="gramEnd"/>
    </w:p>
    <w:tbl>
      <w:tblPr>
        <w:tblStyle w:val="TableGrid"/>
        <w:tblW w:w="0" w:type="auto"/>
        <w:tblInd w:w="0" w:type="dxa"/>
        <w:tblLook w:val="04A0" w:firstRow="1" w:lastRow="0" w:firstColumn="1" w:lastColumn="0" w:noHBand="0" w:noVBand="1"/>
        <w:tblCaption w:val="MBS items associated with a DC-TVPM and leads"/>
        <w:tblDescription w:val="This table presents the MBS items associated with a DC-TVPM and leads incluing item number, description, fee and benefit. "/>
      </w:tblPr>
      <w:tblGrid>
        <w:gridCol w:w="846"/>
        <w:gridCol w:w="6662"/>
        <w:gridCol w:w="2063"/>
      </w:tblGrid>
      <w:tr w:rsidR="00FB43B4" w14:paraId="35096A14" w14:textId="77777777" w:rsidTr="004F0D2F">
        <w:trPr>
          <w:tblHeader/>
        </w:trPr>
        <w:tc>
          <w:tcPr>
            <w:tcW w:w="846" w:type="dxa"/>
          </w:tcPr>
          <w:p w14:paraId="6996C15F" w14:textId="78CBEBC9" w:rsidR="00FB43B4" w:rsidRPr="0031014B" w:rsidRDefault="00FB43B4" w:rsidP="007E4622">
            <w:pPr>
              <w:pStyle w:val="TableHeading"/>
              <w:rPr>
                <w:lang w:val="en-GB"/>
              </w:rPr>
            </w:pPr>
            <w:r w:rsidRPr="0031014B">
              <w:rPr>
                <w:lang w:val="en-GB"/>
              </w:rPr>
              <w:t>Item no.</w:t>
            </w:r>
          </w:p>
        </w:tc>
        <w:tc>
          <w:tcPr>
            <w:tcW w:w="6662" w:type="dxa"/>
          </w:tcPr>
          <w:p w14:paraId="5785457B" w14:textId="3571FD21" w:rsidR="00FB43B4" w:rsidRPr="0031014B" w:rsidRDefault="00FB43B4" w:rsidP="007E4622">
            <w:pPr>
              <w:pStyle w:val="TableHeading"/>
              <w:rPr>
                <w:lang w:val="en-GB"/>
              </w:rPr>
            </w:pPr>
            <w:r w:rsidRPr="0031014B">
              <w:rPr>
                <w:lang w:val="en-GB"/>
              </w:rPr>
              <w:t>Description</w:t>
            </w:r>
          </w:p>
        </w:tc>
        <w:tc>
          <w:tcPr>
            <w:tcW w:w="2063" w:type="dxa"/>
          </w:tcPr>
          <w:p w14:paraId="2EC77612" w14:textId="31535B7D" w:rsidR="00FB43B4" w:rsidRPr="0031014B" w:rsidRDefault="00FB43B4" w:rsidP="007E4622">
            <w:pPr>
              <w:pStyle w:val="TableHeading"/>
              <w:rPr>
                <w:lang w:val="en-GB"/>
              </w:rPr>
            </w:pPr>
            <w:r w:rsidRPr="0031014B">
              <w:rPr>
                <w:lang w:val="en-GB"/>
              </w:rPr>
              <w:t>Fee and benefit</w:t>
            </w:r>
          </w:p>
        </w:tc>
      </w:tr>
      <w:tr w:rsidR="00FB43B4" w14:paraId="30EDD16A" w14:textId="77777777" w:rsidTr="004F0D2F">
        <w:tc>
          <w:tcPr>
            <w:tcW w:w="846" w:type="dxa"/>
          </w:tcPr>
          <w:p w14:paraId="45375D6D" w14:textId="0DEDE71E" w:rsidR="00FB43B4" w:rsidRDefault="004D445E" w:rsidP="007E4622">
            <w:pPr>
              <w:pStyle w:val="TableText0"/>
              <w:keepNext/>
              <w:rPr>
                <w:highlight w:val="yellow"/>
                <w:lang w:val="en-GB" w:eastAsia="ja-JP"/>
              </w:rPr>
            </w:pPr>
            <w:r w:rsidRPr="004D445E">
              <w:rPr>
                <w:lang w:val="en-GB" w:eastAsia="ja-JP"/>
              </w:rPr>
              <w:t>38353</w:t>
            </w:r>
          </w:p>
        </w:tc>
        <w:tc>
          <w:tcPr>
            <w:tcW w:w="6662" w:type="dxa"/>
          </w:tcPr>
          <w:p w14:paraId="780978BA" w14:textId="77777777" w:rsidR="004D445E" w:rsidRPr="004D445E" w:rsidRDefault="004D445E" w:rsidP="007E4622">
            <w:pPr>
              <w:pStyle w:val="TableText0"/>
              <w:keepNext/>
              <w:rPr>
                <w:lang w:val="en-GB" w:eastAsia="ja-JP"/>
              </w:rPr>
            </w:pPr>
            <w:r w:rsidRPr="004D445E">
              <w:rPr>
                <w:lang w:val="en-GB" w:eastAsia="ja-JP"/>
              </w:rPr>
              <w:t xml:space="preserve">PERMANENT CARDIAC PACEMAKER, insertion, removal or replacement of, not for cardiac resynchronisation therapy, including cardiac electrophysiological services </w:t>
            </w:r>
            <w:proofErr w:type="gramStart"/>
            <w:r w:rsidRPr="004D445E">
              <w:rPr>
                <w:lang w:val="en-GB" w:eastAsia="ja-JP"/>
              </w:rPr>
              <w:t>where</w:t>
            </w:r>
            <w:proofErr w:type="gramEnd"/>
            <w:r w:rsidRPr="004D445E">
              <w:rPr>
                <w:lang w:val="en-GB" w:eastAsia="ja-JP"/>
              </w:rPr>
              <w:t xml:space="preserve"> used for pacemaker implantation</w:t>
            </w:r>
          </w:p>
          <w:p w14:paraId="4D1C7029" w14:textId="77777777" w:rsidR="004D445E" w:rsidRPr="004D445E" w:rsidRDefault="004D445E" w:rsidP="007E4622">
            <w:pPr>
              <w:pStyle w:val="TableText0"/>
              <w:keepNext/>
              <w:rPr>
                <w:lang w:val="en-GB" w:eastAsia="ja-JP"/>
              </w:rPr>
            </w:pPr>
            <w:r w:rsidRPr="004D445E">
              <w:rPr>
                <w:lang w:val="en-GB" w:eastAsia="ja-JP"/>
              </w:rPr>
              <w:t>Multiple Operation Rule</w:t>
            </w:r>
          </w:p>
          <w:p w14:paraId="26401BF7" w14:textId="77777777" w:rsidR="004D445E" w:rsidRPr="004D445E" w:rsidRDefault="004D445E" w:rsidP="007E4622">
            <w:pPr>
              <w:pStyle w:val="TableText0"/>
              <w:keepNext/>
              <w:rPr>
                <w:lang w:val="en-GB" w:eastAsia="ja-JP"/>
              </w:rPr>
            </w:pPr>
            <w:r w:rsidRPr="004D445E">
              <w:rPr>
                <w:lang w:val="en-GB" w:eastAsia="ja-JP"/>
              </w:rPr>
              <w:t>(Anaes.)</w:t>
            </w:r>
          </w:p>
          <w:p w14:paraId="78080878" w14:textId="6B834D56" w:rsidR="00FB43B4" w:rsidRPr="007605F0" w:rsidRDefault="004D445E" w:rsidP="007E4622">
            <w:pPr>
              <w:pStyle w:val="TableText0"/>
              <w:keepNext/>
              <w:rPr>
                <w:vertAlign w:val="superscript"/>
                <w:lang w:val="en-GB" w:eastAsia="ja-JP"/>
              </w:rPr>
            </w:pPr>
            <w:r w:rsidRPr="004D445E">
              <w:rPr>
                <w:lang w:val="en-GB" w:eastAsia="ja-JP"/>
              </w:rPr>
              <w:t xml:space="preserve">(See para TN.8.60 of explanatory notes to this </w:t>
            </w:r>
            <w:proofErr w:type="gramStart"/>
            <w:r w:rsidRPr="004D445E">
              <w:rPr>
                <w:lang w:val="en-GB" w:eastAsia="ja-JP"/>
              </w:rPr>
              <w:t>Category)</w:t>
            </w:r>
            <w:r w:rsidR="007605F0">
              <w:rPr>
                <w:vertAlign w:val="superscript"/>
                <w:lang w:val="en-GB" w:eastAsia="ja-JP"/>
              </w:rPr>
              <w:t>a</w:t>
            </w:r>
            <w:proofErr w:type="gramEnd"/>
          </w:p>
        </w:tc>
        <w:tc>
          <w:tcPr>
            <w:tcW w:w="2063" w:type="dxa"/>
          </w:tcPr>
          <w:p w14:paraId="6739D6AE" w14:textId="392794D3" w:rsidR="00FB43B4" w:rsidRPr="00862D76" w:rsidRDefault="004D445E" w:rsidP="007E4622">
            <w:pPr>
              <w:pStyle w:val="TableText0"/>
              <w:keepNext/>
              <w:rPr>
                <w:lang w:val="en-GB" w:eastAsia="ja-JP"/>
              </w:rPr>
            </w:pPr>
            <w:r w:rsidRPr="004D445E">
              <w:rPr>
                <w:lang w:val="en-GB" w:eastAsia="ja-JP"/>
              </w:rPr>
              <w:t xml:space="preserve">Fee: $281.15 </w:t>
            </w:r>
            <w:r w:rsidR="000F6258">
              <w:rPr>
                <w:lang w:val="en-GB" w:eastAsia="ja-JP"/>
              </w:rPr>
              <w:br/>
            </w:r>
            <w:r w:rsidRPr="004D445E">
              <w:rPr>
                <w:lang w:val="en-GB" w:eastAsia="ja-JP"/>
              </w:rPr>
              <w:t>Benefit: 75% = $210.90</w:t>
            </w:r>
          </w:p>
        </w:tc>
      </w:tr>
      <w:tr w:rsidR="00FB43B4" w14:paraId="13FDEC3D" w14:textId="77777777" w:rsidTr="004F0D2F">
        <w:tc>
          <w:tcPr>
            <w:tcW w:w="846" w:type="dxa"/>
          </w:tcPr>
          <w:p w14:paraId="2E87A12E" w14:textId="1A0DE616" w:rsidR="00FB43B4" w:rsidRDefault="0082410B" w:rsidP="00BD112F">
            <w:pPr>
              <w:pStyle w:val="TableText0"/>
              <w:rPr>
                <w:highlight w:val="yellow"/>
                <w:lang w:val="en-GB" w:eastAsia="ja-JP"/>
              </w:rPr>
            </w:pPr>
            <w:r w:rsidRPr="0082410B">
              <w:rPr>
                <w:lang w:val="en-GB" w:eastAsia="ja-JP"/>
              </w:rPr>
              <w:t>38356</w:t>
            </w:r>
          </w:p>
        </w:tc>
        <w:tc>
          <w:tcPr>
            <w:tcW w:w="6662" w:type="dxa"/>
          </w:tcPr>
          <w:p w14:paraId="1075B03E" w14:textId="77777777" w:rsidR="005F45BA" w:rsidRPr="005F45BA" w:rsidRDefault="005F45BA" w:rsidP="00BD112F">
            <w:pPr>
              <w:pStyle w:val="TableText0"/>
              <w:rPr>
                <w:lang w:val="en-GB" w:eastAsia="ja-JP"/>
              </w:rPr>
            </w:pPr>
            <w:r w:rsidRPr="005F45BA">
              <w:rPr>
                <w:lang w:val="en-GB" w:eastAsia="ja-JP"/>
              </w:rPr>
              <w:t xml:space="preserve">DUAL CHAMBER PERMANENT TRANSVENOUS ELECTRODES, insertion, removal or replacement of, including cardiac electrophysiological services </w:t>
            </w:r>
            <w:proofErr w:type="gramStart"/>
            <w:r w:rsidRPr="005F45BA">
              <w:rPr>
                <w:lang w:val="en-GB" w:eastAsia="ja-JP"/>
              </w:rPr>
              <w:t>where</w:t>
            </w:r>
            <w:proofErr w:type="gramEnd"/>
            <w:r w:rsidRPr="005F45BA">
              <w:rPr>
                <w:lang w:val="en-GB" w:eastAsia="ja-JP"/>
              </w:rPr>
              <w:t xml:space="preserve"> used for pacemaker implantation</w:t>
            </w:r>
          </w:p>
          <w:p w14:paraId="574E6E10" w14:textId="77777777" w:rsidR="005F45BA" w:rsidRPr="005F45BA" w:rsidRDefault="005F45BA" w:rsidP="00BD112F">
            <w:pPr>
              <w:pStyle w:val="TableText0"/>
              <w:rPr>
                <w:lang w:val="en-GB" w:eastAsia="ja-JP"/>
              </w:rPr>
            </w:pPr>
            <w:r w:rsidRPr="005F45BA">
              <w:rPr>
                <w:lang w:val="en-GB" w:eastAsia="ja-JP"/>
              </w:rPr>
              <w:t>Multiple Operation Rule</w:t>
            </w:r>
          </w:p>
          <w:p w14:paraId="41152FE9" w14:textId="77777777" w:rsidR="005F45BA" w:rsidRPr="005F45BA" w:rsidRDefault="005F45BA" w:rsidP="00BD112F">
            <w:pPr>
              <w:pStyle w:val="TableText0"/>
              <w:rPr>
                <w:lang w:val="en-GB" w:eastAsia="ja-JP"/>
              </w:rPr>
            </w:pPr>
            <w:r w:rsidRPr="005F45BA">
              <w:rPr>
                <w:lang w:val="en-GB" w:eastAsia="ja-JP"/>
              </w:rPr>
              <w:t>(Anaes.)</w:t>
            </w:r>
          </w:p>
          <w:p w14:paraId="243F3B1A" w14:textId="273ADEEB" w:rsidR="00FB43B4" w:rsidRPr="007605F0" w:rsidRDefault="005F45BA" w:rsidP="00BD112F">
            <w:pPr>
              <w:pStyle w:val="TableText0"/>
              <w:rPr>
                <w:highlight w:val="yellow"/>
                <w:vertAlign w:val="superscript"/>
                <w:lang w:val="en-GB" w:eastAsia="ja-JP"/>
              </w:rPr>
            </w:pPr>
            <w:r w:rsidRPr="005F45BA">
              <w:rPr>
                <w:lang w:val="en-GB" w:eastAsia="ja-JP"/>
              </w:rPr>
              <w:t xml:space="preserve">(See para TN.8.60 of explanatory notes to this </w:t>
            </w:r>
            <w:proofErr w:type="gramStart"/>
            <w:r w:rsidRPr="005F45BA">
              <w:rPr>
                <w:lang w:val="en-GB" w:eastAsia="ja-JP"/>
              </w:rPr>
              <w:t>Category)</w:t>
            </w:r>
            <w:r w:rsidR="007605F0">
              <w:rPr>
                <w:vertAlign w:val="superscript"/>
                <w:lang w:val="en-GB" w:eastAsia="ja-JP"/>
              </w:rPr>
              <w:t>a</w:t>
            </w:r>
            <w:proofErr w:type="gramEnd"/>
          </w:p>
        </w:tc>
        <w:tc>
          <w:tcPr>
            <w:tcW w:w="2063" w:type="dxa"/>
          </w:tcPr>
          <w:p w14:paraId="28CB22AC" w14:textId="1B54D67A" w:rsidR="00FB43B4" w:rsidRPr="00862D76" w:rsidRDefault="005F45BA" w:rsidP="00BD112F">
            <w:pPr>
              <w:pStyle w:val="TableText0"/>
              <w:rPr>
                <w:lang w:val="en-GB" w:eastAsia="ja-JP"/>
              </w:rPr>
            </w:pPr>
            <w:r w:rsidRPr="005F45BA">
              <w:rPr>
                <w:lang w:val="en-GB" w:eastAsia="ja-JP"/>
              </w:rPr>
              <w:t xml:space="preserve">Fee: $921.65 </w:t>
            </w:r>
            <w:r w:rsidR="000F6258">
              <w:rPr>
                <w:lang w:val="en-GB" w:eastAsia="ja-JP"/>
              </w:rPr>
              <w:br/>
            </w:r>
            <w:r w:rsidRPr="005F45BA">
              <w:rPr>
                <w:lang w:val="en-GB" w:eastAsia="ja-JP"/>
              </w:rPr>
              <w:t>Benefit: 75% = $691.25</w:t>
            </w:r>
          </w:p>
        </w:tc>
      </w:tr>
      <w:tr w:rsidR="007F431C" w14:paraId="5151756B" w14:textId="77777777" w:rsidTr="004F0D2F">
        <w:tc>
          <w:tcPr>
            <w:tcW w:w="846" w:type="dxa"/>
          </w:tcPr>
          <w:p w14:paraId="1FF16815" w14:textId="2C5B6BCB" w:rsidR="007F431C" w:rsidRPr="0082410B" w:rsidRDefault="007F431C" w:rsidP="0010599C">
            <w:pPr>
              <w:pStyle w:val="TableText0"/>
              <w:rPr>
                <w:lang w:val="en-GB" w:eastAsia="ja-JP"/>
              </w:rPr>
            </w:pPr>
            <w:r>
              <w:rPr>
                <w:lang w:val="en-GB" w:eastAsia="ja-JP"/>
              </w:rPr>
              <w:t>38358</w:t>
            </w:r>
          </w:p>
        </w:tc>
        <w:tc>
          <w:tcPr>
            <w:tcW w:w="6662" w:type="dxa"/>
          </w:tcPr>
          <w:p w14:paraId="1AF531D1" w14:textId="77777777" w:rsidR="00E64B48" w:rsidRPr="00E64B48" w:rsidRDefault="00E64B48" w:rsidP="0010599C">
            <w:pPr>
              <w:pStyle w:val="TableText0"/>
              <w:rPr>
                <w:lang w:val="en-GB" w:eastAsia="ja-JP"/>
              </w:rPr>
            </w:pPr>
            <w:r w:rsidRPr="00E64B48">
              <w:rPr>
                <w:lang w:val="en-GB" w:eastAsia="ja-JP"/>
              </w:rPr>
              <w:t>Extraction of one or more chronically implanted transvenous pacing or defibrillator leads, by percutaneous method, with locking stylets and snares, with extraction sheaths (if any), if:</w:t>
            </w:r>
          </w:p>
          <w:p w14:paraId="4B84CF67" w14:textId="77777777" w:rsidR="00E64B48" w:rsidRPr="00E64B48" w:rsidRDefault="00E64B48" w:rsidP="0010599C">
            <w:pPr>
              <w:pStyle w:val="TableText0"/>
              <w:rPr>
                <w:lang w:val="en-GB" w:eastAsia="ja-JP"/>
              </w:rPr>
            </w:pPr>
            <w:r w:rsidRPr="00E64B48">
              <w:rPr>
                <w:lang w:val="en-GB" w:eastAsia="ja-JP"/>
              </w:rPr>
              <w:t>(a) the leads have been in place for more than 6 months and require removal; and</w:t>
            </w:r>
          </w:p>
          <w:p w14:paraId="41159043" w14:textId="77777777" w:rsidR="00E64B48" w:rsidRPr="00E64B48" w:rsidRDefault="00E64B48" w:rsidP="0010599C">
            <w:pPr>
              <w:pStyle w:val="TableText0"/>
              <w:rPr>
                <w:lang w:val="en-GB" w:eastAsia="ja-JP"/>
              </w:rPr>
            </w:pPr>
            <w:r w:rsidRPr="00E64B48">
              <w:rPr>
                <w:lang w:val="en-GB" w:eastAsia="ja-JP"/>
              </w:rPr>
              <w:t>(b) the service is performed:</w:t>
            </w:r>
          </w:p>
          <w:p w14:paraId="734C3F1E" w14:textId="77777777" w:rsidR="00E64B48" w:rsidRPr="00E64B48" w:rsidRDefault="00E64B48" w:rsidP="0010599C">
            <w:pPr>
              <w:pStyle w:val="TableText0"/>
              <w:rPr>
                <w:lang w:val="en-GB" w:eastAsia="ja-JP"/>
              </w:rPr>
            </w:pPr>
            <w:r w:rsidRPr="00E64B48">
              <w:rPr>
                <w:lang w:val="en-GB" w:eastAsia="ja-JP"/>
              </w:rPr>
              <w:t>(i) in association with a service to which item 61109 or 60509 applies; and</w:t>
            </w:r>
          </w:p>
          <w:p w14:paraId="4F1E4780" w14:textId="77777777" w:rsidR="00E64B48" w:rsidRPr="00E64B48" w:rsidRDefault="00E64B48" w:rsidP="0010599C">
            <w:pPr>
              <w:pStyle w:val="TableText0"/>
              <w:rPr>
                <w:lang w:val="en-GB" w:eastAsia="ja-JP"/>
              </w:rPr>
            </w:pPr>
            <w:r w:rsidRPr="00E64B48">
              <w:rPr>
                <w:lang w:val="en-GB" w:eastAsia="ja-JP"/>
              </w:rPr>
              <w:t>(ii) by a specialist or consultant physician who has undertaken the training to perform the service; and</w:t>
            </w:r>
          </w:p>
          <w:p w14:paraId="57A9DF07" w14:textId="77777777" w:rsidR="00E64B48" w:rsidRPr="00E64B48" w:rsidRDefault="00E64B48" w:rsidP="0010599C">
            <w:pPr>
              <w:pStyle w:val="TableText0"/>
              <w:rPr>
                <w:lang w:val="en-GB" w:eastAsia="ja-JP"/>
              </w:rPr>
            </w:pPr>
            <w:r w:rsidRPr="00E64B48">
              <w:rPr>
                <w:lang w:val="en-GB" w:eastAsia="ja-JP"/>
              </w:rPr>
              <w:t xml:space="preserve">(iii) in a facility where cardiothoracic surgery is </w:t>
            </w:r>
            <w:proofErr w:type="gramStart"/>
            <w:r w:rsidRPr="00E64B48">
              <w:rPr>
                <w:lang w:val="en-GB" w:eastAsia="ja-JP"/>
              </w:rPr>
              <w:t>available</w:t>
            </w:r>
            <w:proofErr w:type="gramEnd"/>
            <w:r w:rsidRPr="00E64B48">
              <w:rPr>
                <w:lang w:val="en-GB" w:eastAsia="ja-JP"/>
              </w:rPr>
              <w:t xml:space="preserve"> and a thoracotomy can be performed immediately and without transfer; and</w:t>
            </w:r>
          </w:p>
          <w:p w14:paraId="2ADDEE1B" w14:textId="77777777" w:rsidR="00E64B48" w:rsidRPr="00E64B48" w:rsidRDefault="00E64B48" w:rsidP="0010599C">
            <w:pPr>
              <w:pStyle w:val="TableText0"/>
              <w:rPr>
                <w:lang w:val="en-GB" w:eastAsia="ja-JP"/>
              </w:rPr>
            </w:pPr>
            <w:r w:rsidRPr="00E64B48">
              <w:rPr>
                <w:lang w:val="en-GB" w:eastAsia="ja-JP"/>
              </w:rPr>
              <w:t>(c) if the service is performed by an interventional cardiologist—a cardiothoracic surgeon is in attendance during the service</w:t>
            </w:r>
          </w:p>
          <w:p w14:paraId="1F043E21" w14:textId="77777777" w:rsidR="00E64B48" w:rsidRPr="00E64B48" w:rsidRDefault="00E64B48" w:rsidP="0010599C">
            <w:pPr>
              <w:pStyle w:val="TableText0"/>
              <w:rPr>
                <w:lang w:val="en-GB" w:eastAsia="ja-JP"/>
              </w:rPr>
            </w:pPr>
            <w:r w:rsidRPr="00E64B48">
              <w:rPr>
                <w:lang w:val="en-GB" w:eastAsia="ja-JP"/>
              </w:rPr>
              <w:t>(H)</w:t>
            </w:r>
          </w:p>
          <w:p w14:paraId="00D033EF" w14:textId="77777777" w:rsidR="00E64B48" w:rsidRPr="00E64B48" w:rsidRDefault="00E64B48" w:rsidP="0010599C">
            <w:pPr>
              <w:pStyle w:val="TableText0"/>
              <w:rPr>
                <w:lang w:val="en-GB" w:eastAsia="ja-JP"/>
              </w:rPr>
            </w:pPr>
            <w:r w:rsidRPr="00E64B48">
              <w:rPr>
                <w:lang w:val="en-GB" w:eastAsia="ja-JP"/>
              </w:rPr>
              <w:t>Multiple Operation Rule</w:t>
            </w:r>
          </w:p>
          <w:p w14:paraId="682E5DD4" w14:textId="77777777" w:rsidR="007F431C" w:rsidRDefault="00E64B48" w:rsidP="0010599C">
            <w:pPr>
              <w:pStyle w:val="TableText0"/>
              <w:rPr>
                <w:lang w:val="en-GB" w:eastAsia="ja-JP"/>
              </w:rPr>
            </w:pPr>
            <w:r w:rsidRPr="00E64B48">
              <w:rPr>
                <w:lang w:val="en-GB" w:eastAsia="ja-JP"/>
              </w:rPr>
              <w:t>(Anaes.) (Assist)</w:t>
            </w:r>
          </w:p>
          <w:p w14:paraId="0B32A18F" w14:textId="1FF19B20" w:rsidR="00022D54" w:rsidRPr="008F769D" w:rsidRDefault="00022D54" w:rsidP="0010599C">
            <w:pPr>
              <w:pStyle w:val="TableText0"/>
              <w:rPr>
                <w:vertAlign w:val="superscript"/>
                <w:lang w:val="en-GB" w:eastAsia="ja-JP"/>
              </w:rPr>
            </w:pPr>
            <w:r w:rsidRPr="00022D54">
              <w:rPr>
                <w:lang w:val="en-GB" w:eastAsia="ja-JP"/>
              </w:rPr>
              <w:t xml:space="preserve">(See </w:t>
            </w:r>
            <w:proofErr w:type="gramStart"/>
            <w:r w:rsidRPr="00022D54">
              <w:rPr>
                <w:lang w:val="en-GB" w:eastAsia="ja-JP"/>
              </w:rPr>
              <w:t>para TN.</w:t>
            </w:r>
            <w:proofErr w:type="gramEnd"/>
            <w:r w:rsidRPr="00022D54">
              <w:rPr>
                <w:lang w:val="en-GB" w:eastAsia="ja-JP"/>
              </w:rPr>
              <w:t>8.64, TN.8.214 of explanatory notes to this Category)</w:t>
            </w:r>
          </w:p>
        </w:tc>
        <w:tc>
          <w:tcPr>
            <w:tcW w:w="2063" w:type="dxa"/>
          </w:tcPr>
          <w:p w14:paraId="07761352" w14:textId="461295A8" w:rsidR="00110312" w:rsidRPr="00110312" w:rsidRDefault="00110312" w:rsidP="0010599C">
            <w:pPr>
              <w:pStyle w:val="TableText0"/>
              <w:rPr>
                <w:lang w:val="en-GB" w:eastAsia="ja-JP"/>
              </w:rPr>
            </w:pPr>
            <w:r w:rsidRPr="00110312">
              <w:rPr>
                <w:lang w:val="en-GB" w:eastAsia="ja-JP"/>
              </w:rPr>
              <w:t>Fee: $</w:t>
            </w:r>
            <w:r w:rsidR="00F55E74">
              <w:rPr>
                <w:lang w:val="en-GB" w:eastAsia="ja-JP"/>
              </w:rPr>
              <w:t>3,156.85</w:t>
            </w:r>
          </w:p>
          <w:p w14:paraId="306C99B5" w14:textId="5E1FD72C" w:rsidR="007F431C" w:rsidRPr="005F45BA" w:rsidRDefault="00110312" w:rsidP="0010599C">
            <w:pPr>
              <w:pStyle w:val="TableText0"/>
              <w:rPr>
                <w:lang w:val="en-GB" w:eastAsia="ja-JP"/>
              </w:rPr>
            </w:pPr>
            <w:r w:rsidRPr="00110312">
              <w:rPr>
                <w:lang w:val="en-GB" w:eastAsia="ja-JP"/>
              </w:rPr>
              <w:t>Benefit: 75% = $</w:t>
            </w:r>
            <w:r w:rsidR="00F55E74">
              <w:rPr>
                <w:lang w:val="en-GB" w:eastAsia="ja-JP"/>
              </w:rPr>
              <w:t>2,367.65</w:t>
            </w:r>
          </w:p>
        </w:tc>
      </w:tr>
    </w:tbl>
    <w:p w14:paraId="73725257" w14:textId="503B980A" w:rsidR="005F793D" w:rsidRDefault="005F793D" w:rsidP="001F6209">
      <w:pPr>
        <w:pStyle w:val="Tablenotes"/>
        <w:spacing w:after="0"/>
      </w:pPr>
      <w:r>
        <w:t xml:space="preserve">no. = number, </w:t>
      </w:r>
      <w:r w:rsidR="00AD7A2C">
        <w:t>DC-</w:t>
      </w:r>
      <w:r>
        <w:t>TVPM = </w:t>
      </w:r>
      <w:r w:rsidR="00AD7A2C">
        <w:t xml:space="preserve">dual chamber </w:t>
      </w:r>
      <w:r>
        <w:t>transvenous pacemaker.</w:t>
      </w:r>
    </w:p>
    <w:p w14:paraId="6B53AFD0" w14:textId="4227BEDF" w:rsidR="00396FAB" w:rsidRDefault="007605F0" w:rsidP="00396FAB">
      <w:pPr>
        <w:pStyle w:val="Tablenotes"/>
        <w:spacing w:after="0"/>
      </w:pPr>
      <w:r w:rsidRPr="001F6209">
        <w:t>a TN.8.</w:t>
      </w:r>
      <w:r w:rsidR="001F6209" w:rsidRPr="001F6209">
        <w:t>60:</w:t>
      </w:r>
      <w:r w:rsidR="009A6843" w:rsidRPr="001F6209">
        <w:t xml:space="preserve"> The</w:t>
      </w:r>
      <w:r w:rsidR="009A6843" w:rsidRPr="009A6843">
        <w:t xml:space="preserve"> fees for the insertion of a pacemaker (Items 38350, 38353 and 38356) cover the testing of cardiac conduction or conduction threshold, etc related to the pacemaker and pacemaker function. Accordingly, additional benefits are not payable for such routine testing under Item 38209 or 38212 (Cardiac electrophysiological studies).</w:t>
      </w:r>
    </w:p>
    <w:p w14:paraId="3915BE9D" w14:textId="213948EA" w:rsidR="00FB43B4" w:rsidRPr="0031014B" w:rsidRDefault="00B963D4" w:rsidP="00065ED1">
      <w:pPr>
        <w:pStyle w:val="Tablenotes"/>
        <w:spacing w:after="240"/>
      </w:pPr>
      <w:r w:rsidRPr="0031014B">
        <w:t xml:space="preserve">Source: </w:t>
      </w:r>
      <w:hyperlink r:id="rId14" w:tooltip="This link goes to MBS Online" w:history="1">
        <w:r w:rsidRPr="0031014B">
          <w:rPr>
            <w:rStyle w:val="Hyperlink"/>
            <w:rFonts w:ascii="Arial Narrow" w:hAnsi="Arial Narrow" w:cs="Arial"/>
          </w:rPr>
          <w:t>MBS online</w:t>
        </w:r>
      </w:hyperlink>
      <w:r w:rsidRPr="0031014B">
        <w:t xml:space="preserve">, accessed </w:t>
      </w:r>
      <w:r w:rsidR="00395810">
        <w:t>12</w:t>
      </w:r>
      <w:r w:rsidR="00395810" w:rsidRPr="0031014B">
        <w:t xml:space="preserve"> </w:t>
      </w:r>
      <w:r w:rsidR="00395810">
        <w:t>March</w:t>
      </w:r>
      <w:r w:rsidR="00395810" w:rsidRPr="0031014B">
        <w:t xml:space="preserve"> </w:t>
      </w:r>
      <w:r w:rsidRPr="0031014B">
        <w:t>2024</w:t>
      </w:r>
      <w:r w:rsidR="00C26EDB">
        <w:t>.</w:t>
      </w:r>
    </w:p>
    <w:p w14:paraId="46F56DCF" w14:textId="5585A600" w:rsidR="000D1EC0" w:rsidRPr="00925527" w:rsidRDefault="000D1EC0" w:rsidP="000D1EC0">
      <w:pPr>
        <w:rPr>
          <w:i/>
          <w:iCs/>
        </w:rPr>
      </w:pPr>
      <w:r w:rsidRPr="00925527">
        <w:rPr>
          <w:i/>
          <w:iCs/>
        </w:rPr>
        <w:t xml:space="preserve">PASC considered that historically the most appropriate comparator for the Micra AV would have been a VDD TVPM. As there are currently no dedicated VDD TVPMs on the ARTG or the PL, PASC agreed that it is not an appropriate comparator for the current assessment. PASC noted that an LPM may be an option for a subgroup of patients with congenital heart disease who require dual chamber pacing but do not have the facility to place a TVPM via the veins. For these patients, an epicardial </w:t>
      </w:r>
      <w:r w:rsidR="00006F53">
        <w:rPr>
          <w:i/>
          <w:iCs/>
        </w:rPr>
        <w:t>pacemaker</w:t>
      </w:r>
      <w:r w:rsidRPr="00925527">
        <w:rPr>
          <w:i/>
          <w:iCs/>
        </w:rPr>
        <w:t xml:space="preserve"> may be the appropriate comparator; however, there is unlikely to be sufficient evidence to support a clinical or economic assessment in this niche population.</w:t>
      </w:r>
    </w:p>
    <w:p w14:paraId="50826EBF" w14:textId="77777777" w:rsidR="000D1EC0" w:rsidRPr="00925527" w:rsidRDefault="000D1EC0" w:rsidP="000D1EC0">
      <w:pPr>
        <w:rPr>
          <w:i/>
          <w:iCs/>
        </w:rPr>
      </w:pPr>
      <w:r w:rsidRPr="00925527">
        <w:rPr>
          <w:i/>
          <w:iCs/>
        </w:rPr>
        <w:t>PASC discussed the limited evidence available to demonstrate the superiority of dual chamber over single chamber pacing, particularly in patients with AV block,</w:t>
      </w:r>
      <w:r>
        <w:t xml:space="preserve"> </w:t>
      </w:r>
      <w:r w:rsidRPr="00925527">
        <w:rPr>
          <w:i/>
          <w:iCs/>
        </w:rPr>
        <w:t xml:space="preserve">acknowledging that clinical practice guidelines recommend DDD over ventricular pacing largely to avoid pacemaker syndrome. </w:t>
      </w:r>
    </w:p>
    <w:p w14:paraId="0648F3C5" w14:textId="36DF7958" w:rsidR="000D1EC0" w:rsidRDefault="000D1EC0" w:rsidP="000D1EC0">
      <w:r w:rsidRPr="00925527">
        <w:rPr>
          <w:i/>
          <w:iCs/>
        </w:rPr>
        <w:t>PASC noted that the decision regarding the most appropriate comparator would be influenced by the agreed MBS item descriptor for use with the Micra AV (see Proposal for public funding). If the MBS item descriptor is limited to the proposed patient population (in sinus rhythm), PASC agreed that a DC-TVPM would be the most appropriate comparator.</w:t>
      </w:r>
    </w:p>
    <w:p w14:paraId="171A7878" w14:textId="2176DBBB" w:rsidR="00F204D1" w:rsidRDefault="00D324BD" w:rsidP="00F204D1">
      <w:r>
        <w:lastRenderedPageBreak/>
        <w:t>Although</w:t>
      </w:r>
      <w:r w:rsidR="003B02AE">
        <w:t xml:space="preserve"> the application did not </w:t>
      </w:r>
      <w:r w:rsidR="000837A0">
        <w:t>consider</w:t>
      </w:r>
      <w:r w:rsidR="003B02AE">
        <w:t xml:space="preserve"> </w:t>
      </w:r>
      <w:r w:rsidR="002B6A6C">
        <w:t>the Micra VR as a potential comparator, t</w:t>
      </w:r>
      <w:r w:rsidR="003B02AE">
        <w:t>he ARTG intended purpose for the Micra AV and Micra VR partially overlap</w:t>
      </w:r>
      <w:r w:rsidR="00A6763E">
        <w:t>, particularly</w:t>
      </w:r>
      <w:r w:rsidR="003B02AE">
        <w:t xml:space="preserve"> in relation to patients with symptomatic paroxysmal or permanent high-grade AV block in the absence of AF</w:t>
      </w:r>
      <w:r w:rsidR="00910A1A">
        <w:t xml:space="preserve"> (see </w:t>
      </w:r>
      <w:r w:rsidR="001C091A">
        <w:fldChar w:fldCharType="begin"/>
      </w:r>
      <w:r w:rsidR="001C091A">
        <w:instrText xml:space="preserve"> REF _Ref159580415 \h </w:instrText>
      </w:r>
      <w:r w:rsidR="001C091A">
        <w:fldChar w:fldCharType="separate"/>
      </w:r>
      <w:r w:rsidR="00986B06">
        <w:t xml:space="preserve">Table </w:t>
      </w:r>
      <w:r w:rsidR="00986B06">
        <w:rPr>
          <w:noProof/>
        </w:rPr>
        <w:t>5</w:t>
      </w:r>
      <w:r w:rsidR="001C091A">
        <w:fldChar w:fldCharType="end"/>
      </w:r>
      <w:r w:rsidR="001C091A">
        <w:t>)</w:t>
      </w:r>
      <w:r w:rsidR="003B02AE">
        <w:t xml:space="preserve">. </w:t>
      </w:r>
      <w:r w:rsidR="002B6A6C">
        <w:t>During the pre-PASC meeting</w:t>
      </w:r>
      <w:r w:rsidR="009D6440">
        <w:t xml:space="preserve"> held on </w:t>
      </w:r>
      <w:r w:rsidR="00F51DAE">
        <w:t>20 February 2024,</w:t>
      </w:r>
      <w:r w:rsidR="002B6A6C">
        <w:t xml:space="preserve"> t</w:t>
      </w:r>
      <w:r w:rsidR="003B02AE">
        <w:t xml:space="preserve">he applicant </w:t>
      </w:r>
      <w:r w:rsidR="002B6A6C">
        <w:t xml:space="preserve">confirmed </w:t>
      </w:r>
      <w:r w:rsidR="003B02AE">
        <w:t xml:space="preserve">there may be some patients who </w:t>
      </w:r>
      <w:r w:rsidR="00C21107">
        <w:t>have been</w:t>
      </w:r>
      <w:r w:rsidR="003B02AE">
        <w:t xml:space="preserve"> implanted with a Micra VR </w:t>
      </w:r>
      <w:r w:rsidR="00AE176A">
        <w:t>device</w:t>
      </w:r>
      <w:r w:rsidR="00F8516E">
        <w:t xml:space="preserve"> (VVI pacing)</w:t>
      </w:r>
      <w:r w:rsidR="003B02AE">
        <w:t xml:space="preserve"> </w:t>
      </w:r>
      <w:r w:rsidR="00374B1B">
        <w:t>–</w:t>
      </w:r>
      <w:r w:rsidR="00D06DB4">
        <w:t xml:space="preserve"> </w:t>
      </w:r>
      <w:r w:rsidR="00A215A8">
        <w:t>because leadless pacing was the best option for them</w:t>
      </w:r>
      <w:r w:rsidR="00D06DB4">
        <w:t xml:space="preserve"> </w:t>
      </w:r>
      <w:r w:rsidR="00374B1B">
        <w:t>–</w:t>
      </w:r>
      <w:r w:rsidR="00D06DB4">
        <w:t xml:space="preserve"> </w:t>
      </w:r>
      <w:r w:rsidR="003B02AE">
        <w:t xml:space="preserve">who </w:t>
      </w:r>
      <w:r w:rsidR="00D04ED3">
        <w:t xml:space="preserve">would </w:t>
      </w:r>
      <w:r w:rsidR="003B02AE">
        <w:t xml:space="preserve">benefit </w:t>
      </w:r>
      <w:r w:rsidR="00D04ED3">
        <w:t>from</w:t>
      </w:r>
      <w:r w:rsidR="003B02AE">
        <w:t xml:space="preserve"> AV synchron</w:t>
      </w:r>
      <w:r w:rsidR="002E3E86">
        <w:t xml:space="preserve">ous pacing </w:t>
      </w:r>
      <w:r w:rsidR="002E3E86" w:rsidRPr="00C0493E">
        <w:t>(VDD pacing)</w:t>
      </w:r>
      <w:r w:rsidR="003B02AE">
        <w:t xml:space="preserve">. </w:t>
      </w:r>
      <w:r w:rsidR="00053144">
        <w:t xml:space="preserve">The clinical algorithm presented in </w:t>
      </w:r>
      <w:hyperlink r:id="rId15" w:tooltip="This link goes to the MSAC webpage for MSAC application 1672">
        <w:r w:rsidR="00053144" w:rsidRPr="24DCBBD9">
          <w:rPr>
            <w:rStyle w:val="Hyperlink"/>
            <w:rFonts w:ascii="Calibri" w:hAnsi="Calibri"/>
          </w:rPr>
          <w:t xml:space="preserve">MSAC application </w:t>
        </w:r>
        <w:r w:rsidR="0020631A" w:rsidRPr="24DCBBD9">
          <w:rPr>
            <w:rStyle w:val="Hyperlink"/>
            <w:rFonts w:ascii="Calibri" w:hAnsi="Calibri"/>
          </w:rPr>
          <w:t>1672</w:t>
        </w:r>
      </w:hyperlink>
      <w:r w:rsidR="0020631A">
        <w:t xml:space="preserve"> (</w:t>
      </w:r>
      <w:r w:rsidR="00E70B2D">
        <w:t xml:space="preserve">PICO Confirmation, </w:t>
      </w:r>
      <w:r w:rsidR="0020631A">
        <w:t xml:space="preserve">Figure 3) </w:t>
      </w:r>
      <w:r w:rsidR="00D50B6F">
        <w:t>position</w:t>
      </w:r>
      <w:r w:rsidR="00D44C69">
        <w:t>ed</w:t>
      </w:r>
      <w:r w:rsidR="00D50B6F">
        <w:t xml:space="preserve"> </w:t>
      </w:r>
      <w:r w:rsidR="0020631A">
        <w:t xml:space="preserve">the Micra VR in the same place </w:t>
      </w:r>
      <w:r w:rsidR="00D50B6F">
        <w:t xml:space="preserve">as </w:t>
      </w:r>
      <w:r w:rsidR="0020631A">
        <w:t xml:space="preserve">the Micra AV in the </w:t>
      </w:r>
      <w:r w:rsidR="001D3B63">
        <w:t xml:space="preserve">current </w:t>
      </w:r>
      <w:r w:rsidR="0020631A">
        <w:t>clinical algorithm</w:t>
      </w:r>
      <w:r w:rsidR="001D3B63">
        <w:t xml:space="preserve"> proposed by the applicant</w:t>
      </w:r>
      <w:r w:rsidR="0020631A">
        <w:t xml:space="preserve">. </w:t>
      </w:r>
      <w:r w:rsidR="003B02AE">
        <w:t xml:space="preserve">This </w:t>
      </w:r>
      <w:r w:rsidR="004A4CE8">
        <w:t>suggests</w:t>
      </w:r>
      <w:r w:rsidR="003B02AE">
        <w:t xml:space="preserve"> that the Micra AV may replace </w:t>
      </w:r>
      <w:r w:rsidR="00797AA6">
        <w:t xml:space="preserve">some </w:t>
      </w:r>
      <w:r w:rsidR="00D927BB">
        <w:t xml:space="preserve">use of </w:t>
      </w:r>
      <w:r w:rsidR="003B02AE">
        <w:t>the Micra VR</w:t>
      </w:r>
      <w:r w:rsidR="00214E19">
        <w:t xml:space="preserve">, </w:t>
      </w:r>
      <w:r w:rsidR="00814A39">
        <w:t>which could be considered a secondary comparator in the subgroup of patients suitable for either device</w:t>
      </w:r>
      <w:r w:rsidR="00276099">
        <w:t>.</w:t>
      </w:r>
      <w:r w:rsidR="00D44C69">
        <w:t xml:space="preserve"> </w:t>
      </w:r>
      <w:r w:rsidR="00632AA3">
        <w:t>T</w:t>
      </w:r>
      <w:r w:rsidR="00F204D1">
        <w:t>he applicant confirmed that patients who transition from a Micra VR to a Micra AV</w:t>
      </w:r>
      <w:r w:rsidR="00797AA6">
        <w:t xml:space="preserve"> would</w:t>
      </w:r>
      <w:r w:rsidR="00F204D1">
        <w:t xml:space="preserve"> require </w:t>
      </w:r>
      <w:r w:rsidR="00B425DA">
        <w:t xml:space="preserve">permanent </w:t>
      </w:r>
      <w:r w:rsidR="00D05B4B">
        <w:t>deactivation</w:t>
      </w:r>
      <w:r w:rsidR="00432634">
        <w:t xml:space="preserve"> of the Micra </w:t>
      </w:r>
      <w:r w:rsidR="00414956">
        <w:t xml:space="preserve">VR </w:t>
      </w:r>
      <w:r w:rsidR="007E693E">
        <w:t xml:space="preserve">(programmed to ‘Device Off’) </w:t>
      </w:r>
      <w:r w:rsidR="00414956">
        <w:t xml:space="preserve">and </w:t>
      </w:r>
      <w:r w:rsidR="00F204D1">
        <w:t>insertion of a Micra AV device.</w:t>
      </w:r>
    </w:p>
    <w:p w14:paraId="4FE81AC8" w14:textId="1A61FF95" w:rsidR="00BC722C" w:rsidRDefault="7A84D595" w:rsidP="00F204D1">
      <w:r>
        <w:t>The</w:t>
      </w:r>
      <w:r w:rsidR="00B00D89">
        <w:t xml:space="preserve"> applicant provided additional information regarding the </w:t>
      </w:r>
      <w:r w:rsidR="002E3956">
        <w:t xml:space="preserve">overlap in the ARTG intended purpose </w:t>
      </w:r>
      <w:r w:rsidR="00411764">
        <w:t>for</w:t>
      </w:r>
      <w:r w:rsidR="002E3956">
        <w:t xml:space="preserve"> the Micra AV and Micra VR</w:t>
      </w:r>
      <w:r w:rsidR="000664AD">
        <w:t xml:space="preserve"> </w:t>
      </w:r>
      <w:r w:rsidR="0083515C">
        <w:t xml:space="preserve">for </w:t>
      </w:r>
      <w:r w:rsidR="0083515C" w:rsidRPr="0083515C">
        <w:t>paroxysmal or permanent high-grade AV block in the absence of AF</w:t>
      </w:r>
      <w:r w:rsidR="002E3956">
        <w:t xml:space="preserve">. </w:t>
      </w:r>
      <w:r w:rsidR="38852F47">
        <w:t xml:space="preserve">The </w:t>
      </w:r>
      <w:r w:rsidR="005461CD">
        <w:t>applicant noted</w:t>
      </w:r>
      <w:r w:rsidR="00EE2CB0" w:rsidRPr="00EE2CB0">
        <w:t xml:space="preserve"> that the overlap </w:t>
      </w:r>
      <w:r w:rsidR="002E3956">
        <w:t>wa</w:t>
      </w:r>
      <w:r w:rsidR="00EE2CB0" w:rsidRPr="00EE2CB0">
        <w:t xml:space="preserve">s a consequence of history and </w:t>
      </w:r>
      <w:r w:rsidR="005C228A">
        <w:t xml:space="preserve">the </w:t>
      </w:r>
      <w:r w:rsidR="00EE2CB0" w:rsidRPr="00EE2CB0">
        <w:t xml:space="preserve">clinical need for a </w:t>
      </w:r>
      <w:r w:rsidR="00EB6E02">
        <w:t>LPM</w:t>
      </w:r>
      <w:r w:rsidR="00EE2CB0" w:rsidRPr="00EE2CB0">
        <w:t xml:space="preserve"> in </w:t>
      </w:r>
      <w:r w:rsidR="00E92436">
        <w:t xml:space="preserve">these </w:t>
      </w:r>
      <w:r w:rsidR="00EE2CB0" w:rsidRPr="00EE2CB0">
        <w:t xml:space="preserve">patients at the time when </w:t>
      </w:r>
      <w:r w:rsidR="00E94413">
        <w:t xml:space="preserve">the </w:t>
      </w:r>
      <w:r w:rsidR="00EE2CB0" w:rsidRPr="00EE2CB0">
        <w:t>Micra VR was registered for use</w:t>
      </w:r>
      <w:r w:rsidR="0069329C">
        <w:t>,</w:t>
      </w:r>
      <w:r w:rsidR="00005CF5">
        <w:t xml:space="preserve"> and </w:t>
      </w:r>
      <w:r w:rsidR="00E94413">
        <w:t xml:space="preserve">the </w:t>
      </w:r>
      <w:r w:rsidR="00005CF5">
        <w:t>Micra AV was not available</w:t>
      </w:r>
      <w:r w:rsidR="00EE2CB0" w:rsidRPr="00EE2CB0">
        <w:t xml:space="preserve">. </w:t>
      </w:r>
      <w:r w:rsidR="00CA2128">
        <w:t>The applicant noted that the Micra VR</w:t>
      </w:r>
      <w:r w:rsidR="00EE2CB0" w:rsidRPr="00EE2CB0">
        <w:t xml:space="preserve"> reflects a suboptimal pacing option in the</w:t>
      </w:r>
      <w:r w:rsidR="00CA2128">
        <w:t>se patients</w:t>
      </w:r>
      <w:r w:rsidR="00EE2CB0" w:rsidRPr="00EE2CB0">
        <w:t xml:space="preserve">, given the lack of sensing in the atrium. </w:t>
      </w:r>
      <w:r w:rsidR="00706FC7">
        <w:t>T</w:t>
      </w:r>
      <w:r w:rsidR="00EE2CB0" w:rsidRPr="00EE2CB0">
        <w:t xml:space="preserve">he Micra AV is </w:t>
      </w:r>
      <w:r w:rsidR="00706FC7">
        <w:t xml:space="preserve">now </w:t>
      </w:r>
      <w:r w:rsidR="00EE2CB0" w:rsidRPr="00EE2CB0">
        <w:t>the preferred leadless option in patients with paroxysmal or permanent high-grade AV block in the absence of AF.</w:t>
      </w:r>
    </w:p>
    <w:p w14:paraId="69EAC5F8" w14:textId="74353717" w:rsidR="00910A1A" w:rsidRDefault="00910A1A" w:rsidP="00910A1A">
      <w:pPr>
        <w:pStyle w:val="Caption"/>
      </w:pPr>
      <w:bookmarkStart w:id="9" w:name="_Ref159580415"/>
      <w:r>
        <w:t xml:space="preserve">Table </w:t>
      </w:r>
      <w:r>
        <w:fldChar w:fldCharType="begin"/>
      </w:r>
      <w:r>
        <w:instrText xml:space="preserve"> SEQ Table \* ARABIC </w:instrText>
      </w:r>
      <w:r>
        <w:fldChar w:fldCharType="separate"/>
      </w:r>
      <w:r w:rsidR="00986B06">
        <w:rPr>
          <w:noProof/>
        </w:rPr>
        <w:t>5</w:t>
      </w:r>
      <w:r>
        <w:fldChar w:fldCharType="end"/>
      </w:r>
      <w:bookmarkEnd w:id="9"/>
      <w:r>
        <w:tab/>
      </w:r>
      <w:r w:rsidR="003D70F8" w:rsidRPr="003D70F8">
        <w:t>Summary of ARTG intended purpose for Micra AV and Micra VR</w:t>
      </w:r>
    </w:p>
    <w:tbl>
      <w:tblPr>
        <w:tblStyle w:val="TableGrid"/>
        <w:tblW w:w="0" w:type="auto"/>
        <w:tblInd w:w="0" w:type="dxa"/>
        <w:tblLook w:val="04A0" w:firstRow="1" w:lastRow="0" w:firstColumn="1" w:lastColumn="0" w:noHBand="0" w:noVBand="1"/>
        <w:tblCaption w:val="Summary of ARTG intended purpose for Micra AV and Micra VR"/>
        <w:tblDescription w:val="This table summarises the ARTG intended purpose for the Micra AV and Micra VR devices."/>
      </w:tblPr>
      <w:tblGrid>
        <w:gridCol w:w="4785"/>
        <w:gridCol w:w="4786"/>
      </w:tblGrid>
      <w:tr w:rsidR="003D70F8" w14:paraId="0FA5C9FA" w14:textId="77777777" w:rsidTr="00A54B6A">
        <w:trPr>
          <w:tblHeader/>
        </w:trPr>
        <w:tc>
          <w:tcPr>
            <w:tcW w:w="4785" w:type="dxa"/>
          </w:tcPr>
          <w:p w14:paraId="2B51074B" w14:textId="238879A2" w:rsidR="003D70F8" w:rsidRDefault="003D70F8" w:rsidP="003D70F8">
            <w:pPr>
              <w:pStyle w:val="TableHeading"/>
              <w:rPr>
                <w:lang w:val="en-GB"/>
              </w:rPr>
            </w:pPr>
            <w:r>
              <w:rPr>
                <w:lang w:val="en-GB"/>
              </w:rPr>
              <w:t>Micra AV</w:t>
            </w:r>
          </w:p>
        </w:tc>
        <w:tc>
          <w:tcPr>
            <w:tcW w:w="4786" w:type="dxa"/>
          </w:tcPr>
          <w:p w14:paraId="5E9184F0" w14:textId="30A76D4B" w:rsidR="003D70F8" w:rsidRDefault="003D70F8" w:rsidP="003D70F8">
            <w:pPr>
              <w:pStyle w:val="TableHeading"/>
              <w:rPr>
                <w:lang w:val="en-GB"/>
              </w:rPr>
            </w:pPr>
            <w:r>
              <w:rPr>
                <w:lang w:val="en-GB"/>
              </w:rPr>
              <w:t>Micra VR</w:t>
            </w:r>
          </w:p>
        </w:tc>
      </w:tr>
      <w:tr w:rsidR="003D70F8" w14:paraId="38C93A1F" w14:textId="77777777" w:rsidTr="003D70F8">
        <w:tc>
          <w:tcPr>
            <w:tcW w:w="4785" w:type="dxa"/>
          </w:tcPr>
          <w:p w14:paraId="5E86EE85" w14:textId="60AD07A1" w:rsidR="006D7552" w:rsidRPr="006D7552" w:rsidRDefault="006D7552" w:rsidP="00C57EEE">
            <w:pPr>
              <w:pStyle w:val="TableText0"/>
              <w:numPr>
                <w:ilvl w:val="0"/>
                <w:numId w:val="5"/>
              </w:numPr>
              <w:rPr>
                <w:lang w:val="en-GB" w:eastAsia="ja-JP"/>
              </w:rPr>
            </w:pPr>
            <w:r w:rsidRPr="006D7552">
              <w:rPr>
                <w:lang w:val="en-GB" w:eastAsia="ja-JP"/>
              </w:rPr>
              <w:t>VDD pacing in patients when a dual chamber transvenous pacing system is considered a poor option (</w:t>
            </w:r>
            <w:proofErr w:type="gramStart"/>
            <w:r w:rsidRPr="006D7552">
              <w:rPr>
                <w:lang w:val="en-GB" w:eastAsia="ja-JP"/>
              </w:rPr>
              <w:t>e.g.</w:t>
            </w:r>
            <w:proofErr w:type="gramEnd"/>
            <w:r w:rsidRPr="006D7552">
              <w:rPr>
                <w:lang w:val="en-GB" w:eastAsia="ja-JP"/>
              </w:rPr>
              <w:t xml:space="preserve"> tortuous anatomy, a need to preserve venous access, or increased risk of infection) or not deemed necessary for effective therapy.</w:t>
            </w:r>
          </w:p>
          <w:p w14:paraId="79795F45" w14:textId="17C3FB66" w:rsidR="006D7552" w:rsidRPr="006D7552" w:rsidRDefault="006D7552" w:rsidP="00C57EEE">
            <w:pPr>
              <w:pStyle w:val="TableText0"/>
              <w:numPr>
                <w:ilvl w:val="0"/>
                <w:numId w:val="5"/>
              </w:numPr>
              <w:rPr>
                <w:lang w:val="en-GB" w:eastAsia="ja-JP"/>
              </w:rPr>
            </w:pPr>
            <w:r w:rsidRPr="006D7552">
              <w:rPr>
                <w:lang w:val="en-GB" w:eastAsia="ja-JP"/>
              </w:rPr>
              <w:t>When a right ventricular transcatheter pacing system promoting AV synchrony at rest is acceptable.</w:t>
            </w:r>
          </w:p>
          <w:p w14:paraId="4048DD0B" w14:textId="5490442E" w:rsidR="006D7552" w:rsidRPr="006D7552" w:rsidRDefault="006D7552" w:rsidP="00C57EEE">
            <w:pPr>
              <w:pStyle w:val="TableText0"/>
              <w:numPr>
                <w:ilvl w:val="0"/>
                <w:numId w:val="5"/>
              </w:numPr>
              <w:rPr>
                <w:lang w:val="en-GB" w:eastAsia="ja-JP"/>
              </w:rPr>
            </w:pPr>
            <w:r w:rsidRPr="006D7552">
              <w:rPr>
                <w:lang w:val="en-GB" w:eastAsia="ja-JP"/>
              </w:rPr>
              <w:t>Patients who have experienced one of the following:</w:t>
            </w:r>
          </w:p>
          <w:p w14:paraId="4654B5F4" w14:textId="3D948788" w:rsidR="006D7552" w:rsidRPr="006D7552" w:rsidRDefault="00C43805" w:rsidP="00C57EEE">
            <w:pPr>
              <w:pStyle w:val="TableText0"/>
              <w:numPr>
                <w:ilvl w:val="1"/>
                <w:numId w:val="5"/>
              </w:numPr>
              <w:rPr>
                <w:lang w:val="en-GB" w:eastAsia="ja-JP"/>
              </w:rPr>
            </w:pPr>
            <w:r>
              <w:rPr>
                <w:lang w:val="en-GB" w:eastAsia="ja-JP"/>
              </w:rPr>
              <w:t>p</w:t>
            </w:r>
            <w:r w:rsidR="006D7552" w:rsidRPr="006D7552">
              <w:rPr>
                <w:lang w:val="en-GB" w:eastAsia="ja-JP"/>
              </w:rPr>
              <w:t>aroxysmal or permanent high-grade AV block in the absence of AF</w:t>
            </w:r>
          </w:p>
          <w:p w14:paraId="3AD52C01" w14:textId="062038B0" w:rsidR="006D7552" w:rsidRPr="006D7552" w:rsidRDefault="00C43805" w:rsidP="00C57EEE">
            <w:pPr>
              <w:pStyle w:val="TableText0"/>
              <w:numPr>
                <w:ilvl w:val="1"/>
                <w:numId w:val="5"/>
              </w:numPr>
              <w:rPr>
                <w:lang w:val="en-GB" w:eastAsia="ja-JP"/>
              </w:rPr>
            </w:pPr>
            <w:r>
              <w:rPr>
                <w:lang w:val="en-GB" w:eastAsia="ja-JP"/>
              </w:rPr>
              <w:t>p</w:t>
            </w:r>
            <w:r w:rsidR="006D7552" w:rsidRPr="006D7552">
              <w:rPr>
                <w:lang w:val="en-GB" w:eastAsia="ja-JP"/>
              </w:rPr>
              <w:t>aroxysmal or permanent high-grade AV block in the presence of paroxysmal AF</w:t>
            </w:r>
          </w:p>
          <w:p w14:paraId="664226AD" w14:textId="71641398" w:rsidR="003D70F8" w:rsidRDefault="00C43805" w:rsidP="00C57EEE">
            <w:pPr>
              <w:pStyle w:val="TableText0"/>
              <w:numPr>
                <w:ilvl w:val="1"/>
                <w:numId w:val="5"/>
              </w:numPr>
              <w:rPr>
                <w:lang w:val="en-GB" w:eastAsia="ja-JP"/>
              </w:rPr>
            </w:pPr>
            <w:r>
              <w:rPr>
                <w:lang w:val="en-GB" w:eastAsia="ja-JP"/>
              </w:rPr>
              <w:t>p</w:t>
            </w:r>
            <w:r w:rsidR="006D7552" w:rsidRPr="006D7552">
              <w:rPr>
                <w:lang w:val="en-GB" w:eastAsia="ja-JP"/>
              </w:rPr>
              <w:t>aroxysmal or permanent high-grade AV block in the presence of persistent AF when attempts at restoring sinus rhythm are still planned.</w:t>
            </w:r>
          </w:p>
        </w:tc>
        <w:tc>
          <w:tcPr>
            <w:tcW w:w="4786" w:type="dxa"/>
          </w:tcPr>
          <w:p w14:paraId="78D05505" w14:textId="6480A9F6" w:rsidR="00154D7D" w:rsidRPr="00154D7D" w:rsidRDefault="00154D7D" w:rsidP="00C57EEE">
            <w:pPr>
              <w:pStyle w:val="TableText0"/>
              <w:numPr>
                <w:ilvl w:val="0"/>
                <w:numId w:val="5"/>
              </w:numPr>
              <w:rPr>
                <w:lang w:val="en-GB" w:eastAsia="ja-JP"/>
              </w:rPr>
            </w:pPr>
            <w:r w:rsidRPr="00154D7D">
              <w:rPr>
                <w:lang w:val="en-GB" w:eastAsia="ja-JP"/>
              </w:rPr>
              <w:t>Indicated for use in patients who have experienced one or more of the following conditions:</w:t>
            </w:r>
          </w:p>
          <w:p w14:paraId="6B5A940E" w14:textId="57255137" w:rsidR="00154D7D" w:rsidRPr="00154D7D" w:rsidRDefault="00154D7D" w:rsidP="00C57EEE">
            <w:pPr>
              <w:pStyle w:val="TableText0"/>
              <w:numPr>
                <w:ilvl w:val="1"/>
                <w:numId w:val="5"/>
              </w:numPr>
              <w:rPr>
                <w:lang w:val="en-GB" w:eastAsia="ja-JP"/>
              </w:rPr>
            </w:pPr>
            <w:r w:rsidRPr="00154D7D">
              <w:rPr>
                <w:lang w:val="en-GB" w:eastAsia="ja-JP"/>
              </w:rPr>
              <w:t>symptomatic paroxysmal or permanent high-grade AV block in the presence of AF</w:t>
            </w:r>
          </w:p>
          <w:p w14:paraId="0CEEC504" w14:textId="4DA98E09" w:rsidR="00154D7D" w:rsidRPr="00154D7D" w:rsidRDefault="00154D7D" w:rsidP="00C57EEE">
            <w:pPr>
              <w:pStyle w:val="TableText0"/>
              <w:numPr>
                <w:ilvl w:val="1"/>
                <w:numId w:val="5"/>
              </w:numPr>
              <w:rPr>
                <w:lang w:val="en-GB" w:eastAsia="ja-JP"/>
              </w:rPr>
            </w:pPr>
            <w:r w:rsidRPr="00154D7D">
              <w:rPr>
                <w:lang w:val="en-GB" w:eastAsia="ja-JP"/>
              </w:rPr>
              <w:t xml:space="preserve">symptomatic paroxysmal or permanent high-grade AV block in the absence of AF, as an alternative to dual chamber pacing, when atrial lead placement is considered difficult, high risk, or not deemed necessary for effective </w:t>
            </w:r>
            <w:proofErr w:type="gramStart"/>
            <w:r w:rsidRPr="00154D7D">
              <w:rPr>
                <w:lang w:val="en-GB" w:eastAsia="ja-JP"/>
              </w:rPr>
              <w:t>therapy</w:t>
            </w:r>
            <w:proofErr w:type="gramEnd"/>
          </w:p>
          <w:p w14:paraId="12D2B728" w14:textId="6720D032" w:rsidR="003D70F8" w:rsidRDefault="00154D7D" w:rsidP="00C57EEE">
            <w:pPr>
              <w:pStyle w:val="TableText0"/>
              <w:numPr>
                <w:ilvl w:val="1"/>
                <w:numId w:val="5"/>
              </w:numPr>
              <w:rPr>
                <w:lang w:val="en-GB" w:eastAsia="ja-JP"/>
              </w:rPr>
            </w:pPr>
            <w:r w:rsidRPr="00154D7D">
              <w:rPr>
                <w:lang w:val="en-GB" w:eastAsia="ja-JP"/>
              </w:rPr>
              <w:t>symptomatic bradycardia-tachycardia syndrome or sinus node dysfunction (sinus bradycardia or sinus pauses), as an alternative to atrial or dual chamber pacing, when atrial lead placement is considered difficult, high risk, or not deemed necessary for effective therapy.</w:t>
            </w:r>
          </w:p>
        </w:tc>
      </w:tr>
    </w:tbl>
    <w:p w14:paraId="4257616F" w14:textId="5965BE2D" w:rsidR="00A5708F" w:rsidRDefault="00A5708F" w:rsidP="00A5708F">
      <w:pPr>
        <w:pStyle w:val="Tablenotes"/>
        <w:spacing w:after="0"/>
        <w:rPr>
          <w:lang w:val="en-GB" w:eastAsia="ja-JP"/>
        </w:rPr>
      </w:pPr>
      <w:r>
        <w:rPr>
          <w:lang w:val="en-GB" w:eastAsia="ja-JP"/>
        </w:rPr>
        <w:t xml:space="preserve">AF = atrial fibrillation; </w:t>
      </w:r>
      <w:r w:rsidRPr="00972663">
        <w:rPr>
          <w:lang w:val="en-GB" w:eastAsia="ja-JP"/>
        </w:rPr>
        <w:t>ARTG = Australian Register of Therapeutic Goods</w:t>
      </w:r>
      <w:r>
        <w:rPr>
          <w:lang w:val="en-GB" w:eastAsia="ja-JP"/>
        </w:rPr>
        <w:t>; AV = atrioventricular.</w:t>
      </w:r>
    </w:p>
    <w:p w14:paraId="0EE6F09A" w14:textId="4D65D723" w:rsidR="003D70F8" w:rsidRPr="003D70F8" w:rsidRDefault="00A04757" w:rsidP="00065ED1">
      <w:pPr>
        <w:pStyle w:val="Tablenotes"/>
        <w:spacing w:after="240"/>
        <w:rPr>
          <w:lang w:val="en-GB" w:eastAsia="ja-JP"/>
        </w:rPr>
      </w:pPr>
      <w:r>
        <w:rPr>
          <w:lang w:val="en-GB" w:eastAsia="ja-JP"/>
        </w:rPr>
        <w:t xml:space="preserve">Source: </w:t>
      </w:r>
      <w:r w:rsidR="00955E4C">
        <w:rPr>
          <w:lang w:val="en-GB" w:eastAsia="ja-JP"/>
        </w:rPr>
        <w:t xml:space="preserve">ARTG Public Summary </w:t>
      </w:r>
      <w:r w:rsidR="00762B91">
        <w:rPr>
          <w:lang w:val="en-GB" w:eastAsia="ja-JP"/>
        </w:rPr>
        <w:t>d</w:t>
      </w:r>
      <w:r w:rsidR="00955E4C">
        <w:rPr>
          <w:lang w:val="en-GB" w:eastAsia="ja-JP"/>
        </w:rPr>
        <w:t>ocuments</w:t>
      </w:r>
      <w:r w:rsidR="00150895">
        <w:rPr>
          <w:lang w:val="en-GB" w:eastAsia="ja-JP"/>
        </w:rPr>
        <w:t xml:space="preserve"> for ARTG entries </w:t>
      </w:r>
      <w:r w:rsidR="00150895" w:rsidRPr="00150895">
        <w:rPr>
          <w:lang w:val="en-GB" w:eastAsia="ja-JP"/>
        </w:rPr>
        <w:t>376750</w:t>
      </w:r>
      <w:r w:rsidR="00150895">
        <w:rPr>
          <w:lang w:val="en-GB" w:eastAsia="ja-JP"/>
        </w:rPr>
        <w:t xml:space="preserve">, </w:t>
      </w:r>
      <w:r w:rsidR="00150895" w:rsidRPr="00265976">
        <w:rPr>
          <w:lang w:val="en-GB" w:eastAsia="ja-JP"/>
        </w:rPr>
        <w:t>391833</w:t>
      </w:r>
      <w:r w:rsidR="00150895">
        <w:rPr>
          <w:lang w:val="en-GB" w:eastAsia="ja-JP"/>
        </w:rPr>
        <w:t xml:space="preserve">, </w:t>
      </w:r>
      <w:r w:rsidR="00D019F2" w:rsidRPr="00D019F2">
        <w:rPr>
          <w:lang w:val="en-GB" w:eastAsia="ja-JP"/>
        </w:rPr>
        <w:t>391832 and 283235</w:t>
      </w:r>
      <w:r>
        <w:rPr>
          <w:lang w:val="en-GB" w:eastAsia="ja-JP"/>
        </w:rPr>
        <w:t>.</w:t>
      </w:r>
    </w:p>
    <w:p w14:paraId="66C14756" w14:textId="2D248D3D" w:rsidR="00982845" w:rsidRDefault="00982845" w:rsidP="00B4701B">
      <w:r w:rsidRPr="00925527">
        <w:rPr>
          <w:i/>
          <w:iCs/>
        </w:rPr>
        <w:t>PASC note</w:t>
      </w:r>
      <w:r>
        <w:rPr>
          <w:i/>
          <w:iCs/>
        </w:rPr>
        <w:t>d</w:t>
      </w:r>
      <w:r w:rsidRPr="00925527">
        <w:rPr>
          <w:i/>
          <w:iCs/>
        </w:rPr>
        <w:t xml:space="preserve"> there would be some patients in whom the Micra AV would replace the Micra VR due to the overlapping indications for use. It was noted that while the main comparator may be a DC-TVPM, for the purpose of PL benefit setting, superiority of the Micra AV over the Micra VR would need to be demonstrated if the applicant intends to seek a higher benefit for the Micra AV than the Micra VR. PASC advised that it will be difficult to show that the limited AV synchrony provided by the Micra AV has significant advantages over no AV synchrony with the Micra VR device and considered that any advantage is likely to be small. PASC noted the benefit of maintaining AV synchrony at rest is unclear.</w:t>
      </w:r>
    </w:p>
    <w:p w14:paraId="1196B43C" w14:textId="2B13C987" w:rsidR="00594F72" w:rsidRDefault="00EE2342" w:rsidP="00594F72">
      <w:r>
        <w:lastRenderedPageBreak/>
        <w:t>T</w:t>
      </w:r>
      <w:r w:rsidR="00F35446">
        <w:t>he application d</w:t>
      </w:r>
      <w:r w:rsidR="00EC0DFA">
        <w:t>id</w:t>
      </w:r>
      <w:r w:rsidR="00F35446">
        <w:t xml:space="preserve"> not </w:t>
      </w:r>
      <w:r w:rsidR="00D95DCE">
        <w:t>address</w:t>
      </w:r>
      <w:r w:rsidR="003B225E">
        <w:t xml:space="preserve"> the current treatment options for </w:t>
      </w:r>
      <w:r w:rsidR="00EC04BA">
        <w:t xml:space="preserve">patients in whom </w:t>
      </w:r>
      <w:r w:rsidR="00AF6252">
        <w:t xml:space="preserve">a </w:t>
      </w:r>
      <w:r w:rsidR="00EC04BA" w:rsidRPr="00EC04BA">
        <w:t>dual chamber transvenous pacing system is considered a poor option or not deemed necessary for effective therapy</w:t>
      </w:r>
      <w:r w:rsidR="00E53DCA">
        <w:t xml:space="preserve"> (as per the ARTG intended purpose </w:t>
      </w:r>
      <w:r w:rsidR="002E06BC">
        <w:t>for</w:t>
      </w:r>
      <w:r w:rsidR="00E53DCA">
        <w:t xml:space="preserve"> the Micra AV device)</w:t>
      </w:r>
      <w:r w:rsidR="00AF6252">
        <w:t xml:space="preserve">. </w:t>
      </w:r>
      <w:r w:rsidR="00AC0E05">
        <w:t xml:space="preserve">During the </w:t>
      </w:r>
      <w:r w:rsidR="00B729C9">
        <w:t>p</w:t>
      </w:r>
      <w:r w:rsidR="00AC0E05">
        <w:t>re-PASC meeting</w:t>
      </w:r>
      <w:r w:rsidR="0013253F">
        <w:t>,</w:t>
      </w:r>
      <w:r w:rsidR="00AC0E05">
        <w:t xml:space="preserve"> the applicant advised that </w:t>
      </w:r>
      <w:r w:rsidR="004F4906">
        <w:t xml:space="preserve">despite </w:t>
      </w:r>
      <w:r w:rsidR="003B0CFA">
        <w:t xml:space="preserve">a </w:t>
      </w:r>
      <w:r w:rsidR="00715AF3">
        <w:t xml:space="preserve">TVPM </w:t>
      </w:r>
      <w:r w:rsidR="004F4906">
        <w:t xml:space="preserve">being </w:t>
      </w:r>
      <w:r w:rsidR="00E039F1">
        <w:t>considered a poor option</w:t>
      </w:r>
      <w:r w:rsidR="00551B8F">
        <w:t xml:space="preserve"> in </w:t>
      </w:r>
      <w:r w:rsidR="003E31C7">
        <w:t xml:space="preserve">some </w:t>
      </w:r>
      <w:r w:rsidR="00551B8F">
        <w:t>patients</w:t>
      </w:r>
      <w:r w:rsidR="00E039F1">
        <w:t xml:space="preserve">, </w:t>
      </w:r>
      <w:r w:rsidR="00881786">
        <w:t xml:space="preserve">a </w:t>
      </w:r>
      <w:r w:rsidR="00551B8F">
        <w:t xml:space="preserve">DC-TVPM </w:t>
      </w:r>
      <w:r w:rsidR="006B1C45">
        <w:t>would</w:t>
      </w:r>
      <w:r w:rsidR="00881786">
        <w:t xml:space="preserve"> still </w:t>
      </w:r>
      <w:r w:rsidR="006B1C45">
        <w:t xml:space="preserve">be </w:t>
      </w:r>
      <w:r w:rsidR="00881786">
        <w:t xml:space="preserve">used </w:t>
      </w:r>
      <w:r w:rsidR="00E039F1">
        <w:t xml:space="preserve">for pacing. </w:t>
      </w:r>
      <w:r w:rsidR="00881786">
        <w:t>Where a contraindication exists</w:t>
      </w:r>
      <w:r w:rsidR="0065324C">
        <w:t xml:space="preserve"> to a TVPM</w:t>
      </w:r>
      <w:r w:rsidR="00881786">
        <w:t xml:space="preserve">, the applicant advised that an </w:t>
      </w:r>
      <w:r w:rsidR="00642B1C">
        <w:t xml:space="preserve">epicardial pacemaker may be </w:t>
      </w:r>
      <w:r w:rsidR="00617CFC">
        <w:t xml:space="preserve">an </w:t>
      </w:r>
      <w:r w:rsidR="00412246">
        <w:t>option,</w:t>
      </w:r>
      <w:r w:rsidR="00586502">
        <w:t xml:space="preserve"> but </w:t>
      </w:r>
      <w:r w:rsidR="001C58CF">
        <w:t>these systems are</w:t>
      </w:r>
      <w:r w:rsidR="00E243B4">
        <w:t xml:space="preserve"> rarely used</w:t>
      </w:r>
      <w:r w:rsidR="00642B1C">
        <w:t>.</w:t>
      </w:r>
      <w:r w:rsidR="001C58CF">
        <w:t xml:space="preserve"> </w:t>
      </w:r>
    </w:p>
    <w:p w14:paraId="29C1EA87" w14:textId="4355FC35" w:rsidR="007A66C8" w:rsidRPr="00F87B4A" w:rsidRDefault="007A66C8" w:rsidP="00901E9B">
      <w:pPr>
        <w:pStyle w:val="Heading3"/>
        <w:rPr>
          <w:color w:val="0070C0"/>
        </w:rPr>
      </w:pPr>
      <w:r w:rsidRPr="00F87B4A">
        <w:rPr>
          <w:color w:val="0070C0"/>
        </w:rPr>
        <w:t xml:space="preserve">Outcomes </w:t>
      </w:r>
    </w:p>
    <w:p w14:paraId="748B61FF" w14:textId="1DA6A739" w:rsidR="00CD6804" w:rsidRDefault="000E2C92" w:rsidP="00901E9B">
      <w:pPr>
        <w:keepNext/>
      </w:pPr>
      <w:r>
        <w:t xml:space="preserve">The outcomes </w:t>
      </w:r>
      <w:r w:rsidR="00F53E82">
        <w:t xml:space="preserve">proposed </w:t>
      </w:r>
      <w:r>
        <w:t xml:space="preserve">to assess the clinical claims are </w:t>
      </w:r>
      <w:r w:rsidR="004A09EA">
        <w:t>summarised</w:t>
      </w:r>
      <w:r>
        <w:t xml:space="preserve"> in </w:t>
      </w:r>
      <w:r>
        <w:fldChar w:fldCharType="begin"/>
      </w:r>
      <w:r>
        <w:instrText xml:space="preserve"> REF _Ref148692178 \h </w:instrText>
      </w:r>
      <w:r>
        <w:fldChar w:fldCharType="separate"/>
      </w:r>
      <w:r w:rsidR="00986B06">
        <w:t xml:space="preserve">Table </w:t>
      </w:r>
      <w:r w:rsidR="00986B06">
        <w:rPr>
          <w:noProof/>
        </w:rPr>
        <w:t>6</w:t>
      </w:r>
      <w:r>
        <w:fldChar w:fldCharType="end"/>
      </w:r>
      <w:r>
        <w:t>.</w:t>
      </w:r>
    </w:p>
    <w:p w14:paraId="6DDD4995" w14:textId="5F5C1B17" w:rsidR="003D6906" w:rsidRDefault="003D6906" w:rsidP="003D6906">
      <w:pPr>
        <w:pStyle w:val="Instructionaltext"/>
        <w:rPr>
          <w:color w:val="auto"/>
        </w:rPr>
      </w:pPr>
      <w:r w:rsidRPr="00CE1415">
        <w:rPr>
          <w:color w:val="auto"/>
        </w:rPr>
        <w:t xml:space="preserve">Battery </w:t>
      </w:r>
      <w:r>
        <w:rPr>
          <w:color w:val="auto"/>
        </w:rPr>
        <w:t>life</w:t>
      </w:r>
      <w:r w:rsidRPr="00CE1415">
        <w:rPr>
          <w:color w:val="auto"/>
        </w:rPr>
        <w:t xml:space="preserve"> is an important consideration </w:t>
      </w:r>
      <w:r w:rsidRPr="00FF3034">
        <w:rPr>
          <w:color w:val="auto"/>
        </w:rPr>
        <w:t>for the Micra</w:t>
      </w:r>
      <w:r w:rsidR="008E6490">
        <w:rPr>
          <w:color w:val="auto"/>
        </w:rPr>
        <w:t xml:space="preserve"> </w:t>
      </w:r>
      <w:r w:rsidRPr="00FF3034">
        <w:rPr>
          <w:color w:val="auto"/>
        </w:rPr>
        <w:t>AV as it will determine the number of replacement devices the patient may need in their lifetime</w:t>
      </w:r>
      <w:r>
        <w:rPr>
          <w:color w:val="auto"/>
        </w:rPr>
        <w:t xml:space="preserve">. This will impact the financial </w:t>
      </w:r>
      <w:r w:rsidRPr="00FF3034">
        <w:rPr>
          <w:color w:val="auto"/>
        </w:rPr>
        <w:t>costs and cumulative risks associated with reintervention for device replacement.</w:t>
      </w:r>
      <w:r w:rsidRPr="00CE1415">
        <w:rPr>
          <w:color w:val="auto"/>
        </w:rPr>
        <w:t xml:space="preserve"> Long-term real-world data are preferable to bench testing to support battery life claims.</w:t>
      </w:r>
    </w:p>
    <w:p w14:paraId="5D5CD49C" w14:textId="056A306C" w:rsidR="003D6906" w:rsidRDefault="003D6906" w:rsidP="003D6906">
      <w:pPr>
        <w:pStyle w:val="Instructionaltext"/>
        <w:rPr>
          <w:color w:val="auto"/>
        </w:rPr>
      </w:pPr>
      <w:r w:rsidRPr="00B9481C">
        <w:rPr>
          <w:color w:val="auto"/>
        </w:rPr>
        <w:t xml:space="preserve">Major procedure-related or device-related complications are those that resulted in death, permanent loss of device function </w:t>
      </w:r>
      <w:proofErr w:type="gramStart"/>
      <w:r w:rsidRPr="00B9481C">
        <w:rPr>
          <w:color w:val="auto"/>
        </w:rPr>
        <w:t>as a result of</w:t>
      </w:r>
      <w:proofErr w:type="gramEnd"/>
      <w:r w:rsidRPr="00B9481C">
        <w:rPr>
          <w:color w:val="auto"/>
        </w:rPr>
        <w:t xml:space="preserve"> mechanical or electrical dysfunction, hospitalisation, prolongation of hospitalisation by at least 48 hours, or system revision.</w:t>
      </w:r>
    </w:p>
    <w:p w14:paraId="4D554BB3" w14:textId="2D84D97C" w:rsidR="003D6906" w:rsidRDefault="003D6906" w:rsidP="003D6906">
      <w:r w:rsidRPr="00DB7A32">
        <w:t xml:space="preserve">Major complications related to cardiac perforation </w:t>
      </w:r>
      <w:r>
        <w:t>are of particular interest</w:t>
      </w:r>
      <w:r w:rsidRPr="00DB7A32">
        <w:t xml:space="preserve"> </w:t>
      </w:r>
      <w:r>
        <w:t>given</w:t>
      </w:r>
      <w:r w:rsidRPr="00DB7A32">
        <w:t xml:space="preserve"> the </w:t>
      </w:r>
      <w:r w:rsidRPr="007657AD">
        <w:t>FDA Letter to Health Care Providers</w:t>
      </w:r>
      <w:r w:rsidRPr="00DB7A32">
        <w:t xml:space="preserve"> in November 2021</w:t>
      </w:r>
      <w:r w:rsidR="007657AD">
        <w:t xml:space="preserve"> (FDA </w:t>
      </w:r>
      <w:r w:rsidR="00B015C2">
        <w:t xml:space="preserve">Letter, </w:t>
      </w:r>
      <w:r w:rsidR="007657AD">
        <w:t>2021)</w:t>
      </w:r>
      <w:r>
        <w:t xml:space="preserve">. The letter noted that while the risk of cardiac perforation </w:t>
      </w:r>
      <w:r w:rsidR="001C0DA3">
        <w:t xml:space="preserve">appeared </w:t>
      </w:r>
      <w:r>
        <w:t xml:space="preserve">similar for </w:t>
      </w:r>
      <w:r w:rsidR="00CB460C">
        <w:t>LPM</w:t>
      </w:r>
      <w:r>
        <w:t xml:space="preserve"> and traditional </w:t>
      </w:r>
      <w:r w:rsidR="009146D4">
        <w:t>TVPM</w:t>
      </w:r>
      <w:r>
        <w:t xml:space="preserve"> implantation, premarket studies of the </w:t>
      </w:r>
      <w:r w:rsidRPr="00F22027">
        <w:t xml:space="preserve">Medtronic Micra </w:t>
      </w:r>
      <w:r w:rsidR="006E410E">
        <w:t>VR</w:t>
      </w:r>
      <w:r w:rsidR="006E410E" w:rsidRPr="00F22027">
        <w:t xml:space="preserve"> </w:t>
      </w:r>
      <w:r w:rsidRPr="00F22027">
        <w:t>suggest</w:t>
      </w:r>
      <w:r>
        <w:t>ed that</w:t>
      </w:r>
      <w:r w:rsidRPr="00F22027">
        <w:t xml:space="preserve"> major complications related to cardiac perforation appeared to be more severe for patients who received a </w:t>
      </w:r>
      <w:r w:rsidR="006E410E">
        <w:t>Micra VR</w:t>
      </w:r>
      <w:r w:rsidR="006E410E" w:rsidRPr="00F22027">
        <w:t xml:space="preserve"> </w:t>
      </w:r>
      <w:r w:rsidR="00CB460C">
        <w:t>than</w:t>
      </w:r>
      <w:r w:rsidRPr="00F22027">
        <w:t xml:space="preserve"> </w:t>
      </w:r>
      <w:r>
        <w:t>those</w:t>
      </w:r>
      <w:r w:rsidRPr="00F22027">
        <w:t xml:space="preserve"> who received a </w:t>
      </w:r>
      <w:r w:rsidR="00D06F72">
        <w:t>TVPM</w:t>
      </w:r>
      <w:r>
        <w:t>.</w:t>
      </w:r>
      <w:r w:rsidR="00B26226">
        <w:t xml:space="preserve"> </w:t>
      </w:r>
      <w:r w:rsidR="007B19F6">
        <w:t>Subs</w:t>
      </w:r>
      <w:r w:rsidR="00BF6DBF">
        <w:t xml:space="preserve">equent </w:t>
      </w:r>
      <w:r w:rsidR="007A7DD6">
        <w:t>FDA evaluation</w:t>
      </w:r>
      <w:r w:rsidR="0073382B">
        <w:t>s</w:t>
      </w:r>
      <w:r w:rsidR="007A7DD6">
        <w:t xml:space="preserve"> of real</w:t>
      </w:r>
      <w:r w:rsidR="005F5EEB">
        <w:t>-</w:t>
      </w:r>
      <w:r w:rsidR="007A7DD6">
        <w:t xml:space="preserve">world data </w:t>
      </w:r>
      <w:r w:rsidR="00B26226">
        <w:t>further supported</w:t>
      </w:r>
      <w:r w:rsidR="003261C6">
        <w:t xml:space="preserve"> the findings</w:t>
      </w:r>
      <w:r w:rsidR="009A2C36">
        <w:t xml:space="preserve"> at the time the letter was published</w:t>
      </w:r>
      <w:r w:rsidR="000E70FF">
        <w:t>.</w:t>
      </w:r>
    </w:p>
    <w:p w14:paraId="6E2DBB37" w14:textId="298686DD" w:rsidR="00481432" w:rsidRDefault="00E13832" w:rsidP="003D6906">
      <w:r>
        <w:t>C</w:t>
      </w:r>
      <w:r w:rsidR="000E2D68">
        <w:t xml:space="preserve">linical </w:t>
      </w:r>
      <w:r w:rsidR="000F1648">
        <w:t>e</w:t>
      </w:r>
      <w:r w:rsidR="00D2430F">
        <w:t xml:space="preserve">xperience with the Micra VR device may </w:t>
      </w:r>
      <w:r w:rsidR="00801BEE">
        <w:t xml:space="preserve">be used </w:t>
      </w:r>
      <w:r w:rsidR="002D4336">
        <w:t>as supportive evidence for</w:t>
      </w:r>
      <w:r w:rsidR="00801BEE">
        <w:t xml:space="preserve"> the safety of Micra AV</w:t>
      </w:r>
      <w:r w:rsidR="008A2DE6">
        <w:t>, given these</w:t>
      </w:r>
      <w:r w:rsidR="00481432">
        <w:t xml:space="preserve"> </w:t>
      </w:r>
      <w:r w:rsidR="00B86838">
        <w:t xml:space="preserve">devices </w:t>
      </w:r>
      <w:r w:rsidR="00481432">
        <w:t xml:space="preserve">are </w:t>
      </w:r>
      <w:r w:rsidR="00CF480D">
        <w:t>identical in term</w:t>
      </w:r>
      <w:r w:rsidR="00DC6C92">
        <w:t xml:space="preserve">s of physical </w:t>
      </w:r>
      <w:r w:rsidR="0013171D">
        <w:t xml:space="preserve">dimensions </w:t>
      </w:r>
      <w:r w:rsidR="00481432">
        <w:t>and implant procedure</w:t>
      </w:r>
      <w:r w:rsidR="00F46DE1">
        <w:t>.</w:t>
      </w:r>
      <w:r w:rsidR="001E37F6">
        <w:t xml:space="preserve"> </w:t>
      </w:r>
      <w:r w:rsidR="008D53DA">
        <w:t>However</w:t>
      </w:r>
      <w:r w:rsidR="008F470E">
        <w:t>, real-world data has shown a</w:t>
      </w:r>
      <w:r w:rsidR="008F470E" w:rsidRPr="00FF10D0">
        <w:t xml:space="preserve"> </w:t>
      </w:r>
      <w:r w:rsidR="008F470E">
        <w:t xml:space="preserve">significantly higher </w:t>
      </w:r>
      <w:r w:rsidR="008F470E" w:rsidRPr="00FF10D0">
        <w:t>rate of perforation in patients implanted with Micra AV tha</w:t>
      </w:r>
      <w:r w:rsidR="008F470E">
        <w:t>n</w:t>
      </w:r>
      <w:r w:rsidR="008F470E" w:rsidRPr="00FF10D0">
        <w:t xml:space="preserve"> in patients implanted with Micra VR, </w:t>
      </w:r>
      <w:r w:rsidR="00C41732">
        <w:t xml:space="preserve">which the </w:t>
      </w:r>
      <w:r w:rsidR="000541BD">
        <w:t xml:space="preserve">study </w:t>
      </w:r>
      <w:r w:rsidR="00C41732">
        <w:t xml:space="preserve">authors </w:t>
      </w:r>
      <w:r w:rsidR="008F470E">
        <w:t>attributed to</w:t>
      </w:r>
      <w:r w:rsidR="008F470E" w:rsidRPr="00FF10D0">
        <w:t xml:space="preserve"> patients implanted with Micra AV being more likely to have risk factors that predispose them to perforation</w:t>
      </w:r>
      <w:r w:rsidR="008F470E">
        <w:t xml:space="preserve"> (Crossley et al. 2024).</w:t>
      </w:r>
    </w:p>
    <w:p w14:paraId="65B79C0D" w14:textId="744BF238" w:rsidR="00C02601" w:rsidRDefault="00C02601" w:rsidP="003D6906">
      <w:r w:rsidRPr="00021E36">
        <w:rPr>
          <w:i/>
          <w:iCs/>
        </w:rPr>
        <w:t>PASC agreed that it would be reasonable to accept safety data for the Micra VR device in addition to safety data for the Micra AV device, noting that if there is a difference in any safety outcome between the Micra VR and Micra AV, this needs to be addressed in the assessment report.</w:t>
      </w:r>
    </w:p>
    <w:p w14:paraId="523CC14F" w14:textId="35FC8DB5" w:rsidR="00CD6804" w:rsidRPr="00DF057A" w:rsidRDefault="00CD6804" w:rsidP="00CD6804">
      <w:pPr>
        <w:pStyle w:val="Caption"/>
        <w:spacing w:before="240"/>
        <w:rPr>
          <w:rStyle w:val="Mention"/>
        </w:rPr>
      </w:pPr>
      <w:bookmarkStart w:id="10" w:name="_Ref148692178"/>
      <w:r>
        <w:t xml:space="preserve">Table </w:t>
      </w:r>
      <w:r>
        <w:fldChar w:fldCharType="begin"/>
      </w:r>
      <w:r>
        <w:instrText xml:space="preserve"> SEQ Table \* ARABIC </w:instrText>
      </w:r>
      <w:r>
        <w:fldChar w:fldCharType="separate"/>
      </w:r>
      <w:r w:rsidR="00986B06">
        <w:rPr>
          <w:noProof/>
        </w:rPr>
        <w:t>6</w:t>
      </w:r>
      <w:r>
        <w:fldChar w:fldCharType="end"/>
      </w:r>
      <w:bookmarkEnd w:id="10"/>
      <w:r>
        <w:tab/>
        <w:t xml:space="preserve">Proposed outcomes </w:t>
      </w:r>
    </w:p>
    <w:tbl>
      <w:tblPr>
        <w:tblStyle w:val="TableGrid"/>
        <w:tblW w:w="0" w:type="auto"/>
        <w:tblInd w:w="0" w:type="dxa"/>
        <w:tblLook w:val="04A0" w:firstRow="1" w:lastRow="0" w:firstColumn="1" w:lastColumn="0" w:noHBand="0" w:noVBand="1"/>
        <w:tblCaption w:val="Proposed outcomes"/>
        <w:tblDescription w:val="This table shows the proposed outcomes for the assessment of the Micra AV device by outcome type (technical performance, patient-relevant effectiveness, safety and healthcare resources)."/>
      </w:tblPr>
      <w:tblGrid>
        <w:gridCol w:w="1696"/>
        <w:gridCol w:w="7875"/>
      </w:tblGrid>
      <w:tr w:rsidR="00CD6804" w14:paraId="6DFD44B1" w14:textId="77777777" w:rsidTr="002E4165">
        <w:trPr>
          <w:tblHeader/>
        </w:trPr>
        <w:tc>
          <w:tcPr>
            <w:tcW w:w="1696" w:type="dxa"/>
          </w:tcPr>
          <w:p w14:paraId="7FD0DB06" w14:textId="77777777" w:rsidR="00CD6804" w:rsidRPr="00B065C1" w:rsidRDefault="00CD6804" w:rsidP="000E7169">
            <w:pPr>
              <w:pStyle w:val="TableHeading"/>
            </w:pPr>
            <w:bookmarkStart w:id="11" w:name="_Hlk149053687"/>
            <w:r w:rsidRPr="00B065C1">
              <w:t>Outcome type</w:t>
            </w:r>
          </w:p>
        </w:tc>
        <w:tc>
          <w:tcPr>
            <w:tcW w:w="7875" w:type="dxa"/>
          </w:tcPr>
          <w:p w14:paraId="0A6F6188" w14:textId="77777777" w:rsidR="00CD6804" w:rsidRPr="00B065C1" w:rsidRDefault="00CD6804" w:rsidP="000E7169">
            <w:pPr>
              <w:pStyle w:val="TableHeading"/>
            </w:pPr>
            <w:r w:rsidRPr="00B065C1">
              <w:t>Outcome</w:t>
            </w:r>
          </w:p>
        </w:tc>
      </w:tr>
      <w:tr w:rsidR="00560EA0" w14:paraId="78DAB919" w14:textId="77777777" w:rsidTr="002E4165">
        <w:tc>
          <w:tcPr>
            <w:tcW w:w="1696" w:type="dxa"/>
          </w:tcPr>
          <w:p w14:paraId="15B0CB1C" w14:textId="18FD9B90" w:rsidR="00560EA0" w:rsidRDefault="00560EA0" w:rsidP="000E7169">
            <w:pPr>
              <w:pStyle w:val="TableText0"/>
            </w:pPr>
            <w:r>
              <w:t>Technical performance</w:t>
            </w:r>
          </w:p>
        </w:tc>
        <w:tc>
          <w:tcPr>
            <w:tcW w:w="7875" w:type="dxa"/>
          </w:tcPr>
          <w:p w14:paraId="5F017793" w14:textId="4A57F343" w:rsidR="001E7459" w:rsidRPr="00AF0B4F" w:rsidRDefault="001E7459" w:rsidP="000E7169">
            <w:pPr>
              <w:pStyle w:val="TableText0"/>
            </w:pPr>
            <w:r w:rsidRPr="00AF0B4F">
              <w:t>Pacing performance (sensing, impedance, pacing threshold</w:t>
            </w:r>
            <w:r w:rsidR="00670909" w:rsidRPr="00AF0B4F">
              <w:t>, AV synchronicity</w:t>
            </w:r>
            <w:r w:rsidR="00FE3504" w:rsidRPr="00AF0B4F">
              <w:t>, rate-responsiveness</w:t>
            </w:r>
            <w:r w:rsidRPr="00AF0B4F">
              <w:t>)</w:t>
            </w:r>
          </w:p>
          <w:p w14:paraId="3A6CBEA6" w14:textId="4A5CC35E" w:rsidR="00DD39A2" w:rsidRPr="00A04F54" w:rsidRDefault="001E7459" w:rsidP="000E7169">
            <w:pPr>
              <w:pStyle w:val="TableText0"/>
              <w:rPr>
                <w:highlight w:val="green"/>
              </w:rPr>
            </w:pPr>
            <w:r w:rsidRPr="00AF0B4F">
              <w:t xml:space="preserve">Battery life </w:t>
            </w:r>
          </w:p>
        </w:tc>
      </w:tr>
      <w:tr w:rsidR="00CD6804" w14:paraId="39784D21" w14:textId="77777777" w:rsidTr="002E4165">
        <w:tc>
          <w:tcPr>
            <w:tcW w:w="1696" w:type="dxa"/>
          </w:tcPr>
          <w:p w14:paraId="6D31C75A" w14:textId="0CDC3A15" w:rsidR="00CD6804" w:rsidRPr="00072045" w:rsidRDefault="00B4289C" w:rsidP="000E7169">
            <w:pPr>
              <w:pStyle w:val="TableText0"/>
            </w:pPr>
            <w:r>
              <w:t xml:space="preserve">Patient-relevant </w:t>
            </w:r>
            <w:r w:rsidR="00F91B3E">
              <w:t>e</w:t>
            </w:r>
            <w:r w:rsidR="00CD6804">
              <w:t>ff</w:t>
            </w:r>
            <w:r w:rsidR="00560EA0">
              <w:t>ectiveness</w:t>
            </w:r>
          </w:p>
        </w:tc>
        <w:tc>
          <w:tcPr>
            <w:tcW w:w="7875" w:type="dxa"/>
          </w:tcPr>
          <w:p w14:paraId="7C45A255" w14:textId="1D2B67F8" w:rsidR="00D71359" w:rsidRPr="00A02B4F" w:rsidRDefault="00D71359" w:rsidP="000E7169">
            <w:pPr>
              <w:pStyle w:val="TableText0"/>
            </w:pPr>
            <w:r w:rsidRPr="00A02B4F">
              <w:t>Mortality (all-cause</w:t>
            </w:r>
            <w:r w:rsidR="00720531" w:rsidRPr="00A02B4F">
              <w:t>,</w:t>
            </w:r>
            <w:r w:rsidRPr="00A02B4F">
              <w:t xml:space="preserve"> cardiovascular)</w:t>
            </w:r>
          </w:p>
          <w:p w14:paraId="2DDC347B" w14:textId="25405921" w:rsidR="00D71359" w:rsidRPr="008E376B" w:rsidRDefault="00D71359" w:rsidP="000E7169">
            <w:pPr>
              <w:pStyle w:val="TableText0"/>
            </w:pPr>
            <w:r w:rsidRPr="008E376B">
              <w:t>Exercise capacity</w:t>
            </w:r>
          </w:p>
          <w:p w14:paraId="26E70AF9" w14:textId="3C98BB58" w:rsidR="00D71359" w:rsidRPr="00B05AB6" w:rsidRDefault="00D71359" w:rsidP="000E7169">
            <w:pPr>
              <w:pStyle w:val="TableText0"/>
            </w:pPr>
            <w:r w:rsidRPr="00B05AB6">
              <w:t>Switch to an alternative device (a different pacemaker or defibrillator)</w:t>
            </w:r>
          </w:p>
          <w:p w14:paraId="579F2C81" w14:textId="30A81E22" w:rsidR="00D71359" w:rsidRPr="00574815" w:rsidRDefault="00D71359" w:rsidP="000E7169">
            <w:pPr>
              <w:pStyle w:val="TableText0"/>
            </w:pPr>
            <w:r w:rsidRPr="00574815">
              <w:t>Health-related quality of life</w:t>
            </w:r>
          </w:p>
          <w:p w14:paraId="0AC47118" w14:textId="77777777" w:rsidR="00CD6804" w:rsidRDefault="00D71359" w:rsidP="000E7169">
            <w:pPr>
              <w:pStyle w:val="TableText0"/>
            </w:pPr>
            <w:r w:rsidRPr="00574815">
              <w:t>Patient satisfaction</w:t>
            </w:r>
          </w:p>
          <w:p w14:paraId="3AFA9022" w14:textId="49747A75" w:rsidR="007637FF" w:rsidRPr="00072045" w:rsidRDefault="007637FF" w:rsidP="000E7169">
            <w:pPr>
              <w:pStyle w:val="TableText0"/>
            </w:pPr>
            <w:r w:rsidRPr="00451CD1">
              <w:rPr>
                <w:rFonts w:eastAsia="Calibri" w:cs="Times New Roman"/>
                <w:color w:val="000000" w:themeColor="text1"/>
              </w:rPr>
              <w:t>Any differential outcome by patient characteristics (</w:t>
            </w:r>
            <w:proofErr w:type="gramStart"/>
            <w:r w:rsidRPr="00451CD1">
              <w:rPr>
                <w:rFonts w:eastAsia="Calibri" w:cs="Times New Roman"/>
                <w:color w:val="000000" w:themeColor="text1"/>
              </w:rPr>
              <w:t>e.g.</w:t>
            </w:r>
            <w:proofErr w:type="gramEnd"/>
            <w:r w:rsidRPr="00451CD1">
              <w:rPr>
                <w:rFonts w:eastAsia="Calibri" w:cs="Times New Roman"/>
                <w:color w:val="000000" w:themeColor="text1"/>
              </w:rPr>
              <w:t xml:space="preserve"> age</w:t>
            </w:r>
            <w:r>
              <w:rPr>
                <w:rFonts w:eastAsia="Calibri" w:cs="Times New Roman"/>
                <w:color w:val="000000" w:themeColor="text1"/>
              </w:rPr>
              <w:t>, comorbidities, pacing indications</w:t>
            </w:r>
            <w:r w:rsidRPr="00451CD1">
              <w:rPr>
                <w:rFonts w:eastAsia="Calibri" w:cs="Times New Roman"/>
                <w:color w:val="000000" w:themeColor="text1"/>
              </w:rPr>
              <w:t>)</w:t>
            </w:r>
          </w:p>
        </w:tc>
      </w:tr>
      <w:tr w:rsidR="00CD6804" w14:paraId="1AF32074" w14:textId="77777777" w:rsidTr="002E4165">
        <w:tc>
          <w:tcPr>
            <w:tcW w:w="1696" w:type="dxa"/>
          </w:tcPr>
          <w:p w14:paraId="5733D097" w14:textId="77777777" w:rsidR="00CD6804" w:rsidRPr="00072045" w:rsidRDefault="00CD6804" w:rsidP="000E7169">
            <w:pPr>
              <w:pStyle w:val="TableText0"/>
            </w:pPr>
            <w:r w:rsidRPr="00072045">
              <w:lastRenderedPageBreak/>
              <w:t>Safety</w:t>
            </w:r>
          </w:p>
        </w:tc>
        <w:tc>
          <w:tcPr>
            <w:tcW w:w="7875" w:type="dxa"/>
          </w:tcPr>
          <w:p w14:paraId="68C5CA6F" w14:textId="49489848" w:rsidR="00F04A78" w:rsidRPr="00BF1C8B" w:rsidRDefault="007A10CC" w:rsidP="000E7169">
            <w:pPr>
              <w:pStyle w:val="TableText0"/>
            </w:pPr>
            <w:r w:rsidRPr="00BF1C8B">
              <w:t>P</w:t>
            </w:r>
            <w:r w:rsidR="00F04A78" w:rsidRPr="00BF1C8B">
              <w:t xml:space="preserve">rocedure-related </w:t>
            </w:r>
            <w:r w:rsidR="008169E9" w:rsidRPr="00BF1C8B">
              <w:t xml:space="preserve">mortality and </w:t>
            </w:r>
            <w:r w:rsidRPr="00BF1C8B">
              <w:t xml:space="preserve">major </w:t>
            </w:r>
            <w:r w:rsidR="00F04A78" w:rsidRPr="00BF1C8B">
              <w:t xml:space="preserve">complications (infection, pericardial effusion, </w:t>
            </w:r>
            <w:r w:rsidR="00AE43BF" w:rsidRPr="00BF1C8B">
              <w:t xml:space="preserve">pleural effusion, </w:t>
            </w:r>
            <w:r w:rsidR="00AE26AB">
              <w:t xml:space="preserve">pneumothorax, </w:t>
            </w:r>
            <w:r w:rsidR="00F04A78" w:rsidRPr="00BF1C8B">
              <w:t>cardiac tamponade</w:t>
            </w:r>
            <w:r w:rsidR="00DA3958" w:rsidRPr="00BF1C8B">
              <w:t>, cardiac</w:t>
            </w:r>
            <w:r w:rsidR="004E3C2E" w:rsidRPr="00BF1C8B">
              <w:t xml:space="preserve"> </w:t>
            </w:r>
            <w:r w:rsidR="00F04A78" w:rsidRPr="00BF1C8B">
              <w:t>perforation</w:t>
            </w:r>
            <w:r w:rsidR="003527C8" w:rsidRPr="00BF1C8B">
              <w:t>,</w:t>
            </w:r>
            <w:r w:rsidR="00F04A78" w:rsidRPr="00BF1C8B">
              <w:t xml:space="preserve"> thromboembolism, vascular complications</w:t>
            </w:r>
            <w:r w:rsidR="00DD4180" w:rsidRPr="00BF1C8B">
              <w:t>, intra-procedure cardioversion or defibrillation</w:t>
            </w:r>
            <w:r w:rsidR="00F04A78" w:rsidRPr="00BF1C8B">
              <w:t>)</w:t>
            </w:r>
            <w:r w:rsidR="00F532AF">
              <w:t xml:space="preserve"> – acute</w:t>
            </w:r>
            <w:r w:rsidR="00FD0BDE">
              <w:t xml:space="preserve"> and </w:t>
            </w:r>
            <w:r w:rsidR="00F532AF">
              <w:t>chronic</w:t>
            </w:r>
          </w:p>
          <w:p w14:paraId="43DB0EA2" w14:textId="2B1C3871" w:rsidR="00ED1242" w:rsidRPr="00A32151" w:rsidRDefault="00ED1242" w:rsidP="00ED1242">
            <w:pPr>
              <w:pStyle w:val="TableText0"/>
            </w:pPr>
            <w:r w:rsidRPr="00A32151">
              <w:t>Major device-related complications (device dislodgement, device malfunction, battery failure, device infection, pacemaker-induced arrhythmia)</w:t>
            </w:r>
          </w:p>
          <w:p w14:paraId="08AE515D" w14:textId="56D4A0A3" w:rsidR="00F04A78" w:rsidRPr="00292B21" w:rsidRDefault="00F04A78" w:rsidP="000E7169">
            <w:pPr>
              <w:pStyle w:val="TableText0"/>
            </w:pPr>
            <w:r w:rsidRPr="00292B21">
              <w:t>Pacemaker syndrome</w:t>
            </w:r>
          </w:p>
          <w:p w14:paraId="2515569D" w14:textId="4D6B66F1" w:rsidR="00D3154C" w:rsidRPr="00B3614D" w:rsidRDefault="00F04A78" w:rsidP="000E7169">
            <w:pPr>
              <w:pStyle w:val="TableText0"/>
            </w:pPr>
            <w:r w:rsidRPr="00B3614D">
              <w:t>Device revision, retrieval, replacement, explantation</w:t>
            </w:r>
            <w:r w:rsidR="007A7A41">
              <w:t>, reinterventio</w:t>
            </w:r>
            <w:r w:rsidR="00152142">
              <w:t>n rates</w:t>
            </w:r>
          </w:p>
          <w:p w14:paraId="4FA7AF89" w14:textId="442D6C88" w:rsidR="00F86C66" w:rsidRDefault="00F04A78" w:rsidP="00A06A49">
            <w:pPr>
              <w:pStyle w:val="TableText0"/>
            </w:pPr>
            <w:r w:rsidRPr="00DC4B66">
              <w:t>Any serious adverse event</w:t>
            </w:r>
            <w:r w:rsidR="008632E7">
              <w:t>s</w:t>
            </w:r>
          </w:p>
          <w:p w14:paraId="2C7EE3BA" w14:textId="6844E3CD" w:rsidR="008632E7" w:rsidRPr="00072045" w:rsidRDefault="008632E7" w:rsidP="008632E7">
            <w:pPr>
              <w:pStyle w:val="Tabletext"/>
            </w:pPr>
            <w:r>
              <w:rPr>
                <w:rFonts w:eastAsia="Calibri" w:cs="Times New Roman"/>
                <w:color w:val="000000" w:themeColor="text1"/>
              </w:rPr>
              <w:t>Implant success/failure rates</w:t>
            </w:r>
          </w:p>
        </w:tc>
      </w:tr>
      <w:tr w:rsidR="00CD6804" w14:paraId="0F25E1E7" w14:textId="77777777" w:rsidTr="002E4165">
        <w:tc>
          <w:tcPr>
            <w:tcW w:w="1696" w:type="dxa"/>
          </w:tcPr>
          <w:p w14:paraId="7C30B95C" w14:textId="77777777" w:rsidR="00CD6804" w:rsidRPr="00072045" w:rsidRDefault="00CD6804" w:rsidP="000E7169">
            <w:pPr>
              <w:pStyle w:val="TableText0"/>
            </w:pPr>
            <w:r>
              <w:t>Healthcare resources</w:t>
            </w:r>
          </w:p>
        </w:tc>
        <w:tc>
          <w:tcPr>
            <w:tcW w:w="7875" w:type="dxa"/>
          </w:tcPr>
          <w:p w14:paraId="12FC7CD7" w14:textId="13CF01D5" w:rsidR="00BE5AF8" w:rsidRDefault="00BE5AF8" w:rsidP="000E7169">
            <w:pPr>
              <w:pStyle w:val="TableText0"/>
            </w:pPr>
            <w:r w:rsidRPr="00634591">
              <w:t>Cost of</w:t>
            </w:r>
            <w:r w:rsidR="0056101B">
              <w:t xml:space="preserve"> the</w:t>
            </w:r>
            <w:r w:rsidRPr="00634591">
              <w:t xml:space="preserve"> device and consumables </w:t>
            </w:r>
          </w:p>
          <w:p w14:paraId="387D7D70" w14:textId="5C98489B" w:rsidR="000A58A0" w:rsidRDefault="00470423" w:rsidP="000E7169">
            <w:pPr>
              <w:pStyle w:val="TableText0"/>
            </w:pPr>
            <w:r w:rsidRPr="00634591">
              <w:t xml:space="preserve">Procedure-related </w:t>
            </w:r>
            <w:r w:rsidR="000A58A0">
              <w:t xml:space="preserve">costs </w:t>
            </w:r>
            <w:r w:rsidR="000A58A0">
              <w:rPr>
                <w:rFonts w:eastAsia="Calibri" w:cs="Times New Roman"/>
                <w:color w:val="000000" w:themeColor="text1"/>
              </w:rPr>
              <w:t>(</w:t>
            </w:r>
            <w:proofErr w:type="gramStart"/>
            <w:r w:rsidR="000A58A0">
              <w:rPr>
                <w:rFonts w:eastAsia="Calibri" w:cs="Times New Roman"/>
                <w:color w:val="000000" w:themeColor="text1"/>
              </w:rPr>
              <w:t>e.g.</w:t>
            </w:r>
            <w:proofErr w:type="gramEnd"/>
            <w:r w:rsidR="000A58A0">
              <w:rPr>
                <w:rFonts w:eastAsia="Calibri" w:cs="Times New Roman"/>
                <w:color w:val="000000" w:themeColor="text1"/>
              </w:rPr>
              <w:t xml:space="preserve"> device </w:t>
            </w:r>
            <w:r w:rsidR="000A58A0" w:rsidRPr="00117BA7">
              <w:rPr>
                <w:rFonts w:eastAsia="Calibri" w:cs="Times New Roman"/>
                <w:color w:val="000000" w:themeColor="text1"/>
              </w:rPr>
              <w:t xml:space="preserve">and </w:t>
            </w:r>
            <w:r w:rsidR="000A58A0">
              <w:rPr>
                <w:rFonts w:eastAsia="Calibri" w:cs="Times New Roman"/>
                <w:color w:val="000000" w:themeColor="text1"/>
              </w:rPr>
              <w:t>consumables, services, image guidance, post-implantation evaluation; local/general anaesthesia; admitted patient/day hospital patient)</w:t>
            </w:r>
          </w:p>
          <w:p w14:paraId="257A8E63" w14:textId="60E47A25" w:rsidR="00CD6804" w:rsidRDefault="000A58A0" w:rsidP="000E7169">
            <w:pPr>
              <w:pStyle w:val="TableText0"/>
            </w:pPr>
            <w:r>
              <w:t>F</w:t>
            </w:r>
            <w:r w:rsidR="00470423" w:rsidRPr="00634591">
              <w:t xml:space="preserve">ollow-up </w:t>
            </w:r>
            <w:r>
              <w:t xml:space="preserve">evaluation and monitoring </w:t>
            </w:r>
            <w:r w:rsidR="00470423" w:rsidRPr="00634591">
              <w:t>costs (including device monitoring)</w:t>
            </w:r>
          </w:p>
          <w:p w14:paraId="6ECB7A76" w14:textId="61E80105" w:rsidR="00901E8C" w:rsidRPr="00072045" w:rsidRDefault="00901E8C" w:rsidP="000E7169">
            <w:pPr>
              <w:pStyle w:val="TableText0"/>
            </w:pPr>
            <w:r>
              <w:rPr>
                <w:rFonts w:eastAsia="Calibri" w:cs="Times New Roman"/>
                <w:color w:val="000000" w:themeColor="text1"/>
              </w:rPr>
              <w:t>Costs associated with the management of complications</w:t>
            </w:r>
          </w:p>
        </w:tc>
      </w:tr>
    </w:tbl>
    <w:bookmarkEnd w:id="11"/>
    <w:p w14:paraId="61F7C318" w14:textId="678AF05F" w:rsidR="00CD6804" w:rsidRDefault="00E32F77" w:rsidP="00065ED1">
      <w:pPr>
        <w:pStyle w:val="Tablenotes"/>
        <w:spacing w:after="240"/>
      </w:pPr>
      <w:r>
        <w:t>AV = atrioventricular</w:t>
      </w:r>
      <w:r w:rsidR="00E524A7">
        <w:t>.</w:t>
      </w:r>
    </w:p>
    <w:p w14:paraId="4B620795" w14:textId="4EB434C2" w:rsidR="00021E36" w:rsidRPr="00C954A7" w:rsidRDefault="00021E36" w:rsidP="00021E36">
      <w:pPr>
        <w:rPr>
          <w:i/>
          <w:iCs/>
        </w:rPr>
      </w:pPr>
      <w:r w:rsidRPr="00C954A7">
        <w:rPr>
          <w:i/>
          <w:iCs/>
        </w:rPr>
        <w:t xml:space="preserve">PASC agreed with the proposed outcomes. Regarding technical performance, PASC noted that it is unclear what measures would be useful to define the effectiveness of rate responsiveness, and this would require consideration in the assessment report. PASC considered battery life </w:t>
      </w:r>
      <w:r>
        <w:rPr>
          <w:i/>
          <w:iCs/>
        </w:rPr>
        <w:t xml:space="preserve">– </w:t>
      </w:r>
      <w:r w:rsidRPr="00C954A7">
        <w:rPr>
          <w:i/>
          <w:iCs/>
        </w:rPr>
        <w:t>and subsequent interventions</w:t>
      </w:r>
      <w:r>
        <w:rPr>
          <w:i/>
          <w:iCs/>
        </w:rPr>
        <w:t xml:space="preserve"> for device replacement </w:t>
      </w:r>
      <w:r w:rsidR="005461CD">
        <w:rPr>
          <w:i/>
          <w:iCs/>
        </w:rPr>
        <w:t>– important</w:t>
      </w:r>
      <w:r w:rsidRPr="00C954A7">
        <w:rPr>
          <w:i/>
          <w:iCs/>
        </w:rPr>
        <w:t xml:space="preserve"> for the Micra AV, given that atrial sensing at lower heart rates would consume more battery than the Micra VR. </w:t>
      </w:r>
    </w:p>
    <w:p w14:paraId="0AC9CE1A" w14:textId="77777777" w:rsidR="00021E36" w:rsidRPr="00C954A7" w:rsidRDefault="00021E36" w:rsidP="00021E36">
      <w:pPr>
        <w:rPr>
          <w:i/>
          <w:iCs/>
        </w:rPr>
      </w:pPr>
      <w:r w:rsidRPr="00C954A7">
        <w:rPr>
          <w:i/>
          <w:iCs/>
        </w:rPr>
        <w:t>In terms of effectiveness outcomes, PASC noted that capturing switch or upgrade to an alternative device is particularly important because patients with normal sinus rhythm</w:t>
      </w:r>
      <w:r>
        <w:t xml:space="preserve"> </w:t>
      </w:r>
      <w:r w:rsidRPr="00C954A7">
        <w:rPr>
          <w:i/>
          <w:iCs/>
        </w:rPr>
        <w:t>at the time of Micra AV insertion may develop chronotropic incompetence and require atrial pacing with a device that has true dual chamber capability.</w:t>
      </w:r>
    </w:p>
    <w:p w14:paraId="7AF46F4B" w14:textId="77777777" w:rsidR="00021E36" w:rsidRPr="00C954A7" w:rsidRDefault="00021E36" w:rsidP="00021E36">
      <w:pPr>
        <w:rPr>
          <w:i/>
          <w:iCs/>
        </w:rPr>
      </w:pPr>
      <w:r w:rsidRPr="00C954A7">
        <w:rPr>
          <w:i/>
          <w:iCs/>
        </w:rPr>
        <w:t xml:space="preserve">PASC supported the inclusion of pacemaker syndrome, given the benefit of dual chamber over single chamber devices in avoiding this outcome. </w:t>
      </w:r>
    </w:p>
    <w:p w14:paraId="0E5E84C3" w14:textId="77777777" w:rsidR="00021E36" w:rsidRPr="00C954A7" w:rsidRDefault="00021E36" w:rsidP="00021E36">
      <w:pPr>
        <w:rPr>
          <w:i/>
          <w:iCs/>
        </w:rPr>
      </w:pPr>
      <w:r w:rsidRPr="00C954A7">
        <w:rPr>
          <w:i/>
          <w:iCs/>
        </w:rPr>
        <w:t>PASC noted that data are available to support the superiority of the Micra VR device over a TVPM with respect to safety, although there is a small but serious incidence of cardiac tamponade with LPMs that is not relevant to TVPMs. PASC reiterated that removal of a Micra device is challenging after it has become encapsulated.</w:t>
      </w:r>
    </w:p>
    <w:p w14:paraId="6069F0B5" w14:textId="6E71B6E0" w:rsidR="00D73332" w:rsidRPr="00490FBB" w:rsidRDefault="00D73332" w:rsidP="00713728">
      <w:pPr>
        <w:pStyle w:val="Heading2"/>
        <w:rPr>
          <w:b/>
          <w:bCs/>
          <w:i/>
        </w:rPr>
      </w:pPr>
      <w:r w:rsidRPr="00490FBB">
        <w:t>Clinical management algorithms</w:t>
      </w:r>
    </w:p>
    <w:p w14:paraId="262A56ED" w14:textId="28A7DE10" w:rsidR="006F0D55" w:rsidRDefault="00B73E50" w:rsidP="00425C03">
      <w:bookmarkStart w:id="12" w:name="_Hlk160189890"/>
      <w:r>
        <w:t xml:space="preserve">The clinical management algorithm </w:t>
      </w:r>
      <w:r w:rsidR="009D7315">
        <w:t>for</w:t>
      </w:r>
      <w:r>
        <w:t xml:space="preserve"> current practice</w:t>
      </w:r>
      <w:r w:rsidR="002F3464">
        <w:t xml:space="preserve"> in the absence of the Micra AV device is shown in </w:t>
      </w:r>
      <w:r w:rsidR="00847C76">
        <w:fldChar w:fldCharType="begin"/>
      </w:r>
      <w:r w:rsidR="00847C76">
        <w:instrText xml:space="preserve"> REF _Ref159851435 \h </w:instrText>
      </w:r>
      <w:r w:rsidR="00847C76">
        <w:fldChar w:fldCharType="separate"/>
      </w:r>
      <w:r w:rsidR="00986B06">
        <w:t xml:space="preserve">Figure </w:t>
      </w:r>
      <w:r w:rsidR="00986B06">
        <w:rPr>
          <w:noProof/>
        </w:rPr>
        <w:t>1</w:t>
      </w:r>
      <w:r w:rsidR="00847C76">
        <w:fldChar w:fldCharType="end"/>
      </w:r>
      <w:r w:rsidR="00847C76">
        <w:t>.</w:t>
      </w:r>
      <w:r w:rsidR="00E06787">
        <w:t xml:space="preserve"> This algorithm was </w:t>
      </w:r>
      <w:r w:rsidR="00E06787" w:rsidRPr="00E06787">
        <w:t xml:space="preserve">adapted from the clinical management algorithm in the ratified PICO Confirmation for </w:t>
      </w:r>
      <w:hyperlink r:id="rId16" w:tooltip="This link goes to the MSAC webpage for MSAC application 1672" w:history="1">
        <w:r w:rsidR="00E06787" w:rsidRPr="00A12B98">
          <w:rPr>
            <w:rStyle w:val="Hyperlink"/>
            <w:rFonts w:ascii="Calibri" w:hAnsi="Calibri"/>
          </w:rPr>
          <w:t>MSAC application 1672</w:t>
        </w:r>
      </w:hyperlink>
      <w:r w:rsidR="00E06787" w:rsidRPr="00E06787">
        <w:t xml:space="preserve"> (Figure 3)</w:t>
      </w:r>
      <w:r w:rsidR="008E4E2E">
        <w:t xml:space="preserve">. The algorithm </w:t>
      </w:r>
      <w:r w:rsidR="002954B3">
        <w:t>wa</w:t>
      </w:r>
      <w:r w:rsidR="008E4E2E">
        <w:t xml:space="preserve">s based on </w:t>
      </w:r>
      <w:r w:rsidR="00CE605E">
        <w:t xml:space="preserve">joint </w:t>
      </w:r>
      <w:r w:rsidR="00076C00">
        <w:t>guidance from</w:t>
      </w:r>
      <w:r w:rsidR="00E06787" w:rsidRPr="00E06787">
        <w:t xml:space="preserve"> </w:t>
      </w:r>
      <w:r w:rsidR="00F618F2">
        <w:t xml:space="preserve">the </w:t>
      </w:r>
      <w:r w:rsidR="00FD3687">
        <w:t>ACC</w:t>
      </w:r>
      <w:r w:rsidR="00CE605E">
        <w:t xml:space="preserve">, </w:t>
      </w:r>
      <w:r w:rsidR="00FD3687">
        <w:t>AHA</w:t>
      </w:r>
      <w:r w:rsidR="00250EF9" w:rsidRPr="00250EF9">
        <w:t xml:space="preserve"> and the </w:t>
      </w:r>
      <w:r w:rsidR="00FD3687">
        <w:t>HRS</w:t>
      </w:r>
      <w:r w:rsidR="00250EF9" w:rsidRPr="00250EF9">
        <w:t xml:space="preserve"> </w:t>
      </w:r>
      <w:r w:rsidR="00CE605E">
        <w:t>(</w:t>
      </w:r>
      <w:r w:rsidR="00E06787" w:rsidRPr="00E06787">
        <w:t xml:space="preserve">Kusumoto </w:t>
      </w:r>
      <w:r w:rsidR="00CE605E">
        <w:t>et al.</w:t>
      </w:r>
      <w:r w:rsidR="00E500C2">
        <w:t xml:space="preserve"> </w:t>
      </w:r>
      <w:r w:rsidR="00E06787" w:rsidRPr="00E06787">
        <w:t>2019)</w:t>
      </w:r>
      <w:r w:rsidR="008E4E2E">
        <w:t>.</w:t>
      </w:r>
    </w:p>
    <w:bookmarkEnd w:id="12"/>
    <w:p w14:paraId="38B79D2F" w14:textId="18704CA4" w:rsidR="00335A60" w:rsidRDefault="00335A60" w:rsidP="002F3464">
      <w:pPr>
        <w:rPr>
          <w:lang w:val="en-GB" w:eastAsia="ja-JP"/>
        </w:rPr>
      </w:pPr>
    </w:p>
    <w:p w14:paraId="5A725A41" w14:textId="7233DAD8" w:rsidR="00384C3C" w:rsidRDefault="00384C3C" w:rsidP="00384C3C">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t xml:space="preserve"> </w:t>
      </w:r>
      <w:r w:rsidRPr="003F77A8">
        <w:t>Clinical management algorithm for current practice without the Micra AV</w:t>
      </w:r>
    </w:p>
    <w:p w14:paraId="7FDB8A37" w14:textId="77DE5261" w:rsidR="0031330A" w:rsidRDefault="00E3267E" w:rsidP="002F3464">
      <w:pPr>
        <w:rPr>
          <w:lang w:val="en-GB" w:eastAsia="ja-JP"/>
        </w:rPr>
      </w:pPr>
      <w:r>
        <w:rPr>
          <w:noProof/>
        </w:rPr>
        <w:drawing>
          <wp:inline distT="0" distB="0" distL="0" distR="0" wp14:anchorId="45FC10F1" wp14:editId="050CE954">
            <wp:extent cx="6218234" cy="3482672"/>
            <wp:effectExtent l="0" t="0" r="0" b="3810"/>
            <wp:docPr id="13" name="Picture 13" descr="Figure 1 Clinical management algorithm for current practice without the Micra 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Clinical management algorithm for current practice without the Micra AV"/>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57995" cy="3504941"/>
                    </a:xfrm>
                    <a:prstGeom prst="rect">
                      <a:avLst/>
                    </a:prstGeom>
                    <a:noFill/>
                  </pic:spPr>
                </pic:pic>
              </a:graphicData>
            </a:graphic>
          </wp:inline>
        </w:drawing>
      </w:r>
    </w:p>
    <w:p w14:paraId="7D274E09" w14:textId="54806939" w:rsidR="00B729D7" w:rsidRDefault="003B4019" w:rsidP="00B25A54">
      <w:pPr>
        <w:pStyle w:val="Tablenotes"/>
        <w:spacing w:after="0"/>
        <w:rPr>
          <w:lang w:val="en-GB" w:eastAsia="ja-JP"/>
        </w:rPr>
      </w:pPr>
      <w:r>
        <w:rPr>
          <w:lang w:val="en-GB" w:eastAsia="ja-JP"/>
        </w:rPr>
        <w:t xml:space="preserve">AF = atrial fibrillation; </w:t>
      </w:r>
      <w:r w:rsidR="00227D72">
        <w:rPr>
          <w:lang w:val="en-GB" w:eastAsia="ja-JP"/>
        </w:rPr>
        <w:t xml:space="preserve">AV = atrioventricular; </w:t>
      </w:r>
      <w:r w:rsidR="006052B6">
        <w:rPr>
          <w:lang w:val="en-GB" w:eastAsia="ja-JP"/>
        </w:rPr>
        <w:t>CRT = cardiac resynchronisation therapy</w:t>
      </w:r>
      <w:r w:rsidR="008E0DAD">
        <w:rPr>
          <w:lang w:val="en-GB" w:eastAsia="ja-JP"/>
        </w:rPr>
        <w:t xml:space="preserve">; </w:t>
      </w:r>
      <w:r w:rsidR="00673E73">
        <w:rPr>
          <w:lang w:val="en-GB" w:eastAsia="ja-JP"/>
        </w:rPr>
        <w:t>CRTP = cardiac resynchronisation therapy pacemaker</w:t>
      </w:r>
      <w:r w:rsidR="00C3753D">
        <w:rPr>
          <w:lang w:val="en-GB" w:eastAsia="ja-JP"/>
        </w:rPr>
        <w:t xml:space="preserve">; </w:t>
      </w:r>
      <w:r w:rsidR="00C80963">
        <w:rPr>
          <w:lang w:val="en-GB" w:eastAsia="ja-JP"/>
        </w:rPr>
        <w:t xml:space="preserve">HF = heart failure; </w:t>
      </w:r>
      <w:r w:rsidR="00DA531F">
        <w:rPr>
          <w:lang w:val="en-GB" w:eastAsia="ja-JP"/>
        </w:rPr>
        <w:t xml:space="preserve">LV = left ventricular; </w:t>
      </w:r>
      <w:r w:rsidR="00C3753D">
        <w:rPr>
          <w:lang w:val="en-GB" w:eastAsia="ja-JP"/>
        </w:rPr>
        <w:t>LVEF = left ventricular ejection fraction</w:t>
      </w:r>
      <w:r w:rsidR="00A25BD3">
        <w:rPr>
          <w:lang w:val="en-GB" w:eastAsia="ja-JP"/>
        </w:rPr>
        <w:t>; TVPM =</w:t>
      </w:r>
      <w:r w:rsidR="008636AC" w:rsidRPr="008636AC">
        <w:rPr>
          <w:lang w:val="en-GB" w:eastAsia="ja-JP"/>
        </w:rPr>
        <w:t xml:space="preserve"> </w:t>
      </w:r>
      <w:r w:rsidR="008636AC">
        <w:rPr>
          <w:lang w:val="en-GB" w:eastAsia="ja-JP"/>
        </w:rPr>
        <w:t>transvenous pacemaker</w:t>
      </w:r>
      <w:r w:rsidR="00C3753D">
        <w:rPr>
          <w:lang w:val="en-GB" w:eastAsia="ja-JP"/>
        </w:rPr>
        <w:t>.</w:t>
      </w:r>
    </w:p>
    <w:p w14:paraId="06D9B032" w14:textId="6D0B45E5" w:rsidR="00A0629B" w:rsidRDefault="00A0629B" w:rsidP="006C5013">
      <w:pPr>
        <w:pStyle w:val="Tablenotes"/>
        <w:spacing w:after="240"/>
        <w:rPr>
          <w:lang w:val="en-GB" w:eastAsia="ja-JP"/>
        </w:rPr>
      </w:pPr>
      <w:r>
        <w:rPr>
          <w:lang w:val="en-GB" w:eastAsia="ja-JP"/>
        </w:rPr>
        <w:t xml:space="preserve">Source: adapted from </w:t>
      </w:r>
      <w:r w:rsidR="0031780A">
        <w:rPr>
          <w:lang w:val="en-GB" w:eastAsia="ja-JP"/>
        </w:rPr>
        <w:t xml:space="preserve">the </w:t>
      </w:r>
      <w:r>
        <w:rPr>
          <w:lang w:val="en-GB" w:eastAsia="ja-JP"/>
        </w:rPr>
        <w:t xml:space="preserve">clinical management algorithm in </w:t>
      </w:r>
      <w:r w:rsidR="00236767">
        <w:rPr>
          <w:lang w:val="en-GB" w:eastAsia="ja-JP"/>
        </w:rPr>
        <w:t xml:space="preserve">the ratified PICO Confirmation for </w:t>
      </w:r>
      <w:r>
        <w:rPr>
          <w:lang w:val="en-GB" w:eastAsia="ja-JP"/>
        </w:rPr>
        <w:t>MSAC application 1672</w:t>
      </w:r>
      <w:r w:rsidR="0031780A">
        <w:rPr>
          <w:lang w:val="en-GB" w:eastAsia="ja-JP"/>
        </w:rPr>
        <w:t xml:space="preserve"> </w:t>
      </w:r>
      <w:r w:rsidR="00DA66E9">
        <w:rPr>
          <w:lang w:val="en-GB" w:eastAsia="ja-JP"/>
        </w:rPr>
        <w:t>(Figure 3)</w:t>
      </w:r>
      <w:r w:rsidR="00AE66CA">
        <w:rPr>
          <w:lang w:val="en-GB" w:eastAsia="ja-JP"/>
        </w:rPr>
        <w:t>,</w:t>
      </w:r>
      <w:r w:rsidR="00140515">
        <w:rPr>
          <w:lang w:val="en-GB" w:eastAsia="ja-JP"/>
        </w:rPr>
        <w:t xml:space="preserve"> </w:t>
      </w:r>
      <w:r w:rsidR="00210513">
        <w:rPr>
          <w:lang w:val="en-GB" w:eastAsia="ja-JP"/>
        </w:rPr>
        <w:t xml:space="preserve">which was </w:t>
      </w:r>
      <w:r w:rsidR="00AE66CA">
        <w:rPr>
          <w:lang w:val="en-GB" w:eastAsia="ja-JP"/>
        </w:rPr>
        <w:t>based on</w:t>
      </w:r>
      <w:r w:rsidR="000D27EA">
        <w:rPr>
          <w:lang w:val="en-GB" w:eastAsia="ja-JP"/>
        </w:rPr>
        <w:t xml:space="preserve"> </w:t>
      </w:r>
      <w:r w:rsidR="009175DA">
        <w:rPr>
          <w:lang w:val="en-GB" w:eastAsia="ja-JP"/>
        </w:rPr>
        <w:t>the algorithm for m</w:t>
      </w:r>
      <w:r w:rsidR="00140515" w:rsidRPr="00140515">
        <w:rPr>
          <w:lang w:val="en-GB" w:eastAsia="ja-JP"/>
        </w:rPr>
        <w:t xml:space="preserve">anagement of bradycardia or pauses attributable to chronic </w:t>
      </w:r>
      <w:r w:rsidR="00546013">
        <w:rPr>
          <w:lang w:val="en-GB" w:eastAsia="ja-JP"/>
        </w:rPr>
        <w:t>AV</w:t>
      </w:r>
      <w:r w:rsidR="00140515" w:rsidRPr="00140515">
        <w:rPr>
          <w:lang w:val="en-GB" w:eastAsia="ja-JP"/>
        </w:rPr>
        <w:t xml:space="preserve"> block</w:t>
      </w:r>
      <w:r w:rsidR="00546013">
        <w:rPr>
          <w:lang w:val="en-GB" w:eastAsia="ja-JP"/>
        </w:rPr>
        <w:t xml:space="preserve"> (Figure 7)</w:t>
      </w:r>
      <w:r w:rsidR="009175DA">
        <w:rPr>
          <w:lang w:val="en-GB" w:eastAsia="ja-JP"/>
        </w:rPr>
        <w:t xml:space="preserve"> in Kusumoto</w:t>
      </w:r>
      <w:r w:rsidR="00C95F31">
        <w:rPr>
          <w:lang w:val="en-GB" w:eastAsia="ja-JP"/>
        </w:rPr>
        <w:t xml:space="preserve"> et al.</w:t>
      </w:r>
      <w:r w:rsidR="009175DA">
        <w:rPr>
          <w:lang w:val="en-GB" w:eastAsia="ja-JP"/>
        </w:rPr>
        <w:t xml:space="preserve"> (2019)</w:t>
      </w:r>
      <w:r w:rsidR="000D27EA">
        <w:rPr>
          <w:lang w:val="en-GB" w:eastAsia="ja-JP"/>
        </w:rPr>
        <w:t>.</w:t>
      </w:r>
    </w:p>
    <w:p w14:paraId="1FDB40AD" w14:textId="523D4398" w:rsidR="006C5013" w:rsidRPr="002F3464" w:rsidRDefault="009A14E5" w:rsidP="006C5013">
      <w:pPr>
        <w:rPr>
          <w:lang w:val="en-GB" w:eastAsia="ja-JP"/>
        </w:rPr>
      </w:pPr>
      <w:r w:rsidRPr="006C5013">
        <w:rPr>
          <w:lang w:val="en-GB" w:eastAsia="ja-JP"/>
        </w:rPr>
        <w:t xml:space="preserve">The clinical management algorithm </w:t>
      </w:r>
      <w:r>
        <w:rPr>
          <w:lang w:val="en-GB" w:eastAsia="ja-JP"/>
        </w:rPr>
        <w:t>incorporating</w:t>
      </w:r>
      <w:r w:rsidRPr="006C5013">
        <w:rPr>
          <w:lang w:val="en-GB" w:eastAsia="ja-JP"/>
        </w:rPr>
        <w:t xml:space="preserve"> the Micra AV device is shown in</w:t>
      </w:r>
      <w:r>
        <w:rPr>
          <w:lang w:val="en-GB" w:eastAsia="ja-JP"/>
        </w:rPr>
        <w:t xml:space="preserve"> </w:t>
      </w:r>
      <w:r>
        <w:rPr>
          <w:lang w:val="en-GB" w:eastAsia="ja-JP"/>
        </w:rPr>
        <w:fldChar w:fldCharType="begin"/>
      </w:r>
      <w:r>
        <w:rPr>
          <w:lang w:val="en-GB" w:eastAsia="ja-JP"/>
        </w:rPr>
        <w:instrText xml:space="preserve"> REF _Ref160189942 \h </w:instrText>
      </w:r>
      <w:r>
        <w:rPr>
          <w:lang w:val="en-GB" w:eastAsia="ja-JP"/>
        </w:rPr>
      </w:r>
      <w:r>
        <w:rPr>
          <w:lang w:val="en-GB" w:eastAsia="ja-JP"/>
        </w:rPr>
        <w:fldChar w:fldCharType="separate"/>
      </w:r>
      <w:r w:rsidR="00986B06">
        <w:t xml:space="preserve">Figure </w:t>
      </w:r>
      <w:r w:rsidR="00986B06">
        <w:rPr>
          <w:noProof/>
        </w:rPr>
        <w:t>2</w:t>
      </w:r>
      <w:r>
        <w:rPr>
          <w:lang w:val="en-GB" w:eastAsia="ja-JP"/>
        </w:rPr>
        <w:fldChar w:fldCharType="end"/>
      </w:r>
      <w:r w:rsidRPr="006C5013">
        <w:rPr>
          <w:lang w:val="en-GB" w:eastAsia="ja-JP"/>
        </w:rPr>
        <w:t>.</w:t>
      </w:r>
      <w:r>
        <w:rPr>
          <w:lang w:val="en-GB" w:eastAsia="ja-JP"/>
        </w:rPr>
        <w:t xml:space="preserve"> </w:t>
      </w:r>
      <w:r w:rsidR="00E67C39" w:rsidRPr="006F0D55">
        <w:t xml:space="preserve">The Micra AV device is indicated for use in </w:t>
      </w:r>
      <w:r w:rsidR="00E67C39">
        <w:t>patients</w:t>
      </w:r>
      <w:r w:rsidR="00E67C39" w:rsidRPr="006F0D55">
        <w:t xml:space="preserve"> with AV block and a normal sinus rhythm, and when a right ventricular pacing system is acceptable (</w:t>
      </w:r>
      <w:proofErr w:type="gramStart"/>
      <w:r w:rsidR="00E67C39">
        <w:t>i.e.</w:t>
      </w:r>
      <w:proofErr w:type="gramEnd"/>
      <w:r w:rsidR="00E67C39">
        <w:t xml:space="preserve"> </w:t>
      </w:r>
      <w:r w:rsidR="00E67C39" w:rsidRPr="006F0D55">
        <w:t xml:space="preserve">atrial </w:t>
      </w:r>
      <w:r w:rsidR="00EA6558">
        <w:t>pacing</w:t>
      </w:r>
      <w:r w:rsidR="00E67C39" w:rsidRPr="006F0D55">
        <w:t xml:space="preserve"> is not necessary). </w:t>
      </w:r>
      <w:r w:rsidR="00E67C39">
        <w:t>T</w:t>
      </w:r>
      <w:r w:rsidR="00E67C39" w:rsidRPr="006F0D55">
        <w:t xml:space="preserve">he clinical placement is as an alternative to dual chamber pacing with a </w:t>
      </w:r>
      <w:r w:rsidR="00D82E45">
        <w:t>TVPM</w:t>
      </w:r>
      <w:r w:rsidR="00E67C39" w:rsidRPr="006F0D55">
        <w:t>.</w:t>
      </w:r>
      <w:r w:rsidR="00E67C39">
        <w:t xml:space="preserve"> </w:t>
      </w:r>
      <w:r w:rsidR="006C5013" w:rsidRPr="006C5013">
        <w:rPr>
          <w:lang w:val="en-GB" w:eastAsia="ja-JP"/>
        </w:rPr>
        <w:t xml:space="preserve">This algorithm was adapted from the clinical management algorithm </w:t>
      </w:r>
      <w:r w:rsidR="00A540AC">
        <w:rPr>
          <w:lang w:val="en-GB" w:eastAsia="ja-JP"/>
        </w:rPr>
        <w:t>prepared by the applicant for the current application</w:t>
      </w:r>
      <w:r w:rsidR="004B3D68">
        <w:rPr>
          <w:lang w:val="en-GB" w:eastAsia="ja-JP"/>
        </w:rPr>
        <w:t xml:space="preserve"> </w:t>
      </w:r>
      <w:r w:rsidR="00201207">
        <w:rPr>
          <w:lang w:val="en-GB" w:eastAsia="ja-JP"/>
        </w:rPr>
        <w:t>(PICO Set, Figure 3)</w:t>
      </w:r>
      <w:r w:rsidR="006C5013" w:rsidRPr="006C5013">
        <w:rPr>
          <w:lang w:val="en-GB" w:eastAsia="ja-JP"/>
        </w:rPr>
        <w:t xml:space="preserve">. The algorithm </w:t>
      </w:r>
      <w:r w:rsidR="00A37211">
        <w:rPr>
          <w:lang w:val="en-GB" w:eastAsia="ja-JP"/>
        </w:rPr>
        <w:t xml:space="preserve">is </w:t>
      </w:r>
      <w:r w:rsidR="006C5013" w:rsidRPr="006C5013">
        <w:rPr>
          <w:lang w:val="en-GB" w:eastAsia="ja-JP"/>
        </w:rPr>
        <w:t xml:space="preserve">based on </w:t>
      </w:r>
      <w:r w:rsidR="00BC06EA">
        <w:t>joint guidance from</w:t>
      </w:r>
      <w:r w:rsidR="00BC06EA" w:rsidRPr="00E06787">
        <w:t xml:space="preserve"> </w:t>
      </w:r>
      <w:r w:rsidR="00BC06EA">
        <w:t xml:space="preserve">the </w:t>
      </w:r>
      <w:r w:rsidR="00904A3F">
        <w:t>ACC</w:t>
      </w:r>
      <w:r w:rsidR="00BC06EA">
        <w:t xml:space="preserve">, </w:t>
      </w:r>
      <w:r w:rsidR="00904A3F">
        <w:t>AHA</w:t>
      </w:r>
      <w:r w:rsidR="00BC06EA" w:rsidRPr="00250EF9">
        <w:t xml:space="preserve"> and the </w:t>
      </w:r>
      <w:r w:rsidR="00904A3F">
        <w:t>HRS</w:t>
      </w:r>
      <w:r w:rsidR="00BC06EA" w:rsidRPr="00250EF9">
        <w:t xml:space="preserve"> </w:t>
      </w:r>
      <w:r w:rsidR="00BC06EA">
        <w:rPr>
          <w:lang w:val="en-GB" w:eastAsia="ja-JP"/>
        </w:rPr>
        <w:t>(</w:t>
      </w:r>
      <w:r w:rsidR="006C5013" w:rsidRPr="006C5013">
        <w:rPr>
          <w:lang w:val="en-GB" w:eastAsia="ja-JP"/>
        </w:rPr>
        <w:t xml:space="preserve">Kusumoto </w:t>
      </w:r>
      <w:r w:rsidR="00BC06EA">
        <w:rPr>
          <w:lang w:val="en-GB" w:eastAsia="ja-JP"/>
        </w:rPr>
        <w:t xml:space="preserve">et al. </w:t>
      </w:r>
      <w:r w:rsidR="006C5013" w:rsidRPr="006C5013">
        <w:rPr>
          <w:lang w:val="en-GB" w:eastAsia="ja-JP"/>
        </w:rPr>
        <w:t>2019).</w:t>
      </w:r>
    </w:p>
    <w:p w14:paraId="452CFA8C" w14:textId="2353B3CD" w:rsidR="00CC182D" w:rsidRDefault="00BE2FBF" w:rsidP="009974AE">
      <w:pPr>
        <w:pStyle w:val="Caption"/>
        <w:spacing w:after="240"/>
      </w:pPr>
      <w:bookmarkStart w:id="13" w:name="_Ref160189942"/>
      <w:r>
        <w:lastRenderedPageBreak/>
        <w:t xml:space="preserve">Figure </w:t>
      </w:r>
      <w:r w:rsidR="00384C3C">
        <w:fldChar w:fldCharType="begin"/>
      </w:r>
      <w:r w:rsidR="00384C3C">
        <w:instrText xml:space="preserve"> SEQ Figure \* ARABIC </w:instrText>
      </w:r>
      <w:r w:rsidR="00384C3C">
        <w:fldChar w:fldCharType="separate"/>
      </w:r>
      <w:r w:rsidR="00384C3C">
        <w:rPr>
          <w:noProof/>
        </w:rPr>
        <w:t>2</w:t>
      </w:r>
      <w:r w:rsidR="00384C3C">
        <w:fldChar w:fldCharType="end"/>
      </w:r>
      <w:bookmarkEnd w:id="13"/>
      <w:r w:rsidR="0085607F">
        <w:tab/>
        <w:t>Clinical management algorithm including Micra AV</w:t>
      </w:r>
    </w:p>
    <w:p w14:paraId="471EC764" w14:textId="2492324E" w:rsidR="00F5759D" w:rsidRDefault="00FC1A73" w:rsidP="0085607F">
      <w:pPr>
        <w:rPr>
          <w:lang w:val="en-GB" w:eastAsia="ja-JP"/>
        </w:rPr>
      </w:pPr>
      <w:r>
        <w:rPr>
          <w:noProof/>
          <w:lang w:val="en-GB" w:eastAsia="ja-JP"/>
        </w:rPr>
        <w:drawing>
          <wp:inline distT="0" distB="0" distL="0" distR="0" wp14:anchorId="55D0A83B" wp14:editId="2675821A">
            <wp:extent cx="6111074" cy="3647103"/>
            <wp:effectExtent l="0" t="0" r="4445" b="0"/>
            <wp:docPr id="14" name="Picture 14" descr="Figure 2 Clinical management algorithm including Micra 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2 Clinical management algorithm including Micra A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38730" cy="3663608"/>
                    </a:xfrm>
                    <a:prstGeom prst="rect">
                      <a:avLst/>
                    </a:prstGeom>
                    <a:noFill/>
                  </pic:spPr>
                </pic:pic>
              </a:graphicData>
            </a:graphic>
          </wp:inline>
        </w:drawing>
      </w:r>
    </w:p>
    <w:p w14:paraId="6CDC569B" w14:textId="6C5E2939" w:rsidR="00E7434F" w:rsidRDefault="00C45D73" w:rsidP="00E7434F">
      <w:pPr>
        <w:pStyle w:val="Tablenotes"/>
        <w:spacing w:after="0"/>
        <w:rPr>
          <w:lang w:val="en-GB" w:eastAsia="ja-JP"/>
        </w:rPr>
      </w:pPr>
      <w:r>
        <w:rPr>
          <w:lang w:val="en-GB" w:eastAsia="ja-JP"/>
        </w:rPr>
        <w:t>AF = atrial fibril</w:t>
      </w:r>
      <w:r w:rsidR="005A7341">
        <w:rPr>
          <w:lang w:val="en-GB" w:eastAsia="ja-JP"/>
        </w:rPr>
        <w:t>l</w:t>
      </w:r>
      <w:r>
        <w:rPr>
          <w:lang w:val="en-GB" w:eastAsia="ja-JP"/>
        </w:rPr>
        <w:t xml:space="preserve">ation; </w:t>
      </w:r>
      <w:r w:rsidR="00E7434F" w:rsidRPr="00E7434F">
        <w:rPr>
          <w:lang w:val="en-GB" w:eastAsia="ja-JP"/>
        </w:rPr>
        <w:t>AV = atrioventricular; CRT = cardiac resynchronisation therapy</w:t>
      </w:r>
      <w:r w:rsidR="003D16F6">
        <w:rPr>
          <w:lang w:val="en-GB" w:eastAsia="ja-JP"/>
        </w:rPr>
        <w:t>;</w:t>
      </w:r>
      <w:r w:rsidR="006334EC">
        <w:rPr>
          <w:lang w:val="en-GB" w:eastAsia="ja-JP"/>
        </w:rPr>
        <w:t xml:space="preserve"> </w:t>
      </w:r>
      <w:r w:rsidR="00F5759D">
        <w:rPr>
          <w:lang w:val="en-GB" w:eastAsia="ja-JP"/>
        </w:rPr>
        <w:t xml:space="preserve">CRTP = cardiac resynchronisation therapy pacemaker; </w:t>
      </w:r>
      <w:r w:rsidR="006334EC">
        <w:rPr>
          <w:lang w:val="en-GB" w:eastAsia="ja-JP"/>
        </w:rPr>
        <w:t>DC-TVPM = dual chamber transvenous pacemaker;</w:t>
      </w:r>
      <w:r w:rsidR="00E7434F" w:rsidRPr="00E7434F">
        <w:rPr>
          <w:lang w:val="en-GB" w:eastAsia="ja-JP"/>
        </w:rPr>
        <w:t xml:space="preserve"> HF = heart failure; LV = left ventricular; LVEF = left ventricular ejection fraction</w:t>
      </w:r>
      <w:r w:rsidR="006334EC">
        <w:rPr>
          <w:lang w:val="en-GB" w:eastAsia="ja-JP"/>
        </w:rPr>
        <w:t>; TVPM = transvenous pacemaker</w:t>
      </w:r>
      <w:r w:rsidR="00E7434F">
        <w:rPr>
          <w:lang w:val="en-GB" w:eastAsia="ja-JP"/>
        </w:rPr>
        <w:t>.</w:t>
      </w:r>
    </w:p>
    <w:p w14:paraId="0BCD38F8" w14:textId="36E3A939" w:rsidR="00227507" w:rsidRDefault="00227507" w:rsidP="00A64F09">
      <w:pPr>
        <w:pStyle w:val="Tablenotes"/>
        <w:spacing w:after="240"/>
        <w:rPr>
          <w:lang w:val="en-GB" w:eastAsia="ja-JP"/>
        </w:rPr>
      </w:pPr>
      <w:r>
        <w:rPr>
          <w:lang w:val="en-GB" w:eastAsia="ja-JP"/>
        </w:rPr>
        <w:t xml:space="preserve">Source: adapted from </w:t>
      </w:r>
      <w:r w:rsidR="00514E43">
        <w:rPr>
          <w:lang w:val="en-GB" w:eastAsia="ja-JP"/>
        </w:rPr>
        <w:t xml:space="preserve">the </w:t>
      </w:r>
      <w:r>
        <w:rPr>
          <w:lang w:val="en-GB" w:eastAsia="ja-JP"/>
        </w:rPr>
        <w:t xml:space="preserve">clinical management algorithm </w:t>
      </w:r>
      <w:r w:rsidR="007D5EB1">
        <w:rPr>
          <w:lang w:val="en-GB" w:eastAsia="ja-JP"/>
        </w:rPr>
        <w:t>proposed</w:t>
      </w:r>
      <w:r>
        <w:rPr>
          <w:lang w:val="en-GB" w:eastAsia="ja-JP"/>
        </w:rPr>
        <w:t xml:space="preserve"> by </w:t>
      </w:r>
      <w:r w:rsidR="005A4010">
        <w:rPr>
          <w:lang w:val="en-GB" w:eastAsia="ja-JP"/>
        </w:rPr>
        <w:t xml:space="preserve">the </w:t>
      </w:r>
      <w:r>
        <w:rPr>
          <w:lang w:val="en-GB" w:eastAsia="ja-JP"/>
        </w:rPr>
        <w:t>applicant</w:t>
      </w:r>
      <w:r w:rsidR="000D27EA">
        <w:rPr>
          <w:lang w:val="en-GB" w:eastAsia="ja-JP"/>
        </w:rPr>
        <w:t xml:space="preserve">, based on </w:t>
      </w:r>
      <w:r w:rsidR="00FD54D1">
        <w:rPr>
          <w:lang w:val="en-GB" w:eastAsia="ja-JP"/>
        </w:rPr>
        <w:t xml:space="preserve">the </w:t>
      </w:r>
      <w:r w:rsidR="00514E43">
        <w:rPr>
          <w:lang w:val="en-GB" w:eastAsia="ja-JP"/>
        </w:rPr>
        <w:t>algorithm for the m</w:t>
      </w:r>
      <w:r w:rsidR="00514E43" w:rsidRPr="00140515">
        <w:rPr>
          <w:lang w:val="en-GB" w:eastAsia="ja-JP"/>
        </w:rPr>
        <w:t xml:space="preserve">anagement of bradycardia or pauses attributable to chronic atrioventricular block </w:t>
      </w:r>
      <w:r w:rsidR="00474551">
        <w:rPr>
          <w:lang w:val="en-GB" w:eastAsia="ja-JP"/>
        </w:rPr>
        <w:t>in Kusumoto</w:t>
      </w:r>
      <w:r w:rsidR="00C95F31">
        <w:rPr>
          <w:lang w:val="en-GB" w:eastAsia="ja-JP"/>
        </w:rPr>
        <w:t xml:space="preserve"> et al.</w:t>
      </w:r>
      <w:r w:rsidR="00474551">
        <w:rPr>
          <w:lang w:val="en-GB" w:eastAsia="ja-JP"/>
        </w:rPr>
        <w:t xml:space="preserve"> (2019) </w:t>
      </w:r>
      <w:r w:rsidR="00514E43">
        <w:rPr>
          <w:lang w:val="en-GB" w:eastAsia="ja-JP"/>
        </w:rPr>
        <w:t>(</w:t>
      </w:r>
      <w:r w:rsidR="00514E43" w:rsidRPr="00AD7A0B">
        <w:rPr>
          <w:lang w:val="en-GB" w:eastAsia="ja-JP"/>
        </w:rPr>
        <w:t>Figure 7</w:t>
      </w:r>
      <w:r w:rsidR="00514E43">
        <w:rPr>
          <w:lang w:val="en-GB" w:eastAsia="ja-JP"/>
        </w:rPr>
        <w:t>)</w:t>
      </w:r>
      <w:r w:rsidR="00474551">
        <w:rPr>
          <w:lang w:val="en-GB" w:eastAsia="ja-JP"/>
        </w:rPr>
        <w:t>.</w:t>
      </w:r>
    </w:p>
    <w:p w14:paraId="0F86B7BF" w14:textId="7C395040" w:rsidR="00320670" w:rsidRDefault="00946733" w:rsidP="00320670">
      <w:pPr>
        <w:rPr>
          <w:lang w:val="en-GB" w:eastAsia="ja-JP"/>
        </w:rPr>
      </w:pPr>
      <w:r>
        <w:rPr>
          <w:lang w:val="en-GB" w:eastAsia="ja-JP"/>
        </w:rPr>
        <w:t xml:space="preserve">The key difference between the two algorithms is that </w:t>
      </w:r>
      <w:r w:rsidR="000101A7">
        <w:rPr>
          <w:lang w:val="en-GB" w:eastAsia="ja-JP"/>
        </w:rPr>
        <w:t xml:space="preserve">in </w:t>
      </w:r>
      <w:r w:rsidR="000101A7">
        <w:rPr>
          <w:lang w:val="en-GB" w:eastAsia="ja-JP"/>
        </w:rPr>
        <w:fldChar w:fldCharType="begin"/>
      </w:r>
      <w:r w:rsidR="000101A7">
        <w:rPr>
          <w:lang w:val="en-GB" w:eastAsia="ja-JP"/>
        </w:rPr>
        <w:instrText xml:space="preserve"> REF _Ref160189942 \h </w:instrText>
      </w:r>
      <w:r w:rsidR="000101A7">
        <w:rPr>
          <w:lang w:val="en-GB" w:eastAsia="ja-JP"/>
        </w:rPr>
      </w:r>
      <w:r w:rsidR="000101A7">
        <w:rPr>
          <w:lang w:val="en-GB" w:eastAsia="ja-JP"/>
        </w:rPr>
        <w:fldChar w:fldCharType="separate"/>
      </w:r>
      <w:r w:rsidR="00986B06">
        <w:t xml:space="preserve">Figure </w:t>
      </w:r>
      <w:r w:rsidR="00986B06">
        <w:rPr>
          <w:noProof/>
        </w:rPr>
        <w:t>2</w:t>
      </w:r>
      <w:r w:rsidR="000101A7">
        <w:rPr>
          <w:lang w:val="en-GB" w:eastAsia="ja-JP"/>
        </w:rPr>
        <w:fldChar w:fldCharType="end"/>
      </w:r>
      <w:r w:rsidR="000101A7">
        <w:rPr>
          <w:lang w:val="en-GB" w:eastAsia="ja-JP"/>
        </w:rPr>
        <w:t xml:space="preserve"> </w:t>
      </w:r>
      <w:r>
        <w:rPr>
          <w:lang w:val="en-GB" w:eastAsia="ja-JP"/>
        </w:rPr>
        <w:t xml:space="preserve">the Micra AV replaces the Micra VR as </w:t>
      </w:r>
      <w:r w:rsidR="00142A28">
        <w:rPr>
          <w:lang w:val="en-GB" w:eastAsia="ja-JP"/>
        </w:rPr>
        <w:t xml:space="preserve">an option for right ventricular pacing in patients </w:t>
      </w:r>
      <w:r w:rsidR="00A64F09">
        <w:rPr>
          <w:lang w:val="en-GB" w:eastAsia="ja-JP"/>
        </w:rPr>
        <w:t>indicated for</w:t>
      </w:r>
      <w:r w:rsidR="00142A28">
        <w:rPr>
          <w:lang w:val="en-GB" w:eastAsia="ja-JP"/>
        </w:rPr>
        <w:t xml:space="preserve"> </w:t>
      </w:r>
      <w:r w:rsidR="00A64ACF">
        <w:rPr>
          <w:lang w:val="en-GB" w:eastAsia="ja-JP"/>
        </w:rPr>
        <w:t xml:space="preserve">a pacemaker with </w:t>
      </w:r>
      <w:r w:rsidR="00142A28">
        <w:rPr>
          <w:lang w:val="en-GB" w:eastAsia="ja-JP"/>
        </w:rPr>
        <w:t>dual chamber functionality.</w:t>
      </w:r>
      <w:r w:rsidR="005A6A6F">
        <w:rPr>
          <w:lang w:val="en-GB" w:eastAsia="ja-JP"/>
        </w:rPr>
        <w:t xml:space="preserve"> </w:t>
      </w:r>
      <w:r w:rsidR="005A6A6F">
        <w:rPr>
          <w:lang w:val="en-GB" w:eastAsia="ja-JP"/>
        </w:rPr>
        <w:fldChar w:fldCharType="begin"/>
      </w:r>
      <w:r w:rsidR="005A6A6F">
        <w:rPr>
          <w:lang w:val="en-GB" w:eastAsia="ja-JP"/>
        </w:rPr>
        <w:instrText xml:space="preserve"> REF _Ref160189942 \h </w:instrText>
      </w:r>
      <w:r w:rsidR="005A6A6F">
        <w:rPr>
          <w:lang w:val="en-GB" w:eastAsia="ja-JP"/>
        </w:rPr>
      </w:r>
      <w:r w:rsidR="005A6A6F">
        <w:rPr>
          <w:lang w:val="en-GB" w:eastAsia="ja-JP"/>
        </w:rPr>
        <w:fldChar w:fldCharType="separate"/>
      </w:r>
      <w:r w:rsidR="00986B06">
        <w:t xml:space="preserve">Figure </w:t>
      </w:r>
      <w:r w:rsidR="00986B06">
        <w:rPr>
          <w:noProof/>
        </w:rPr>
        <w:t>2</w:t>
      </w:r>
      <w:r w:rsidR="005A6A6F">
        <w:rPr>
          <w:lang w:val="en-GB" w:eastAsia="ja-JP"/>
        </w:rPr>
        <w:fldChar w:fldCharType="end"/>
      </w:r>
      <w:r w:rsidR="005A6A6F">
        <w:rPr>
          <w:lang w:val="en-GB" w:eastAsia="ja-JP"/>
        </w:rPr>
        <w:t xml:space="preserve"> also</w:t>
      </w:r>
      <w:r w:rsidR="00133B6B">
        <w:rPr>
          <w:lang w:val="en-GB" w:eastAsia="ja-JP"/>
        </w:rPr>
        <w:t xml:space="preserve"> provides </w:t>
      </w:r>
      <w:r w:rsidR="00CA4246">
        <w:rPr>
          <w:lang w:val="en-GB" w:eastAsia="ja-JP"/>
        </w:rPr>
        <w:t>additional detail regarding when</w:t>
      </w:r>
      <w:r w:rsidR="00133B6B">
        <w:rPr>
          <w:lang w:val="en-GB" w:eastAsia="ja-JP"/>
        </w:rPr>
        <w:t xml:space="preserve"> the Micra AV </w:t>
      </w:r>
      <w:r w:rsidR="00CA4246">
        <w:rPr>
          <w:lang w:val="en-GB" w:eastAsia="ja-JP"/>
        </w:rPr>
        <w:t>would be considered more appropriate than a DC-TVPM.</w:t>
      </w:r>
      <w:r w:rsidR="00884A26">
        <w:rPr>
          <w:lang w:val="en-GB" w:eastAsia="ja-JP"/>
        </w:rPr>
        <w:t xml:space="preserve"> The applicant claims that </w:t>
      </w:r>
      <w:r w:rsidR="00D8612F">
        <w:rPr>
          <w:lang w:val="en-GB" w:eastAsia="ja-JP"/>
        </w:rPr>
        <w:t xml:space="preserve">the </w:t>
      </w:r>
      <w:r w:rsidR="00884A26">
        <w:rPr>
          <w:lang w:val="en-GB" w:eastAsia="ja-JP"/>
        </w:rPr>
        <w:t xml:space="preserve">Micra AV </w:t>
      </w:r>
      <w:r w:rsidR="00884A26" w:rsidRPr="00884A26">
        <w:rPr>
          <w:lang w:val="en-GB" w:eastAsia="ja-JP"/>
        </w:rPr>
        <w:t>will be preferentially considered among patients who do not require near 100% AV synchronicity (typically elderly and those with co-morbidities) and who have a clinical need for a leadless option.</w:t>
      </w:r>
    </w:p>
    <w:p w14:paraId="5E6241BB" w14:textId="35916AB4" w:rsidR="00F026B6" w:rsidRDefault="00F026B6" w:rsidP="00320670">
      <w:pPr>
        <w:rPr>
          <w:lang w:val="en-GB" w:eastAsia="ja-JP"/>
        </w:rPr>
      </w:pPr>
      <w:r w:rsidRPr="00F026B6">
        <w:rPr>
          <w:i/>
          <w:iCs/>
        </w:rPr>
        <w:t xml:space="preserve">PASC reviewed the clinical algorithms and suggested that guideline-directed management and therapy (GDMT) be changed to cardiac resynchronisation therapy pacemaker (CRTP) in both algorithms. </w:t>
      </w:r>
      <w:r w:rsidR="00BB260F">
        <w:rPr>
          <w:i/>
          <w:iCs/>
        </w:rPr>
        <w:t xml:space="preserve">In addition, </w:t>
      </w:r>
      <w:r w:rsidR="002A4AD8">
        <w:rPr>
          <w:i/>
          <w:iCs/>
        </w:rPr>
        <w:t>PASC advised that</w:t>
      </w:r>
      <w:r w:rsidR="00BB260F">
        <w:rPr>
          <w:i/>
          <w:iCs/>
        </w:rPr>
        <w:t xml:space="preserve"> </w:t>
      </w:r>
      <w:r w:rsidR="00350B7A">
        <w:rPr>
          <w:i/>
          <w:iCs/>
        </w:rPr>
        <w:t xml:space="preserve">in both current and proposed algorithms, </w:t>
      </w:r>
      <w:r w:rsidR="00025FC0">
        <w:rPr>
          <w:i/>
          <w:iCs/>
        </w:rPr>
        <w:t xml:space="preserve">the starting population </w:t>
      </w:r>
      <w:r w:rsidR="000168FB">
        <w:rPr>
          <w:i/>
          <w:iCs/>
        </w:rPr>
        <w:t xml:space="preserve">should </w:t>
      </w:r>
      <w:r w:rsidR="00642513">
        <w:rPr>
          <w:i/>
          <w:iCs/>
        </w:rPr>
        <w:t xml:space="preserve">include </w:t>
      </w:r>
      <w:r w:rsidR="00025FC0">
        <w:rPr>
          <w:i/>
          <w:iCs/>
        </w:rPr>
        <w:t>specif</w:t>
      </w:r>
      <w:r w:rsidR="00642513">
        <w:rPr>
          <w:i/>
          <w:iCs/>
        </w:rPr>
        <w:t xml:space="preserve">ication that </w:t>
      </w:r>
      <w:r w:rsidR="00BB260F">
        <w:rPr>
          <w:i/>
          <w:iCs/>
        </w:rPr>
        <w:t xml:space="preserve">patients </w:t>
      </w:r>
      <w:r w:rsidR="00567953">
        <w:rPr>
          <w:i/>
          <w:iCs/>
        </w:rPr>
        <w:t xml:space="preserve">are </w:t>
      </w:r>
      <w:r w:rsidR="00BB260F">
        <w:rPr>
          <w:i/>
          <w:iCs/>
        </w:rPr>
        <w:t>in sinus rhythm</w:t>
      </w:r>
      <w:r w:rsidR="000C658B">
        <w:rPr>
          <w:i/>
          <w:iCs/>
        </w:rPr>
        <w:t>.</w:t>
      </w:r>
    </w:p>
    <w:p w14:paraId="2BDE22B9" w14:textId="77777777" w:rsidR="00D73332" w:rsidRPr="0015636C" w:rsidRDefault="00D73332" w:rsidP="00713728">
      <w:pPr>
        <w:pStyle w:val="Heading2"/>
        <w:rPr>
          <w:b/>
          <w:bCs/>
        </w:rPr>
      </w:pPr>
      <w:r w:rsidRPr="00490FBB">
        <w:t xml:space="preserve">Proposed economic </w:t>
      </w:r>
      <w:proofErr w:type="gramStart"/>
      <w:r w:rsidRPr="00490FBB">
        <w:t>evaluation</w:t>
      </w:r>
      <w:proofErr w:type="gramEnd"/>
    </w:p>
    <w:p w14:paraId="57EFE005" w14:textId="4173CBB7" w:rsidR="0050553E" w:rsidRDefault="00630D51" w:rsidP="009E420D">
      <w:r w:rsidRPr="00794F3A">
        <w:t>The applic</w:t>
      </w:r>
      <w:r>
        <w:t xml:space="preserve">ation </w:t>
      </w:r>
      <w:r w:rsidRPr="00794F3A">
        <w:t>claim</w:t>
      </w:r>
      <w:r w:rsidR="00402AC2">
        <w:t>ed</w:t>
      </w:r>
      <w:r w:rsidRPr="00794F3A">
        <w:t xml:space="preserve"> the main benefit of </w:t>
      </w:r>
      <w:r w:rsidR="003D4793">
        <w:t>an</w:t>
      </w:r>
      <w:r w:rsidR="003D4793" w:rsidRPr="00794F3A">
        <w:t xml:space="preserve"> </w:t>
      </w:r>
      <w:r w:rsidRPr="00794F3A">
        <w:t>LPM relative to a TVPM is the elimination of complications associated with TVPMs and leads</w:t>
      </w:r>
      <w:r w:rsidR="00E167C5">
        <w:t>,</w:t>
      </w:r>
      <w:r w:rsidRPr="00794F3A">
        <w:t xml:space="preserve"> such as pocket infections, h</w:t>
      </w:r>
      <w:r w:rsidR="00D850F3">
        <w:t>a</w:t>
      </w:r>
      <w:r w:rsidRPr="00794F3A">
        <w:t xml:space="preserve">ematoma, lead dislodgement, and lead fracture. </w:t>
      </w:r>
      <w:r>
        <w:t>Furthermore,</w:t>
      </w:r>
      <w:r w:rsidRPr="00C835C8">
        <w:t xml:space="preserve"> </w:t>
      </w:r>
      <w:r w:rsidR="003D0432">
        <w:t xml:space="preserve">it is claimed that the </w:t>
      </w:r>
      <w:r w:rsidRPr="00C835C8">
        <w:t xml:space="preserve">Micra AV is likely </w:t>
      </w:r>
      <w:r w:rsidR="00E167C5">
        <w:t xml:space="preserve">to </w:t>
      </w:r>
      <w:r w:rsidRPr="00C835C8">
        <w:t xml:space="preserve">improve quality of life relative to </w:t>
      </w:r>
      <w:r w:rsidR="006A3F79">
        <w:t>a</w:t>
      </w:r>
      <w:r w:rsidRPr="00C835C8">
        <w:t xml:space="preserve"> DC-TVPM</w:t>
      </w:r>
      <w:r w:rsidR="005874DB">
        <w:t xml:space="preserve"> due to </w:t>
      </w:r>
      <w:r w:rsidRPr="00C835C8">
        <w:t xml:space="preserve">earlier return to activities of daily living and hence independence as well as the omission of pain, discomfort and aesthetic issues pertaining to the subcutaneous pocket required for </w:t>
      </w:r>
      <w:r w:rsidR="00E167C5">
        <w:t>a</w:t>
      </w:r>
      <w:r w:rsidR="00E167C5" w:rsidRPr="00C835C8">
        <w:t xml:space="preserve"> </w:t>
      </w:r>
      <w:r w:rsidRPr="00C835C8">
        <w:t>TVPM.</w:t>
      </w:r>
      <w:r w:rsidR="0050553E">
        <w:t xml:space="preserve"> </w:t>
      </w:r>
    </w:p>
    <w:p w14:paraId="7B41AB21" w14:textId="77777777" w:rsidR="003B76F5" w:rsidRDefault="009E420D" w:rsidP="009E420D">
      <w:r>
        <w:lastRenderedPageBreak/>
        <w:t>Based on the applicant’s clinical claim</w:t>
      </w:r>
      <w:r w:rsidR="003823E0">
        <w:t>s</w:t>
      </w:r>
      <w:r w:rsidR="001F0DFB">
        <w:t xml:space="preserve"> of</w:t>
      </w:r>
      <w:r w:rsidR="00795EFF">
        <w:t xml:space="preserve"> </w:t>
      </w:r>
      <w:r w:rsidR="00795EFF" w:rsidRPr="004E139C">
        <w:rPr>
          <w:b/>
        </w:rPr>
        <w:t xml:space="preserve">superior </w:t>
      </w:r>
      <w:r w:rsidR="00795EFF">
        <w:t>safety</w:t>
      </w:r>
      <w:r w:rsidR="005314BC">
        <w:t>,</w:t>
      </w:r>
      <w:r w:rsidR="00795EFF">
        <w:t xml:space="preserve"> </w:t>
      </w:r>
      <w:r w:rsidR="00366C9C" w:rsidRPr="00F11652">
        <w:rPr>
          <w:b/>
          <w:bCs/>
        </w:rPr>
        <w:t>non-inferior</w:t>
      </w:r>
      <w:r w:rsidR="00795EFF">
        <w:t xml:space="preserve"> </w:t>
      </w:r>
      <w:r w:rsidR="00A83907">
        <w:t>efficacy (</w:t>
      </w:r>
      <w:r w:rsidR="00232806">
        <w:t>including mortality)</w:t>
      </w:r>
      <w:r w:rsidR="00795EFF">
        <w:t xml:space="preserve"> and </w:t>
      </w:r>
      <w:r w:rsidR="00795EFF" w:rsidRPr="004E139C">
        <w:rPr>
          <w:b/>
        </w:rPr>
        <w:t>superior</w:t>
      </w:r>
      <w:r w:rsidR="00795EFF">
        <w:t xml:space="preserve"> quality of life, </w:t>
      </w:r>
      <w:r w:rsidR="003370EB">
        <w:t>a cost-utility analysis is appropriate</w:t>
      </w:r>
      <w:r w:rsidR="004A6473">
        <w:t xml:space="preserve"> (</w:t>
      </w:r>
      <w:r w:rsidR="004A6473">
        <w:fldChar w:fldCharType="begin"/>
      </w:r>
      <w:r w:rsidR="004A6473">
        <w:instrText xml:space="preserve"> REF _Ref54260209 \h </w:instrText>
      </w:r>
      <w:r w:rsidR="004A6473">
        <w:fldChar w:fldCharType="separate"/>
      </w:r>
      <w:r w:rsidR="004A6473" w:rsidRPr="00490FBB">
        <w:t>Table</w:t>
      </w:r>
      <w:r w:rsidR="004A6473">
        <w:t> </w:t>
      </w:r>
      <w:r w:rsidR="004A6473">
        <w:rPr>
          <w:noProof/>
        </w:rPr>
        <w:t>7</w:t>
      </w:r>
      <w:r w:rsidR="004A6473">
        <w:fldChar w:fldCharType="end"/>
      </w:r>
      <w:r w:rsidR="004A6473">
        <w:t>)</w:t>
      </w:r>
      <w:r w:rsidR="003370EB">
        <w:t>.</w:t>
      </w:r>
      <w:r w:rsidR="00BB687F">
        <w:t xml:space="preserve"> </w:t>
      </w:r>
    </w:p>
    <w:p w14:paraId="131C0388" w14:textId="125B155B" w:rsidR="00F73A1D" w:rsidRDefault="00BB687F" w:rsidP="009E420D">
      <w:r>
        <w:t xml:space="preserve">The assessment report </w:t>
      </w:r>
      <w:r w:rsidR="00D57D92">
        <w:t xml:space="preserve">will need to </w:t>
      </w:r>
      <w:r w:rsidR="00E8119D">
        <w:t xml:space="preserve">address concerns regarding the strength of the evidence in relation to </w:t>
      </w:r>
      <w:r w:rsidR="00CB2FF3">
        <w:t xml:space="preserve">the </w:t>
      </w:r>
      <w:r w:rsidR="004462E1">
        <w:t>claim</w:t>
      </w:r>
      <w:r w:rsidR="00570109">
        <w:t xml:space="preserve"> of</w:t>
      </w:r>
      <w:r w:rsidR="004462E1">
        <w:t xml:space="preserve"> superiority </w:t>
      </w:r>
      <w:r w:rsidR="0057356B">
        <w:t xml:space="preserve">given </w:t>
      </w:r>
      <w:r w:rsidR="00F12A4A">
        <w:t xml:space="preserve">the evidence </w:t>
      </w:r>
      <w:r w:rsidR="008C5F06">
        <w:t xml:space="preserve">cited in the application </w:t>
      </w:r>
      <w:r w:rsidR="00183F98">
        <w:t xml:space="preserve">relies on </w:t>
      </w:r>
      <w:r w:rsidR="00C13102">
        <w:t xml:space="preserve">single-arm and </w:t>
      </w:r>
      <w:r w:rsidR="00080AA2">
        <w:t>real</w:t>
      </w:r>
      <w:r w:rsidR="00F961F1">
        <w:t>-</w:t>
      </w:r>
      <w:r w:rsidR="00080AA2">
        <w:t xml:space="preserve">world </w:t>
      </w:r>
      <w:r w:rsidR="00C13102">
        <w:t>studies</w:t>
      </w:r>
      <w:r w:rsidR="00183F98">
        <w:t xml:space="preserve"> (direct comparative trials are recruiting).</w:t>
      </w:r>
    </w:p>
    <w:p w14:paraId="5952612C" w14:textId="5C537A71" w:rsidR="003B76F5" w:rsidRDefault="002037B4" w:rsidP="002037B4">
      <w:r>
        <w:t>The key safety evidence appears to be a</w:t>
      </w:r>
      <w:r w:rsidR="004F2A03">
        <w:t>n ongoing</w:t>
      </w:r>
      <w:r>
        <w:t xml:space="preserve"> ‘coverage with evidence development’ (CED) study</w:t>
      </w:r>
      <w:r w:rsidR="005C420D">
        <w:t xml:space="preserve"> </w:t>
      </w:r>
      <w:r w:rsidR="004F2A03">
        <w:t xml:space="preserve">from the United States </w:t>
      </w:r>
      <w:r w:rsidR="0021696D">
        <w:t xml:space="preserve">that </w:t>
      </w:r>
      <w:r w:rsidR="00490324">
        <w:t>uses</w:t>
      </w:r>
      <w:r w:rsidR="0021696D">
        <w:t xml:space="preserve"> </w:t>
      </w:r>
      <w:r w:rsidR="00FB228F">
        <w:t xml:space="preserve">device </w:t>
      </w:r>
      <w:r w:rsidR="0021696D">
        <w:t>registry</w:t>
      </w:r>
      <w:r w:rsidR="00DD733A">
        <w:t xml:space="preserve">-linked </w:t>
      </w:r>
      <w:r w:rsidR="0021696D">
        <w:t xml:space="preserve">Medicare </w:t>
      </w:r>
      <w:r w:rsidR="00DD733A">
        <w:t>claims data</w:t>
      </w:r>
      <w:r w:rsidR="00F43990">
        <w:t xml:space="preserve"> </w:t>
      </w:r>
      <w:r w:rsidR="00A13405">
        <w:t>(</w:t>
      </w:r>
      <w:hyperlink r:id="rId19" w:tooltip="Hyperlink to Clinical Trials.gov study NCT04235491" w:history="1">
        <w:r w:rsidR="00A13405" w:rsidRPr="00CA3C6F">
          <w:rPr>
            <w:rStyle w:val="Hyperlink"/>
            <w:rFonts w:ascii="Calibri" w:hAnsi="Calibri"/>
          </w:rPr>
          <w:t>NCT04235491</w:t>
        </w:r>
      </w:hyperlink>
      <w:r w:rsidR="00A13405">
        <w:t>)</w:t>
      </w:r>
      <w:r w:rsidR="00CB666E">
        <w:t>, similar to that used for Micra VR in MSAC application 1672</w:t>
      </w:r>
      <w:r w:rsidR="00A13405">
        <w:t xml:space="preserve">. The primary publication </w:t>
      </w:r>
      <w:r w:rsidR="006F1C87">
        <w:t xml:space="preserve">from the Micra AV </w:t>
      </w:r>
      <w:r w:rsidR="00AC5A1E">
        <w:t xml:space="preserve">CED study </w:t>
      </w:r>
      <w:r w:rsidR="00825781">
        <w:t>used</w:t>
      </w:r>
      <w:r w:rsidR="00F82E26">
        <w:t xml:space="preserve"> propensity score matching to </w:t>
      </w:r>
      <w:r w:rsidR="005D2652">
        <w:t>assess</w:t>
      </w:r>
      <w:r w:rsidR="00F82E26">
        <w:t xml:space="preserve"> </w:t>
      </w:r>
      <w:r w:rsidR="006205B7">
        <w:t>complication</w:t>
      </w:r>
      <w:r w:rsidR="005D2652">
        <w:t xml:space="preserve"> rate</w:t>
      </w:r>
      <w:r w:rsidR="006205B7">
        <w:t xml:space="preserve">s </w:t>
      </w:r>
      <w:r w:rsidR="004F2A03">
        <w:t>(including</w:t>
      </w:r>
      <w:r w:rsidR="006205B7">
        <w:t xml:space="preserve"> reintervention</w:t>
      </w:r>
      <w:r w:rsidR="00F1082C">
        <w:t>s</w:t>
      </w:r>
      <w:r w:rsidR="004F2A03">
        <w:t>)</w:t>
      </w:r>
      <w:r w:rsidR="00F1082C">
        <w:t xml:space="preserve"> </w:t>
      </w:r>
      <w:r w:rsidR="00B31145">
        <w:t xml:space="preserve">and all-cause mortality </w:t>
      </w:r>
      <w:r w:rsidR="00F1082C">
        <w:t xml:space="preserve">in </w:t>
      </w:r>
      <w:r w:rsidR="004F531B">
        <w:t>Medicare beneficiaries</w:t>
      </w:r>
      <w:r w:rsidR="00E47616">
        <w:t xml:space="preserve"> implanted with a Micra AV </w:t>
      </w:r>
      <w:r w:rsidR="00C33A71">
        <w:t xml:space="preserve">compared </w:t>
      </w:r>
      <w:r w:rsidR="00F43990">
        <w:t>with a contemporaneous cohort of patients implanted with</w:t>
      </w:r>
      <w:r w:rsidR="00107B22">
        <w:t xml:space="preserve"> a DC-TVPM</w:t>
      </w:r>
      <w:r w:rsidR="00F937B3">
        <w:t>, regardless of pacing indication</w:t>
      </w:r>
      <w:r w:rsidR="006319E4">
        <w:t xml:space="preserve"> (Crossley et al. 2024)</w:t>
      </w:r>
      <w:r>
        <w:t>.</w:t>
      </w:r>
      <w:r w:rsidR="00A62D76">
        <w:t xml:space="preserve"> </w:t>
      </w:r>
      <w:r w:rsidR="00F039A9">
        <w:t>The application note</w:t>
      </w:r>
      <w:r w:rsidR="007B7309">
        <w:t>d</w:t>
      </w:r>
      <w:r w:rsidR="00F039A9">
        <w:t xml:space="preserve"> that </w:t>
      </w:r>
      <w:r w:rsidR="001F1405" w:rsidRPr="001F1405">
        <w:t xml:space="preserve">additional </w:t>
      </w:r>
      <w:r w:rsidR="00F039A9">
        <w:t xml:space="preserve">unpublished </w:t>
      </w:r>
      <w:r w:rsidR="001F1405" w:rsidRPr="001F1405">
        <w:t>analyses stratified by AF</w:t>
      </w:r>
      <w:r w:rsidR="00F039A9">
        <w:t xml:space="preserve"> </w:t>
      </w:r>
      <w:r w:rsidR="001F1405" w:rsidRPr="001F1405">
        <w:t>at baseline have been performed as a proxy for ‘in sinus rhythm’ (no AF)</w:t>
      </w:r>
      <w:r w:rsidR="00750504">
        <w:t xml:space="preserve"> and will be provided in the assessment</w:t>
      </w:r>
      <w:r w:rsidR="00717A66">
        <w:t>.</w:t>
      </w:r>
      <w:r w:rsidR="009C19F2">
        <w:t xml:space="preserve"> </w:t>
      </w:r>
    </w:p>
    <w:p w14:paraId="587876FC" w14:textId="518DF5B5" w:rsidR="002037B4" w:rsidRDefault="00BC0A5D" w:rsidP="002037B4">
      <w:r>
        <w:t xml:space="preserve">The assessment report </w:t>
      </w:r>
      <w:r w:rsidR="0AB3A2F3">
        <w:t>will need to</w:t>
      </w:r>
      <w:r>
        <w:t xml:space="preserve"> address concerns regarding the applicability of th</w:t>
      </w:r>
      <w:r w:rsidR="00570109">
        <w:t>is</w:t>
      </w:r>
      <w:r>
        <w:t xml:space="preserve"> evidence</w:t>
      </w:r>
      <w:r w:rsidR="00F1398F">
        <w:t xml:space="preserve"> to the PICO population</w:t>
      </w:r>
      <w:r w:rsidR="0041440A">
        <w:t xml:space="preserve">, </w:t>
      </w:r>
      <w:r w:rsidR="00276952">
        <w:t xml:space="preserve">given that pacing indication </w:t>
      </w:r>
      <w:r w:rsidR="00835C47">
        <w:t xml:space="preserve">and preclusion from transvenous pacing </w:t>
      </w:r>
      <w:r w:rsidR="00276952">
        <w:t xml:space="preserve">cannot be reliably ascertained </w:t>
      </w:r>
      <w:r w:rsidR="00C33A71">
        <w:t>from</w:t>
      </w:r>
      <w:r w:rsidR="00276952">
        <w:t xml:space="preserve"> </w:t>
      </w:r>
      <w:r w:rsidR="004B1DB8">
        <w:t xml:space="preserve">administrative </w:t>
      </w:r>
      <w:r w:rsidR="00276952">
        <w:t>claims data</w:t>
      </w:r>
      <w:r w:rsidR="00F1398F">
        <w:t>.</w:t>
      </w:r>
    </w:p>
    <w:p w14:paraId="47D0CB72" w14:textId="60F0D812" w:rsidR="00B01964" w:rsidRDefault="00EB51BD" w:rsidP="009E420D">
      <w:r>
        <w:t>I</w:t>
      </w:r>
      <w:r w:rsidR="00980E77">
        <w:t xml:space="preserve">t is unclear if there is sufficient evidence </w:t>
      </w:r>
      <w:r w:rsidR="00F75077">
        <w:t>upon</w:t>
      </w:r>
      <w:r w:rsidR="009A2899">
        <w:t xml:space="preserve"> which to examine the claim of superior quality of life. </w:t>
      </w:r>
      <w:r w:rsidR="00756F3F">
        <w:t>T</w:t>
      </w:r>
      <w:r w:rsidR="006E1414">
        <w:t xml:space="preserve">he summary of evidence provided </w:t>
      </w:r>
      <w:r w:rsidR="0005144E">
        <w:t>by the applicant</w:t>
      </w:r>
      <w:r w:rsidR="006E1414">
        <w:t xml:space="preserve"> included </w:t>
      </w:r>
      <w:r w:rsidR="00756F3F">
        <w:t xml:space="preserve">only one </w:t>
      </w:r>
      <w:r w:rsidR="00DE668B">
        <w:t xml:space="preserve">published </w:t>
      </w:r>
      <w:r w:rsidR="00756F3F">
        <w:t xml:space="preserve">study </w:t>
      </w:r>
      <w:r w:rsidR="006E1414">
        <w:t xml:space="preserve">that </w:t>
      </w:r>
      <w:r w:rsidR="00446AC5">
        <w:t>report</w:t>
      </w:r>
      <w:r w:rsidR="006E1414">
        <w:t>ed</w:t>
      </w:r>
      <w:r w:rsidR="00446AC5">
        <w:t xml:space="preserve"> quality of life</w:t>
      </w:r>
      <w:r w:rsidR="00F75077">
        <w:t xml:space="preserve"> as an outcome</w:t>
      </w:r>
      <w:r w:rsidR="008E2CDA">
        <w:t xml:space="preserve"> (Chinitz et al</w:t>
      </w:r>
      <w:r w:rsidR="00774F02">
        <w:t>.</w:t>
      </w:r>
      <w:r w:rsidR="008E2CDA">
        <w:t xml:space="preserve"> 202</w:t>
      </w:r>
      <w:r w:rsidR="004A04B9">
        <w:t>3</w:t>
      </w:r>
      <w:r w:rsidR="008E2CDA">
        <w:t>)</w:t>
      </w:r>
      <w:r w:rsidR="00E211DE">
        <w:t xml:space="preserve">. </w:t>
      </w:r>
      <w:r w:rsidR="009C1AD6">
        <w:t xml:space="preserve">The </w:t>
      </w:r>
      <w:r w:rsidR="00FF483A">
        <w:t xml:space="preserve">single-arm </w:t>
      </w:r>
      <w:r w:rsidR="009C1AD6">
        <w:t xml:space="preserve">study </w:t>
      </w:r>
      <w:r w:rsidR="000B601E">
        <w:t>d</w:t>
      </w:r>
      <w:r w:rsidR="00353C35">
        <w:t>oes</w:t>
      </w:r>
      <w:r w:rsidR="007B611E">
        <w:t xml:space="preserve"> not provide any comparative data</w:t>
      </w:r>
      <w:r w:rsidR="009D01E5">
        <w:t xml:space="preserve"> upon which to examine the superiority claim</w:t>
      </w:r>
      <w:r w:rsidR="007B611E">
        <w:t xml:space="preserve">. </w:t>
      </w:r>
      <w:r w:rsidR="00F00697">
        <w:t xml:space="preserve">An additional </w:t>
      </w:r>
      <w:r w:rsidR="00E211DE">
        <w:t xml:space="preserve">study </w:t>
      </w:r>
      <w:r w:rsidR="008A7EBC">
        <w:t xml:space="preserve">assessing quality of life </w:t>
      </w:r>
      <w:r w:rsidR="00F00697">
        <w:t xml:space="preserve">was identified </w:t>
      </w:r>
      <w:r w:rsidR="008A7EBC">
        <w:t>by the applicant as unpublished</w:t>
      </w:r>
      <w:r w:rsidR="00355CBF">
        <w:t>; t</w:t>
      </w:r>
      <w:r w:rsidR="008A7EBC">
        <w:t xml:space="preserve">he study </w:t>
      </w:r>
      <w:r w:rsidR="00E211DE">
        <w:t>is currently recruiting participants and is not expected to be complete until August 2025.</w:t>
      </w:r>
    </w:p>
    <w:p w14:paraId="02D5672C" w14:textId="77777777" w:rsidR="00AB3394" w:rsidRPr="002E07C5" w:rsidRDefault="00AB3394" w:rsidP="00AB3394">
      <w:pPr>
        <w:rPr>
          <w:i/>
          <w:iCs/>
        </w:rPr>
      </w:pPr>
      <w:r w:rsidRPr="002E07C5">
        <w:rPr>
          <w:i/>
          <w:iCs/>
        </w:rPr>
        <w:t>PASC noted that the Micra AV would probably not increase the number of patients receiving treatment but would replace use of existing treatment.</w:t>
      </w:r>
    </w:p>
    <w:p w14:paraId="4FE3AD51" w14:textId="342D2DFE" w:rsidR="00AB3394" w:rsidRPr="002E07C5" w:rsidRDefault="00AB3394" w:rsidP="00AB3394">
      <w:pPr>
        <w:rPr>
          <w:i/>
          <w:iCs/>
        </w:rPr>
      </w:pPr>
      <w:r w:rsidRPr="002E07C5">
        <w:rPr>
          <w:i/>
          <w:iCs/>
        </w:rPr>
        <w:t xml:space="preserve">PASC agreed that a </w:t>
      </w:r>
      <w:r w:rsidR="00F8063B">
        <w:rPr>
          <w:i/>
          <w:iCs/>
        </w:rPr>
        <w:t xml:space="preserve">cost-utility analysis (CUA) </w:t>
      </w:r>
      <w:r w:rsidRPr="002E07C5">
        <w:rPr>
          <w:i/>
          <w:iCs/>
        </w:rPr>
        <w:t xml:space="preserve">was appropriate based on the applicant’s clinical claims of superior safety and superior quality of life, noting that data to support superior quality of life would need to be provided for the proposed patient population. PASC raised concerns regarding the limited data currently available to inform the CUA, particularly the lack of randomised controlled trial evidence. PASC noted the mandated CED registry study (with estimated enrolment of 37,000 patients and an estimated completion in mid-2027) will report 2-year survival compared with TVPM, which is very limited given the life of a </w:t>
      </w:r>
      <w:r w:rsidR="009D127F">
        <w:rPr>
          <w:i/>
          <w:iCs/>
        </w:rPr>
        <w:t>pacemaker</w:t>
      </w:r>
      <w:r w:rsidRPr="002E07C5">
        <w:rPr>
          <w:i/>
          <w:iCs/>
        </w:rPr>
        <w:t xml:space="preserve">. </w:t>
      </w:r>
    </w:p>
    <w:p w14:paraId="7D9C95B7" w14:textId="6C7CEE51" w:rsidR="00AB3394" w:rsidRDefault="00AB3394" w:rsidP="00AB3394">
      <w:r w:rsidRPr="002E07C5">
        <w:rPr>
          <w:i/>
          <w:iCs/>
        </w:rPr>
        <w:t>The applicant confirmed that the cost of the Micra AV will be included in the assessment report.</w:t>
      </w:r>
    </w:p>
    <w:p w14:paraId="6DAB2DBD" w14:textId="301219C3" w:rsidR="000939E0" w:rsidRPr="00490FBB" w:rsidRDefault="000939E0" w:rsidP="00C40CC4">
      <w:pPr>
        <w:pStyle w:val="Caption"/>
      </w:pPr>
      <w:bookmarkStart w:id="14" w:name="_Ref54260209"/>
      <w:bookmarkStart w:id="15" w:name="_Toc423450289"/>
      <w:r w:rsidRPr="00490FBB">
        <w:lastRenderedPageBreak/>
        <w:t>Table</w:t>
      </w:r>
      <w:r w:rsidR="00DE762F">
        <w:t> </w:t>
      </w:r>
      <w:r w:rsidRPr="00490FBB">
        <w:fldChar w:fldCharType="begin"/>
      </w:r>
      <w:r w:rsidRPr="00490FBB">
        <w:instrText xml:space="preserve"> SEQ Table \* ARABIC </w:instrText>
      </w:r>
      <w:r w:rsidRPr="00490FBB">
        <w:fldChar w:fldCharType="separate"/>
      </w:r>
      <w:r w:rsidR="00986B06">
        <w:rPr>
          <w:noProof/>
        </w:rPr>
        <w:t>7</w:t>
      </w:r>
      <w:r w:rsidRPr="00490FBB">
        <w:fldChar w:fldCharType="end"/>
      </w:r>
      <w:bookmarkEnd w:id="14"/>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w:t>
      </w:r>
      <w:proofErr w:type="gramStart"/>
      <w:r w:rsidRPr="00490FBB">
        <w:t>evaluation</w:t>
      </w:r>
      <w:bookmarkEnd w:id="15"/>
      <w:proofErr w:type="gramEnd"/>
    </w:p>
    <w:tbl>
      <w:tblPr>
        <w:tblW w:w="4935" w:type="pct"/>
        <w:tblInd w:w="-5" w:type="dxa"/>
        <w:tblLayout w:type="fixed"/>
        <w:tblCellMar>
          <w:left w:w="115" w:type="dxa"/>
          <w:right w:w="115" w:type="dxa"/>
        </w:tblCellMar>
        <w:tblLook w:val="01E0" w:firstRow="1" w:lastRow="1" w:firstColumn="1" w:lastColumn="1" w:noHBand="0" w:noVBand="0"/>
        <w:tblCaption w:val="Guide to the suitable type of economic evaluation"/>
        <w:tblDescription w:val="This table presents a matrix of comparative safety (inferior, uncertain, non-inferior, superior) against comparative effectiveness (inferior, uncertain, non-inferior, superior) to assist with selection of a suitable economic evaluation type. Superior comparative safety and superior comparative effectiveness have been chosen, resulting in highlighting of the cell recommending a cost-effectiveness or cost utility analysis."/>
      </w:tblPr>
      <w:tblGrid>
        <w:gridCol w:w="2133"/>
        <w:gridCol w:w="1905"/>
        <w:gridCol w:w="2227"/>
        <w:gridCol w:w="1748"/>
        <w:gridCol w:w="1434"/>
      </w:tblGrid>
      <w:tr w:rsidR="009433A4" w:rsidRPr="00490FBB" w14:paraId="5238F44C" w14:textId="77777777" w:rsidTr="0018262D">
        <w:trPr>
          <w:cantSplit/>
          <w:tblHeader/>
        </w:trPr>
        <w:tc>
          <w:tcPr>
            <w:tcW w:w="2132" w:type="dxa"/>
            <w:vMerge w:val="restart"/>
            <w:tcBorders>
              <w:top w:val="single" w:sz="4" w:space="0" w:color="auto"/>
              <w:left w:val="single" w:sz="4" w:space="0" w:color="auto"/>
              <w:right w:val="single" w:sz="4" w:space="0" w:color="auto"/>
            </w:tcBorders>
          </w:tcPr>
          <w:p w14:paraId="5B06A6EA" w14:textId="63512073" w:rsidR="00686EED" w:rsidRPr="00490FBB" w:rsidRDefault="00686EED" w:rsidP="00C40CC4">
            <w:pPr>
              <w:pStyle w:val="TableHeading"/>
            </w:pPr>
            <w:bookmarkStart w:id="16"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6"/>
      <w:tr w:rsidR="00533E2E" w:rsidRPr="00490FBB" w14:paraId="78A8F3F1" w14:textId="77777777" w:rsidTr="0018262D">
        <w:trPr>
          <w:cantSplit/>
          <w:tblHeader/>
        </w:trPr>
        <w:tc>
          <w:tcPr>
            <w:tcW w:w="213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7B4022" w:rsidRPr="00490FBB" w14:paraId="1E111DC3" w14:textId="77777777" w:rsidTr="0018262D">
        <w:tc>
          <w:tcPr>
            <w:tcW w:w="213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 xml:space="preserve">Health </w:t>
            </w:r>
            <w:proofErr w:type="gramStart"/>
            <w:r w:rsidRPr="00490FBB">
              <w:t>forgone:</w:t>
            </w:r>
            <w:proofErr w:type="gramEnd"/>
            <w:r w:rsidRPr="00490FBB">
              <w:t xml:space="preserv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 xml:space="preserve">Health </w:t>
            </w:r>
            <w:proofErr w:type="gramStart"/>
            <w:r w:rsidRPr="00490FBB">
              <w:t>forgone:</w:t>
            </w:r>
            <w:proofErr w:type="gramEnd"/>
            <w:r w:rsidRPr="00490FBB">
              <w:t xml:space="preserv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7B4022" w:rsidRPr="00490FBB" w14:paraId="463C2753" w14:textId="77777777" w:rsidTr="0018262D">
        <w:tc>
          <w:tcPr>
            <w:tcW w:w="213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533E2E" w:rsidRPr="00490FBB" w14:paraId="47335FF9" w14:textId="77777777" w:rsidTr="0018262D">
        <w:tc>
          <w:tcPr>
            <w:tcW w:w="213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 xml:space="preserve">Health </w:t>
            </w:r>
            <w:proofErr w:type="gramStart"/>
            <w:r w:rsidRPr="00490FBB">
              <w:t>forgone:</w:t>
            </w:r>
            <w:proofErr w:type="gramEnd"/>
            <w:r w:rsidRPr="00490FBB">
              <w:t xml:space="preserv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2C3DEF" w:rsidRPr="00490FBB" w14:paraId="41AB5715" w14:textId="77777777" w:rsidTr="006932DA">
        <w:tc>
          <w:tcPr>
            <w:tcW w:w="213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F47EA5" w14:textId="77777777" w:rsidR="000939E0" w:rsidRPr="00347581" w:rsidRDefault="000939E0" w:rsidP="00C40CC4">
            <w:pPr>
              <w:pStyle w:val="Tabletext"/>
              <w:keepNext/>
              <w:rPr>
                <w:b/>
              </w:rPr>
            </w:pPr>
            <w:r w:rsidRPr="00347581">
              <w:rPr>
                <w:b/>
              </w:rPr>
              <w:t>CEA/CUA</w:t>
            </w:r>
          </w:p>
        </w:tc>
      </w:tr>
    </w:tbl>
    <w:p w14:paraId="6538A3FB" w14:textId="42AA5FC7" w:rsidR="000939E0" w:rsidRPr="00E20271" w:rsidRDefault="000939E0" w:rsidP="00EA33AD">
      <w:pPr>
        <w:pStyle w:val="Tablenotes"/>
        <w:spacing w:after="0"/>
      </w:pPr>
      <w:r w:rsidRPr="00E20271">
        <w:t>CEA</w:t>
      </w:r>
      <w:r w:rsidR="0018262D">
        <w:t> </w:t>
      </w:r>
      <w:r w:rsidRPr="00E20271">
        <w:t>=</w:t>
      </w:r>
      <w:r w:rsidR="0018262D">
        <w:t> </w:t>
      </w:r>
      <w:r w:rsidRPr="00E20271">
        <w:t>cost-effectiveness analysis; CMA</w:t>
      </w:r>
      <w:r w:rsidR="0018262D">
        <w:t> </w:t>
      </w:r>
      <w:r w:rsidRPr="00E20271">
        <w:t>=</w:t>
      </w:r>
      <w:r w:rsidR="0018262D">
        <w:t> </w:t>
      </w:r>
      <w:r w:rsidRPr="00E20271">
        <w:t>cost-minimisation analysis; CUA</w:t>
      </w:r>
      <w:r w:rsidR="0018262D">
        <w:t> </w:t>
      </w:r>
      <w:r w:rsidRPr="00E20271">
        <w:t>=</w:t>
      </w:r>
      <w:r w:rsidR="0018262D">
        <w:t> </w:t>
      </w:r>
      <w:r w:rsidRPr="00E20271">
        <w:t>cost-utility analysis</w:t>
      </w:r>
      <w:r w:rsidR="0018262D">
        <w:t>.</w:t>
      </w:r>
    </w:p>
    <w:p w14:paraId="48F7CED7" w14:textId="70DD5240" w:rsidR="000939E0" w:rsidRPr="00E20271" w:rsidRDefault="000939E0" w:rsidP="00EA33AD">
      <w:pPr>
        <w:pStyle w:val="Tablenotes"/>
        <w:spacing w:after="0"/>
      </w:pPr>
      <w:r w:rsidRPr="00E20271">
        <w:t>? = reflect uncertainties and any identified health trade-offs in the economic evaluation, as a minimum in a cost-consequences analysis</w:t>
      </w:r>
      <w:r w:rsidR="00E80C8C">
        <w:t>.</w:t>
      </w:r>
    </w:p>
    <w:p w14:paraId="65C6F534" w14:textId="0F05A2D1" w:rsidR="000939E0" w:rsidRPr="00E20271" w:rsidRDefault="000939E0" w:rsidP="00EA33AD">
      <w:pPr>
        <w:pStyle w:val="Tablenotes"/>
        <w:spacing w:after="0"/>
      </w:pPr>
      <w:r w:rsidRPr="00E20271">
        <w:t>a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E80C8C">
        <w:t>.</w:t>
      </w:r>
    </w:p>
    <w:p w14:paraId="1CB9C9B3" w14:textId="75A953E3" w:rsidR="000939E0" w:rsidRDefault="000939E0" w:rsidP="00065ED1">
      <w:pPr>
        <w:pStyle w:val="Tablenotes"/>
        <w:spacing w:after="240"/>
      </w:pPr>
      <w:r w:rsidRPr="00E20271">
        <w:t>b </w:t>
      </w:r>
      <w:proofErr w:type="gramStart"/>
      <w:r w:rsidRPr="00E20271">
        <w:t>An</w:t>
      </w:r>
      <w:proofErr w:type="gramEnd"/>
      <w:r w:rsidRPr="00E20271">
        <w:t xml:space="preserve"> adequate assessment of ‘noninferiority’ is the preferred basis for demonstrating equivalence</w:t>
      </w:r>
      <w:r w:rsidR="00E80C8C">
        <w:t>.</w:t>
      </w:r>
    </w:p>
    <w:p w14:paraId="047E4738" w14:textId="24AAAE6E" w:rsidR="00D73332" w:rsidRPr="00DE762F" w:rsidRDefault="00D73332" w:rsidP="00DE762F">
      <w:pPr>
        <w:pStyle w:val="Heading2"/>
      </w:pPr>
      <w:bookmarkStart w:id="17" w:name="_Ref157606048"/>
      <w:r w:rsidRPr="00DE762F">
        <w:t>Propos</w:t>
      </w:r>
      <w:r w:rsidR="000D1FCF" w:rsidRPr="00DE762F">
        <w:t>al for public funding</w:t>
      </w:r>
      <w:bookmarkEnd w:id="17"/>
    </w:p>
    <w:p w14:paraId="243BAB79" w14:textId="5AE174AA" w:rsidR="004972A7" w:rsidRDefault="002C282D" w:rsidP="003367D1">
      <w:r w:rsidRPr="00933F49">
        <w:t xml:space="preserve">This submission to MSAC </w:t>
      </w:r>
      <w:r>
        <w:t>ha</w:t>
      </w:r>
      <w:r w:rsidRPr="00933F49">
        <w:t>s</w:t>
      </w:r>
      <w:r>
        <w:t xml:space="preserve"> been</w:t>
      </w:r>
      <w:r w:rsidRPr="00933F49">
        <w:t xml:space="preserve"> lodged </w:t>
      </w:r>
      <w:r>
        <w:t xml:space="preserve">by the applicant </w:t>
      </w:r>
      <w:r w:rsidRPr="00933F49">
        <w:t>to facilitate the listing of the Micra AV on the PL</w:t>
      </w:r>
      <w:r>
        <w:t xml:space="preserve">. The applicant intends to </w:t>
      </w:r>
      <w:r w:rsidR="00FC3ED9">
        <w:t>apply</w:t>
      </w:r>
      <w:r>
        <w:t xml:space="preserve"> for PL listing </w:t>
      </w:r>
      <w:r w:rsidR="007E524E">
        <w:t xml:space="preserve">of the Micra AV device </w:t>
      </w:r>
      <w:r w:rsidR="00715CEF">
        <w:t>following</w:t>
      </w:r>
      <w:r>
        <w:t xml:space="preserve"> MSAC </w:t>
      </w:r>
      <w:r w:rsidR="00604D73">
        <w:t>consideration</w:t>
      </w:r>
      <w:r>
        <w:t xml:space="preserve">. </w:t>
      </w:r>
      <w:r w:rsidR="00292546">
        <w:t xml:space="preserve">The </w:t>
      </w:r>
      <w:r w:rsidR="00B60562">
        <w:t xml:space="preserve">proposed </w:t>
      </w:r>
      <w:r w:rsidR="00FD2350">
        <w:t>PL benefit</w:t>
      </w:r>
      <w:r w:rsidR="00B60562">
        <w:t xml:space="preserve"> </w:t>
      </w:r>
      <w:r w:rsidR="00FD2350">
        <w:t>for</w:t>
      </w:r>
      <w:r w:rsidR="00B60562">
        <w:t xml:space="preserve"> the Micra AV device was not disclosed in the application</w:t>
      </w:r>
      <w:r w:rsidR="00251A43">
        <w:t xml:space="preserve"> but </w:t>
      </w:r>
      <w:r w:rsidR="001647D7">
        <w:t>will be required</w:t>
      </w:r>
      <w:r w:rsidR="00172FA6">
        <w:t xml:space="preserve"> </w:t>
      </w:r>
      <w:r w:rsidR="007F69C5">
        <w:t>in the assessment report</w:t>
      </w:r>
      <w:r w:rsidR="00B60562">
        <w:t>.</w:t>
      </w:r>
    </w:p>
    <w:p w14:paraId="3F9224BC" w14:textId="164586E3" w:rsidR="00DE62B0" w:rsidRDefault="003839E6" w:rsidP="00495E90">
      <w:r>
        <w:t xml:space="preserve">The applicant indicated that there are existing MBS items </w:t>
      </w:r>
      <w:r w:rsidR="00E21C4C">
        <w:t xml:space="preserve">that can be claimed </w:t>
      </w:r>
      <w:r w:rsidR="00451108">
        <w:t>for the service</w:t>
      </w:r>
      <w:r w:rsidR="00E76F16">
        <w:t>s associated with the</w:t>
      </w:r>
      <w:r w:rsidR="00D453C5">
        <w:t xml:space="preserve"> use of the</w:t>
      </w:r>
      <w:r w:rsidR="00E76F16">
        <w:t xml:space="preserve"> Micra AV device,</w:t>
      </w:r>
      <w:r w:rsidR="003E49A1">
        <w:t xml:space="preserve"> without amendment</w:t>
      </w:r>
      <w:r w:rsidR="00451108">
        <w:t xml:space="preserve">. </w:t>
      </w:r>
      <w:r w:rsidR="00F434AC">
        <w:t xml:space="preserve">The items relate to the </w:t>
      </w:r>
      <w:r w:rsidR="00C368A1">
        <w:t>insertion, retrieval and replacement, retrieval</w:t>
      </w:r>
      <w:r w:rsidR="0088679C">
        <w:t>, and explantation</w:t>
      </w:r>
      <w:r w:rsidR="00534803">
        <w:t xml:space="preserve"> </w:t>
      </w:r>
      <w:r w:rsidR="00B360B9">
        <w:t xml:space="preserve">via open surgical approach </w:t>
      </w:r>
      <w:r w:rsidR="00534803">
        <w:t>of a l</w:t>
      </w:r>
      <w:r w:rsidR="00534803" w:rsidRPr="00534803">
        <w:t>eadless permanent cardiac pacemaker</w:t>
      </w:r>
      <w:r w:rsidR="00345FE1">
        <w:t xml:space="preserve"> (</w:t>
      </w:r>
      <w:r w:rsidR="00345FE1" w:rsidRPr="00534803">
        <w:t>single</w:t>
      </w:r>
      <w:r w:rsidR="00C45C7E">
        <w:t xml:space="preserve"> </w:t>
      </w:r>
      <w:r w:rsidR="00345FE1" w:rsidRPr="00534803">
        <w:t>chamber ventricular</w:t>
      </w:r>
      <w:r w:rsidR="00345FE1">
        <w:t>)</w:t>
      </w:r>
      <w:r w:rsidR="00F45AE7">
        <w:t xml:space="preserve"> (see</w:t>
      </w:r>
      <w:r w:rsidR="00495E90">
        <w:t xml:space="preserve"> </w:t>
      </w:r>
      <w:r w:rsidR="00495E90">
        <w:fldChar w:fldCharType="begin"/>
      </w:r>
      <w:r w:rsidR="00495E90">
        <w:instrText xml:space="preserve"> REF _Ref161154501 \h </w:instrText>
      </w:r>
      <w:r w:rsidR="00495E90">
        <w:fldChar w:fldCharType="separate"/>
      </w:r>
      <w:r w:rsidR="00986B06">
        <w:t xml:space="preserve">Table </w:t>
      </w:r>
      <w:r w:rsidR="00986B06">
        <w:rPr>
          <w:noProof/>
        </w:rPr>
        <w:t>8</w:t>
      </w:r>
      <w:r w:rsidR="00495E90">
        <w:fldChar w:fldCharType="end"/>
      </w:r>
      <w:r w:rsidR="00F45AE7">
        <w:t>)</w:t>
      </w:r>
      <w:r w:rsidR="003E49A1">
        <w:t>.</w:t>
      </w:r>
      <w:r w:rsidR="002A65BC">
        <w:t xml:space="preserve"> </w:t>
      </w:r>
      <w:r w:rsidR="002A65BC" w:rsidRPr="00C3091E">
        <w:t>The</w:t>
      </w:r>
      <w:r w:rsidR="00067535" w:rsidRPr="00C3091E">
        <w:t>se items</w:t>
      </w:r>
      <w:r w:rsidR="002A65BC" w:rsidRPr="00C3091E">
        <w:t xml:space="preserve"> were listed on the MBS in November 2023</w:t>
      </w:r>
      <w:r w:rsidR="0064309A">
        <w:t xml:space="preserve"> and are also applicable to the services associated with the Micra VR device</w:t>
      </w:r>
      <w:r w:rsidR="002449EF">
        <w:t xml:space="preserve"> (which is identical to </w:t>
      </w:r>
      <w:r w:rsidR="0099213E">
        <w:t xml:space="preserve">the </w:t>
      </w:r>
      <w:r w:rsidR="002449EF">
        <w:t>Micra AV in size</w:t>
      </w:r>
      <w:r w:rsidR="00AA19BB">
        <w:t xml:space="preserve">, </w:t>
      </w:r>
      <w:proofErr w:type="gramStart"/>
      <w:r w:rsidR="002449EF">
        <w:t>design</w:t>
      </w:r>
      <w:proofErr w:type="gramEnd"/>
      <w:r w:rsidR="00AA19BB">
        <w:t xml:space="preserve"> and implant procedure</w:t>
      </w:r>
      <w:r w:rsidR="002449EF">
        <w:t>)</w:t>
      </w:r>
      <w:r w:rsidR="002A65BC" w:rsidRPr="00C3091E">
        <w:t>.</w:t>
      </w:r>
    </w:p>
    <w:p w14:paraId="628897BC" w14:textId="5538F9AE" w:rsidR="000406AE" w:rsidRDefault="00C610BF" w:rsidP="00C610BF">
      <w:r>
        <w:rPr>
          <w:lang w:val="en-GB" w:eastAsia="ja-JP"/>
        </w:rPr>
        <w:t>LPM insertion</w:t>
      </w:r>
      <w:r w:rsidRPr="009819B8">
        <w:rPr>
          <w:lang w:val="en-GB" w:eastAsia="ja-JP"/>
        </w:rPr>
        <w:t xml:space="preserve"> is performed as an inpatient service, either in the public or private hospital setting by specialist cardiologists (interventional cardiologist, cardiac electrophysiologist) or cardiac surgeons in a cardiac catheterisation laboratory or operating room.</w:t>
      </w:r>
      <w:r w:rsidR="008A43B0">
        <w:rPr>
          <w:lang w:val="en-GB" w:eastAsia="ja-JP"/>
        </w:rPr>
        <w:t xml:space="preserve"> </w:t>
      </w:r>
      <w:r w:rsidR="001D5B06" w:rsidRPr="001D5B06">
        <w:rPr>
          <w:lang w:val="en-GB" w:eastAsia="ja-JP"/>
        </w:rPr>
        <w:t>An overnight stay is generally recommended, although in some cases patients may be released home on the same day as the procedure.</w:t>
      </w:r>
      <w:r w:rsidR="003D1417">
        <w:rPr>
          <w:lang w:val="en-GB" w:eastAsia="ja-JP"/>
        </w:rPr>
        <w:t xml:space="preserve"> T</w:t>
      </w:r>
      <w:r w:rsidR="003D1417" w:rsidRPr="001D5B06">
        <w:rPr>
          <w:lang w:val="en-GB" w:eastAsia="ja-JP"/>
        </w:rPr>
        <w:t>he first 24 hours after the procedure is critical in terms of monitoring the patient for adverse events and complications, particularly given the potential risk of bleeding due to the large (23 Fr) sheath</w:t>
      </w:r>
      <w:r w:rsidR="003D1417">
        <w:rPr>
          <w:lang w:val="en-GB" w:eastAsia="ja-JP"/>
        </w:rPr>
        <w:t>.</w:t>
      </w:r>
    </w:p>
    <w:p w14:paraId="2CF44CB0" w14:textId="04545FE0" w:rsidR="00451108" w:rsidRDefault="00451108" w:rsidP="001C1341">
      <w:pPr>
        <w:pStyle w:val="Caption"/>
      </w:pPr>
      <w:bookmarkStart w:id="18" w:name="_Ref157588572"/>
      <w:bookmarkStart w:id="19" w:name="_Ref161154501"/>
      <w:r>
        <w:lastRenderedPageBreak/>
        <w:t xml:space="preserve">Table </w:t>
      </w:r>
      <w:r>
        <w:fldChar w:fldCharType="begin"/>
      </w:r>
      <w:r>
        <w:instrText xml:space="preserve"> SEQ Table \* ARABIC </w:instrText>
      </w:r>
      <w:r>
        <w:fldChar w:fldCharType="separate"/>
      </w:r>
      <w:r w:rsidR="00986B06">
        <w:rPr>
          <w:noProof/>
        </w:rPr>
        <w:t>8</w:t>
      </w:r>
      <w:r>
        <w:fldChar w:fldCharType="end"/>
      </w:r>
      <w:bookmarkEnd w:id="18"/>
      <w:bookmarkEnd w:id="19"/>
      <w:r>
        <w:tab/>
        <w:t xml:space="preserve">Existing MBS items </w:t>
      </w:r>
      <w:r w:rsidR="008E6C1C">
        <w:t>proposed for us</w:t>
      </w:r>
      <w:r w:rsidR="00A52991">
        <w:t>e</w:t>
      </w:r>
      <w:r w:rsidR="008E6C1C">
        <w:t xml:space="preserve"> with</w:t>
      </w:r>
      <w:r w:rsidR="003E49A1">
        <w:t xml:space="preserve"> the </w:t>
      </w:r>
      <w:r w:rsidR="005148FA">
        <w:t xml:space="preserve">Micra AV </w:t>
      </w:r>
      <w:proofErr w:type="gramStart"/>
      <w:r w:rsidR="005148FA">
        <w:t>device</w:t>
      </w:r>
      <w:proofErr w:type="gramEnd"/>
    </w:p>
    <w:tbl>
      <w:tblPr>
        <w:tblStyle w:val="TableGrid"/>
        <w:tblW w:w="0" w:type="auto"/>
        <w:tblInd w:w="0" w:type="dxa"/>
        <w:tblLook w:val="04A0" w:firstRow="1" w:lastRow="0" w:firstColumn="1" w:lastColumn="0" w:noHBand="0" w:noVBand="1"/>
        <w:tblCaption w:val="Existing MBS items proposed for use with the Micra AV device"/>
        <w:tblDescription w:val="This table presents the existing MBS items applicable to the Micra AV device including item number, description, fee and benefit."/>
      </w:tblPr>
      <w:tblGrid>
        <w:gridCol w:w="9242"/>
      </w:tblGrid>
      <w:tr w:rsidR="002F3E40" w:rsidRPr="00D2670B" w14:paraId="4034848D" w14:textId="77777777" w:rsidTr="00634C23">
        <w:tc>
          <w:tcPr>
            <w:tcW w:w="9242" w:type="dxa"/>
            <w:tcBorders>
              <w:top w:val="single" w:sz="4" w:space="0" w:color="auto"/>
              <w:left w:val="single" w:sz="4" w:space="0" w:color="auto"/>
              <w:bottom w:val="single" w:sz="4" w:space="0" w:color="auto"/>
              <w:right w:val="single" w:sz="4" w:space="0" w:color="auto"/>
            </w:tcBorders>
            <w:hideMark/>
          </w:tcPr>
          <w:p w14:paraId="33071905" w14:textId="77777777" w:rsidR="002F3E40" w:rsidRDefault="002F3E40" w:rsidP="001C1341">
            <w:pPr>
              <w:pStyle w:val="TableHeading"/>
            </w:pPr>
            <w:r w:rsidRPr="00DE762F">
              <w:t xml:space="preserve">Category </w:t>
            </w:r>
            <w:r w:rsidR="006A19B0">
              <w:t>3</w:t>
            </w:r>
            <w:r w:rsidRPr="00D2670B">
              <w:t xml:space="preserve"> – </w:t>
            </w:r>
            <w:r w:rsidR="006A19B0">
              <w:t>THERAPEUTIC PROCEDURES</w:t>
            </w:r>
          </w:p>
          <w:p w14:paraId="72A3C50A" w14:textId="090904B0" w:rsidR="00B078C3" w:rsidRPr="00813BE6" w:rsidRDefault="00813BE6" w:rsidP="001C1341">
            <w:pPr>
              <w:pStyle w:val="TableHeading"/>
            </w:pPr>
            <w:r w:rsidRPr="00813BE6">
              <w:t>Group</w:t>
            </w:r>
            <w:r w:rsidR="00535F41">
              <w:t xml:space="preserve"> </w:t>
            </w:r>
            <w:r w:rsidRPr="00813BE6">
              <w:t>T8 - Surgical Operations</w:t>
            </w:r>
          </w:p>
          <w:p w14:paraId="713BAD69" w14:textId="14E3CAF4" w:rsidR="00B078C3" w:rsidRPr="00813BE6" w:rsidRDefault="00813BE6" w:rsidP="001C1341">
            <w:pPr>
              <w:pStyle w:val="TableHeading"/>
            </w:pPr>
            <w:r w:rsidRPr="00813BE6">
              <w:t>Subgroup</w:t>
            </w:r>
            <w:r>
              <w:t xml:space="preserve"> </w:t>
            </w:r>
            <w:r w:rsidRPr="00813BE6">
              <w:t>6 - Cardio-Thoracic</w:t>
            </w:r>
          </w:p>
          <w:p w14:paraId="171FF631" w14:textId="48EF8F1F" w:rsidR="00813BE6" w:rsidRPr="00DE762F" w:rsidRDefault="00813BE6" w:rsidP="001C1341">
            <w:pPr>
              <w:pStyle w:val="TableHeading"/>
            </w:pPr>
            <w:r w:rsidRPr="00813BE6">
              <w:t>Subheading</w:t>
            </w:r>
            <w:r>
              <w:t xml:space="preserve"> </w:t>
            </w:r>
            <w:r w:rsidRPr="00813BE6">
              <w:t>4 - Miscellaneous Cardiac Procedures</w:t>
            </w:r>
          </w:p>
        </w:tc>
      </w:tr>
      <w:tr w:rsidR="002F3E40" w:rsidRPr="005771DC" w14:paraId="028C0CFB" w14:textId="77777777" w:rsidTr="00634C23">
        <w:tc>
          <w:tcPr>
            <w:tcW w:w="9242" w:type="dxa"/>
            <w:tcBorders>
              <w:top w:val="single" w:sz="4" w:space="0" w:color="auto"/>
              <w:left w:val="single" w:sz="4" w:space="0" w:color="auto"/>
              <w:bottom w:val="single" w:sz="4" w:space="0" w:color="auto"/>
              <w:right w:val="single" w:sz="4" w:space="0" w:color="auto"/>
            </w:tcBorders>
          </w:tcPr>
          <w:p w14:paraId="39CDEB64" w14:textId="3B1E615F" w:rsidR="002F3E40" w:rsidRPr="00DD08F0" w:rsidRDefault="000D1FCF" w:rsidP="001C1341">
            <w:pPr>
              <w:pStyle w:val="TableText0"/>
              <w:keepNext/>
              <w:rPr>
                <w:b/>
                <w:bCs/>
              </w:rPr>
            </w:pPr>
            <w:r w:rsidRPr="00DD08F0">
              <w:rPr>
                <w:b/>
                <w:bCs/>
              </w:rPr>
              <w:t xml:space="preserve">MBS item </w:t>
            </w:r>
            <w:r w:rsidR="00EC6793" w:rsidRPr="00DD08F0">
              <w:rPr>
                <w:b/>
                <w:bCs/>
              </w:rPr>
              <w:t>38372</w:t>
            </w:r>
          </w:p>
          <w:p w14:paraId="5BB42246" w14:textId="77777777" w:rsidR="00E01F3D" w:rsidRPr="00E01F3D" w:rsidRDefault="00E01F3D" w:rsidP="00DD08F0">
            <w:pPr>
              <w:pStyle w:val="TableText0"/>
            </w:pPr>
            <w:r w:rsidRPr="00E01F3D">
              <w:t>Leadless permanent cardiac pacemaker, single-chamber ventricular, percutaneous insertion of, for the treatment of bradycardia, including cardiac electrophysiological services (other than a service associated with a service to which item 38350 applies) (H)</w:t>
            </w:r>
          </w:p>
          <w:p w14:paraId="46072A19" w14:textId="77777777" w:rsidR="00E01F3D" w:rsidRPr="00E01F3D" w:rsidRDefault="00E01F3D" w:rsidP="00DD08F0">
            <w:pPr>
              <w:pStyle w:val="TableText0"/>
            </w:pPr>
            <w:r w:rsidRPr="00E01F3D">
              <w:t>Multiple Operation Rule</w:t>
            </w:r>
          </w:p>
          <w:p w14:paraId="44E6823D" w14:textId="77777777" w:rsidR="00E01F3D" w:rsidRPr="00E01F3D" w:rsidRDefault="00E01F3D" w:rsidP="00DD08F0">
            <w:pPr>
              <w:pStyle w:val="TableText0"/>
            </w:pPr>
            <w:r w:rsidRPr="00E01F3D">
              <w:t>(Anaes.)</w:t>
            </w:r>
          </w:p>
          <w:p w14:paraId="5379CBCB" w14:textId="5A1F4376" w:rsidR="00696DD8" w:rsidRPr="00DE762F" w:rsidRDefault="00E01F3D" w:rsidP="00DD08F0">
            <w:pPr>
              <w:pStyle w:val="TableText0"/>
            </w:pPr>
            <w:r w:rsidRPr="00E01F3D">
              <w:t>Fee: $830.30 Benefit: 75% = $622.75</w:t>
            </w:r>
          </w:p>
        </w:tc>
      </w:tr>
      <w:tr w:rsidR="00D2670B" w:rsidRPr="005771DC" w14:paraId="4130676A" w14:textId="77777777" w:rsidTr="00634C23">
        <w:tc>
          <w:tcPr>
            <w:tcW w:w="9242" w:type="dxa"/>
            <w:tcBorders>
              <w:top w:val="single" w:sz="4" w:space="0" w:color="auto"/>
              <w:left w:val="single" w:sz="4" w:space="0" w:color="auto"/>
              <w:bottom w:val="single" w:sz="4" w:space="0" w:color="auto"/>
              <w:right w:val="single" w:sz="4" w:space="0" w:color="auto"/>
            </w:tcBorders>
            <w:vAlign w:val="center"/>
          </w:tcPr>
          <w:p w14:paraId="3E4E2280" w14:textId="326AF89C" w:rsidR="00FF0B3A" w:rsidRPr="00DD08F0" w:rsidRDefault="00FF0B3A" w:rsidP="00DD08F0">
            <w:pPr>
              <w:pStyle w:val="TableText0"/>
              <w:rPr>
                <w:b/>
                <w:bCs/>
              </w:rPr>
            </w:pPr>
            <w:r w:rsidRPr="00DD08F0">
              <w:rPr>
                <w:b/>
                <w:bCs/>
              </w:rPr>
              <w:t xml:space="preserve">MBS item </w:t>
            </w:r>
            <w:r w:rsidR="00B22725" w:rsidRPr="00DD08F0">
              <w:rPr>
                <w:b/>
                <w:bCs/>
              </w:rPr>
              <w:t>38373</w:t>
            </w:r>
          </w:p>
          <w:p w14:paraId="5377D9E9" w14:textId="77777777" w:rsidR="00FB49DD" w:rsidRPr="00FB49DD" w:rsidRDefault="00FB49DD" w:rsidP="00DD08F0">
            <w:pPr>
              <w:pStyle w:val="TableText0"/>
            </w:pPr>
            <w:r w:rsidRPr="00FB49DD">
              <w:t>Leadless permanent cardiac pacemaker, single</w:t>
            </w:r>
            <w:r w:rsidRPr="00FB49DD">
              <w:rPr>
                <w:rFonts w:ascii="Cambria Math" w:hAnsi="Cambria Math" w:cs="Cambria Math"/>
              </w:rPr>
              <w:t>‑</w:t>
            </w:r>
            <w:r w:rsidRPr="00FB49DD">
              <w:t xml:space="preserve">chamber ventricular, percutaneous </w:t>
            </w:r>
            <w:proofErr w:type="gramStart"/>
            <w:r w:rsidRPr="00FB49DD">
              <w:t>retrieval</w:t>
            </w:r>
            <w:proofErr w:type="gramEnd"/>
            <w:r w:rsidRPr="00FB49DD">
              <w:t xml:space="preserve"> and replacement of, including cardiac electrophysiological services, during the same percutaneous procedure, if:</w:t>
            </w:r>
          </w:p>
          <w:p w14:paraId="007DBD97" w14:textId="77777777" w:rsidR="00FB49DD" w:rsidRPr="00FB49DD" w:rsidRDefault="00FB49DD" w:rsidP="00DD08F0">
            <w:pPr>
              <w:pStyle w:val="TableText0"/>
            </w:pPr>
            <w:r w:rsidRPr="00FB49DD">
              <w:t>(a) the service is performed by a specialist or consultant physician who has undertaken training to perform the service; and</w:t>
            </w:r>
          </w:p>
          <w:p w14:paraId="6F6D1A44" w14:textId="77777777" w:rsidR="00FB49DD" w:rsidRPr="00FB49DD" w:rsidRDefault="00FB49DD" w:rsidP="00DD08F0">
            <w:pPr>
              <w:pStyle w:val="TableText0"/>
            </w:pPr>
            <w:r w:rsidRPr="00FB49DD">
              <w:t xml:space="preserve">(b) if the service is performed at least 4 weeks after the pacemaker was inserted—the service is performed in a facility where cardiothoracic surgery is </w:t>
            </w:r>
            <w:proofErr w:type="gramStart"/>
            <w:r w:rsidRPr="00FB49DD">
              <w:t>available</w:t>
            </w:r>
            <w:proofErr w:type="gramEnd"/>
            <w:r w:rsidRPr="00FB49DD">
              <w:t xml:space="preserve"> and a thoracotomy can be performed immediately and without transfer; and</w:t>
            </w:r>
          </w:p>
          <w:p w14:paraId="4FFC8E08" w14:textId="77777777" w:rsidR="00FB49DD" w:rsidRPr="00FB49DD" w:rsidRDefault="00FB49DD" w:rsidP="00DD08F0">
            <w:pPr>
              <w:pStyle w:val="TableText0"/>
            </w:pPr>
            <w:r w:rsidRPr="00FB49DD">
              <w:t xml:space="preserve">(c) if the service is performed by an interventional cardiologist at least 4 weeks after the pacemaker was inserted—a cardiothoracic surgeon is in attendance during the </w:t>
            </w:r>
            <w:proofErr w:type="gramStart"/>
            <w:r w:rsidRPr="00FB49DD">
              <w:t>service;</w:t>
            </w:r>
            <w:proofErr w:type="gramEnd"/>
          </w:p>
          <w:p w14:paraId="39B464FB" w14:textId="77777777" w:rsidR="00FB49DD" w:rsidRPr="00FB49DD" w:rsidRDefault="00FB49DD" w:rsidP="00DD08F0">
            <w:pPr>
              <w:pStyle w:val="TableText0"/>
            </w:pPr>
            <w:r w:rsidRPr="00FB49DD">
              <w:t xml:space="preserve">other than a service associated with a service to which item 38350 </w:t>
            </w:r>
            <w:proofErr w:type="gramStart"/>
            <w:r w:rsidRPr="00FB49DD">
              <w:t>applies</w:t>
            </w:r>
            <w:proofErr w:type="gramEnd"/>
          </w:p>
          <w:p w14:paraId="122A5ADD" w14:textId="77777777" w:rsidR="00FB49DD" w:rsidRPr="00FB49DD" w:rsidRDefault="00FB49DD" w:rsidP="00DD08F0">
            <w:pPr>
              <w:pStyle w:val="TableText0"/>
            </w:pPr>
            <w:r w:rsidRPr="00FB49DD">
              <w:t>(H)</w:t>
            </w:r>
          </w:p>
          <w:p w14:paraId="775C2C6E" w14:textId="77777777" w:rsidR="00FB49DD" w:rsidRPr="00FB49DD" w:rsidRDefault="00FB49DD" w:rsidP="00DD08F0">
            <w:pPr>
              <w:pStyle w:val="TableText0"/>
            </w:pPr>
            <w:r w:rsidRPr="00FB49DD">
              <w:t>Multiple Operation Rule</w:t>
            </w:r>
          </w:p>
          <w:p w14:paraId="6001C0CE" w14:textId="77777777" w:rsidR="00FB49DD" w:rsidRPr="00FB49DD" w:rsidRDefault="00FB49DD" w:rsidP="00DD08F0">
            <w:pPr>
              <w:pStyle w:val="TableText0"/>
            </w:pPr>
            <w:r w:rsidRPr="00FB49DD">
              <w:t>(Anaes.)</w:t>
            </w:r>
          </w:p>
          <w:p w14:paraId="56A2DE20" w14:textId="3E4E7860" w:rsidR="00D2670B" w:rsidRPr="00DE762F" w:rsidRDefault="00FB49DD" w:rsidP="00DD08F0">
            <w:pPr>
              <w:pStyle w:val="TableText0"/>
            </w:pPr>
            <w:r w:rsidRPr="00FB49DD">
              <w:t>Fee: $830.30 Benefit: 75% = $622.75</w:t>
            </w:r>
          </w:p>
        </w:tc>
      </w:tr>
      <w:tr w:rsidR="005D7EE9" w:rsidRPr="005771DC" w14:paraId="3D432400" w14:textId="77777777" w:rsidTr="00634C23">
        <w:tc>
          <w:tcPr>
            <w:tcW w:w="9242" w:type="dxa"/>
            <w:tcBorders>
              <w:top w:val="single" w:sz="4" w:space="0" w:color="auto"/>
              <w:left w:val="single" w:sz="4" w:space="0" w:color="auto"/>
              <w:bottom w:val="single" w:sz="4" w:space="0" w:color="auto"/>
              <w:right w:val="single" w:sz="4" w:space="0" w:color="auto"/>
            </w:tcBorders>
            <w:vAlign w:val="center"/>
          </w:tcPr>
          <w:p w14:paraId="177D797F" w14:textId="6E33B774" w:rsidR="00922860" w:rsidRPr="00DD08F0" w:rsidRDefault="00922860" w:rsidP="00DD08F0">
            <w:pPr>
              <w:pStyle w:val="TableText0"/>
              <w:rPr>
                <w:b/>
                <w:bCs/>
              </w:rPr>
            </w:pPr>
            <w:r w:rsidRPr="00DD08F0">
              <w:rPr>
                <w:b/>
                <w:bCs/>
              </w:rPr>
              <w:t xml:space="preserve">MBS item </w:t>
            </w:r>
            <w:r w:rsidR="00137117" w:rsidRPr="00DD08F0">
              <w:rPr>
                <w:b/>
                <w:bCs/>
              </w:rPr>
              <w:t>38374</w:t>
            </w:r>
          </w:p>
          <w:p w14:paraId="7F4AC284" w14:textId="77777777" w:rsidR="008A39E5" w:rsidRPr="008A39E5" w:rsidRDefault="008A39E5" w:rsidP="00DD08F0">
            <w:pPr>
              <w:pStyle w:val="TableText0"/>
            </w:pPr>
            <w:r w:rsidRPr="008A39E5">
              <w:t>Leadless permanent cardiac pacemaker, single</w:t>
            </w:r>
            <w:r w:rsidRPr="008A39E5">
              <w:rPr>
                <w:rFonts w:ascii="Cambria Math" w:hAnsi="Cambria Math" w:cs="Cambria Math"/>
              </w:rPr>
              <w:t>‑</w:t>
            </w:r>
            <w:r w:rsidRPr="008A39E5">
              <w:t>chamber ventricular, percutaneous retrieval of, if:</w:t>
            </w:r>
          </w:p>
          <w:p w14:paraId="31EE8901" w14:textId="77777777" w:rsidR="008A39E5" w:rsidRPr="008A39E5" w:rsidRDefault="008A39E5" w:rsidP="00DD08F0">
            <w:pPr>
              <w:pStyle w:val="TableText0"/>
            </w:pPr>
            <w:r w:rsidRPr="008A39E5">
              <w:t>(a) the service is performed by a specialist or consultant physician who has undertaken training to perform the service; and</w:t>
            </w:r>
          </w:p>
          <w:p w14:paraId="622839FA" w14:textId="77777777" w:rsidR="008A39E5" w:rsidRPr="008A39E5" w:rsidRDefault="008A39E5" w:rsidP="00DD08F0">
            <w:pPr>
              <w:pStyle w:val="TableText0"/>
            </w:pPr>
            <w:r w:rsidRPr="008A39E5">
              <w:t xml:space="preserve">(b) if the service is performed at least 4 weeks after the pacemaker was inserted—the service is performed in a facility where cardiothoracic surgery is </w:t>
            </w:r>
            <w:proofErr w:type="gramStart"/>
            <w:r w:rsidRPr="008A39E5">
              <w:t>available</w:t>
            </w:r>
            <w:proofErr w:type="gramEnd"/>
            <w:r w:rsidRPr="008A39E5">
              <w:t xml:space="preserve"> and a thoracotomy can be performed immediately and without transfer; and</w:t>
            </w:r>
          </w:p>
          <w:p w14:paraId="40B1A227" w14:textId="77777777" w:rsidR="008A39E5" w:rsidRPr="008A39E5" w:rsidRDefault="008A39E5" w:rsidP="00DD08F0">
            <w:pPr>
              <w:pStyle w:val="TableText0"/>
            </w:pPr>
            <w:r w:rsidRPr="008A39E5">
              <w:t>(c) if the service is performed by an interventional cardiologist at least 4 weeks after the pacemaker was inserted—a cardiothoracic surgeon is in attendance during the service</w:t>
            </w:r>
          </w:p>
          <w:p w14:paraId="02259F22" w14:textId="77777777" w:rsidR="008A39E5" w:rsidRPr="008A39E5" w:rsidRDefault="008A39E5" w:rsidP="00DD08F0">
            <w:pPr>
              <w:pStyle w:val="TableText0"/>
            </w:pPr>
            <w:r w:rsidRPr="008A39E5">
              <w:t>(H)</w:t>
            </w:r>
          </w:p>
          <w:p w14:paraId="28D24DCD" w14:textId="77777777" w:rsidR="008A39E5" w:rsidRPr="008A39E5" w:rsidRDefault="008A39E5" w:rsidP="00DD08F0">
            <w:pPr>
              <w:pStyle w:val="TableText0"/>
            </w:pPr>
            <w:r w:rsidRPr="008A39E5">
              <w:t>Multiple Operation Rule</w:t>
            </w:r>
          </w:p>
          <w:p w14:paraId="62D63DA3" w14:textId="77777777" w:rsidR="008A39E5" w:rsidRPr="008A39E5" w:rsidRDefault="008A39E5" w:rsidP="00DD08F0">
            <w:pPr>
              <w:pStyle w:val="TableText0"/>
            </w:pPr>
            <w:r w:rsidRPr="008A39E5">
              <w:t>(Anaes.)</w:t>
            </w:r>
          </w:p>
          <w:p w14:paraId="5DF5E445" w14:textId="500775AC" w:rsidR="005D7EE9" w:rsidRPr="00B22725" w:rsidRDefault="008A39E5" w:rsidP="00DD08F0">
            <w:pPr>
              <w:pStyle w:val="TableText0"/>
              <w:rPr>
                <w:b/>
                <w:bCs/>
              </w:rPr>
            </w:pPr>
            <w:r w:rsidRPr="008A39E5">
              <w:t>Fee: $830.30 Benefit: 75% = $622.75</w:t>
            </w:r>
          </w:p>
        </w:tc>
      </w:tr>
      <w:tr w:rsidR="00522F3E" w:rsidRPr="005771DC" w14:paraId="2E6BD35C" w14:textId="77777777" w:rsidTr="00634C23">
        <w:tc>
          <w:tcPr>
            <w:tcW w:w="9242" w:type="dxa"/>
            <w:tcBorders>
              <w:top w:val="single" w:sz="4" w:space="0" w:color="auto"/>
              <w:left w:val="single" w:sz="4" w:space="0" w:color="auto"/>
              <w:bottom w:val="single" w:sz="4" w:space="0" w:color="auto"/>
              <w:right w:val="single" w:sz="4" w:space="0" w:color="auto"/>
            </w:tcBorders>
            <w:vAlign w:val="center"/>
          </w:tcPr>
          <w:p w14:paraId="61B855D7" w14:textId="7180AE9E" w:rsidR="0078542B" w:rsidRPr="00DD08F0" w:rsidRDefault="0078542B" w:rsidP="005E62C4">
            <w:pPr>
              <w:pStyle w:val="TableText0"/>
              <w:keepNext/>
              <w:rPr>
                <w:b/>
                <w:bCs/>
              </w:rPr>
            </w:pPr>
            <w:r w:rsidRPr="00DD08F0">
              <w:rPr>
                <w:b/>
                <w:bCs/>
              </w:rPr>
              <w:t>MBS item 38375</w:t>
            </w:r>
          </w:p>
          <w:p w14:paraId="75E7C6E7" w14:textId="77777777" w:rsidR="00BF3E61" w:rsidRPr="00BF3E61" w:rsidRDefault="00BF3E61" w:rsidP="00DD08F0">
            <w:pPr>
              <w:pStyle w:val="TableText0"/>
            </w:pPr>
            <w:r w:rsidRPr="00BF3E61">
              <w:t>Leadless permanent cardiac pacemaker, single-chamber ventricular, explantation of, by open surgical approach (H)</w:t>
            </w:r>
          </w:p>
          <w:p w14:paraId="736B1C14" w14:textId="77777777" w:rsidR="00BF3E61" w:rsidRPr="00BF3E61" w:rsidRDefault="00BF3E61" w:rsidP="00DD08F0">
            <w:pPr>
              <w:pStyle w:val="TableText0"/>
            </w:pPr>
            <w:r w:rsidRPr="00BF3E61">
              <w:t>Multiple Operation Rule</w:t>
            </w:r>
          </w:p>
          <w:p w14:paraId="78A0DD41" w14:textId="77777777" w:rsidR="00BF3E61" w:rsidRPr="00BF3E61" w:rsidRDefault="00BF3E61" w:rsidP="00DD08F0">
            <w:pPr>
              <w:pStyle w:val="TableText0"/>
            </w:pPr>
            <w:r w:rsidRPr="00BF3E61">
              <w:t>(Anaes.) (Assist.)</w:t>
            </w:r>
          </w:p>
          <w:p w14:paraId="365D2547" w14:textId="4E54FAC0" w:rsidR="00522F3E" w:rsidRPr="00137117" w:rsidRDefault="00BF3E61" w:rsidP="00DD08F0">
            <w:pPr>
              <w:pStyle w:val="TableText0"/>
            </w:pPr>
            <w:r w:rsidRPr="00BF3E61">
              <w:t>Fee: $3,107.15 Benefit: 75% = $2,330.40</w:t>
            </w:r>
          </w:p>
        </w:tc>
      </w:tr>
    </w:tbl>
    <w:p w14:paraId="75672B58" w14:textId="25DE1839" w:rsidR="00485B75" w:rsidRDefault="00485B75" w:rsidP="00485B75">
      <w:pPr>
        <w:pStyle w:val="Tablenotes"/>
        <w:spacing w:after="0"/>
      </w:pPr>
      <w:r>
        <w:t>MBS = Medicare Benefits Schedule.</w:t>
      </w:r>
    </w:p>
    <w:p w14:paraId="16D56443" w14:textId="1BCFD8C8" w:rsidR="008B32CF" w:rsidRDefault="00EF7C39" w:rsidP="00065ED1">
      <w:pPr>
        <w:pStyle w:val="Tablenotes"/>
        <w:spacing w:after="240"/>
      </w:pPr>
      <w:r>
        <w:t xml:space="preserve">Source: </w:t>
      </w:r>
      <w:hyperlink r:id="rId20" w:tooltip="This link goes to the MBS Online website" w:history="1">
        <w:r w:rsidRPr="00A86BD4">
          <w:rPr>
            <w:rStyle w:val="Hyperlink"/>
            <w:rFonts w:ascii="Arial Narrow" w:hAnsi="Arial Narrow" w:cs="Arial"/>
          </w:rPr>
          <w:t>MBS o</w:t>
        </w:r>
        <w:r w:rsidRPr="00A86BD4">
          <w:rPr>
            <w:rStyle w:val="Hyperlink"/>
            <w:rFonts w:ascii="Arial Narrow" w:hAnsi="Arial Narrow" w:cs="Arial"/>
          </w:rPr>
          <w:t>n</w:t>
        </w:r>
        <w:r w:rsidRPr="00A86BD4">
          <w:rPr>
            <w:rStyle w:val="Hyperlink"/>
            <w:rFonts w:ascii="Arial Narrow" w:hAnsi="Arial Narrow" w:cs="Arial"/>
          </w:rPr>
          <w:t>line</w:t>
        </w:r>
      </w:hyperlink>
      <w:r w:rsidRPr="00A86BD4">
        <w:t xml:space="preserve"> accessed </w:t>
      </w:r>
      <w:r w:rsidR="00A86BD4" w:rsidRPr="00A86BD4">
        <w:t>01</w:t>
      </w:r>
      <w:r w:rsidRPr="00A86BD4">
        <w:t xml:space="preserve"> </w:t>
      </w:r>
      <w:r w:rsidR="00A86BD4" w:rsidRPr="00A86BD4">
        <w:t>March</w:t>
      </w:r>
      <w:r w:rsidRPr="00A86BD4">
        <w:t xml:space="preserve"> 2024</w:t>
      </w:r>
      <w:r w:rsidR="00936477">
        <w:t>.</w:t>
      </w:r>
    </w:p>
    <w:p w14:paraId="1114FC3F" w14:textId="7076BED1" w:rsidR="00C15CA1" w:rsidRDefault="00EE515E" w:rsidP="000518E9">
      <w:r w:rsidRPr="00B83249">
        <w:t>A</w:t>
      </w:r>
      <w:r w:rsidR="003B2CBF" w:rsidRPr="00B83249">
        <w:t xml:space="preserve">ccording to the </w:t>
      </w:r>
      <w:r w:rsidR="00E3000E" w:rsidRPr="00B83249">
        <w:t xml:space="preserve">PSD </w:t>
      </w:r>
      <w:r w:rsidR="003B2CBF" w:rsidRPr="00B83249">
        <w:t>for MSAC application 1672</w:t>
      </w:r>
      <w:r w:rsidR="004A0B43">
        <w:t xml:space="preserve"> (Micra VR)</w:t>
      </w:r>
      <w:r w:rsidR="00C15CA1">
        <w:t>:</w:t>
      </w:r>
    </w:p>
    <w:p w14:paraId="62EF9E6F" w14:textId="5D39D862" w:rsidR="00EF7C39" w:rsidRDefault="00314B37" w:rsidP="00E0202F">
      <w:r>
        <w:t xml:space="preserve">‘MSAC considered there was an unmet clinical need for a subpopulation of those patients for whom a transvenous pacemaker (TVPM) is inappropriate due to inaccessible upper extremity venous system, increased risk of infection or history of venous thrombosis and advised that this subpopulation needed to be defined in the item descriptor.’ </w:t>
      </w:r>
      <w:r w:rsidR="002773E8">
        <w:t>(p1)</w:t>
      </w:r>
    </w:p>
    <w:p w14:paraId="1E6065F5" w14:textId="01EDB256" w:rsidR="00B12077" w:rsidRDefault="00304830" w:rsidP="00CA276D">
      <w:r>
        <w:lastRenderedPageBreak/>
        <w:t>T</w:t>
      </w:r>
      <w:r w:rsidRPr="00B83249">
        <w:t xml:space="preserve">he item descriptor for MBS item 38372 </w:t>
      </w:r>
      <w:r w:rsidR="00477534" w:rsidRPr="00B83249">
        <w:t>(</w:t>
      </w:r>
      <w:r w:rsidR="00CA276D">
        <w:fldChar w:fldCharType="begin"/>
      </w:r>
      <w:r w:rsidR="00CA276D">
        <w:instrText xml:space="preserve"> REF _Ref157588572 \h </w:instrText>
      </w:r>
      <w:r w:rsidR="00CA276D">
        <w:fldChar w:fldCharType="separate"/>
      </w:r>
      <w:r w:rsidR="00986B06">
        <w:t xml:space="preserve">Table </w:t>
      </w:r>
      <w:r w:rsidR="00986B06">
        <w:rPr>
          <w:noProof/>
        </w:rPr>
        <w:t>8</w:t>
      </w:r>
      <w:r w:rsidR="00CA276D">
        <w:fldChar w:fldCharType="end"/>
      </w:r>
      <w:r w:rsidR="00477534">
        <w:t xml:space="preserve">) </w:t>
      </w:r>
      <w:r>
        <w:t>d</w:t>
      </w:r>
      <w:r w:rsidR="00773D61">
        <w:t>oes</w:t>
      </w:r>
      <w:r>
        <w:t xml:space="preserve"> not </w:t>
      </w:r>
      <w:r w:rsidR="00E01080">
        <w:t>specify</w:t>
      </w:r>
      <w:r>
        <w:t xml:space="preserve"> t</w:t>
      </w:r>
      <w:r w:rsidR="00595CAC">
        <w:t xml:space="preserve">he </w:t>
      </w:r>
      <w:r w:rsidR="00A417A8">
        <w:t xml:space="preserve">population </w:t>
      </w:r>
      <w:r>
        <w:t>proposed by</w:t>
      </w:r>
      <w:r w:rsidR="00595CAC">
        <w:t xml:space="preserve"> </w:t>
      </w:r>
      <w:r w:rsidR="003B2CBF" w:rsidRPr="00B83249">
        <w:t xml:space="preserve">MSAC for </w:t>
      </w:r>
      <w:r w:rsidR="00595CAC">
        <w:t xml:space="preserve">the </w:t>
      </w:r>
      <w:r w:rsidR="003B2CBF" w:rsidRPr="00B83249">
        <w:t>insertion of a leadless pacemaker</w:t>
      </w:r>
      <w:r w:rsidR="00C92ED9">
        <w:t>.</w:t>
      </w:r>
    </w:p>
    <w:p w14:paraId="4996253B" w14:textId="147A8385" w:rsidR="00AF6646" w:rsidRDefault="002830A4" w:rsidP="00AF6646">
      <w:r w:rsidRPr="00F362AE">
        <w:t xml:space="preserve">The </w:t>
      </w:r>
      <w:r w:rsidR="00EB37F2" w:rsidRPr="00F362AE">
        <w:t xml:space="preserve">population eligible </w:t>
      </w:r>
      <w:r w:rsidR="00C10A00">
        <w:t>for</w:t>
      </w:r>
      <w:r w:rsidR="00EB37F2" w:rsidRPr="00F362AE">
        <w:t xml:space="preserve"> MBS item 38372 is </w:t>
      </w:r>
      <w:r w:rsidR="00173838">
        <w:t xml:space="preserve">also </w:t>
      </w:r>
      <w:r w:rsidR="00EB37F2" w:rsidRPr="00F362AE">
        <w:t>broader than</w:t>
      </w:r>
      <w:r w:rsidR="007A4146" w:rsidRPr="00F362AE">
        <w:t xml:space="preserve"> the population proposed </w:t>
      </w:r>
      <w:r w:rsidR="00AA5E0E" w:rsidRPr="00F362AE">
        <w:t>for the Micra AV</w:t>
      </w:r>
      <w:r w:rsidR="002363E0">
        <w:t xml:space="preserve"> </w:t>
      </w:r>
      <w:proofErr w:type="gramStart"/>
      <w:r w:rsidR="002363E0">
        <w:t>device</w:t>
      </w:r>
      <w:proofErr w:type="gramEnd"/>
      <w:r w:rsidR="00AA774B">
        <w:t xml:space="preserve"> and </w:t>
      </w:r>
      <w:r w:rsidR="00A23698">
        <w:t>t</w:t>
      </w:r>
      <w:r w:rsidR="00AF6646" w:rsidRPr="00F362AE">
        <w:t xml:space="preserve">he PL </w:t>
      </w:r>
      <w:r w:rsidR="009E4F7D">
        <w:t>has no</w:t>
      </w:r>
      <w:r w:rsidR="00AF6646" w:rsidRPr="00F362AE">
        <w:t xml:space="preserve"> mechanism </w:t>
      </w:r>
      <w:r w:rsidR="00AC510D">
        <w:t xml:space="preserve">to </w:t>
      </w:r>
      <w:r w:rsidR="00AF6646" w:rsidRPr="00F362AE">
        <w:t xml:space="preserve">restrict use </w:t>
      </w:r>
      <w:r w:rsidR="004C6D7D">
        <w:t>to the population in whom cost-effectiveness is demonstr</w:t>
      </w:r>
      <w:r w:rsidR="001E5EE4">
        <w:t>a</w:t>
      </w:r>
      <w:r w:rsidR="004C6D7D">
        <w:t>ted</w:t>
      </w:r>
      <w:r w:rsidR="00AF6646" w:rsidRPr="00F362AE">
        <w:t>.</w:t>
      </w:r>
    </w:p>
    <w:p w14:paraId="78E5538D" w14:textId="76B8D0F0" w:rsidR="000A3426" w:rsidRDefault="000A3426" w:rsidP="00AF6646">
      <w:r>
        <w:t>Of note, the terminology ‘single chamber’ and ‘dual chamber’ pre-dates the development of leadless pacemakers, and traditionally refers to both the function and location of the device components. T</w:t>
      </w:r>
      <w:r w:rsidRPr="00AB6D1D">
        <w:t xml:space="preserve">he Micra AV ARTG entries and </w:t>
      </w:r>
      <w:hyperlink r:id="rId21" w:tooltip="This link goes to the Micra AV Device Manual (PDF document) provided by the applicant" w:history="1">
        <w:r w:rsidRPr="003D5FF7">
          <w:rPr>
            <w:rStyle w:val="Hyperlink"/>
            <w:rFonts w:ascii="Calibri" w:hAnsi="Calibri"/>
          </w:rPr>
          <w:t xml:space="preserve">Device </w:t>
        </w:r>
        <w:r>
          <w:rPr>
            <w:rStyle w:val="Hyperlink"/>
            <w:rFonts w:ascii="Calibri" w:hAnsi="Calibri"/>
          </w:rPr>
          <w:t>M</w:t>
        </w:r>
        <w:r w:rsidRPr="003D5FF7">
          <w:rPr>
            <w:rStyle w:val="Hyperlink"/>
            <w:rFonts w:ascii="Calibri" w:hAnsi="Calibri"/>
          </w:rPr>
          <w:t>anual</w:t>
        </w:r>
      </w:hyperlink>
      <w:r w:rsidRPr="00AB6D1D">
        <w:t xml:space="preserve"> refer to the device as dual chamber </w:t>
      </w:r>
      <w:r>
        <w:t xml:space="preserve">while </w:t>
      </w:r>
      <w:r w:rsidRPr="00AB6D1D">
        <w:t xml:space="preserve">the current </w:t>
      </w:r>
      <w:r>
        <w:t>application</w:t>
      </w:r>
      <w:r w:rsidRPr="00AB6D1D">
        <w:t xml:space="preserve"> refers to the </w:t>
      </w:r>
      <w:r>
        <w:t>device</w:t>
      </w:r>
      <w:r w:rsidRPr="00AB6D1D">
        <w:t xml:space="preserve"> as single chamber. The MBS items proposed for use with the Micra AV use the terminology ‘single chamber ventricular’</w:t>
      </w:r>
      <w:r>
        <w:t>, confirmed by the</w:t>
      </w:r>
      <w:r w:rsidRPr="00AB6D1D">
        <w:t xml:space="preserve"> Department to refer to single chamber ventricular pacing.</w:t>
      </w:r>
      <w:r>
        <w:t xml:space="preserve"> There is potential for implementation issues </w:t>
      </w:r>
      <w:r w:rsidR="00E74408">
        <w:t>associated with</w:t>
      </w:r>
      <w:r>
        <w:t xml:space="preserve"> the variable terminology</w:t>
      </w:r>
      <w:r w:rsidR="002F3F3D">
        <w:t xml:space="preserve"> used to describe the Micra AV</w:t>
      </w:r>
      <w:r>
        <w:t>.</w:t>
      </w:r>
    </w:p>
    <w:p w14:paraId="3A430E8A" w14:textId="77777777" w:rsidR="008D6551" w:rsidRPr="005A237F" w:rsidRDefault="008D6551" w:rsidP="008D6551">
      <w:pPr>
        <w:rPr>
          <w:i/>
          <w:iCs/>
        </w:rPr>
      </w:pPr>
      <w:r w:rsidRPr="005A237F">
        <w:rPr>
          <w:i/>
          <w:iCs/>
        </w:rPr>
        <w:t xml:space="preserve">PASC noted concerns regarding the broad nature of the MBS items proposed for use with the Micra AV, and the potential for use of the device beyond the intended population (with consequent cost implications). It was noted that in the United States, more than 30% of all Medtronic single chamber pacemaker implants were now leadless, in contrast to the niche population currently receiving LPMs in Australia. </w:t>
      </w:r>
    </w:p>
    <w:p w14:paraId="3991A0AC" w14:textId="30C2D36B" w:rsidR="008D6551" w:rsidRPr="005A237F" w:rsidRDefault="008D6551" w:rsidP="008D6551">
      <w:pPr>
        <w:rPr>
          <w:i/>
          <w:iCs/>
        </w:rPr>
      </w:pPr>
      <w:r w:rsidRPr="005A237F">
        <w:rPr>
          <w:i/>
          <w:iCs/>
        </w:rPr>
        <w:t>PASC considered that a new MBS item would be required for the insertion of the Micra AV, specifying that patients must be in sinus rhythm. PASC also recommended an explanatory note be included with the proposed MBS item to indicate the patients in whom the device is not recommended (</w:t>
      </w:r>
      <w:r w:rsidR="005461CD" w:rsidRPr="005A237F">
        <w:rPr>
          <w:i/>
          <w:iCs/>
        </w:rPr>
        <w:t>i.e.,</w:t>
      </w:r>
      <w:r w:rsidRPr="005A237F">
        <w:rPr>
          <w:i/>
          <w:iCs/>
        </w:rPr>
        <w:t xml:space="preserve"> sinus bradycardia with or without chronotropic incompetence). It was noted that the creation of a new item with a more restricted patient population would be particularly important if the Micra AV is listed on the PL at a higher benefit than the Micra VR.</w:t>
      </w:r>
    </w:p>
    <w:p w14:paraId="36D0E3C6" w14:textId="63C656DD" w:rsidR="00E30EED" w:rsidRPr="005A237F" w:rsidRDefault="00E30EED" w:rsidP="00E30EED">
      <w:pPr>
        <w:rPr>
          <w:i/>
          <w:iCs/>
        </w:rPr>
      </w:pPr>
      <w:r w:rsidRPr="005A237F">
        <w:rPr>
          <w:i/>
          <w:iCs/>
        </w:rPr>
        <w:t>PASC</w:t>
      </w:r>
      <w:r>
        <w:rPr>
          <w:i/>
          <w:iCs/>
        </w:rPr>
        <w:t xml:space="preserve"> considered the existing</w:t>
      </w:r>
      <w:r w:rsidRPr="005A237F">
        <w:rPr>
          <w:i/>
          <w:iCs/>
        </w:rPr>
        <w:t xml:space="preserve"> MBS items for retrieval, replacement and explantation</w:t>
      </w:r>
      <w:r>
        <w:rPr>
          <w:i/>
          <w:iCs/>
        </w:rPr>
        <w:t xml:space="preserve"> to be appropriate for use with </w:t>
      </w:r>
      <w:r w:rsidRPr="005A237F">
        <w:rPr>
          <w:i/>
          <w:iCs/>
        </w:rPr>
        <w:t>Micra AV.</w:t>
      </w:r>
    </w:p>
    <w:p w14:paraId="46784E71" w14:textId="66C5894E" w:rsidR="008D6551" w:rsidRDefault="008D6551" w:rsidP="008D6551">
      <w:r w:rsidRPr="005A237F">
        <w:rPr>
          <w:i/>
          <w:iCs/>
        </w:rPr>
        <w:t>Regarding MBS fees, PASC considered that any MBS items created for use with Micra AV should have the same fees as the corresponding MBS items used for the Micra VR, noting that insertion, retrieval and explantation procedures are the same for both devices.</w:t>
      </w:r>
    </w:p>
    <w:p w14:paraId="16306E22" w14:textId="19BE8D19" w:rsidR="000F7EA2" w:rsidRPr="00F87B4A" w:rsidRDefault="00275A7B" w:rsidP="00275A7B">
      <w:pPr>
        <w:pStyle w:val="Heading3"/>
        <w:rPr>
          <w:color w:val="0070C0"/>
        </w:rPr>
      </w:pPr>
      <w:r w:rsidRPr="00F87B4A">
        <w:rPr>
          <w:color w:val="0070C0"/>
        </w:rPr>
        <w:t>Out</w:t>
      </w:r>
      <w:r w:rsidR="00BF7AB7" w:rsidRPr="00F87B4A">
        <w:rPr>
          <w:color w:val="0070C0"/>
        </w:rPr>
        <w:t>-of-pocket costs</w:t>
      </w:r>
    </w:p>
    <w:p w14:paraId="78CE9DD8" w14:textId="098D1CD7" w:rsidR="00BF7AB7" w:rsidRPr="00BF7AB7" w:rsidRDefault="00A046DD" w:rsidP="00A046DD">
      <w:r>
        <w:t xml:space="preserve">The applicant has indicated that if the Micra AV device is listed on the PL at an acceptable benefit, </w:t>
      </w:r>
      <w:r w:rsidR="00DF66BA">
        <w:t xml:space="preserve">it is expected that there will be no </w:t>
      </w:r>
      <w:r>
        <w:t>out-of-pocket cost for the device</w:t>
      </w:r>
      <w:r w:rsidR="00B1211D">
        <w:t xml:space="preserve"> for privately insured patients</w:t>
      </w:r>
      <w:r w:rsidR="002F0D6A">
        <w:t>.</w:t>
      </w:r>
    </w:p>
    <w:p w14:paraId="7A35919A" w14:textId="05982B24" w:rsidR="00D93370" w:rsidRDefault="00D93370" w:rsidP="00A046DD">
      <w:r>
        <w:t>The application did not address whether patient</w:t>
      </w:r>
      <w:r w:rsidR="00E358E2">
        <w:t>s</w:t>
      </w:r>
      <w:r w:rsidR="00FF588F">
        <w:t xml:space="preserve"> require a</w:t>
      </w:r>
      <w:r w:rsidR="00297EC0">
        <w:t xml:space="preserve">n external remote monitoring unit following implantation of the Micra AV. This should be </w:t>
      </w:r>
      <w:r w:rsidR="00CF3A8C">
        <w:t>addressed</w:t>
      </w:r>
      <w:r w:rsidR="003446BC">
        <w:t xml:space="preserve"> in the assessment report, </w:t>
      </w:r>
      <w:r w:rsidR="0053128F">
        <w:t xml:space="preserve">and the associated costs </w:t>
      </w:r>
      <w:r w:rsidR="009F28BC">
        <w:t>considered in</w:t>
      </w:r>
      <w:r w:rsidR="003446BC">
        <w:t xml:space="preserve"> the</w:t>
      </w:r>
      <w:r w:rsidR="00802DAE">
        <w:t xml:space="preserve"> economic evaluation.</w:t>
      </w:r>
    </w:p>
    <w:p w14:paraId="3ED5F798" w14:textId="5A3E0036" w:rsidR="00B73858" w:rsidRDefault="00B73858" w:rsidP="00A046DD">
      <w:r>
        <w:t xml:space="preserve">The assessment report should also consider </w:t>
      </w:r>
      <w:r w:rsidR="00D81B9D">
        <w:t xml:space="preserve">potential </w:t>
      </w:r>
      <w:r>
        <w:t xml:space="preserve">out-of-pocket costs </w:t>
      </w:r>
      <w:r w:rsidR="00975ACA">
        <w:t>re</w:t>
      </w:r>
      <w:r w:rsidR="00A95FD5">
        <w:t>lating to</w:t>
      </w:r>
      <w:r w:rsidR="00975ACA">
        <w:t xml:space="preserve"> </w:t>
      </w:r>
      <w:r w:rsidR="00A95FD5">
        <w:t>insertion, retrieval and explantation</w:t>
      </w:r>
      <w:r w:rsidR="00975ACA">
        <w:t xml:space="preserve"> procedure</w:t>
      </w:r>
      <w:r w:rsidR="00A95FD5">
        <w:t>s.</w:t>
      </w:r>
    </w:p>
    <w:p w14:paraId="62338695" w14:textId="775A0FF4" w:rsidR="00D37A3F" w:rsidRPr="00D37A3F" w:rsidRDefault="003F0A39" w:rsidP="00713728">
      <w:pPr>
        <w:pStyle w:val="Heading2"/>
      </w:pPr>
      <w:r>
        <w:lastRenderedPageBreak/>
        <w:t>Summary of public consultation</w:t>
      </w:r>
      <w:r w:rsidRPr="00D37A3F">
        <w:t xml:space="preserve"> </w:t>
      </w:r>
      <w:r w:rsidR="00E470B0">
        <w:t>input</w:t>
      </w:r>
    </w:p>
    <w:p w14:paraId="63B1FC04" w14:textId="0B68D52A" w:rsidR="00665A6F" w:rsidRPr="005461CD" w:rsidRDefault="00665A6F" w:rsidP="00665A6F">
      <w:pPr>
        <w:spacing w:after="120"/>
      </w:pPr>
      <w:r w:rsidRPr="005461CD">
        <w:t>PASC noted and welcomed consultation input from 2 organisations. The 2 organisations that submitted input were</w:t>
      </w:r>
      <w:r w:rsidR="005461CD" w:rsidRPr="005461CD">
        <w:t>:</w:t>
      </w:r>
    </w:p>
    <w:p w14:paraId="3E1E1E3D" w14:textId="77777777" w:rsidR="00665A6F" w:rsidRDefault="00665A6F" w:rsidP="00C57EEE">
      <w:pPr>
        <w:pStyle w:val="ListParagraph"/>
        <w:numPr>
          <w:ilvl w:val="0"/>
          <w:numId w:val="7"/>
        </w:numPr>
        <w:spacing w:after="120" w:line="259" w:lineRule="auto"/>
      </w:pPr>
      <w:r>
        <w:t>Hearts4heart</w:t>
      </w:r>
    </w:p>
    <w:p w14:paraId="247ADC82" w14:textId="77777777" w:rsidR="00665A6F" w:rsidRPr="00D7667B" w:rsidRDefault="00665A6F" w:rsidP="00C57EEE">
      <w:pPr>
        <w:pStyle w:val="ListParagraph"/>
        <w:numPr>
          <w:ilvl w:val="0"/>
          <w:numId w:val="7"/>
        </w:numPr>
        <w:spacing w:after="120" w:line="259" w:lineRule="auto"/>
      </w:pPr>
      <w:r>
        <w:t>Abbott Medical Pty. Ltd.</w:t>
      </w:r>
    </w:p>
    <w:p w14:paraId="186A329B" w14:textId="77777777" w:rsidR="00665A6F" w:rsidRDefault="00665A6F" w:rsidP="00665A6F">
      <w:pPr>
        <w:rPr>
          <w:color w:val="5B9BD5" w:themeColor="accent1"/>
        </w:rPr>
      </w:pPr>
      <w:r>
        <w:t>The consultation feedback received was mostly supportive with some concerns raised by Abbott, mainly regarding the comparator and service descriptor.</w:t>
      </w:r>
    </w:p>
    <w:p w14:paraId="3D2433CF" w14:textId="77777777" w:rsidR="00665A6F" w:rsidRDefault="00665A6F" w:rsidP="00665A6F">
      <w:pPr>
        <w:rPr>
          <w:b/>
          <w:bCs/>
        </w:rPr>
      </w:pPr>
      <w:r w:rsidRPr="00C50417">
        <w:rPr>
          <w:b/>
          <w:bCs/>
        </w:rPr>
        <w:t>Clinical need and public health significance</w:t>
      </w:r>
    </w:p>
    <w:p w14:paraId="30E45B53" w14:textId="77777777" w:rsidR="00665A6F" w:rsidRDefault="00665A6F" w:rsidP="00665A6F">
      <w:r>
        <w:t>The main benefits of public funding received in the consultation feedback included the safe, cost effective, minimally invasive, less lead infections less complicated and faster recovery leadless pacing option in population with AV block in sinus rhythm. Input from Hearts4heart indicated that the patient experience fewer post implant activity restrictions and obstructions to shoulder movement compared to the traditional pacemaker due to smaller size of the Micra device. Input noted the benefit of safety by eliminating lead and pocket complications for the patients with vulnerable conditions like down syndrome, psychiatric conditions or in young active population where lead damage can be detrimental.</w:t>
      </w:r>
    </w:p>
    <w:p w14:paraId="439051CC" w14:textId="77777777" w:rsidR="00665A6F" w:rsidRDefault="00665A6F" w:rsidP="00665A6F">
      <w:r>
        <w:t xml:space="preserve"> Other services like retrieval, replacement and explantation identified in the consultation feedback as being needed to be delivered before or after the intervention has already been listed on the MBS.</w:t>
      </w:r>
    </w:p>
    <w:p w14:paraId="129EE65D" w14:textId="77777777" w:rsidR="00665A6F" w:rsidRDefault="00665A6F" w:rsidP="00665A6F">
      <w:pPr>
        <w:rPr>
          <w:b/>
          <w:bCs/>
        </w:rPr>
      </w:pPr>
      <w:r w:rsidRPr="00E76884">
        <w:rPr>
          <w:b/>
          <w:bCs/>
        </w:rPr>
        <w:t>Cost information for the proposed medical service</w:t>
      </w:r>
    </w:p>
    <w:p w14:paraId="74F83CCC" w14:textId="77777777" w:rsidR="00665A6F" w:rsidRDefault="00665A6F" w:rsidP="00665A6F">
      <w:r>
        <w:t xml:space="preserve">The consultation feedback from Abbott disagreed with service descriptor. It considered TVPM was an inappropriate comparator for several reasons as the Micra AV cannot pace the atrium (sensing only) and is unable to provide AV synchrony above 100 beats per minute. </w:t>
      </w:r>
    </w:p>
    <w:p w14:paraId="72415518" w14:textId="77777777" w:rsidR="00665A6F" w:rsidRDefault="00665A6F" w:rsidP="00665A6F">
      <w:r>
        <w:t xml:space="preserve">The consultation feedback was supportive of the proposed fee. </w:t>
      </w:r>
      <w:r w:rsidDel="00C118BC">
        <w:t>The consultation feedback was supportive of the proposed fee assuming the listing of proposed technology under single chamber pacing subcategory (08.04.04).</w:t>
      </w:r>
    </w:p>
    <w:p w14:paraId="4F6A64A4" w14:textId="77777777" w:rsidR="00665A6F" w:rsidRPr="00E76884" w:rsidRDefault="00665A6F" w:rsidP="00665A6F">
      <w:pPr>
        <w:rPr>
          <w:color w:val="5B9BD5" w:themeColor="accent1"/>
        </w:rPr>
      </w:pPr>
      <w:r w:rsidRPr="00C50417">
        <w:rPr>
          <w:b/>
          <w:bCs/>
        </w:rPr>
        <w:t xml:space="preserve">Additional comments </w:t>
      </w:r>
    </w:p>
    <w:p w14:paraId="3FA3C936" w14:textId="77777777" w:rsidR="00665A6F" w:rsidRDefault="00665A6F" w:rsidP="00665A6F">
      <w:r>
        <w:t xml:space="preserve">Input from Abbott indicated that their device Aveir VR single chamber pacemaker that is expandable to dual chamber technology is expected to be approved in Australia in 2024 and provided detailed information.  Abbott considered the proposed device should be listed under the single chamber </w:t>
      </w:r>
      <w:proofErr w:type="gramStart"/>
      <w:r>
        <w:t>pacemakers</w:t>
      </w:r>
      <w:proofErr w:type="gramEnd"/>
      <w:r>
        <w:t xml:space="preserve"> subcategory (08.04.04) of the prescribed list (PL). Hearts4Heart input provided consumer experiences on the benefits of the Micra leadless pacemakers and how the procedure was less invasive, enabled them to recovery quickly, live more a more active lifestyle and have a less bothersome device.</w:t>
      </w:r>
    </w:p>
    <w:p w14:paraId="2C487209" w14:textId="77777777" w:rsidR="00665A6F" w:rsidRDefault="00665A6F" w:rsidP="006031FB">
      <w:pPr>
        <w:rPr>
          <w:b/>
          <w:bCs/>
        </w:rPr>
      </w:pPr>
      <w:r w:rsidRPr="00D811C1">
        <w:rPr>
          <w:b/>
          <w:bCs/>
        </w:rPr>
        <w:t>Consumer Feedback</w:t>
      </w:r>
    </w:p>
    <w:p w14:paraId="6DBEDE70" w14:textId="2DE7A29A" w:rsidR="00D37A3F" w:rsidRPr="00665A6F" w:rsidRDefault="006031FB" w:rsidP="006031FB">
      <w:pPr>
        <w:rPr>
          <w:b/>
          <w:bCs/>
        </w:rPr>
      </w:pPr>
      <w:r w:rsidRPr="006031FB">
        <w:rPr>
          <w:i/>
          <w:iCs/>
        </w:rPr>
        <w:t xml:space="preserve">PASC noted that limited public consultation feedback was received for this application. Feedback from Hearts 4 Heart was supportive of the proposal. Extensive feedback was received from Abbott, who indicated intention to apply for listing for a dual chamber LPM. PASC discussed the alternative comparator proposed by Abbott, a VDD pacemaker, and agreed that as there are currently no VDD pacemakers on the ARTG or PL, it is not an appropriate comparator for the current assessment. </w:t>
      </w:r>
    </w:p>
    <w:p w14:paraId="4E68667F" w14:textId="77777777" w:rsidR="00D37A3F" w:rsidRPr="00D37A3F" w:rsidRDefault="00D37A3F" w:rsidP="00713728">
      <w:pPr>
        <w:pStyle w:val="Heading2"/>
      </w:pPr>
      <w:r w:rsidRPr="00D37A3F">
        <w:lastRenderedPageBreak/>
        <w:t>Next steps</w:t>
      </w:r>
    </w:p>
    <w:p w14:paraId="2B273063" w14:textId="6AF0F203" w:rsidR="00D774D1" w:rsidRDefault="00D774D1" w:rsidP="00C322DB">
      <w:pPr>
        <w:rPr>
          <w:i/>
          <w:iCs/>
        </w:rPr>
      </w:pPr>
      <w:r>
        <w:rPr>
          <w:i/>
          <w:iCs/>
        </w:rPr>
        <w:t xml:space="preserve">PASC noted the applicant indicated that an application to the PL would be made </w:t>
      </w:r>
      <w:r w:rsidR="009E41E1">
        <w:rPr>
          <w:i/>
          <w:iCs/>
        </w:rPr>
        <w:t>following</w:t>
      </w:r>
      <w:r>
        <w:rPr>
          <w:i/>
          <w:iCs/>
        </w:rPr>
        <w:t xml:space="preserve"> consideration by MSAC.</w:t>
      </w:r>
    </w:p>
    <w:p w14:paraId="1EF86D2B" w14:textId="1DF3C05B" w:rsidR="00C322DB" w:rsidRPr="00A30075" w:rsidRDefault="00C322DB" w:rsidP="00C322DB">
      <w:pPr>
        <w:rPr>
          <w:i/>
          <w:iCs/>
        </w:rPr>
      </w:pPr>
      <w:r w:rsidRPr="00A30075">
        <w:rPr>
          <w:i/>
          <w:iCs/>
        </w:rPr>
        <w:t>The applicant confirmed that an applicant developed assessment report (ADAR) will be prepared.</w:t>
      </w:r>
      <w:r w:rsidR="00D774D1" w:rsidRPr="00D774D1">
        <w:rPr>
          <w:i/>
          <w:iCs/>
        </w:rPr>
        <w:t xml:space="preserve"> </w:t>
      </w:r>
      <w:r w:rsidR="00D774D1" w:rsidRPr="0F2641BA">
        <w:rPr>
          <w:i/>
          <w:iCs/>
        </w:rPr>
        <w:t xml:space="preserve">PASC advised that </w:t>
      </w:r>
      <w:r w:rsidR="00D774D1">
        <w:rPr>
          <w:i/>
          <w:iCs/>
        </w:rPr>
        <w:t>the ADAR should include detailed</w:t>
      </w:r>
      <w:r w:rsidR="00D774D1" w:rsidRPr="00DE2726">
        <w:rPr>
          <w:i/>
          <w:iCs/>
        </w:rPr>
        <w:t xml:space="preserve"> costs associated with the implementation of the device</w:t>
      </w:r>
      <w:r w:rsidR="00D774D1">
        <w:rPr>
          <w:i/>
          <w:iCs/>
        </w:rPr>
        <w:t>, including the proposed PL benefit.</w:t>
      </w:r>
    </w:p>
    <w:p w14:paraId="15E187E1" w14:textId="31D53804" w:rsidR="00AC71C2" w:rsidRDefault="00C322DB" w:rsidP="008A5946">
      <w:pPr>
        <w:rPr>
          <w:i/>
          <w:iCs/>
        </w:rPr>
      </w:pPr>
      <w:r w:rsidRPr="00A30075">
        <w:rPr>
          <w:i/>
          <w:iCs/>
        </w:rPr>
        <w:t>PASC agreed that the assessment should proceed with the proposal to create a new MBS item for insertion of the Micra AV, and potentially new items for retrieval, replacement and explantation if required.</w:t>
      </w:r>
      <w:bookmarkStart w:id="20" w:name="_Hlk143691641"/>
    </w:p>
    <w:p w14:paraId="1BF2CE06" w14:textId="77777777" w:rsidR="0030393E" w:rsidRDefault="0030393E" w:rsidP="0030393E">
      <w:pPr>
        <w:pStyle w:val="Heading2"/>
      </w:pPr>
      <w:r>
        <w:t>Applicant Comments on Ratified PICO</w:t>
      </w:r>
    </w:p>
    <w:p w14:paraId="1CC205CD" w14:textId="3F94444C" w:rsidR="00DC18F3" w:rsidRPr="00E0202F" w:rsidRDefault="00E0202F" w:rsidP="008A5946">
      <w:pPr>
        <w:rPr>
          <w:i/>
          <w:iCs/>
          <w:color w:val="000000" w:themeColor="text1"/>
        </w:rPr>
      </w:pPr>
      <w:r w:rsidRPr="00E0202F">
        <w:rPr>
          <w:color w:val="000000" w:themeColor="text1"/>
        </w:rPr>
        <w:t>The applicant had no comments.</w:t>
      </w:r>
    </w:p>
    <w:p w14:paraId="0DE0E73E" w14:textId="77777777" w:rsidR="00DC18F3" w:rsidRDefault="00DC18F3" w:rsidP="008A5946">
      <w:pPr>
        <w:rPr>
          <w:i/>
          <w:iCs/>
        </w:rPr>
      </w:pPr>
    </w:p>
    <w:p w14:paraId="7EEBB60A" w14:textId="77777777" w:rsidR="00DC18F3" w:rsidRDefault="00DC18F3" w:rsidP="008A5946">
      <w:pPr>
        <w:rPr>
          <w:i/>
          <w:iCs/>
        </w:rPr>
      </w:pPr>
    </w:p>
    <w:p w14:paraId="62D18E3F" w14:textId="77777777" w:rsidR="00DC18F3" w:rsidRDefault="00DC18F3" w:rsidP="008A5946">
      <w:pPr>
        <w:rPr>
          <w:i/>
          <w:iCs/>
        </w:rPr>
      </w:pPr>
    </w:p>
    <w:p w14:paraId="51369F08" w14:textId="77777777" w:rsidR="00DC18F3" w:rsidRDefault="00DC18F3" w:rsidP="008A5946">
      <w:pPr>
        <w:rPr>
          <w:i/>
          <w:iCs/>
        </w:rPr>
      </w:pPr>
    </w:p>
    <w:p w14:paraId="2789921E" w14:textId="77777777" w:rsidR="00E0202F" w:rsidRDefault="00E0202F" w:rsidP="008A5946">
      <w:pPr>
        <w:rPr>
          <w:i/>
          <w:iCs/>
        </w:rPr>
      </w:pPr>
    </w:p>
    <w:p w14:paraId="0B4B75BE" w14:textId="77777777" w:rsidR="00E0202F" w:rsidRDefault="00E0202F" w:rsidP="008A5946">
      <w:pPr>
        <w:rPr>
          <w:i/>
          <w:iCs/>
        </w:rPr>
      </w:pPr>
    </w:p>
    <w:p w14:paraId="76B81C96" w14:textId="77777777" w:rsidR="00E0202F" w:rsidRDefault="00E0202F" w:rsidP="008A5946">
      <w:pPr>
        <w:rPr>
          <w:i/>
          <w:iCs/>
        </w:rPr>
      </w:pPr>
    </w:p>
    <w:p w14:paraId="43CDDC10" w14:textId="77777777" w:rsidR="00E0202F" w:rsidRDefault="00E0202F" w:rsidP="008A5946">
      <w:pPr>
        <w:rPr>
          <w:i/>
          <w:iCs/>
        </w:rPr>
      </w:pPr>
    </w:p>
    <w:p w14:paraId="0D6B2A9D" w14:textId="77777777" w:rsidR="00E0202F" w:rsidRDefault="00E0202F" w:rsidP="008A5946">
      <w:pPr>
        <w:rPr>
          <w:i/>
          <w:iCs/>
        </w:rPr>
      </w:pPr>
    </w:p>
    <w:p w14:paraId="5502DFA6" w14:textId="77777777" w:rsidR="00E0202F" w:rsidRDefault="00E0202F" w:rsidP="008A5946">
      <w:pPr>
        <w:rPr>
          <w:i/>
          <w:iCs/>
        </w:rPr>
      </w:pPr>
    </w:p>
    <w:p w14:paraId="5210118D" w14:textId="77777777" w:rsidR="00E0202F" w:rsidRDefault="00E0202F" w:rsidP="008A5946">
      <w:pPr>
        <w:rPr>
          <w:i/>
          <w:iCs/>
        </w:rPr>
      </w:pPr>
    </w:p>
    <w:p w14:paraId="7B4CA58F" w14:textId="77777777" w:rsidR="00E0202F" w:rsidRDefault="00E0202F" w:rsidP="008A5946">
      <w:pPr>
        <w:rPr>
          <w:i/>
          <w:iCs/>
        </w:rPr>
      </w:pPr>
    </w:p>
    <w:p w14:paraId="131DCA89" w14:textId="77777777" w:rsidR="00E0202F" w:rsidRDefault="00E0202F" w:rsidP="008A5946">
      <w:pPr>
        <w:rPr>
          <w:i/>
          <w:iCs/>
        </w:rPr>
      </w:pPr>
    </w:p>
    <w:p w14:paraId="1D395700" w14:textId="77777777" w:rsidR="00E0202F" w:rsidRDefault="00E0202F" w:rsidP="008A5946">
      <w:pPr>
        <w:rPr>
          <w:i/>
          <w:iCs/>
        </w:rPr>
      </w:pPr>
    </w:p>
    <w:p w14:paraId="010A35F2" w14:textId="77777777" w:rsidR="00E0202F" w:rsidRDefault="00E0202F" w:rsidP="008A5946">
      <w:pPr>
        <w:rPr>
          <w:i/>
          <w:iCs/>
        </w:rPr>
      </w:pPr>
    </w:p>
    <w:bookmarkEnd w:id="20"/>
    <w:p w14:paraId="1055B9F2" w14:textId="77777777" w:rsidR="004F094D" w:rsidRDefault="004F094D" w:rsidP="00713728">
      <w:pPr>
        <w:pStyle w:val="Heading2"/>
      </w:pPr>
    </w:p>
    <w:p w14:paraId="254CAAA9" w14:textId="77777777" w:rsidR="00E0202F" w:rsidRPr="00E0202F" w:rsidRDefault="00E0202F" w:rsidP="00E0202F"/>
    <w:p w14:paraId="73A2A9C9" w14:textId="0CB17EAF" w:rsidR="006478E7" w:rsidRDefault="00A33126" w:rsidP="00713728">
      <w:pPr>
        <w:pStyle w:val="Heading2"/>
      </w:pPr>
      <w:r w:rsidRPr="00A33126">
        <w:lastRenderedPageBreak/>
        <w:t>References</w:t>
      </w:r>
    </w:p>
    <w:p w14:paraId="25D302FC" w14:textId="58E02D0D" w:rsidR="001F6787" w:rsidRDefault="001F6787" w:rsidP="00FB5EAA">
      <w:r>
        <w:t xml:space="preserve">Ali E (2023) ‘FDA approves first leadless dual-chamber pacing system; A breakthrough in therapy of bradycardia’, </w:t>
      </w:r>
      <w:r w:rsidRPr="00583628">
        <w:rPr>
          <w:i/>
          <w:iCs/>
        </w:rPr>
        <w:t>International Journal of Surgery Open</w:t>
      </w:r>
      <w:r>
        <w:t xml:space="preserve">, 58, </w:t>
      </w:r>
      <w:proofErr w:type="gramStart"/>
      <w:r>
        <w:t>doi:10.1016/j.ijso</w:t>
      </w:r>
      <w:proofErr w:type="gramEnd"/>
      <w:r>
        <w:t>.2023.100660.</w:t>
      </w:r>
    </w:p>
    <w:p w14:paraId="791C831E" w14:textId="77777777" w:rsidR="00B57C3F" w:rsidRDefault="00B57C3F" w:rsidP="00B57C3F">
      <w:r w:rsidRPr="000F1EDE">
        <w:t>Chinitz L, Ritter P, Khelae SK, Iacopino S, Garweg C, Grazia-Bongiorni M, Neuzil P, Johansen JB, Mont L, Gonzalez E, Sagi V, Duray GZ, Clementy N, Sheldon T, Splett V, Stromberg K, Wood N, Steinwender C</w:t>
      </w:r>
      <w:r>
        <w:t xml:space="preserve"> (2018)</w:t>
      </w:r>
      <w:r w:rsidRPr="000F1EDE">
        <w:t xml:space="preserve"> </w:t>
      </w:r>
      <w:r>
        <w:t>‘</w:t>
      </w:r>
      <w:r w:rsidRPr="000F1EDE">
        <w:t>Accelerometer-based atrioventricular synchronous pacing with a ventricular leadless pacemaker: Results from the Micra atrioventricular feasibility studies</w:t>
      </w:r>
      <w:r>
        <w:t>’,</w:t>
      </w:r>
      <w:r w:rsidRPr="000F1EDE">
        <w:t xml:space="preserve"> </w:t>
      </w:r>
      <w:r w:rsidRPr="000F1EDE">
        <w:rPr>
          <w:i/>
          <w:iCs/>
        </w:rPr>
        <w:t>Heart Rhythm</w:t>
      </w:r>
      <w:r>
        <w:rPr>
          <w:i/>
          <w:iCs/>
        </w:rPr>
        <w:t>,</w:t>
      </w:r>
      <w:r w:rsidRPr="000F1EDE">
        <w:t xml:space="preserve"> 15(9):1363-1371</w:t>
      </w:r>
      <w:r>
        <w:t xml:space="preserve">, </w:t>
      </w:r>
      <w:proofErr w:type="gramStart"/>
      <w:r>
        <w:t>doi:</w:t>
      </w:r>
      <w:r w:rsidRPr="004221FF">
        <w:t>10.1016/j.hrthm</w:t>
      </w:r>
      <w:proofErr w:type="gramEnd"/>
      <w:r w:rsidRPr="004221FF">
        <w:t>.2018.05.004</w:t>
      </w:r>
      <w:r>
        <w:t>.</w:t>
      </w:r>
    </w:p>
    <w:p w14:paraId="4CC36045" w14:textId="16DF407F" w:rsidR="00DF09E7" w:rsidRDefault="007845AB" w:rsidP="007845AB">
      <w:r>
        <w:t>Chinitz LA, El-Chami MF, Sagi V, Garcia H,</w:t>
      </w:r>
      <w:r w:rsidR="00593E37">
        <w:t xml:space="preserve"> </w:t>
      </w:r>
      <w:r>
        <w:t>Hackett</w:t>
      </w:r>
      <w:r w:rsidR="00593E37">
        <w:t xml:space="preserve"> FK</w:t>
      </w:r>
      <w:r>
        <w:t>, Leal</w:t>
      </w:r>
      <w:r w:rsidR="00593E37">
        <w:t xml:space="preserve"> M</w:t>
      </w:r>
      <w:r>
        <w:t>, Whalen</w:t>
      </w:r>
      <w:r w:rsidR="00593E37">
        <w:t xml:space="preserve"> P</w:t>
      </w:r>
      <w:r>
        <w:t>, Henrikson</w:t>
      </w:r>
      <w:r w:rsidR="00593E37">
        <w:t xml:space="preserve"> CA</w:t>
      </w:r>
      <w:r>
        <w:t>, Greenspon</w:t>
      </w:r>
      <w:r w:rsidR="00593E37">
        <w:t xml:space="preserve"> AJ</w:t>
      </w:r>
      <w:r>
        <w:t>, Sheldon</w:t>
      </w:r>
      <w:r w:rsidR="00593E37">
        <w:t xml:space="preserve"> T</w:t>
      </w:r>
      <w:r>
        <w:t>, Stromberg</w:t>
      </w:r>
      <w:r w:rsidR="00593E37">
        <w:t xml:space="preserve"> K</w:t>
      </w:r>
      <w:r>
        <w:t>, Wood</w:t>
      </w:r>
      <w:r w:rsidR="00593E37">
        <w:t xml:space="preserve"> N</w:t>
      </w:r>
      <w:r>
        <w:t>, Fagan</w:t>
      </w:r>
      <w:r w:rsidR="00593E37">
        <w:t xml:space="preserve"> DH</w:t>
      </w:r>
      <w:r>
        <w:t xml:space="preserve">, </w:t>
      </w:r>
      <w:r w:rsidR="00A55EDC">
        <w:t xml:space="preserve">Sun </w:t>
      </w:r>
      <w:r w:rsidRPr="00BB7BD3">
        <w:t>Chan</w:t>
      </w:r>
      <w:r w:rsidR="00BB7BD3">
        <w:t xml:space="preserve"> JY</w:t>
      </w:r>
      <w:r w:rsidR="00BA6A58">
        <w:t xml:space="preserve"> (202</w:t>
      </w:r>
      <w:r w:rsidR="00DE65E1">
        <w:t>3</w:t>
      </w:r>
      <w:r w:rsidR="00BA6A58">
        <w:t>)</w:t>
      </w:r>
      <w:r w:rsidR="00582B60">
        <w:t xml:space="preserve"> ‘</w:t>
      </w:r>
      <w:r w:rsidR="00582B60" w:rsidRPr="00582B60">
        <w:t>Ambulatory atrioventricular synchronous pacing over time using a leadless ventricular pacemaker: Primary results from the AccelAV study</w:t>
      </w:r>
      <w:r w:rsidR="00582B60">
        <w:t xml:space="preserve">’, </w:t>
      </w:r>
      <w:r w:rsidR="00582B60">
        <w:rPr>
          <w:i/>
          <w:iCs/>
        </w:rPr>
        <w:t xml:space="preserve">Heart </w:t>
      </w:r>
      <w:r w:rsidR="00582B60" w:rsidRPr="002279B1">
        <w:rPr>
          <w:i/>
          <w:iCs/>
        </w:rPr>
        <w:t>Rhythm</w:t>
      </w:r>
      <w:r w:rsidR="00582B60">
        <w:t xml:space="preserve">, </w:t>
      </w:r>
      <w:r w:rsidR="003C0D84">
        <w:t xml:space="preserve">20(1):46-54, </w:t>
      </w:r>
      <w:proofErr w:type="gramStart"/>
      <w:r w:rsidR="00BA6A58" w:rsidRPr="00582B60">
        <w:t>doi</w:t>
      </w:r>
      <w:r>
        <w:t>:10.1016/j.hrthm</w:t>
      </w:r>
      <w:proofErr w:type="gramEnd"/>
      <w:r>
        <w:t>.2022.08.033</w:t>
      </w:r>
      <w:r w:rsidR="00782AA7">
        <w:t>.</w:t>
      </w:r>
    </w:p>
    <w:p w14:paraId="579E8B57" w14:textId="54022D14" w:rsidR="00FC31AC" w:rsidRDefault="00FC31AC" w:rsidP="007845AB">
      <w:r>
        <w:t xml:space="preserve">Crossley </w:t>
      </w:r>
      <w:r w:rsidR="008A5AD1">
        <w:t xml:space="preserve">GH, Longacre C, Higuera L, Stromberg K, Cheng A, Piccini JP, El-Chami </w:t>
      </w:r>
      <w:r w:rsidR="00790D12">
        <w:t>MF (2024) ‘</w:t>
      </w:r>
      <w:r w:rsidR="00790D12" w:rsidRPr="00790D12">
        <w:t>Outcomes of patients implanted with an atrioventricular synchronous leadless ventricular pacemaker in the Medicare population</w:t>
      </w:r>
      <w:r w:rsidR="00790D12">
        <w:t>’</w:t>
      </w:r>
      <w:r w:rsidR="00415297">
        <w:t xml:space="preserve">, </w:t>
      </w:r>
      <w:r w:rsidR="00415297" w:rsidRPr="00793157">
        <w:rPr>
          <w:i/>
          <w:iCs/>
        </w:rPr>
        <w:t>Heart Rhythm</w:t>
      </w:r>
      <w:r w:rsidR="00415297">
        <w:t xml:space="preserve">, </w:t>
      </w:r>
      <w:r w:rsidR="006F1EED">
        <w:t xml:space="preserve">21:66-73, </w:t>
      </w:r>
      <w:proofErr w:type="gramStart"/>
      <w:r w:rsidR="006F1EED">
        <w:t>doi:</w:t>
      </w:r>
      <w:r w:rsidR="00FF2263">
        <w:t>10.1016/j.hrthm</w:t>
      </w:r>
      <w:proofErr w:type="gramEnd"/>
      <w:r w:rsidR="00FF2263">
        <w:t>.2023.09.017</w:t>
      </w:r>
      <w:r w:rsidR="00953AFA">
        <w:t>.</w:t>
      </w:r>
    </w:p>
    <w:p w14:paraId="30F337D4" w14:textId="72A81E4B" w:rsidR="008A5FB4" w:rsidRDefault="008A5FB4" w:rsidP="007845AB">
      <w:r>
        <w:t>Food and Drug Administration (FDA)</w:t>
      </w:r>
      <w:r w:rsidR="00A10B62">
        <w:t xml:space="preserve"> (</w:t>
      </w:r>
      <w:r w:rsidR="00BB47E1">
        <w:t xml:space="preserve">17 </w:t>
      </w:r>
      <w:r w:rsidR="00980240">
        <w:t>November 2021) ‘</w:t>
      </w:r>
      <w:hyperlink r:id="rId22" w:tooltip="Hyperlink to US FDA website Letter to Health Care Providers" w:history="1">
        <w:r w:rsidR="00980240" w:rsidRPr="008D7981">
          <w:rPr>
            <w:rStyle w:val="Hyperlink"/>
            <w:rFonts w:ascii="Calibri" w:hAnsi="Calibri"/>
          </w:rPr>
          <w:t>Leadless pacing systems: Risk of major complications related to cardiac perforation during implantation – Lett</w:t>
        </w:r>
        <w:r w:rsidR="00660A55" w:rsidRPr="008D7981">
          <w:rPr>
            <w:rStyle w:val="Hyperlink"/>
            <w:rFonts w:ascii="Calibri" w:hAnsi="Calibri"/>
          </w:rPr>
          <w:t>er</w:t>
        </w:r>
        <w:r w:rsidR="00980240" w:rsidRPr="008D7981">
          <w:rPr>
            <w:rStyle w:val="Hyperlink"/>
            <w:rFonts w:ascii="Calibri" w:hAnsi="Calibri"/>
          </w:rPr>
          <w:t xml:space="preserve"> to </w:t>
        </w:r>
        <w:r w:rsidR="00660A55" w:rsidRPr="008D7981">
          <w:rPr>
            <w:rStyle w:val="Hyperlink"/>
            <w:rFonts w:ascii="Calibri" w:hAnsi="Calibri"/>
          </w:rPr>
          <w:t>Health Care Providers</w:t>
        </w:r>
      </w:hyperlink>
      <w:r w:rsidR="00660A55">
        <w:t xml:space="preserve">’, </w:t>
      </w:r>
      <w:r w:rsidR="002665B3">
        <w:t>U.S. Food and Drug Administration website</w:t>
      </w:r>
      <w:r w:rsidR="008D7981">
        <w:t xml:space="preserve">, </w:t>
      </w:r>
      <w:r w:rsidR="005621A6">
        <w:t xml:space="preserve">accessed </w:t>
      </w:r>
      <w:r w:rsidR="002665B3">
        <w:t>19 March 2024.</w:t>
      </w:r>
    </w:p>
    <w:p w14:paraId="55754000" w14:textId="11735F8A" w:rsidR="007F5554" w:rsidRDefault="007F5554" w:rsidP="00821049">
      <w:r w:rsidRPr="007F5554">
        <w:t xml:space="preserve">Glikson M, Nielsen JC, Kronborg MB, Michowitz Y, Auricchio A, Barbash IM, Barrabés JA, Boriani G, Braunschweig F, Brignole M, Burri H, Coats AJS, Deharo JC, Delgado V, Diller GP, Israel CW, Keren A, Knops RE, Kotecha D, Leclercq C, Merkely B, Starck C, Thylén I, Tolosana JM; ESC Scientific Document Group </w:t>
      </w:r>
      <w:r w:rsidR="0078414A">
        <w:t>(</w:t>
      </w:r>
      <w:r w:rsidRPr="007F5554">
        <w:t>2021</w:t>
      </w:r>
      <w:r w:rsidR="0078414A">
        <w:t>)</w:t>
      </w:r>
      <w:r w:rsidRPr="007F5554">
        <w:t xml:space="preserve"> </w:t>
      </w:r>
      <w:r w:rsidR="0078414A">
        <w:t>‘</w:t>
      </w:r>
      <w:r w:rsidRPr="007F5554">
        <w:t>ESC Guidelines on cardiac pacing and cardiac resynchronization therapy</w:t>
      </w:r>
      <w:r w:rsidR="0078414A">
        <w:t>’</w:t>
      </w:r>
      <w:r w:rsidR="00010088">
        <w:t>,</w:t>
      </w:r>
      <w:r w:rsidRPr="007F5554">
        <w:t xml:space="preserve"> </w:t>
      </w:r>
      <w:r w:rsidRPr="00010088">
        <w:rPr>
          <w:i/>
          <w:iCs/>
        </w:rPr>
        <w:t>Eur Heart J</w:t>
      </w:r>
      <w:r w:rsidR="00010088">
        <w:t>,</w:t>
      </w:r>
      <w:r w:rsidRPr="007F5554">
        <w:t xml:space="preserve"> 42(35):3427-3520</w:t>
      </w:r>
      <w:r w:rsidR="00010088">
        <w:t>,</w:t>
      </w:r>
      <w:r w:rsidRPr="007F5554">
        <w:t xml:space="preserve"> doi:10.1093/eurheartj/ehab364. Erratum in: </w:t>
      </w:r>
      <w:r w:rsidRPr="00010088">
        <w:rPr>
          <w:i/>
          <w:iCs/>
        </w:rPr>
        <w:t>Eur Heart J</w:t>
      </w:r>
      <w:r w:rsidRPr="007F5554">
        <w:t xml:space="preserve"> </w:t>
      </w:r>
      <w:r w:rsidR="00010088">
        <w:t>(</w:t>
      </w:r>
      <w:r w:rsidRPr="007F5554">
        <w:t>2022</w:t>
      </w:r>
      <w:r w:rsidR="00010088">
        <w:t>)</w:t>
      </w:r>
      <w:r w:rsidRPr="007F5554">
        <w:t xml:space="preserve"> 43(17):1651.</w:t>
      </w:r>
    </w:p>
    <w:p w14:paraId="338A7943" w14:textId="6175AC78" w:rsidR="00F25127" w:rsidRPr="00370445" w:rsidRDefault="00F25127" w:rsidP="00821049">
      <w:r w:rsidRPr="00F25127">
        <w:t>Kashou</w:t>
      </w:r>
      <w:r>
        <w:t xml:space="preserve"> AH, </w:t>
      </w:r>
      <w:r w:rsidRPr="00F25127">
        <w:t>Goyal</w:t>
      </w:r>
      <w:r>
        <w:t xml:space="preserve"> A, </w:t>
      </w:r>
      <w:r w:rsidRPr="00F25127">
        <w:t>Nguyen</w:t>
      </w:r>
      <w:r>
        <w:t xml:space="preserve"> T, </w:t>
      </w:r>
      <w:r w:rsidRPr="00F25127">
        <w:t>Ahmed</w:t>
      </w:r>
      <w:r>
        <w:t xml:space="preserve"> I, </w:t>
      </w:r>
      <w:r w:rsidRPr="00F25127">
        <w:t>Chhabra</w:t>
      </w:r>
      <w:r>
        <w:t xml:space="preserve"> L (2023) </w:t>
      </w:r>
      <w:r w:rsidR="00D74278">
        <w:t>‘</w:t>
      </w:r>
      <w:hyperlink r:id="rId23" w:tooltip="This link goes to an NIH webpage on atriventricular block" w:history="1">
        <w:r w:rsidR="00701589" w:rsidRPr="00D74278">
          <w:rPr>
            <w:rStyle w:val="Hyperlink"/>
            <w:rFonts w:ascii="Calibri" w:hAnsi="Calibri"/>
          </w:rPr>
          <w:t>Atrioventricular Block</w:t>
        </w:r>
      </w:hyperlink>
      <w:r w:rsidR="00D74278">
        <w:rPr>
          <w:i/>
          <w:iCs/>
        </w:rPr>
        <w:t>’</w:t>
      </w:r>
      <w:r w:rsidR="00701589">
        <w:t xml:space="preserve">, </w:t>
      </w:r>
      <w:r w:rsidR="00D74278">
        <w:rPr>
          <w:i/>
          <w:iCs/>
        </w:rPr>
        <w:t>StatPearls</w:t>
      </w:r>
      <w:r w:rsidR="00370445">
        <w:t xml:space="preserve">, </w:t>
      </w:r>
      <w:r w:rsidR="00333BFA">
        <w:t xml:space="preserve">NIH </w:t>
      </w:r>
      <w:r w:rsidR="00044630">
        <w:t>National Center for Biotechnology Information</w:t>
      </w:r>
      <w:r w:rsidR="000A3195">
        <w:t>,</w:t>
      </w:r>
      <w:r w:rsidR="00044630">
        <w:t xml:space="preserve"> National Library of Medicine, </w:t>
      </w:r>
      <w:r w:rsidR="00CF0C94">
        <w:t>Accessed 12 February 2024.</w:t>
      </w:r>
    </w:p>
    <w:p w14:paraId="513697FF" w14:textId="4B902B37" w:rsidR="00F46474" w:rsidRDefault="00F46474" w:rsidP="00821049">
      <w:r w:rsidRPr="00F46474">
        <w:t>Kusumoto FM, Schoenfeld MH, Barrett C, Edgerton JR, Ellenbogen KA, Gold MR, Goldschlager NF, Hamilton RM, Joglar JA, Kim RJ, Lee R, Marine JE, McLeod CJ, Oken KR, Patton KK, Pellegrini C, Selzman KA, Thompson A, Varosy PD</w:t>
      </w:r>
      <w:r w:rsidR="00A04C7B">
        <w:t xml:space="preserve"> (2019)</w:t>
      </w:r>
      <w:r w:rsidRPr="00F46474">
        <w:t xml:space="preserve"> </w:t>
      </w:r>
      <w:r w:rsidR="00A04C7B">
        <w:t>‘</w:t>
      </w:r>
      <w:r w:rsidRPr="00F46474">
        <w:t>2018 ACC/AHA/HRS guideline on the evaluation and management of patients with bradycardia and cardiac conduction delay: a report of the American College of Cardiology/American Heart Association Task Force on Clinical Practice Guidelines and the Heart Rhythm Society</w:t>
      </w:r>
      <w:r w:rsidR="00A04C7B">
        <w:t xml:space="preserve">’, </w:t>
      </w:r>
      <w:r w:rsidRPr="001E4949">
        <w:rPr>
          <w:i/>
          <w:iCs/>
        </w:rPr>
        <w:t>Circulation</w:t>
      </w:r>
      <w:r w:rsidR="00A04C7B">
        <w:t>,</w:t>
      </w:r>
      <w:r w:rsidRPr="00F46474">
        <w:t xml:space="preserve"> 140:e382–e482</w:t>
      </w:r>
      <w:r w:rsidR="00A04C7B">
        <w:t>,</w:t>
      </w:r>
      <w:r w:rsidRPr="00F46474">
        <w:t xml:space="preserve"> </w:t>
      </w:r>
      <w:r w:rsidR="00A04C7B">
        <w:t>doi</w:t>
      </w:r>
      <w:r w:rsidRPr="00F46474">
        <w:t>:10.1161/CIR.0000000000000628</w:t>
      </w:r>
      <w:r w:rsidR="00B26A6D">
        <w:t>.</w:t>
      </w:r>
    </w:p>
    <w:p w14:paraId="55F702BE" w14:textId="43B630D5" w:rsidR="00A102B9" w:rsidRDefault="00A102B9" w:rsidP="00821049">
      <w:r w:rsidRPr="00A102B9">
        <w:t>Lak HM, Goyal A</w:t>
      </w:r>
      <w:r w:rsidR="00022F81">
        <w:t xml:space="preserve"> (2022)</w:t>
      </w:r>
      <w:r w:rsidRPr="00A102B9">
        <w:t xml:space="preserve"> </w:t>
      </w:r>
      <w:r w:rsidR="003E17B8">
        <w:t>‘</w:t>
      </w:r>
      <w:hyperlink r:id="rId24" w:tooltip="This link goes to an NIH webpage on pacemaker types and selection" w:history="1">
        <w:r w:rsidRPr="003E17B8">
          <w:rPr>
            <w:rStyle w:val="Hyperlink"/>
            <w:rFonts w:ascii="Calibri" w:hAnsi="Calibri"/>
          </w:rPr>
          <w:t>Pacemaker Types and Selection</w:t>
        </w:r>
      </w:hyperlink>
      <w:r w:rsidR="003E17B8">
        <w:t>’</w:t>
      </w:r>
      <w:r w:rsidR="00022F81">
        <w:t>,</w:t>
      </w:r>
      <w:r w:rsidRPr="00A102B9">
        <w:t xml:space="preserve"> </w:t>
      </w:r>
      <w:r w:rsidRPr="00022F81">
        <w:rPr>
          <w:i/>
          <w:iCs/>
        </w:rPr>
        <w:t>StatPearls</w:t>
      </w:r>
      <w:r w:rsidR="00022F81">
        <w:t>,</w:t>
      </w:r>
      <w:r w:rsidRPr="00A102B9">
        <w:t xml:space="preserve"> </w:t>
      </w:r>
      <w:r w:rsidR="00F00F5C">
        <w:t>NIH National Center for Biotechnology Information, National Library of Medicine, Accessed 20 February 2024.</w:t>
      </w:r>
    </w:p>
    <w:p w14:paraId="38B0C501" w14:textId="41FB61F0" w:rsidR="001D2020" w:rsidRDefault="001D2020" w:rsidP="00821049">
      <w:r>
        <w:t xml:space="preserve">Medtronic </w:t>
      </w:r>
      <w:r w:rsidR="003157A8">
        <w:t>(</w:t>
      </w:r>
      <w:r w:rsidR="008A3E14">
        <w:t xml:space="preserve">22 January </w:t>
      </w:r>
      <w:r w:rsidR="003157A8">
        <w:t>2020)</w:t>
      </w:r>
      <w:r w:rsidR="00AC69B8">
        <w:t xml:space="preserve"> </w:t>
      </w:r>
      <w:hyperlink r:id="rId25" w:tooltip="This link goes to a PDF of the Medtronic Micra AV Device Manual provided by the applicant" w:history="1">
        <w:r w:rsidR="00276788" w:rsidRPr="00277182">
          <w:rPr>
            <w:rStyle w:val="Hyperlink"/>
            <w:rFonts w:ascii="Calibri" w:hAnsi="Calibri"/>
            <w:i/>
            <w:iCs/>
          </w:rPr>
          <w:t>Micra™ AV MC1AVR1 Device manual</w:t>
        </w:r>
      </w:hyperlink>
      <w:r w:rsidR="00277182">
        <w:t>, Medtronic</w:t>
      </w:r>
      <w:r w:rsidR="000F3902">
        <w:t xml:space="preserve"> website</w:t>
      </w:r>
      <w:r w:rsidR="008A3E14">
        <w:t xml:space="preserve">, accessed 12 February 2024. </w:t>
      </w:r>
    </w:p>
    <w:p w14:paraId="1DAFA802" w14:textId="378FD846" w:rsidR="00AD23B1" w:rsidRPr="00277182" w:rsidRDefault="00AD23B1" w:rsidP="00670E7A">
      <w:pPr>
        <w:jc w:val="both"/>
      </w:pPr>
      <w:r>
        <w:t xml:space="preserve">Medtronic </w:t>
      </w:r>
      <w:r w:rsidR="00290CCA">
        <w:t>(</w:t>
      </w:r>
      <w:r w:rsidR="001A0972">
        <w:t xml:space="preserve">May </w:t>
      </w:r>
      <w:r w:rsidR="00290CCA">
        <w:t xml:space="preserve">2023) </w:t>
      </w:r>
      <w:hyperlink r:id="rId26" w:tooltip="This link goes to a Medtronic US webpage hosting a Micra AV2 leadless pacemaker brochure" w:history="1">
        <w:r w:rsidR="00BF22CF" w:rsidRPr="00DD6605">
          <w:rPr>
            <w:rStyle w:val="Hyperlink"/>
            <w:rFonts w:ascii="Calibri" w:hAnsi="Calibri"/>
            <w:i/>
            <w:iCs/>
          </w:rPr>
          <w:t>Micra</w:t>
        </w:r>
        <w:r w:rsidR="00A81713" w:rsidRPr="00DD6605">
          <w:rPr>
            <w:rStyle w:val="Hyperlink"/>
            <w:rFonts w:ascii="Calibri" w:hAnsi="Calibri" w:cs="Calibri"/>
            <w:i/>
            <w:iCs/>
          </w:rPr>
          <w:t>™</w:t>
        </w:r>
        <w:r w:rsidR="00BF22CF" w:rsidRPr="00DD6605">
          <w:rPr>
            <w:rStyle w:val="Hyperlink"/>
            <w:rFonts w:ascii="Calibri" w:hAnsi="Calibri"/>
            <w:i/>
            <w:iCs/>
          </w:rPr>
          <w:t xml:space="preserve"> leadless pacemakers</w:t>
        </w:r>
        <w:r w:rsidR="00A81713" w:rsidRPr="00DD6605">
          <w:rPr>
            <w:rStyle w:val="Hyperlink"/>
            <w:rFonts w:ascii="Calibri" w:hAnsi="Calibri"/>
            <w:i/>
            <w:iCs/>
          </w:rPr>
          <w:t xml:space="preserve"> brochure</w:t>
        </w:r>
      </w:hyperlink>
      <w:r w:rsidR="00C91420">
        <w:rPr>
          <w:i/>
          <w:iCs/>
        </w:rPr>
        <w:t xml:space="preserve">, </w:t>
      </w:r>
      <w:r w:rsidR="00C91420" w:rsidRPr="0086093C">
        <w:t>Medtronic</w:t>
      </w:r>
      <w:r w:rsidR="00D22EDA">
        <w:t xml:space="preserve"> US</w:t>
      </w:r>
      <w:r w:rsidR="000F3902">
        <w:t xml:space="preserve"> website</w:t>
      </w:r>
      <w:r w:rsidR="00670E7A" w:rsidRPr="0086093C">
        <w:t>, accessed 15 February 2024</w:t>
      </w:r>
      <w:r w:rsidR="00670E7A">
        <w:rPr>
          <w:i/>
          <w:iCs/>
        </w:rPr>
        <w:t>.</w:t>
      </w:r>
    </w:p>
    <w:p w14:paraId="1E386F62" w14:textId="0A781D2D" w:rsidR="003B3243" w:rsidRPr="00C93FF2" w:rsidRDefault="003B3243" w:rsidP="00821049">
      <w:r>
        <w:lastRenderedPageBreak/>
        <w:t xml:space="preserve">Mond </w:t>
      </w:r>
      <w:r w:rsidR="00F64217">
        <w:t>HG, Crozier</w:t>
      </w:r>
      <w:r w:rsidR="00C93FF2">
        <w:t xml:space="preserve"> I </w:t>
      </w:r>
      <w:r>
        <w:t>(2019)</w:t>
      </w:r>
      <w:r w:rsidR="00C93FF2">
        <w:t xml:space="preserve"> ‘</w:t>
      </w:r>
      <w:r w:rsidR="00C93FF2" w:rsidRPr="00C93FF2">
        <w:t>The Australian and New Zealand Cardiac Implantable Electronic Device Survey: Calendar Year 2017</w:t>
      </w:r>
      <w:r w:rsidR="00C93FF2">
        <w:t xml:space="preserve">’, </w:t>
      </w:r>
      <w:r w:rsidR="00C93FF2">
        <w:rPr>
          <w:i/>
          <w:iCs/>
        </w:rPr>
        <w:t>Heart, Lung and Circulation</w:t>
      </w:r>
      <w:r w:rsidR="00C93FF2">
        <w:t xml:space="preserve">, </w:t>
      </w:r>
      <w:r w:rsidR="00AE7E06">
        <w:t>28:560-566</w:t>
      </w:r>
      <w:r w:rsidR="008F60B3">
        <w:t xml:space="preserve">, </w:t>
      </w:r>
      <w:proofErr w:type="gramStart"/>
      <w:r w:rsidR="008F60B3">
        <w:t>doi:</w:t>
      </w:r>
      <w:r w:rsidR="008F60B3" w:rsidRPr="008F60B3">
        <w:t>10.1016/j.hlc</w:t>
      </w:r>
      <w:proofErr w:type="gramEnd"/>
      <w:r w:rsidR="008F60B3" w:rsidRPr="008F60B3">
        <w:t>.2018.11.018</w:t>
      </w:r>
      <w:r w:rsidR="008F60B3">
        <w:t>.</w:t>
      </w:r>
    </w:p>
    <w:p w14:paraId="5E75923B" w14:textId="6503CECE" w:rsidR="00941F80" w:rsidRDefault="00941F80" w:rsidP="00821049">
      <w:r>
        <w:t>NHS (National Health Service) (2022)</w:t>
      </w:r>
      <w:r w:rsidR="00571822">
        <w:t xml:space="preserve"> </w:t>
      </w:r>
      <w:hyperlink r:id="rId27" w:tooltip="This link goes to an NHS webpage on how pacemaker implantation is performed" w:history="1">
        <w:r w:rsidR="00571822" w:rsidRPr="00E45A01">
          <w:rPr>
            <w:rStyle w:val="Hyperlink"/>
            <w:rFonts w:ascii="Calibri" w:hAnsi="Calibri"/>
            <w:i/>
            <w:iCs/>
          </w:rPr>
          <w:t>How it’s performed</w:t>
        </w:r>
        <w:r w:rsidR="00DE7728" w:rsidRPr="00E45A01">
          <w:rPr>
            <w:rStyle w:val="Hyperlink"/>
            <w:rFonts w:ascii="Calibri" w:hAnsi="Calibri"/>
            <w:i/>
            <w:iCs/>
          </w:rPr>
          <w:t>. Pacemaker implantation</w:t>
        </w:r>
      </w:hyperlink>
      <w:r w:rsidR="00DE7728">
        <w:t xml:space="preserve">, </w:t>
      </w:r>
      <w:r w:rsidR="002C3607">
        <w:t>NHS website, accessed 22 February 2024.</w:t>
      </w:r>
    </w:p>
    <w:p w14:paraId="51369393" w14:textId="658F0FA5" w:rsidR="00052C4E" w:rsidRPr="009E7762" w:rsidRDefault="00052C4E" w:rsidP="00821049">
      <w:r>
        <w:t>NIH (National Institute</w:t>
      </w:r>
      <w:r w:rsidR="003A328F">
        <w:t xml:space="preserve">s of Health) (2023) </w:t>
      </w:r>
      <w:hyperlink r:id="rId28" w:tooltip="This link goes to a MedlinePlus webpage about the pulse" w:history="1">
        <w:r w:rsidR="003A328F" w:rsidRPr="003A328F">
          <w:rPr>
            <w:rStyle w:val="Hyperlink"/>
            <w:rFonts w:ascii="Calibri" w:hAnsi="Calibri"/>
            <w:i/>
            <w:iCs/>
          </w:rPr>
          <w:t>Pulse</w:t>
        </w:r>
      </w:hyperlink>
      <w:r w:rsidR="009E7762">
        <w:t xml:space="preserve">, NIH </w:t>
      </w:r>
      <w:r w:rsidR="00EB1DA2">
        <w:t>MedlinePlus website, accessed 11 March 2024.</w:t>
      </w:r>
      <w:r w:rsidR="009E7762">
        <w:t xml:space="preserve"> </w:t>
      </w:r>
    </w:p>
    <w:p w14:paraId="2FF641E3" w14:textId="78C78B60" w:rsidR="009727B3" w:rsidRDefault="009727B3" w:rsidP="00821049">
      <w:r w:rsidRPr="009727B3">
        <w:t>Omdahl P</w:t>
      </w:r>
      <w:r w:rsidR="001B7C5F">
        <w:t xml:space="preserve">, </w:t>
      </w:r>
      <w:r w:rsidR="00CC2ED6">
        <w:t>Eggen MD, Bonner MD, Iaizzo PA</w:t>
      </w:r>
      <w:r w:rsidR="003E7EEB">
        <w:t xml:space="preserve">, Wika K </w:t>
      </w:r>
      <w:r w:rsidRPr="009727B3">
        <w:t xml:space="preserve">(2016) ‘Right ventricular anatomy can accommodate multiple Micra Transcatheter Pacemakers’, </w:t>
      </w:r>
      <w:r w:rsidRPr="001B7C5F">
        <w:rPr>
          <w:i/>
          <w:iCs/>
        </w:rPr>
        <w:t>Pacing Clin Electrophysiol</w:t>
      </w:r>
      <w:r w:rsidRPr="009727B3">
        <w:t>, 39(4):393-7, doi:10.1111/pace.12804.</w:t>
      </w:r>
    </w:p>
    <w:p w14:paraId="56F32483" w14:textId="3755FFDC" w:rsidR="004C6D57" w:rsidRPr="00337B82" w:rsidRDefault="004C6D57" w:rsidP="00821049">
      <w:r w:rsidRPr="004C6D57">
        <w:t>Steinwender C, Khelae S, Garweg C,</w:t>
      </w:r>
      <w:r w:rsidR="00546ECB" w:rsidRPr="00546ECB">
        <w:t xml:space="preserve"> </w:t>
      </w:r>
      <w:r w:rsidR="00546ECB" w:rsidRPr="001206B9">
        <w:t>Sun Chan</w:t>
      </w:r>
      <w:r w:rsidR="001206B9">
        <w:t xml:space="preserve"> JY</w:t>
      </w:r>
      <w:r w:rsidR="00546ECB" w:rsidRPr="00546ECB">
        <w:t>, Ritter</w:t>
      </w:r>
      <w:r w:rsidR="00546ECB">
        <w:t xml:space="preserve"> P</w:t>
      </w:r>
      <w:r w:rsidR="00546ECB" w:rsidRPr="00546ECB">
        <w:t xml:space="preserve">, </w:t>
      </w:r>
      <w:r w:rsidR="00546ECB" w:rsidRPr="00716522">
        <w:t>Johansen</w:t>
      </w:r>
      <w:r w:rsidR="00716522">
        <w:t xml:space="preserve"> JB</w:t>
      </w:r>
      <w:r w:rsidR="00546ECB" w:rsidRPr="00546ECB">
        <w:t>, Sagi</w:t>
      </w:r>
      <w:r w:rsidR="00546ECB">
        <w:t xml:space="preserve"> V</w:t>
      </w:r>
      <w:r w:rsidR="00546ECB" w:rsidRPr="00546ECB">
        <w:t>, Epstein</w:t>
      </w:r>
      <w:r w:rsidR="00546ECB">
        <w:t xml:space="preserve"> LM</w:t>
      </w:r>
      <w:r w:rsidR="00546ECB" w:rsidRPr="00546ECB">
        <w:t>, Piccini</w:t>
      </w:r>
      <w:r w:rsidR="00546ECB">
        <w:t xml:space="preserve"> JP </w:t>
      </w:r>
      <w:r>
        <w:t>(2020) ‘</w:t>
      </w:r>
      <w:r w:rsidRPr="004C6D57">
        <w:t xml:space="preserve">Atrioventricular </w:t>
      </w:r>
      <w:r>
        <w:t>s</w:t>
      </w:r>
      <w:r w:rsidRPr="004C6D57">
        <w:t xml:space="preserve">ynchronous </w:t>
      </w:r>
      <w:r>
        <w:t>p</w:t>
      </w:r>
      <w:r w:rsidRPr="004C6D57">
        <w:t xml:space="preserve">acing </w:t>
      </w:r>
      <w:r>
        <w:t>u</w:t>
      </w:r>
      <w:r w:rsidRPr="004C6D57">
        <w:t xml:space="preserve">sing a </w:t>
      </w:r>
      <w:r>
        <w:t>l</w:t>
      </w:r>
      <w:r w:rsidRPr="004C6D57">
        <w:t xml:space="preserve">eadless </w:t>
      </w:r>
      <w:r>
        <w:t>v</w:t>
      </w:r>
      <w:r w:rsidRPr="004C6D57">
        <w:t xml:space="preserve">entricular </w:t>
      </w:r>
      <w:r>
        <w:t>p</w:t>
      </w:r>
      <w:r w:rsidRPr="004C6D57">
        <w:t>acemaker</w:t>
      </w:r>
      <w:r>
        <w:t xml:space="preserve">’, </w:t>
      </w:r>
      <w:r w:rsidRPr="004C6D57">
        <w:rPr>
          <w:i/>
          <w:iCs/>
        </w:rPr>
        <w:t>J</w:t>
      </w:r>
      <w:r w:rsidR="009938B3">
        <w:rPr>
          <w:i/>
          <w:iCs/>
        </w:rPr>
        <w:t>ournal of the</w:t>
      </w:r>
      <w:r w:rsidRPr="004C6D57">
        <w:rPr>
          <w:i/>
          <w:iCs/>
        </w:rPr>
        <w:t xml:space="preserve"> Am</w:t>
      </w:r>
      <w:r w:rsidR="009938B3">
        <w:rPr>
          <w:i/>
          <w:iCs/>
        </w:rPr>
        <w:t>erican</w:t>
      </w:r>
      <w:r w:rsidRPr="004C6D57">
        <w:rPr>
          <w:i/>
          <w:iCs/>
        </w:rPr>
        <w:t xml:space="preserve"> Coll</w:t>
      </w:r>
      <w:r w:rsidR="009938B3">
        <w:rPr>
          <w:i/>
          <w:iCs/>
        </w:rPr>
        <w:t>ege of</w:t>
      </w:r>
      <w:r w:rsidRPr="004C6D57">
        <w:rPr>
          <w:i/>
          <w:iCs/>
        </w:rPr>
        <w:t xml:space="preserve"> Cardiol</w:t>
      </w:r>
      <w:r w:rsidR="009938B3">
        <w:rPr>
          <w:i/>
          <w:iCs/>
        </w:rPr>
        <w:t>gy</w:t>
      </w:r>
      <w:r w:rsidRPr="004C6D57">
        <w:rPr>
          <w:i/>
          <w:iCs/>
        </w:rPr>
        <w:t xml:space="preserve"> </w:t>
      </w:r>
      <w:r w:rsidR="00933B17">
        <w:rPr>
          <w:i/>
          <w:iCs/>
        </w:rPr>
        <w:t xml:space="preserve">Clinical </w:t>
      </w:r>
      <w:r w:rsidRPr="004C6D57">
        <w:rPr>
          <w:i/>
          <w:iCs/>
        </w:rPr>
        <w:t>E</w:t>
      </w:r>
      <w:r w:rsidR="00933B17">
        <w:rPr>
          <w:i/>
          <w:iCs/>
        </w:rPr>
        <w:t>lectrophysiology</w:t>
      </w:r>
      <w:r>
        <w:rPr>
          <w:i/>
          <w:iCs/>
        </w:rPr>
        <w:t xml:space="preserve">, </w:t>
      </w:r>
      <w:r w:rsidRPr="004C6D57">
        <w:t>6(1)</w:t>
      </w:r>
      <w:r>
        <w:t>:</w:t>
      </w:r>
      <w:r w:rsidRPr="004C6D57">
        <w:t>94–106</w:t>
      </w:r>
      <w:r>
        <w:t>, doi:</w:t>
      </w:r>
      <w:r w:rsidR="00981D22" w:rsidRPr="00981D22">
        <w:t xml:space="preserve"> 10.1016/j.jacep.2019.10.017</w:t>
      </w:r>
      <w:r w:rsidRPr="004C6D57">
        <w:t>.</w:t>
      </w:r>
    </w:p>
    <w:sectPr w:rsidR="004C6D57" w:rsidRPr="00337B82" w:rsidSect="00034EF0">
      <w:footerReference w:type="even" r:id="rId29"/>
      <w:footerReference w:type="default" r:id="rId3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FA57" w14:textId="77777777" w:rsidR="0014728C" w:rsidRDefault="0014728C" w:rsidP="0016315C">
      <w:pPr>
        <w:spacing w:after="0" w:line="240" w:lineRule="auto"/>
      </w:pPr>
      <w:r>
        <w:separator/>
      </w:r>
    </w:p>
  </w:endnote>
  <w:endnote w:type="continuationSeparator" w:id="0">
    <w:p w14:paraId="3555B79B" w14:textId="77777777" w:rsidR="0014728C" w:rsidRDefault="0014728C" w:rsidP="0016315C">
      <w:pPr>
        <w:spacing w:after="0" w:line="240" w:lineRule="auto"/>
      </w:pPr>
      <w:r>
        <w:continuationSeparator/>
      </w:r>
    </w:p>
  </w:endnote>
  <w:endnote w:type="continuationNotice" w:id="1">
    <w:p w14:paraId="02E0FE3D" w14:textId="77777777" w:rsidR="0014728C" w:rsidRDefault="00147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3FAC" w14:textId="77777777" w:rsidR="0013415A" w:rsidRDefault="0013415A">
    <w:pPr>
      <w:pStyle w:val="Footer"/>
      <w:framePr w:wrap="none" w:vAnchor="text" w:hAnchor="margin" w:xAlign="right" w:y="1"/>
      <w:rPr>
        <w:rStyle w:val="PageNumber"/>
      </w:rPr>
    </w:pPr>
    <w:r>
      <w:rPr>
        <w:rStyle w:val="PageNumber"/>
        <w:noProof/>
      </w:rPr>
      <w:t>1</w:t>
    </w:r>
  </w:p>
  <w:p w14:paraId="6BFA7576" w14:textId="77777777" w:rsidR="0013415A" w:rsidRDefault="0013415A"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4770"/>
      <w:docPartObj>
        <w:docPartGallery w:val="Page Numbers (Bottom of Page)"/>
        <w:docPartUnique/>
      </w:docPartObj>
    </w:sdtPr>
    <w:sdtEndPr>
      <w:rPr>
        <w:noProof/>
      </w:rPr>
    </w:sdtEndPr>
    <w:sdtContent>
      <w:p w14:paraId="2C9611C2" w14:textId="0D836376" w:rsidR="0040681E" w:rsidRDefault="004068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F08E95" w14:textId="3468B34F" w:rsidR="0013415A" w:rsidRPr="00685355" w:rsidRDefault="00561DB5" w:rsidP="00A95919">
    <w:pPr>
      <w:tabs>
        <w:tab w:val="center" w:pos="4790"/>
        <w:tab w:val="right" w:pos="9581"/>
      </w:tabs>
      <w:jc w:val="center"/>
    </w:pPr>
    <w:r>
      <w:t>Ratified</w:t>
    </w:r>
    <w:r w:rsidR="0040681E">
      <w:t xml:space="preserve"> PICO Confirmation </w:t>
    </w:r>
    <w:r w:rsidR="0040681E" w:rsidRPr="008A2221">
      <w:t>– April 202</w:t>
    </w:r>
    <w:r w:rsidR="0040681E">
      <w:t>4</w:t>
    </w:r>
    <w:r w:rsidR="0040681E" w:rsidRPr="008A2221">
      <w:t xml:space="preserve"> PASC Meeting</w:t>
    </w:r>
    <w:r w:rsidR="0040681E">
      <w:br/>
      <w:t xml:space="preserve">Application </w:t>
    </w:r>
    <w:r w:rsidR="0040681E" w:rsidRPr="00111828">
      <w:t>1772</w:t>
    </w:r>
    <w:r w:rsidR="0040681E" w:rsidRPr="008C7CAD">
      <w:t xml:space="preserve"> – Single chamber leadless pacing with atrio-ventricular synchronous pacing</w:t>
    </w:r>
    <w:r w:rsidR="0040681E">
      <w:t xml:space="preserve"> in patients with bradycardia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C66E" w14:textId="77777777" w:rsidR="0014728C" w:rsidRDefault="0014728C" w:rsidP="0016315C">
      <w:pPr>
        <w:spacing w:after="0" w:line="240" w:lineRule="auto"/>
      </w:pPr>
      <w:r>
        <w:separator/>
      </w:r>
    </w:p>
  </w:footnote>
  <w:footnote w:type="continuationSeparator" w:id="0">
    <w:p w14:paraId="4331AA33" w14:textId="77777777" w:rsidR="0014728C" w:rsidRDefault="0014728C" w:rsidP="0016315C">
      <w:pPr>
        <w:spacing w:after="0" w:line="240" w:lineRule="auto"/>
      </w:pPr>
      <w:r>
        <w:continuationSeparator/>
      </w:r>
    </w:p>
  </w:footnote>
  <w:footnote w:type="continuationNotice" w:id="1">
    <w:p w14:paraId="3BECC869" w14:textId="77777777" w:rsidR="0014728C" w:rsidRDefault="0014728C">
      <w:pPr>
        <w:spacing w:after="0" w:line="240" w:lineRule="auto"/>
      </w:pPr>
    </w:p>
  </w:footnote>
  <w:footnote w:id="2">
    <w:p w14:paraId="2A1E986C" w14:textId="479887FD" w:rsidR="00F61975" w:rsidRDefault="00F61975">
      <w:pPr>
        <w:pStyle w:val="FootnoteText"/>
      </w:pPr>
      <w:r>
        <w:rPr>
          <w:rStyle w:val="FootnoteReference"/>
        </w:rPr>
        <w:footnoteRef/>
      </w:r>
      <w:r>
        <w:t xml:space="preserve"> </w:t>
      </w:r>
      <w:r>
        <w:rPr>
          <w:iCs/>
        </w:rPr>
        <w:t xml:space="preserve">Australian Register of Therapeutic Goods (ARTG) </w:t>
      </w:r>
      <w:r w:rsidR="00EA50A9">
        <w:rPr>
          <w:iCs/>
        </w:rPr>
        <w:t xml:space="preserve">entry </w:t>
      </w:r>
      <w:r>
        <w:rPr>
          <w:iCs/>
        </w:rPr>
        <w:t>391832 and 283235</w:t>
      </w:r>
      <w:r w:rsidR="00EA50A9">
        <w:rPr>
          <w:iCs/>
        </w:rPr>
        <w:t>.</w:t>
      </w:r>
    </w:p>
  </w:footnote>
  <w:footnote w:id="3">
    <w:p w14:paraId="61D727FD" w14:textId="77CD86E9" w:rsidR="00265D1B" w:rsidRDefault="00265D1B">
      <w:pPr>
        <w:pStyle w:val="FootnoteText"/>
      </w:pPr>
      <w:r>
        <w:rPr>
          <w:rStyle w:val="FootnoteReference"/>
        </w:rPr>
        <w:footnoteRef/>
      </w:r>
      <w:r>
        <w:t xml:space="preserve"> </w:t>
      </w:r>
      <w:r w:rsidR="00723007">
        <w:t>Nomencl</w:t>
      </w:r>
      <w:r w:rsidR="00CD68B1">
        <w:t>ature developed by</w:t>
      </w:r>
      <w:r w:rsidR="008C39F5" w:rsidRPr="008C39F5">
        <w:t xml:space="preserve"> the North American Society of Pacing and Electrophysiology (NASPE) and the British Pacing and Electrophysiology Group (BPEG)</w:t>
      </w:r>
      <w:r w:rsidR="008C39F5">
        <w:t>.</w:t>
      </w:r>
    </w:p>
  </w:footnote>
  <w:footnote w:id="4">
    <w:p w14:paraId="2549ECE9" w14:textId="5751E67C" w:rsidR="000C0278" w:rsidRDefault="000C0278">
      <w:pPr>
        <w:pStyle w:val="FootnoteText"/>
      </w:pPr>
      <w:r>
        <w:rPr>
          <w:rStyle w:val="FootnoteReference"/>
        </w:rPr>
        <w:footnoteRef/>
      </w:r>
      <w:r>
        <w:t xml:space="preserve"> </w:t>
      </w:r>
      <w:r w:rsidR="00345D0F">
        <w:t>Nomenclature refers to</w:t>
      </w:r>
      <w:r w:rsidR="00FC0851">
        <w:t xml:space="preserve">: V – </w:t>
      </w:r>
      <w:r w:rsidR="00345D0F">
        <w:t>pacing in the ventricle</w:t>
      </w:r>
      <w:r w:rsidR="00FC0851">
        <w:t xml:space="preserve">; V – </w:t>
      </w:r>
      <w:r w:rsidR="00345D0F">
        <w:t>sensing in the ventric</w:t>
      </w:r>
      <w:r w:rsidR="00FC0851">
        <w:t>le; I – inhibit</w:t>
      </w:r>
      <w:r w:rsidR="00B74112">
        <w:t>ing. In this mode, the pacemaker can sense the electrical activity and withhold pacing</w:t>
      </w:r>
      <w:r w:rsidR="00DB1ADC">
        <w:t xml:space="preserve"> when not required.</w:t>
      </w:r>
    </w:p>
  </w:footnote>
  <w:footnote w:id="5">
    <w:p w14:paraId="4AB00D9E" w14:textId="167D8ECE" w:rsidR="00DB1ADC" w:rsidRDefault="00DB1ADC">
      <w:pPr>
        <w:pStyle w:val="FootnoteText"/>
      </w:pPr>
      <w:r>
        <w:rPr>
          <w:rStyle w:val="FootnoteReference"/>
        </w:rPr>
        <w:footnoteRef/>
      </w:r>
      <w:r>
        <w:t xml:space="preserve"> Nomenclature </w:t>
      </w:r>
      <w:r w:rsidR="00A76A83">
        <w:t xml:space="preserve">refers to: V – pacing in the ventricle; D </w:t>
      </w:r>
      <w:r w:rsidR="006872ED">
        <w:t>–</w:t>
      </w:r>
      <w:r w:rsidR="00A76A83">
        <w:t xml:space="preserve"> </w:t>
      </w:r>
      <w:r w:rsidR="003F2FE7">
        <w:t xml:space="preserve">dual chamber </w:t>
      </w:r>
      <w:r w:rsidR="006872ED">
        <w:t xml:space="preserve">sensing </w:t>
      </w:r>
      <w:r w:rsidR="003F2FE7">
        <w:t>(</w:t>
      </w:r>
      <w:r w:rsidR="006872ED">
        <w:t>atrium and ventricle</w:t>
      </w:r>
      <w:r w:rsidR="003F2FE7">
        <w:t>)</w:t>
      </w:r>
      <w:r w:rsidR="006872ED">
        <w:t xml:space="preserve">; </w:t>
      </w:r>
      <w:r w:rsidR="004D5F51">
        <w:t xml:space="preserve">D – </w:t>
      </w:r>
      <w:r w:rsidR="003F2FE7">
        <w:t xml:space="preserve">dual modes of response </w:t>
      </w:r>
      <w:r w:rsidR="00F56B20">
        <w:t>(</w:t>
      </w:r>
      <w:r w:rsidR="00180003">
        <w:t>intrinsic atrial activity</w:t>
      </w:r>
      <w:r w:rsidR="00BD5ACE">
        <w:t xml:space="preserve"> can</w:t>
      </w:r>
      <w:r w:rsidR="00F56B20">
        <w:t xml:space="preserve"> </w:t>
      </w:r>
      <w:r w:rsidR="00494778">
        <w:t xml:space="preserve">inhibit </w:t>
      </w:r>
      <w:r w:rsidR="00D2644D">
        <w:t xml:space="preserve">ventricular pacing and </w:t>
      </w:r>
      <w:r w:rsidR="00DA6404">
        <w:t xml:space="preserve">trigger </w:t>
      </w:r>
      <w:r w:rsidR="00B505B7">
        <w:t>an AV delay</w:t>
      </w:r>
      <w:r w:rsidR="00BD5ACE">
        <w:t>,</w:t>
      </w:r>
      <w:r w:rsidR="00EC72C4">
        <w:t xml:space="preserve"> possibly</w:t>
      </w:r>
      <w:r w:rsidR="00BD5ACE">
        <w:t xml:space="preserve"> maintaining AV synchrony</w:t>
      </w:r>
      <w:r w:rsidR="00DA6404">
        <w:t>)</w:t>
      </w:r>
      <w:r w:rsidR="001D3BD7">
        <w:t>.</w:t>
      </w:r>
    </w:p>
  </w:footnote>
  <w:footnote w:id="6">
    <w:p w14:paraId="769FD154" w14:textId="2CE5D0AF" w:rsidR="00921A16" w:rsidRPr="00921A16" w:rsidRDefault="00C135EB" w:rsidP="00921A16">
      <w:pPr>
        <w:rPr>
          <w:sz w:val="20"/>
          <w:szCs w:val="20"/>
        </w:rPr>
      </w:pPr>
      <w:r>
        <w:rPr>
          <w:rStyle w:val="FootnoteReference"/>
        </w:rPr>
        <w:footnoteRef/>
      </w:r>
      <w:r>
        <w:t xml:space="preserve"> </w:t>
      </w:r>
      <w:r w:rsidR="00836C1D" w:rsidRPr="00E9133B">
        <w:rPr>
          <w:sz w:val="20"/>
          <w:szCs w:val="20"/>
        </w:rPr>
        <w:t>8 years = 100% VDD pacing, 60 bpm, pacing threshold 1.5 V, impedance 500 Ω, pulse width 0.24 ms</w:t>
      </w:r>
      <w:r w:rsidR="00921A16" w:rsidRPr="00E9133B">
        <w:rPr>
          <w:sz w:val="20"/>
          <w:szCs w:val="20"/>
        </w:rPr>
        <w:t>. 13 years = 15% VDD pacing, 70 bpm, pacing threshold 1.5 V, impedance 600 Ω, pulse width 0.24 ms.</w:t>
      </w:r>
    </w:p>
    <w:p w14:paraId="3A61AF99" w14:textId="6C2E6E49" w:rsidR="00C135EB" w:rsidRDefault="00C135E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BF9"/>
    <w:multiLevelType w:val="hybridMultilevel"/>
    <w:tmpl w:val="A6FE0B9A"/>
    <w:lvl w:ilvl="0" w:tplc="60FAB5F6">
      <w:start w:val="1"/>
      <w:numFmt w:val="bullet"/>
      <w:lvlText w:val=""/>
      <w:lvlJc w:val="left"/>
      <w:pPr>
        <w:ind w:left="720" w:hanging="360"/>
      </w:pPr>
      <w:rPr>
        <w:rFonts w:ascii="Symbol" w:hAnsi="Symbol"/>
      </w:rPr>
    </w:lvl>
    <w:lvl w:ilvl="1" w:tplc="1E924386">
      <w:start w:val="1"/>
      <w:numFmt w:val="bullet"/>
      <w:lvlText w:val=""/>
      <w:lvlJc w:val="left"/>
      <w:pPr>
        <w:ind w:left="720" w:hanging="360"/>
      </w:pPr>
      <w:rPr>
        <w:rFonts w:ascii="Symbol" w:hAnsi="Symbol"/>
      </w:rPr>
    </w:lvl>
    <w:lvl w:ilvl="2" w:tplc="D88C09EE">
      <w:start w:val="1"/>
      <w:numFmt w:val="bullet"/>
      <w:lvlText w:val=""/>
      <w:lvlJc w:val="left"/>
      <w:pPr>
        <w:ind w:left="720" w:hanging="360"/>
      </w:pPr>
      <w:rPr>
        <w:rFonts w:ascii="Symbol" w:hAnsi="Symbol"/>
      </w:rPr>
    </w:lvl>
    <w:lvl w:ilvl="3" w:tplc="5B98304E">
      <w:start w:val="1"/>
      <w:numFmt w:val="bullet"/>
      <w:lvlText w:val=""/>
      <w:lvlJc w:val="left"/>
      <w:pPr>
        <w:ind w:left="720" w:hanging="360"/>
      </w:pPr>
      <w:rPr>
        <w:rFonts w:ascii="Symbol" w:hAnsi="Symbol"/>
      </w:rPr>
    </w:lvl>
    <w:lvl w:ilvl="4" w:tplc="9552E512">
      <w:start w:val="1"/>
      <w:numFmt w:val="bullet"/>
      <w:lvlText w:val=""/>
      <w:lvlJc w:val="left"/>
      <w:pPr>
        <w:ind w:left="720" w:hanging="360"/>
      </w:pPr>
      <w:rPr>
        <w:rFonts w:ascii="Symbol" w:hAnsi="Symbol"/>
      </w:rPr>
    </w:lvl>
    <w:lvl w:ilvl="5" w:tplc="7CD0BA0C">
      <w:start w:val="1"/>
      <w:numFmt w:val="bullet"/>
      <w:lvlText w:val=""/>
      <w:lvlJc w:val="left"/>
      <w:pPr>
        <w:ind w:left="720" w:hanging="360"/>
      </w:pPr>
      <w:rPr>
        <w:rFonts w:ascii="Symbol" w:hAnsi="Symbol"/>
      </w:rPr>
    </w:lvl>
    <w:lvl w:ilvl="6" w:tplc="0FFEF508">
      <w:start w:val="1"/>
      <w:numFmt w:val="bullet"/>
      <w:lvlText w:val=""/>
      <w:lvlJc w:val="left"/>
      <w:pPr>
        <w:ind w:left="720" w:hanging="360"/>
      </w:pPr>
      <w:rPr>
        <w:rFonts w:ascii="Symbol" w:hAnsi="Symbol"/>
      </w:rPr>
    </w:lvl>
    <w:lvl w:ilvl="7" w:tplc="D9D8C18A">
      <w:start w:val="1"/>
      <w:numFmt w:val="bullet"/>
      <w:lvlText w:val=""/>
      <w:lvlJc w:val="left"/>
      <w:pPr>
        <w:ind w:left="720" w:hanging="360"/>
      </w:pPr>
      <w:rPr>
        <w:rFonts w:ascii="Symbol" w:hAnsi="Symbol"/>
      </w:rPr>
    </w:lvl>
    <w:lvl w:ilvl="8" w:tplc="6B8EAA7C">
      <w:start w:val="1"/>
      <w:numFmt w:val="bullet"/>
      <w:lvlText w:val=""/>
      <w:lvlJc w:val="left"/>
      <w:pPr>
        <w:ind w:left="720" w:hanging="360"/>
      </w:pPr>
      <w:rPr>
        <w:rFonts w:ascii="Symbol" w:hAnsi="Symbol"/>
      </w:rPr>
    </w:lvl>
  </w:abstractNum>
  <w:abstractNum w:abstractNumId="1"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B6501"/>
    <w:multiLevelType w:val="hybridMultilevel"/>
    <w:tmpl w:val="BD8E8BA8"/>
    <w:lvl w:ilvl="0" w:tplc="025C066C">
      <w:numFmt w:val="bullet"/>
      <w:lvlText w:val="·"/>
      <w:lvlJc w:val="left"/>
      <w:pPr>
        <w:ind w:left="360" w:hanging="360"/>
      </w:pPr>
      <w:rPr>
        <w:rFonts w:ascii="Arial Narrow" w:eastAsiaTheme="minorHAnsi" w:hAnsi="Arial Narrow"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07615A"/>
    <w:multiLevelType w:val="hybridMultilevel"/>
    <w:tmpl w:val="FF482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3279CF"/>
    <w:multiLevelType w:val="hybridMultilevel"/>
    <w:tmpl w:val="3AC4DD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A5E5A41"/>
    <w:multiLevelType w:val="hybridMultilevel"/>
    <w:tmpl w:val="4BEC2B12"/>
    <w:lvl w:ilvl="0" w:tplc="DDC210E2">
      <w:start w:val="1"/>
      <w:numFmt w:val="bullet"/>
      <w:lvlText w:val=""/>
      <w:lvlJc w:val="left"/>
      <w:pPr>
        <w:ind w:left="1900" w:hanging="360"/>
      </w:pPr>
      <w:rPr>
        <w:rFonts w:ascii="Symbol" w:hAnsi="Symbol"/>
      </w:rPr>
    </w:lvl>
    <w:lvl w:ilvl="1" w:tplc="1270B72C">
      <w:start w:val="1"/>
      <w:numFmt w:val="bullet"/>
      <w:lvlText w:val=""/>
      <w:lvlJc w:val="left"/>
      <w:pPr>
        <w:ind w:left="1900" w:hanging="360"/>
      </w:pPr>
      <w:rPr>
        <w:rFonts w:ascii="Symbol" w:hAnsi="Symbol"/>
      </w:rPr>
    </w:lvl>
    <w:lvl w:ilvl="2" w:tplc="9FB44370">
      <w:start w:val="1"/>
      <w:numFmt w:val="bullet"/>
      <w:lvlText w:val=""/>
      <w:lvlJc w:val="left"/>
      <w:pPr>
        <w:ind w:left="1900" w:hanging="360"/>
      </w:pPr>
      <w:rPr>
        <w:rFonts w:ascii="Symbol" w:hAnsi="Symbol"/>
      </w:rPr>
    </w:lvl>
    <w:lvl w:ilvl="3" w:tplc="76EA8190">
      <w:start w:val="1"/>
      <w:numFmt w:val="bullet"/>
      <w:lvlText w:val=""/>
      <w:lvlJc w:val="left"/>
      <w:pPr>
        <w:ind w:left="1900" w:hanging="360"/>
      </w:pPr>
      <w:rPr>
        <w:rFonts w:ascii="Symbol" w:hAnsi="Symbol"/>
      </w:rPr>
    </w:lvl>
    <w:lvl w:ilvl="4" w:tplc="E5C65892">
      <w:start w:val="1"/>
      <w:numFmt w:val="bullet"/>
      <w:lvlText w:val=""/>
      <w:lvlJc w:val="left"/>
      <w:pPr>
        <w:ind w:left="1900" w:hanging="360"/>
      </w:pPr>
      <w:rPr>
        <w:rFonts w:ascii="Symbol" w:hAnsi="Symbol"/>
      </w:rPr>
    </w:lvl>
    <w:lvl w:ilvl="5" w:tplc="2E20EDEC">
      <w:start w:val="1"/>
      <w:numFmt w:val="bullet"/>
      <w:lvlText w:val=""/>
      <w:lvlJc w:val="left"/>
      <w:pPr>
        <w:ind w:left="1900" w:hanging="360"/>
      </w:pPr>
      <w:rPr>
        <w:rFonts w:ascii="Symbol" w:hAnsi="Symbol"/>
      </w:rPr>
    </w:lvl>
    <w:lvl w:ilvl="6" w:tplc="00F03638">
      <w:start w:val="1"/>
      <w:numFmt w:val="bullet"/>
      <w:lvlText w:val=""/>
      <w:lvlJc w:val="left"/>
      <w:pPr>
        <w:ind w:left="1900" w:hanging="360"/>
      </w:pPr>
      <w:rPr>
        <w:rFonts w:ascii="Symbol" w:hAnsi="Symbol"/>
      </w:rPr>
    </w:lvl>
    <w:lvl w:ilvl="7" w:tplc="778EE90C">
      <w:start w:val="1"/>
      <w:numFmt w:val="bullet"/>
      <w:lvlText w:val=""/>
      <w:lvlJc w:val="left"/>
      <w:pPr>
        <w:ind w:left="1900" w:hanging="360"/>
      </w:pPr>
      <w:rPr>
        <w:rFonts w:ascii="Symbol" w:hAnsi="Symbol"/>
      </w:rPr>
    </w:lvl>
    <w:lvl w:ilvl="8" w:tplc="35BE2E8E">
      <w:start w:val="1"/>
      <w:numFmt w:val="bullet"/>
      <w:lvlText w:val=""/>
      <w:lvlJc w:val="left"/>
      <w:pPr>
        <w:ind w:left="1900" w:hanging="360"/>
      </w:pPr>
      <w:rPr>
        <w:rFonts w:ascii="Symbol" w:hAnsi="Symbol"/>
      </w:rPr>
    </w:lvl>
  </w:abstractNum>
  <w:abstractNum w:abstractNumId="7" w15:restartNumberingAfterBreak="0">
    <w:nsid w:val="52AE3693"/>
    <w:multiLevelType w:val="hybridMultilevel"/>
    <w:tmpl w:val="A5EE110E"/>
    <w:lvl w:ilvl="0" w:tplc="C4801ACC">
      <w:start w:val="1"/>
      <w:numFmt w:val="bullet"/>
      <w:lvlText w:val=""/>
      <w:lvlJc w:val="left"/>
      <w:pPr>
        <w:ind w:left="1440" w:hanging="360"/>
      </w:pPr>
      <w:rPr>
        <w:rFonts w:ascii="Symbol" w:hAnsi="Symbol"/>
      </w:rPr>
    </w:lvl>
    <w:lvl w:ilvl="1" w:tplc="7D0E069A">
      <w:start w:val="1"/>
      <w:numFmt w:val="bullet"/>
      <w:lvlText w:val=""/>
      <w:lvlJc w:val="left"/>
      <w:pPr>
        <w:ind w:left="1440" w:hanging="360"/>
      </w:pPr>
      <w:rPr>
        <w:rFonts w:ascii="Symbol" w:hAnsi="Symbol"/>
      </w:rPr>
    </w:lvl>
    <w:lvl w:ilvl="2" w:tplc="C37293CC">
      <w:start w:val="1"/>
      <w:numFmt w:val="bullet"/>
      <w:lvlText w:val=""/>
      <w:lvlJc w:val="left"/>
      <w:pPr>
        <w:ind w:left="1440" w:hanging="360"/>
      </w:pPr>
      <w:rPr>
        <w:rFonts w:ascii="Symbol" w:hAnsi="Symbol"/>
      </w:rPr>
    </w:lvl>
    <w:lvl w:ilvl="3" w:tplc="7AACAA7E">
      <w:start w:val="1"/>
      <w:numFmt w:val="bullet"/>
      <w:lvlText w:val=""/>
      <w:lvlJc w:val="left"/>
      <w:pPr>
        <w:ind w:left="1440" w:hanging="360"/>
      </w:pPr>
      <w:rPr>
        <w:rFonts w:ascii="Symbol" w:hAnsi="Symbol"/>
      </w:rPr>
    </w:lvl>
    <w:lvl w:ilvl="4" w:tplc="2904C5B4">
      <w:start w:val="1"/>
      <w:numFmt w:val="bullet"/>
      <w:lvlText w:val=""/>
      <w:lvlJc w:val="left"/>
      <w:pPr>
        <w:ind w:left="1440" w:hanging="360"/>
      </w:pPr>
      <w:rPr>
        <w:rFonts w:ascii="Symbol" w:hAnsi="Symbol"/>
      </w:rPr>
    </w:lvl>
    <w:lvl w:ilvl="5" w:tplc="350EEAC8">
      <w:start w:val="1"/>
      <w:numFmt w:val="bullet"/>
      <w:lvlText w:val=""/>
      <w:lvlJc w:val="left"/>
      <w:pPr>
        <w:ind w:left="1440" w:hanging="360"/>
      </w:pPr>
      <w:rPr>
        <w:rFonts w:ascii="Symbol" w:hAnsi="Symbol"/>
      </w:rPr>
    </w:lvl>
    <w:lvl w:ilvl="6" w:tplc="85207EB4">
      <w:start w:val="1"/>
      <w:numFmt w:val="bullet"/>
      <w:lvlText w:val=""/>
      <w:lvlJc w:val="left"/>
      <w:pPr>
        <w:ind w:left="1440" w:hanging="360"/>
      </w:pPr>
      <w:rPr>
        <w:rFonts w:ascii="Symbol" w:hAnsi="Symbol"/>
      </w:rPr>
    </w:lvl>
    <w:lvl w:ilvl="7" w:tplc="2D2A1294">
      <w:start w:val="1"/>
      <w:numFmt w:val="bullet"/>
      <w:lvlText w:val=""/>
      <w:lvlJc w:val="left"/>
      <w:pPr>
        <w:ind w:left="1440" w:hanging="360"/>
      </w:pPr>
      <w:rPr>
        <w:rFonts w:ascii="Symbol" w:hAnsi="Symbol"/>
      </w:rPr>
    </w:lvl>
    <w:lvl w:ilvl="8" w:tplc="16922354">
      <w:start w:val="1"/>
      <w:numFmt w:val="bullet"/>
      <w:lvlText w:val=""/>
      <w:lvlJc w:val="left"/>
      <w:pPr>
        <w:ind w:left="1440" w:hanging="360"/>
      </w:pPr>
      <w:rPr>
        <w:rFonts w:ascii="Symbol" w:hAnsi="Symbol"/>
      </w:rPr>
    </w:lvl>
  </w:abstractNum>
  <w:abstractNum w:abstractNumId="8"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9" w15:restartNumberingAfterBreak="0">
    <w:nsid w:val="5B8417FC"/>
    <w:multiLevelType w:val="hybridMultilevel"/>
    <w:tmpl w:val="C4E8AB6A"/>
    <w:lvl w:ilvl="0" w:tplc="0C090001">
      <w:start w:val="1"/>
      <w:numFmt w:val="bullet"/>
      <w:lvlText w:val=""/>
      <w:lvlJc w:val="left"/>
      <w:pPr>
        <w:ind w:left="360" w:hanging="360"/>
      </w:pPr>
      <w:rPr>
        <w:rFonts w:ascii="Symbol" w:hAnsi="Symbol" w:hint="default"/>
      </w:rPr>
    </w:lvl>
    <w:lvl w:ilvl="1" w:tplc="C4965966">
      <w:numFmt w:val="bullet"/>
      <w:lvlText w:val="•"/>
      <w:lvlJc w:val="left"/>
      <w:pPr>
        <w:ind w:left="737" w:hanging="283"/>
      </w:pPr>
      <w:rPr>
        <w:rFonts w:ascii="Arial Narrow" w:eastAsiaTheme="minorHAnsi"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5809F6"/>
    <w:multiLevelType w:val="hybridMultilevel"/>
    <w:tmpl w:val="C2643348"/>
    <w:lvl w:ilvl="0" w:tplc="B276C768">
      <w:start w:val="1"/>
      <w:numFmt w:val="bullet"/>
      <w:lvlText w:val=""/>
      <w:lvlJc w:val="left"/>
      <w:pPr>
        <w:ind w:left="1440" w:hanging="360"/>
      </w:pPr>
      <w:rPr>
        <w:rFonts w:ascii="Symbol" w:hAnsi="Symbol"/>
      </w:rPr>
    </w:lvl>
    <w:lvl w:ilvl="1" w:tplc="9A60EFD4">
      <w:start w:val="1"/>
      <w:numFmt w:val="bullet"/>
      <w:lvlText w:val=""/>
      <w:lvlJc w:val="left"/>
      <w:pPr>
        <w:ind w:left="1440" w:hanging="360"/>
      </w:pPr>
      <w:rPr>
        <w:rFonts w:ascii="Symbol" w:hAnsi="Symbol"/>
      </w:rPr>
    </w:lvl>
    <w:lvl w:ilvl="2" w:tplc="1A360E8C">
      <w:start w:val="1"/>
      <w:numFmt w:val="bullet"/>
      <w:lvlText w:val=""/>
      <w:lvlJc w:val="left"/>
      <w:pPr>
        <w:ind w:left="1440" w:hanging="360"/>
      </w:pPr>
      <w:rPr>
        <w:rFonts w:ascii="Symbol" w:hAnsi="Symbol"/>
      </w:rPr>
    </w:lvl>
    <w:lvl w:ilvl="3" w:tplc="5BBA8C76">
      <w:start w:val="1"/>
      <w:numFmt w:val="bullet"/>
      <w:lvlText w:val=""/>
      <w:lvlJc w:val="left"/>
      <w:pPr>
        <w:ind w:left="1440" w:hanging="360"/>
      </w:pPr>
      <w:rPr>
        <w:rFonts w:ascii="Symbol" w:hAnsi="Symbol"/>
      </w:rPr>
    </w:lvl>
    <w:lvl w:ilvl="4" w:tplc="F73C788C">
      <w:start w:val="1"/>
      <w:numFmt w:val="bullet"/>
      <w:lvlText w:val=""/>
      <w:lvlJc w:val="left"/>
      <w:pPr>
        <w:ind w:left="1440" w:hanging="360"/>
      </w:pPr>
      <w:rPr>
        <w:rFonts w:ascii="Symbol" w:hAnsi="Symbol"/>
      </w:rPr>
    </w:lvl>
    <w:lvl w:ilvl="5" w:tplc="F920D42C">
      <w:start w:val="1"/>
      <w:numFmt w:val="bullet"/>
      <w:lvlText w:val=""/>
      <w:lvlJc w:val="left"/>
      <w:pPr>
        <w:ind w:left="1440" w:hanging="360"/>
      </w:pPr>
      <w:rPr>
        <w:rFonts w:ascii="Symbol" w:hAnsi="Symbol"/>
      </w:rPr>
    </w:lvl>
    <w:lvl w:ilvl="6" w:tplc="31F2900C">
      <w:start w:val="1"/>
      <w:numFmt w:val="bullet"/>
      <w:lvlText w:val=""/>
      <w:lvlJc w:val="left"/>
      <w:pPr>
        <w:ind w:left="1440" w:hanging="360"/>
      </w:pPr>
      <w:rPr>
        <w:rFonts w:ascii="Symbol" w:hAnsi="Symbol"/>
      </w:rPr>
    </w:lvl>
    <w:lvl w:ilvl="7" w:tplc="9FBEB6CA">
      <w:start w:val="1"/>
      <w:numFmt w:val="bullet"/>
      <w:lvlText w:val=""/>
      <w:lvlJc w:val="left"/>
      <w:pPr>
        <w:ind w:left="1440" w:hanging="360"/>
      </w:pPr>
      <w:rPr>
        <w:rFonts w:ascii="Symbol" w:hAnsi="Symbol"/>
      </w:rPr>
    </w:lvl>
    <w:lvl w:ilvl="8" w:tplc="FB1A98B8">
      <w:start w:val="1"/>
      <w:numFmt w:val="bullet"/>
      <w:lvlText w:val=""/>
      <w:lvlJc w:val="left"/>
      <w:pPr>
        <w:ind w:left="1440" w:hanging="360"/>
      </w:pPr>
      <w:rPr>
        <w:rFonts w:ascii="Symbol" w:hAnsi="Symbol"/>
      </w:rPr>
    </w:lvl>
  </w:abstractNum>
  <w:abstractNum w:abstractNumId="11" w15:restartNumberingAfterBreak="0">
    <w:nsid w:val="669D5171"/>
    <w:multiLevelType w:val="hybridMultilevel"/>
    <w:tmpl w:val="3850BEB0"/>
    <w:lvl w:ilvl="0" w:tplc="FEC8D100">
      <w:start w:val="1"/>
      <w:numFmt w:val="bullet"/>
      <w:lvlText w:val=""/>
      <w:lvlJc w:val="left"/>
      <w:pPr>
        <w:ind w:left="1900" w:hanging="360"/>
      </w:pPr>
      <w:rPr>
        <w:rFonts w:ascii="Symbol" w:hAnsi="Symbol"/>
      </w:rPr>
    </w:lvl>
    <w:lvl w:ilvl="1" w:tplc="7444AE22">
      <w:start w:val="1"/>
      <w:numFmt w:val="bullet"/>
      <w:lvlText w:val=""/>
      <w:lvlJc w:val="left"/>
      <w:pPr>
        <w:ind w:left="1900" w:hanging="360"/>
      </w:pPr>
      <w:rPr>
        <w:rFonts w:ascii="Symbol" w:hAnsi="Symbol"/>
      </w:rPr>
    </w:lvl>
    <w:lvl w:ilvl="2" w:tplc="F3E4307E">
      <w:start w:val="1"/>
      <w:numFmt w:val="bullet"/>
      <w:lvlText w:val=""/>
      <w:lvlJc w:val="left"/>
      <w:pPr>
        <w:ind w:left="1900" w:hanging="360"/>
      </w:pPr>
      <w:rPr>
        <w:rFonts w:ascii="Symbol" w:hAnsi="Symbol"/>
      </w:rPr>
    </w:lvl>
    <w:lvl w:ilvl="3" w:tplc="BD144938">
      <w:start w:val="1"/>
      <w:numFmt w:val="bullet"/>
      <w:lvlText w:val=""/>
      <w:lvlJc w:val="left"/>
      <w:pPr>
        <w:ind w:left="1900" w:hanging="360"/>
      </w:pPr>
      <w:rPr>
        <w:rFonts w:ascii="Symbol" w:hAnsi="Symbol"/>
      </w:rPr>
    </w:lvl>
    <w:lvl w:ilvl="4" w:tplc="53B01352">
      <w:start w:val="1"/>
      <w:numFmt w:val="bullet"/>
      <w:lvlText w:val=""/>
      <w:lvlJc w:val="left"/>
      <w:pPr>
        <w:ind w:left="1900" w:hanging="360"/>
      </w:pPr>
      <w:rPr>
        <w:rFonts w:ascii="Symbol" w:hAnsi="Symbol"/>
      </w:rPr>
    </w:lvl>
    <w:lvl w:ilvl="5" w:tplc="758E5FC8">
      <w:start w:val="1"/>
      <w:numFmt w:val="bullet"/>
      <w:lvlText w:val=""/>
      <w:lvlJc w:val="left"/>
      <w:pPr>
        <w:ind w:left="1900" w:hanging="360"/>
      </w:pPr>
      <w:rPr>
        <w:rFonts w:ascii="Symbol" w:hAnsi="Symbol"/>
      </w:rPr>
    </w:lvl>
    <w:lvl w:ilvl="6" w:tplc="EA2C33BC">
      <w:start w:val="1"/>
      <w:numFmt w:val="bullet"/>
      <w:lvlText w:val=""/>
      <w:lvlJc w:val="left"/>
      <w:pPr>
        <w:ind w:left="1900" w:hanging="360"/>
      </w:pPr>
      <w:rPr>
        <w:rFonts w:ascii="Symbol" w:hAnsi="Symbol"/>
      </w:rPr>
    </w:lvl>
    <w:lvl w:ilvl="7" w:tplc="1FCAF3B8">
      <w:start w:val="1"/>
      <w:numFmt w:val="bullet"/>
      <w:lvlText w:val=""/>
      <w:lvlJc w:val="left"/>
      <w:pPr>
        <w:ind w:left="1900" w:hanging="360"/>
      </w:pPr>
      <w:rPr>
        <w:rFonts w:ascii="Symbol" w:hAnsi="Symbol"/>
      </w:rPr>
    </w:lvl>
    <w:lvl w:ilvl="8" w:tplc="85C43EEE">
      <w:start w:val="1"/>
      <w:numFmt w:val="bullet"/>
      <w:lvlText w:val=""/>
      <w:lvlJc w:val="left"/>
      <w:pPr>
        <w:ind w:left="1900" w:hanging="360"/>
      </w:pPr>
      <w:rPr>
        <w:rFonts w:ascii="Symbol" w:hAnsi="Symbol"/>
      </w:rPr>
    </w:lvl>
  </w:abstractNum>
  <w:num w:numId="1" w16cid:durableId="2098093375">
    <w:abstractNumId w:val="8"/>
  </w:num>
  <w:num w:numId="2" w16cid:durableId="1911186006">
    <w:abstractNumId w:val="2"/>
  </w:num>
  <w:num w:numId="3" w16cid:durableId="1288200845">
    <w:abstractNumId w:val="3"/>
  </w:num>
  <w:num w:numId="4" w16cid:durableId="1150706161">
    <w:abstractNumId w:val="5"/>
  </w:num>
  <w:num w:numId="5" w16cid:durableId="1325738145">
    <w:abstractNumId w:val="9"/>
  </w:num>
  <w:num w:numId="6" w16cid:durableId="1390805315">
    <w:abstractNumId w:val="4"/>
  </w:num>
  <w:num w:numId="7" w16cid:durableId="285553011">
    <w:abstractNumId w:val="1"/>
  </w:num>
  <w:num w:numId="8" w16cid:durableId="1606887758">
    <w:abstractNumId w:val="0"/>
  </w:num>
  <w:num w:numId="9" w16cid:durableId="1254051436">
    <w:abstractNumId w:val="7"/>
  </w:num>
  <w:num w:numId="10" w16cid:durableId="760033338">
    <w:abstractNumId w:val="6"/>
  </w:num>
  <w:num w:numId="11" w16cid:durableId="679042344">
    <w:abstractNumId w:val="10"/>
  </w:num>
  <w:num w:numId="12" w16cid:durableId="159012176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7A2"/>
    <w:rsid w:val="0000099C"/>
    <w:rsid w:val="00000A56"/>
    <w:rsid w:val="00000D1B"/>
    <w:rsid w:val="000010BB"/>
    <w:rsid w:val="00001E2C"/>
    <w:rsid w:val="00002504"/>
    <w:rsid w:val="000029EE"/>
    <w:rsid w:val="00003641"/>
    <w:rsid w:val="0000395C"/>
    <w:rsid w:val="00003ABE"/>
    <w:rsid w:val="00003AE9"/>
    <w:rsid w:val="00003C52"/>
    <w:rsid w:val="00003CCC"/>
    <w:rsid w:val="00003D81"/>
    <w:rsid w:val="00004056"/>
    <w:rsid w:val="00004953"/>
    <w:rsid w:val="00005CF5"/>
    <w:rsid w:val="00006181"/>
    <w:rsid w:val="00006321"/>
    <w:rsid w:val="000063BF"/>
    <w:rsid w:val="0000680E"/>
    <w:rsid w:val="00006F53"/>
    <w:rsid w:val="000073AA"/>
    <w:rsid w:val="000077C8"/>
    <w:rsid w:val="00007B41"/>
    <w:rsid w:val="00010088"/>
    <w:rsid w:val="000101A7"/>
    <w:rsid w:val="00011111"/>
    <w:rsid w:val="0001117A"/>
    <w:rsid w:val="0001191C"/>
    <w:rsid w:val="00011965"/>
    <w:rsid w:val="00011C14"/>
    <w:rsid w:val="0001244B"/>
    <w:rsid w:val="00013532"/>
    <w:rsid w:val="0001437B"/>
    <w:rsid w:val="000149D4"/>
    <w:rsid w:val="00014ACB"/>
    <w:rsid w:val="00014B99"/>
    <w:rsid w:val="0001512A"/>
    <w:rsid w:val="00015862"/>
    <w:rsid w:val="00015F76"/>
    <w:rsid w:val="000168FB"/>
    <w:rsid w:val="00016A46"/>
    <w:rsid w:val="00016E82"/>
    <w:rsid w:val="000175F2"/>
    <w:rsid w:val="0002051C"/>
    <w:rsid w:val="000207CB"/>
    <w:rsid w:val="00021106"/>
    <w:rsid w:val="00021141"/>
    <w:rsid w:val="00021490"/>
    <w:rsid w:val="00021AEC"/>
    <w:rsid w:val="00021B7F"/>
    <w:rsid w:val="00021E36"/>
    <w:rsid w:val="00022B44"/>
    <w:rsid w:val="00022D54"/>
    <w:rsid w:val="00022F81"/>
    <w:rsid w:val="000230F1"/>
    <w:rsid w:val="00023395"/>
    <w:rsid w:val="00023898"/>
    <w:rsid w:val="000240F1"/>
    <w:rsid w:val="000241BE"/>
    <w:rsid w:val="00024978"/>
    <w:rsid w:val="00024FE2"/>
    <w:rsid w:val="00025695"/>
    <w:rsid w:val="000258ED"/>
    <w:rsid w:val="00025BD8"/>
    <w:rsid w:val="00025FC0"/>
    <w:rsid w:val="00026631"/>
    <w:rsid w:val="00026A39"/>
    <w:rsid w:val="00026DC8"/>
    <w:rsid w:val="0002719C"/>
    <w:rsid w:val="00027A37"/>
    <w:rsid w:val="00027A86"/>
    <w:rsid w:val="00027D0A"/>
    <w:rsid w:val="00027F7D"/>
    <w:rsid w:val="00027FCD"/>
    <w:rsid w:val="000301A7"/>
    <w:rsid w:val="00030CDF"/>
    <w:rsid w:val="000319C6"/>
    <w:rsid w:val="000319D2"/>
    <w:rsid w:val="000322BE"/>
    <w:rsid w:val="00032374"/>
    <w:rsid w:val="0003323B"/>
    <w:rsid w:val="00033678"/>
    <w:rsid w:val="0003384F"/>
    <w:rsid w:val="0003398C"/>
    <w:rsid w:val="00033A71"/>
    <w:rsid w:val="00034DEB"/>
    <w:rsid w:val="00034EF0"/>
    <w:rsid w:val="000360C1"/>
    <w:rsid w:val="0003616D"/>
    <w:rsid w:val="00036170"/>
    <w:rsid w:val="00036936"/>
    <w:rsid w:val="00036D96"/>
    <w:rsid w:val="000376F7"/>
    <w:rsid w:val="00037D46"/>
    <w:rsid w:val="000403DB"/>
    <w:rsid w:val="000406AE"/>
    <w:rsid w:val="000411AA"/>
    <w:rsid w:val="000415F5"/>
    <w:rsid w:val="00041B25"/>
    <w:rsid w:val="000425FD"/>
    <w:rsid w:val="00042622"/>
    <w:rsid w:val="00043109"/>
    <w:rsid w:val="000432D8"/>
    <w:rsid w:val="00043C3C"/>
    <w:rsid w:val="00043FF1"/>
    <w:rsid w:val="00044630"/>
    <w:rsid w:val="000448E3"/>
    <w:rsid w:val="00044A0B"/>
    <w:rsid w:val="00044BB0"/>
    <w:rsid w:val="00044D50"/>
    <w:rsid w:val="00044D7D"/>
    <w:rsid w:val="00044E09"/>
    <w:rsid w:val="0004513B"/>
    <w:rsid w:val="00045AB2"/>
    <w:rsid w:val="00045EA3"/>
    <w:rsid w:val="00046CB3"/>
    <w:rsid w:val="00046ED9"/>
    <w:rsid w:val="000479F1"/>
    <w:rsid w:val="00050006"/>
    <w:rsid w:val="0005009E"/>
    <w:rsid w:val="000503DC"/>
    <w:rsid w:val="00050703"/>
    <w:rsid w:val="00050A24"/>
    <w:rsid w:val="00051100"/>
    <w:rsid w:val="00051325"/>
    <w:rsid w:val="000513A1"/>
    <w:rsid w:val="0005144E"/>
    <w:rsid w:val="00051692"/>
    <w:rsid w:val="000518E9"/>
    <w:rsid w:val="00051948"/>
    <w:rsid w:val="00051BBE"/>
    <w:rsid w:val="00052C4E"/>
    <w:rsid w:val="00053144"/>
    <w:rsid w:val="00053999"/>
    <w:rsid w:val="00053A23"/>
    <w:rsid w:val="000541BD"/>
    <w:rsid w:val="00054893"/>
    <w:rsid w:val="00054A13"/>
    <w:rsid w:val="00054ADB"/>
    <w:rsid w:val="00054D8C"/>
    <w:rsid w:val="00055272"/>
    <w:rsid w:val="00055919"/>
    <w:rsid w:val="00055F24"/>
    <w:rsid w:val="00056651"/>
    <w:rsid w:val="0005665A"/>
    <w:rsid w:val="00056E69"/>
    <w:rsid w:val="000572AF"/>
    <w:rsid w:val="00057503"/>
    <w:rsid w:val="000577B5"/>
    <w:rsid w:val="000579D0"/>
    <w:rsid w:val="00057AD0"/>
    <w:rsid w:val="000601C5"/>
    <w:rsid w:val="0006041F"/>
    <w:rsid w:val="00061407"/>
    <w:rsid w:val="000614C3"/>
    <w:rsid w:val="00061C3D"/>
    <w:rsid w:val="00061DD5"/>
    <w:rsid w:val="00061F25"/>
    <w:rsid w:val="00062310"/>
    <w:rsid w:val="0006238D"/>
    <w:rsid w:val="00062944"/>
    <w:rsid w:val="00062BFE"/>
    <w:rsid w:val="000630D1"/>
    <w:rsid w:val="00063178"/>
    <w:rsid w:val="00063233"/>
    <w:rsid w:val="0006365E"/>
    <w:rsid w:val="000643DF"/>
    <w:rsid w:val="000646AE"/>
    <w:rsid w:val="00064722"/>
    <w:rsid w:val="00065302"/>
    <w:rsid w:val="00065677"/>
    <w:rsid w:val="00065ED1"/>
    <w:rsid w:val="00066179"/>
    <w:rsid w:val="000664AD"/>
    <w:rsid w:val="000664B8"/>
    <w:rsid w:val="00067535"/>
    <w:rsid w:val="000675D5"/>
    <w:rsid w:val="0006766A"/>
    <w:rsid w:val="0006787F"/>
    <w:rsid w:val="00067AC6"/>
    <w:rsid w:val="00067AFD"/>
    <w:rsid w:val="00067CDA"/>
    <w:rsid w:val="00067D5D"/>
    <w:rsid w:val="00070351"/>
    <w:rsid w:val="0007140F"/>
    <w:rsid w:val="000718AB"/>
    <w:rsid w:val="00071AEB"/>
    <w:rsid w:val="00071DC8"/>
    <w:rsid w:val="0007247B"/>
    <w:rsid w:val="000725B8"/>
    <w:rsid w:val="0007272D"/>
    <w:rsid w:val="00072AD7"/>
    <w:rsid w:val="00072E92"/>
    <w:rsid w:val="00073B6A"/>
    <w:rsid w:val="000743CF"/>
    <w:rsid w:val="0007456E"/>
    <w:rsid w:val="00074DD4"/>
    <w:rsid w:val="00074F68"/>
    <w:rsid w:val="0007536F"/>
    <w:rsid w:val="00075749"/>
    <w:rsid w:val="00075C4D"/>
    <w:rsid w:val="00076B5E"/>
    <w:rsid w:val="00076C00"/>
    <w:rsid w:val="00076C2C"/>
    <w:rsid w:val="00077EAB"/>
    <w:rsid w:val="00080010"/>
    <w:rsid w:val="00080333"/>
    <w:rsid w:val="00080AA2"/>
    <w:rsid w:val="00080BD0"/>
    <w:rsid w:val="00081873"/>
    <w:rsid w:val="00081E17"/>
    <w:rsid w:val="00082489"/>
    <w:rsid w:val="000837A0"/>
    <w:rsid w:val="0008386C"/>
    <w:rsid w:val="00083F40"/>
    <w:rsid w:val="00084383"/>
    <w:rsid w:val="00084652"/>
    <w:rsid w:val="00084899"/>
    <w:rsid w:val="00084CC6"/>
    <w:rsid w:val="00085284"/>
    <w:rsid w:val="00085314"/>
    <w:rsid w:val="000856CB"/>
    <w:rsid w:val="00085FCE"/>
    <w:rsid w:val="00086100"/>
    <w:rsid w:val="00086B04"/>
    <w:rsid w:val="00087852"/>
    <w:rsid w:val="000902D5"/>
    <w:rsid w:val="00090808"/>
    <w:rsid w:val="00091571"/>
    <w:rsid w:val="00091705"/>
    <w:rsid w:val="00091868"/>
    <w:rsid w:val="0009360E"/>
    <w:rsid w:val="00093614"/>
    <w:rsid w:val="000939E0"/>
    <w:rsid w:val="00093D18"/>
    <w:rsid w:val="00094046"/>
    <w:rsid w:val="000940AA"/>
    <w:rsid w:val="00094761"/>
    <w:rsid w:val="00094802"/>
    <w:rsid w:val="0009505D"/>
    <w:rsid w:val="000951E7"/>
    <w:rsid w:val="00095256"/>
    <w:rsid w:val="000957CC"/>
    <w:rsid w:val="00095A7D"/>
    <w:rsid w:val="00095FD6"/>
    <w:rsid w:val="000965F7"/>
    <w:rsid w:val="00097A6E"/>
    <w:rsid w:val="00097C0B"/>
    <w:rsid w:val="00097D7C"/>
    <w:rsid w:val="00097E2B"/>
    <w:rsid w:val="000A0027"/>
    <w:rsid w:val="000A0412"/>
    <w:rsid w:val="000A07E5"/>
    <w:rsid w:val="000A0B34"/>
    <w:rsid w:val="000A0C58"/>
    <w:rsid w:val="000A25AE"/>
    <w:rsid w:val="000A2EAC"/>
    <w:rsid w:val="000A3195"/>
    <w:rsid w:val="000A3242"/>
    <w:rsid w:val="000A3426"/>
    <w:rsid w:val="000A3847"/>
    <w:rsid w:val="000A3BD9"/>
    <w:rsid w:val="000A3C25"/>
    <w:rsid w:val="000A3E07"/>
    <w:rsid w:val="000A40EE"/>
    <w:rsid w:val="000A413E"/>
    <w:rsid w:val="000A46D2"/>
    <w:rsid w:val="000A48DB"/>
    <w:rsid w:val="000A49DE"/>
    <w:rsid w:val="000A4DAE"/>
    <w:rsid w:val="000A4FA8"/>
    <w:rsid w:val="000A5157"/>
    <w:rsid w:val="000A52BE"/>
    <w:rsid w:val="000A5512"/>
    <w:rsid w:val="000A58A0"/>
    <w:rsid w:val="000A6128"/>
    <w:rsid w:val="000A67DC"/>
    <w:rsid w:val="000A7017"/>
    <w:rsid w:val="000A7306"/>
    <w:rsid w:val="000A7B1F"/>
    <w:rsid w:val="000B01B2"/>
    <w:rsid w:val="000B0565"/>
    <w:rsid w:val="000B05DC"/>
    <w:rsid w:val="000B0B65"/>
    <w:rsid w:val="000B0E7B"/>
    <w:rsid w:val="000B1EE5"/>
    <w:rsid w:val="000B2718"/>
    <w:rsid w:val="000B3062"/>
    <w:rsid w:val="000B31AF"/>
    <w:rsid w:val="000B35F0"/>
    <w:rsid w:val="000B41D8"/>
    <w:rsid w:val="000B433B"/>
    <w:rsid w:val="000B48E7"/>
    <w:rsid w:val="000B4D22"/>
    <w:rsid w:val="000B4F97"/>
    <w:rsid w:val="000B5351"/>
    <w:rsid w:val="000B55DC"/>
    <w:rsid w:val="000B589C"/>
    <w:rsid w:val="000B5933"/>
    <w:rsid w:val="000B5BD7"/>
    <w:rsid w:val="000B5C14"/>
    <w:rsid w:val="000B5C3A"/>
    <w:rsid w:val="000B5C6C"/>
    <w:rsid w:val="000B5F5D"/>
    <w:rsid w:val="000B601E"/>
    <w:rsid w:val="000B6626"/>
    <w:rsid w:val="000B6672"/>
    <w:rsid w:val="000B6702"/>
    <w:rsid w:val="000B6EE8"/>
    <w:rsid w:val="000B6EFA"/>
    <w:rsid w:val="000B6FBC"/>
    <w:rsid w:val="000B7EA6"/>
    <w:rsid w:val="000B7FA7"/>
    <w:rsid w:val="000C0278"/>
    <w:rsid w:val="000C060F"/>
    <w:rsid w:val="000C1904"/>
    <w:rsid w:val="000C1EA4"/>
    <w:rsid w:val="000C2043"/>
    <w:rsid w:val="000C2394"/>
    <w:rsid w:val="000C240B"/>
    <w:rsid w:val="000C2D9E"/>
    <w:rsid w:val="000C2EB9"/>
    <w:rsid w:val="000C312F"/>
    <w:rsid w:val="000C33D6"/>
    <w:rsid w:val="000C37BB"/>
    <w:rsid w:val="000C3845"/>
    <w:rsid w:val="000C3851"/>
    <w:rsid w:val="000C38A3"/>
    <w:rsid w:val="000C3AC0"/>
    <w:rsid w:val="000C3F79"/>
    <w:rsid w:val="000C467C"/>
    <w:rsid w:val="000C4713"/>
    <w:rsid w:val="000C50D4"/>
    <w:rsid w:val="000C53B5"/>
    <w:rsid w:val="000C61BB"/>
    <w:rsid w:val="000C658B"/>
    <w:rsid w:val="000C6736"/>
    <w:rsid w:val="000C681E"/>
    <w:rsid w:val="000C69BD"/>
    <w:rsid w:val="000C6A21"/>
    <w:rsid w:val="000C714B"/>
    <w:rsid w:val="000C7D53"/>
    <w:rsid w:val="000C7D73"/>
    <w:rsid w:val="000C7E85"/>
    <w:rsid w:val="000C7FF3"/>
    <w:rsid w:val="000D055D"/>
    <w:rsid w:val="000D08A2"/>
    <w:rsid w:val="000D0B03"/>
    <w:rsid w:val="000D1810"/>
    <w:rsid w:val="000D19CB"/>
    <w:rsid w:val="000D1EC0"/>
    <w:rsid w:val="000D1FCF"/>
    <w:rsid w:val="000D27EA"/>
    <w:rsid w:val="000D2A41"/>
    <w:rsid w:val="000D3C27"/>
    <w:rsid w:val="000D400B"/>
    <w:rsid w:val="000D411B"/>
    <w:rsid w:val="000D4145"/>
    <w:rsid w:val="000D4347"/>
    <w:rsid w:val="000D511B"/>
    <w:rsid w:val="000D53C6"/>
    <w:rsid w:val="000D53F9"/>
    <w:rsid w:val="000D5697"/>
    <w:rsid w:val="000D5AF4"/>
    <w:rsid w:val="000D643F"/>
    <w:rsid w:val="000D6ABE"/>
    <w:rsid w:val="000D6AE6"/>
    <w:rsid w:val="000D7090"/>
    <w:rsid w:val="000D72DE"/>
    <w:rsid w:val="000E039B"/>
    <w:rsid w:val="000E0E1C"/>
    <w:rsid w:val="000E0E4C"/>
    <w:rsid w:val="000E14CE"/>
    <w:rsid w:val="000E27A3"/>
    <w:rsid w:val="000E2AB2"/>
    <w:rsid w:val="000E2C92"/>
    <w:rsid w:val="000E2D68"/>
    <w:rsid w:val="000E325C"/>
    <w:rsid w:val="000E41A1"/>
    <w:rsid w:val="000E45EA"/>
    <w:rsid w:val="000E5F37"/>
    <w:rsid w:val="000E6229"/>
    <w:rsid w:val="000E623D"/>
    <w:rsid w:val="000E67D1"/>
    <w:rsid w:val="000E70FF"/>
    <w:rsid w:val="000E7169"/>
    <w:rsid w:val="000E7360"/>
    <w:rsid w:val="000E7394"/>
    <w:rsid w:val="000E75ED"/>
    <w:rsid w:val="000E76EA"/>
    <w:rsid w:val="000E7C76"/>
    <w:rsid w:val="000E7EBA"/>
    <w:rsid w:val="000F0349"/>
    <w:rsid w:val="000F0437"/>
    <w:rsid w:val="000F0852"/>
    <w:rsid w:val="000F0D8F"/>
    <w:rsid w:val="000F0F87"/>
    <w:rsid w:val="000F159D"/>
    <w:rsid w:val="000F1648"/>
    <w:rsid w:val="000F1A21"/>
    <w:rsid w:val="000F1DA3"/>
    <w:rsid w:val="000F1EDE"/>
    <w:rsid w:val="000F2035"/>
    <w:rsid w:val="000F2437"/>
    <w:rsid w:val="000F25C8"/>
    <w:rsid w:val="000F3459"/>
    <w:rsid w:val="000F3698"/>
    <w:rsid w:val="000F3902"/>
    <w:rsid w:val="000F431A"/>
    <w:rsid w:val="000F4762"/>
    <w:rsid w:val="000F51FB"/>
    <w:rsid w:val="000F5517"/>
    <w:rsid w:val="000F59DE"/>
    <w:rsid w:val="000F5BB6"/>
    <w:rsid w:val="000F601D"/>
    <w:rsid w:val="000F6258"/>
    <w:rsid w:val="000F6452"/>
    <w:rsid w:val="000F662C"/>
    <w:rsid w:val="000F6726"/>
    <w:rsid w:val="000F687B"/>
    <w:rsid w:val="000F6BC3"/>
    <w:rsid w:val="000F6E1E"/>
    <w:rsid w:val="000F6FF6"/>
    <w:rsid w:val="000F731E"/>
    <w:rsid w:val="000F7699"/>
    <w:rsid w:val="000F7C35"/>
    <w:rsid w:val="000F7EA2"/>
    <w:rsid w:val="000F7F5B"/>
    <w:rsid w:val="00100B5B"/>
    <w:rsid w:val="00100C24"/>
    <w:rsid w:val="00100C8E"/>
    <w:rsid w:val="00101051"/>
    <w:rsid w:val="00101288"/>
    <w:rsid w:val="0010191E"/>
    <w:rsid w:val="00101E0E"/>
    <w:rsid w:val="00101E30"/>
    <w:rsid w:val="00101F2D"/>
    <w:rsid w:val="001024B1"/>
    <w:rsid w:val="0010273B"/>
    <w:rsid w:val="00103616"/>
    <w:rsid w:val="00103FE7"/>
    <w:rsid w:val="0010402D"/>
    <w:rsid w:val="0010403E"/>
    <w:rsid w:val="001042F1"/>
    <w:rsid w:val="0010497A"/>
    <w:rsid w:val="00104A0B"/>
    <w:rsid w:val="00104B93"/>
    <w:rsid w:val="00104FBC"/>
    <w:rsid w:val="00105334"/>
    <w:rsid w:val="00105365"/>
    <w:rsid w:val="001055AD"/>
    <w:rsid w:val="0010573C"/>
    <w:rsid w:val="0010575F"/>
    <w:rsid w:val="0010599C"/>
    <w:rsid w:val="00105FAB"/>
    <w:rsid w:val="001064DB"/>
    <w:rsid w:val="00107187"/>
    <w:rsid w:val="00107726"/>
    <w:rsid w:val="001079C7"/>
    <w:rsid w:val="00107B22"/>
    <w:rsid w:val="00107FB9"/>
    <w:rsid w:val="001101AB"/>
    <w:rsid w:val="00110312"/>
    <w:rsid w:val="00110835"/>
    <w:rsid w:val="00110E97"/>
    <w:rsid w:val="00110EEB"/>
    <w:rsid w:val="00111828"/>
    <w:rsid w:val="0011206D"/>
    <w:rsid w:val="0011228F"/>
    <w:rsid w:val="00112603"/>
    <w:rsid w:val="00112668"/>
    <w:rsid w:val="00112D81"/>
    <w:rsid w:val="00113CA1"/>
    <w:rsid w:val="001144C0"/>
    <w:rsid w:val="00114A31"/>
    <w:rsid w:val="00115623"/>
    <w:rsid w:val="00115DFF"/>
    <w:rsid w:val="00115FE2"/>
    <w:rsid w:val="001162FC"/>
    <w:rsid w:val="0011632B"/>
    <w:rsid w:val="0011676C"/>
    <w:rsid w:val="00116DBC"/>
    <w:rsid w:val="00117131"/>
    <w:rsid w:val="00117870"/>
    <w:rsid w:val="00117BA7"/>
    <w:rsid w:val="00117C26"/>
    <w:rsid w:val="00120103"/>
    <w:rsid w:val="001206B9"/>
    <w:rsid w:val="00120A1A"/>
    <w:rsid w:val="00120F8A"/>
    <w:rsid w:val="001215DB"/>
    <w:rsid w:val="00121891"/>
    <w:rsid w:val="00121B6B"/>
    <w:rsid w:val="00121BF7"/>
    <w:rsid w:val="00121D67"/>
    <w:rsid w:val="001220B0"/>
    <w:rsid w:val="00122878"/>
    <w:rsid w:val="00122D16"/>
    <w:rsid w:val="0012353B"/>
    <w:rsid w:val="001239A3"/>
    <w:rsid w:val="00123BF2"/>
    <w:rsid w:val="0012437A"/>
    <w:rsid w:val="00124D0B"/>
    <w:rsid w:val="00125042"/>
    <w:rsid w:val="00125235"/>
    <w:rsid w:val="001254BA"/>
    <w:rsid w:val="00125C55"/>
    <w:rsid w:val="00125CAA"/>
    <w:rsid w:val="00125EFA"/>
    <w:rsid w:val="001265EC"/>
    <w:rsid w:val="00126736"/>
    <w:rsid w:val="0012680A"/>
    <w:rsid w:val="00127DC3"/>
    <w:rsid w:val="00127F1B"/>
    <w:rsid w:val="001307C9"/>
    <w:rsid w:val="0013098B"/>
    <w:rsid w:val="0013126B"/>
    <w:rsid w:val="00131633"/>
    <w:rsid w:val="0013171D"/>
    <w:rsid w:val="001317D6"/>
    <w:rsid w:val="0013201A"/>
    <w:rsid w:val="0013253F"/>
    <w:rsid w:val="0013265E"/>
    <w:rsid w:val="00132985"/>
    <w:rsid w:val="00133590"/>
    <w:rsid w:val="00133B6B"/>
    <w:rsid w:val="0013415A"/>
    <w:rsid w:val="00135239"/>
    <w:rsid w:val="00135523"/>
    <w:rsid w:val="00135C34"/>
    <w:rsid w:val="00136F1F"/>
    <w:rsid w:val="001370D0"/>
    <w:rsid w:val="00137117"/>
    <w:rsid w:val="00137B67"/>
    <w:rsid w:val="00137B82"/>
    <w:rsid w:val="0014014B"/>
    <w:rsid w:val="0014024E"/>
    <w:rsid w:val="00140465"/>
    <w:rsid w:val="00140515"/>
    <w:rsid w:val="00140C07"/>
    <w:rsid w:val="00140FD9"/>
    <w:rsid w:val="00141D2E"/>
    <w:rsid w:val="00142224"/>
    <w:rsid w:val="0014265A"/>
    <w:rsid w:val="001427EF"/>
    <w:rsid w:val="0014294C"/>
    <w:rsid w:val="001429C0"/>
    <w:rsid w:val="00142A28"/>
    <w:rsid w:val="00142D89"/>
    <w:rsid w:val="00143391"/>
    <w:rsid w:val="001434A4"/>
    <w:rsid w:val="00143FCB"/>
    <w:rsid w:val="00145749"/>
    <w:rsid w:val="00145D98"/>
    <w:rsid w:val="0014683D"/>
    <w:rsid w:val="00146913"/>
    <w:rsid w:val="00146AE0"/>
    <w:rsid w:val="00146E90"/>
    <w:rsid w:val="0014728C"/>
    <w:rsid w:val="00147B3C"/>
    <w:rsid w:val="00147B78"/>
    <w:rsid w:val="00147E08"/>
    <w:rsid w:val="00150244"/>
    <w:rsid w:val="001506F5"/>
    <w:rsid w:val="00150895"/>
    <w:rsid w:val="00150A87"/>
    <w:rsid w:val="00151A4E"/>
    <w:rsid w:val="00151E1B"/>
    <w:rsid w:val="00151E64"/>
    <w:rsid w:val="00152142"/>
    <w:rsid w:val="001521BA"/>
    <w:rsid w:val="00152951"/>
    <w:rsid w:val="00152C29"/>
    <w:rsid w:val="0015326B"/>
    <w:rsid w:val="0015355E"/>
    <w:rsid w:val="00153D5D"/>
    <w:rsid w:val="00153F5E"/>
    <w:rsid w:val="00154202"/>
    <w:rsid w:val="001546A0"/>
    <w:rsid w:val="00154AC2"/>
    <w:rsid w:val="00154D7D"/>
    <w:rsid w:val="001556EE"/>
    <w:rsid w:val="001558ED"/>
    <w:rsid w:val="00155B2C"/>
    <w:rsid w:val="0015636C"/>
    <w:rsid w:val="00156637"/>
    <w:rsid w:val="00156654"/>
    <w:rsid w:val="0015673E"/>
    <w:rsid w:val="00156A33"/>
    <w:rsid w:val="00156D7F"/>
    <w:rsid w:val="00157AA4"/>
    <w:rsid w:val="00157CAA"/>
    <w:rsid w:val="00157D75"/>
    <w:rsid w:val="00157E00"/>
    <w:rsid w:val="00160319"/>
    <w:rsid w:val="001606A9"/>
    <w:rsid w:val="00160B2F"/>
    <w:rsid w:val="00161392"/>
    <w:rsid w:val="00161727"/>
    <w:rsid w:val="001617A6"/>
    <w:rsid w:val="00161AEC"/>
    <w:rsid w:val="00161C94"/>
    <w:rsid w:val="00161D6F"/>
    <w:rsid w:val="0016253C"/>
    <w:rsid w:val="001627B6"/>
    <w:rsid w:val="00162DF7"/>
    <w:rsid w:val="0016315C"/>
    <w:rsid w:val="00163442"/>
    <w:rsid w:val="001637E7"/>
    <w:rsid w:val="00163C7F"/>
    <w:rsid w:val="001646AB"/>
    <w:rsid w:val="001647D7"/>
    <w:rsid w:val="001649CC"/>
    <w:rsid w:val="00164A30"/>
    <w:rsid w:val="00164B35"/>
    <w:rsid w:val="00164BC1"/>
    <w:rsid w:val="00165B36"/>
    <w:rsid w:val="00166455"/>
    <w:rsid w:val="00166E68"/>
    <w:rsid w:val="001678F4"/>
    <w:rsid w:val="00167D14"/>
    <w:rsid w:val="00170490"/>
    <w:rsid w:val="0017052B"/>
    <w:rsid w:val="00170A87"/>
    <w:rsid w:val="00170B2D"/>
    <w:rsid w:val="00170D67"/>
    <w:rsid w:val="0017174F"/>
    <w:rsid w:val="00172119"/>
    <w:rsid w:val="00172AB2"/>
    <w:rsid w:val="00172E05"/>
    <w:rsid w:val="00172FA6"/>
    <w:rsid w:val="0017374A"/>
    <w:rsid w:val="00173763"/>
    <w:rsid w:val="00173838"/>
    <w:rsid w:val="00173850"/>
    <w:rsid w:val="00173DEC"/>
    <w:rsid w:val="001741B0"/>
    <w:rsid w:val="00174552"/>
    <w:rsid w:val="0017485A"/>
    <w:rsid w:val="00174949"/>
    <w:rsid w:val="00174DA7"/>
    <w:rsid w:val="001755A8"/>
    <w:rsid w:val="0017561D"/>
    <w:rsid w:val="00176949"/>
    <w:rsid w:val="00176A80"/>
    <w:rsid w:val="0017746B"/>
    <w:rsid w:val="00180003"/>
    <w:rsid w:val="00180090"/>
    <w:rsid w:val="00180098"/>
    <w:rsid w:val="00180329"/>
    <w:rsid w:val="001806ED"/>
    <w:rsid w:val="00180959"/>
    <w:rsid w:val="00181501"/>
    <w:rsid w:val="00181AC4"/>
    <w:rsid w:val="001824DA"/>
    <w:rsid w:val="0018262D"/>
    <w:rsid w:val="00182830"/>
    <w:rsid w:val="00182888"/>
    <w:rsid w:val="00182D10"/>
    <w:rsid w:val="00183A84"/>
    <w:rsid w:val="00183D1B"/>
    <w:rsid w:val="00183F98"/>
    <w:rsid w:val="00184428"/>
    <w:rsid w:val="00184467"/>
    <w:rsid w:val="00184548"/>
    <w:rsid w:val="001848A2"/>
    <w:rsid w:val="00184A45"/>
    <w:rsid w:val="00184DA7"/>
    <w:rsid w:val="00184E8D"/>
    <w:rsid w:val="0018517F"/>
    <w:rsid w:val="001851AA"/>
    <w:rsid w:val="00186526"/>
    <w:rsid w:val="00186BB4"/>
    <w:rsid w:val="00186C69"/>
    <w:rsid w:val="00186F97"/>
    <w:rsid w:val="00187132"/>
    <w:rsid w:val="00187469"/>
    <w:rsid w:val="001876B5"/>
    <w:rsid w:val="00187AE4"/>
    <w:rsid w:val="001900FE"/>
    <w:rsid w:val="0019159B"/>
    <w:rsid w:val="001918DF"/>
    <w:rsid w:val="00191BFF"/>
    <w:rsid w:val="00192BAF"/>
    <w:rsid w:val="00192F79"/>
    <w:rsid w:val="00193B7A"/>
    <w:rsid w:val="00193CFE"/>
    <w:rsid w:val="00193FE7"/>
    <w:rsid w:val="0019412F"/>
    <w:rsid w:val="00194145"/>
    <w:rsid w:val="0019463D"/>
    <w:rsid w:val="001949BC"/>
    <w:rsid w:val="00195703"/>
    <w:rsid w:val="00195A49"/>
    <w:rsid w:val="001965E9"/>
    <w:rsid w:val="001966FC"/>
    <w:rsid w:val="00196F51"/>
    <w:rsid w:val="0019750B"/>
    <w:rsid w:val="001976C0"/>
    <w:rsid w:val="0019777E"/>
    <w:rsid w:val="001A0060"/>
    <w:rsid w:val="001A07D9"/>
    <w:rsid w:val="001A0972"/>
    <w:rsid w:val="001A0BF3"/>
    <w:rsid w:val="001A0C87"/>
    <w:rsid w:val="001A0F68"/>
    <w:rsid w:val="001A10D5"/>
    <w:rsid w:val="001A1F6F"/>
    <w:rsid w:val="001A21F2"/>
    <w:rsid w:val="001A2271"/>
    <w:rsid w:val="001A2756"/>
    <w:rsid w:val="001A2A79"/>
    <w:rsid w:val="001A41AE"/>
    <w:rsid w:val="001A46F7"/>
    <w:rsid w:val="001A4BBC"/>
    <w:rsid w:val="001A506B"/>
    <w:rsid w:val="001A54DD"/>
    <w:rsid w:val="001A55EE"/>
    <w:rsid w:val="001A5AE7"/>
    <w:rsid w:val="001A5D2F"/>
    <w:rsid w:val="001A607A"/>
    <w:rsid w:val="001A75C7"/>
    <w:rsid w:val="001A7C09"/>
    <w:rsid w:val="001B0123"/>
    <w:rsid w:val="001B064E"/>
    <w:rsid w:val="001B0FBC"/>
    <w:rsid w:val="001B1780"/>
    <w:rsid w:val="001B1874"/>
    <w:rsid w:val="001B18D9"/>
    <w:rsid w:val="001B1A51"/>
    <w:rsid w:val="001B253A"/>
    <w:rsid w:val="001B254F"/>
    <w:rsid w:val="001B2ADE"/>
    <w:rsid w:val="001B2F9D"/>
    <w:rsid w:val="001B341B"/>
    <w:rsid w:val="001B373B"/>
    <w:rsid w:val="001B4373"/>
    <w:rsid w:val="001B473E"/>
    <w:rsid w:val="001B490C"/>
    <w:rsid w:val="001B49F5"/>
    <w:rsid w:val="001B4AFC"/>
    <w:rsid w:val="001B4D3C"/>
    <w:rsid w:val="001B5365"/>
    <w:rsid w:val="001B5AD1"/>
    <w:rsid w:val="001B5F95"/>
    <w:rsid w:val="001B601C"/>
    <w:rsid w:val="001B620A"/>
    <w:rsid w:val="001B62FC"/>
    <w:rsid w:val="001B63E9"/>
    <w:rsid w:val="001B70F6"/>
    <w:rsid w:val="001B740E"/>
    <w:rsid w:val="001B7451"/>
    <w:rsid w:val="001B7810"/>
    <w:rsid w:val="001B7864"/>
    <w:rsid w:val="001B78B6"/>
    <w:rsid w:val="001B7B27"/>
    <w:rsid w:val="001B7C5F"/>
    <w:rsid w:val="001B7E5F"/>
    <w:rsid w:val="001C0020"/>
    <w:rsid w:val="001C043C"/>
    <w:rsid w:val="001C091A"/>
    <w:rsid w:val="001C0DA3"/>
    <w:rsid w:val="001C0E1D"/>
    <w:rsid w:val="001C1341"/>
    <w:rsid w:val="001C1542"/>
    <w:rsid w:val="001C17C7"/>
    <w:rsid w:val="001C1985"/>
    <w:rsid w:val="001C1F26"/>
    <w:rsid w:val="001C20A8"/>
    <w:rsid w:val="001C20D5"/>
    <w:rsid w:val="001C2151"/>
    <w:rsid w:val="001C2A69"/>
    <w:rsid w:val="001C2EA6"/>
    <w:rsid w:val="001C3306"/>
    <w:rsid w:val="001C4769"/>
    <w:rsid w:val="001C4A7C"/>
    <w:rsid w:val="001C50DD"/>
    <w:rsid w:val="001C5829"/>
    <w:rsid w:val="001C58CF"/>
    <w:rsid w:val="001C5F4A"/>
    <w:rsid w:val="001C615B"/>
    <w:rsid w:val="001C6CD3"/>
    <w:rsid w:val="001C7204"/>
    <w:rsid w:val="001C7451"/>
    <w:rsid w:val="001C7A95"/>
    <w:rsid w:val="001C7DE2"/>
    <w:rsid w:val="001C7E67"/>
    <w:rsid w:val="001D0266"/>
    <w:rsid w:val="001D0814"/>
    <w:rsid w:val="001D09A5"/>
    <w:rsid w:val="001D1517"/>
    <w:rsid w:val="001D1862"/>
    <w:rsid w:val="001D1AF8"/>
    <w:rsid w:val="001D2020"/>
    <w:rsid w:val="001D247E"/>
    <w:rsid w:val="001D28D1"/>
    <w:rsid w:val="001D2EA3"/>
    <w:rsid w:val="001D333B"/>
    <w:rsid w:val="001D3B63"/>
    <w:rsid w:val="001D3BD7"/>
    <w:rsid w:val="001D3D9B"/>
    <w:rsid w:val="001D4434"/>
    <w:rsid w:val="001D482D"/>
    <w:rsid w:val="001D4A01"/>
    <w:rsid w:val="001D5570"/>
    <w:rsid w:val="001D558B"/>
    <w:rsid w:val="001D59C4"/>
    <w:rsid w:val="001D5B06"/>
    <w:rsid w:val="001D5DA9"/>
    <w:rsid w:val="001D60D5"/>
    <w:rsid w:val="001D64C1"/>
    <w:rsid w:val="001D6527"/>
    <w:rsid w:val="001D66F0"/>
    <w:rsid w:val="001D69FC"/>
    <w:rsid w:val="001D6A79"/>
    <w:rsid w:val="001D6BC2"/>
    <w:rsid w:val="001D7549"/>
    <w:rsid w:val="001D7853"/>
    <w:rsid w:val="001E05F1"/>
    <w:rsid w:val="001E07DE"/>
    <w:rsid w:val="001E097C"/>
    <w:rsid w:val="001E17C9"/>
    <w:rsid w:val="001E1B95"/>
    <w:rsid w:val="001E1E2F"/>
    <w:rsid w:val="001E273F"/>
    <w:rsid w:val="001E316A"/>
    <w:rsid w:val="001E33CA"/>
    <w:rsid w:val="001E349E"/>
    <w:rsid w:val="001E34CF"/>
    <w:rsid w:val="001E35D8"/>
    <w:rsid w:val="001E3604"/>
    <w:rsid w:val="001E37F6"/>
    <w:rsid w:val="001E3BD0"/>
    <w:rsid w:val="001E3F3E"/>
    <w:rsid w:val="001E43D2"/>
    <w:rsid w:val="001E4937"/>
    <w:rsid w:val="001E4949"/>
    <w:rsid w:val="001E494D"/>
    <w:rsid w:val="001E50E5"/>
    <w:rsid w:val="001E52B7"/>
    <w:rsid w:val="001E5BB7"/>
    <w:rsid w:val="001E5EE4"/>
    <w:rsid w:val="001E5F9C"/>
    <w:rsid w:val="001E6009"/>
    <w:rsid w:val="001E60BD"/>
    <w:rsid w:val="001E7459"/>
    <w:rsid w:val="001E74CB"/>
    <w:rsid w:val="001E791C"/>
    <w:rsid w:val="001E7BCC"/>
    <w:rsid w:val="001F0205"/>
    <w:rsid w:val="001F069E"/>
    <w:rsid w:val="001F0DFB"/>
    <w:rsid w:val="001F10B4"/>
    <w:rsid w:val="001F1322"/>
    <w:rsid w:val="001F1405"/>
    <w:rsid w:val="001F144D"/>
    <w:rsid w:val="001F18B6"/>
    <w:rsid w:val="001F1A78"/>
    <w:rsid w:val="001F1B35"/>
    <w:rsid w:val="001F2085"/>
    <w:rsid w:val="001F28BD"/>
    <w:rsid w:val="001F2B90"/>
    <w:rsid w:val="001F3705"/>
    <w:rsid w:val="001F386C"/>
    <w:rsid w:val="001F470B"/>
    <w:rsid w:val="001F4D09"/>
    <w:rsid w:val="001F4D1F"/>
    <w:rsid w:val="001F4DB8"/>
    <w:rsid w:val="001F5095"/>
    <w:rsid w:val="001F5688"/>
    <w:rsid w:val="001F574E"/>
    <w:rsid w:val="001F5E76"/>
    <w:rsid w:val="001F6209"/>
    <w:rsid w:val="001F638C"/>
    <w:rsid w:val="001F6787"/>
    <w:rsid w:val="001F6B05"/>
    <w:rsid w:val="001F6FA5"/>
    <w:rsid w:val="001F6FB6"/>
    <w:rsid w:val="001F77A8"/>
    <w:rsid w:val="001F7871"/>
    <w:rsid w:val="001F7B34"/>
    <w:rsid w:val="00200923"/>
    <w:rsid w:val="00201207"/>
    <w:rsid w:val="00201764"/>
    <w:rsid w:val="00201DCA"/>
    <w:rsid w:val="00202BE8"/>
    <w:rsid w:val="00202E3D"/>
    <w:rsid w:val="00203567"/>
    <w:rsid w:val="002035AA"/>
    <w:rsid w:val="002037B4"/>
    <w:rsid w:val="00203AB3"/>
    <w:rsid w:val="00203CA3"/>
    <w:rsid w:val="00204499"/>
    <w:rsid w:val="00204ACC"/>
    <w:rsid w:val="0020547A"/>
    <w:rsid w:val="0020615E"/>
    <w:rsid w:val="0020631A"/>
    <w:rsid w:val="00206758"/>
    <w:rsid w:val="00206790"/>
    <w:rsid w:val="002067AE"/>
    <w:rsid w:val="002072EB"/>
    <w:rsid w:val="00207451"/>
    <w:rsid w:val="002079A0"/>
    <w:rsid w:val="0021048A"/>
    <w:rsid w:val="00210513"/>
    <w:rsid w:val="00211068"/>
    <w:rsid w:val="00211B19"/>
    <w:rsid w:val="002120EE"/>
    <w:rsid w:val="0021229D"/>
    <w:rsid w:val="00212B6B"/>
    <w:rsid w:val="002132EC"/>
    <w:rsid w:val="00213382"/>
    <w:rsid w:val="00213486"/>
    <w:rsid w:val="002138DF"/>
    <w:rsid w:val="002146DD"/>
    <w:rsid w:val="00214E19"/>
    <w:rsid w:val="00214FDD"/>
    <w:rsid w:val="0021696D"/>
    <w:rsid w:val="00216A2B"/>
    <w:rsid w:val="00216AF4"/>
    <w:rsid w:val="00217015"/>
    <w:rsid w:val="00217C90"/>
    <w:rsid w:val="00217D75"/>
    <w:rsid w:val="00217EB2"/>
    <w:rsid w:val="00220B64"/>
    <w:rsid w:val="00220BAA"/>
    <w:rsid w:val="00220FA3"/>
    <w:rsid w:val="00221003"/>
    <w:rsid w:val="0022125D"/>
    <w:rsid w:val="002216B0"/>
    <w:rsid w:val="002220E9"/>
    <w:rsid w:val="002227BB"/>
    <w:rsid w:val="002231FD"/>
    <w:rsid w:val="00223512"/>
    <w:rsid w:val="002246EE"/>
    <w:rsid w:val="00225351"/>
    <w:rsid w:val="0022643B"/>
    <w:rsid w:val="00226D7B"/>
    <w:rsid w:val="00227238"/>
    <w:rsid w:val="00227244"/>
    <w:rsid w:val="0022748A"/>
    <w:rsid w:val="00227507"/>
    <w:rsid w:val="00227589"/>
    <w:rsid w:val="002279B1"/>
    <w:rsid w:val="00227D72"/>
    <w:rsid w:val="002309E6"/>
    <w:rsid w:val="00230B7D"/>
    <w:rsid w:val="0023185F"/>
    <w:rsid w:val="00231B1F"/>
    <w:rsid w:val="0023242B"/>
    <w:rsid w:val="002324E3"/>
    <w:rsid w:val="002326B2"/>
    <w:rsid w:val="00232806"/>
    <w:rsid w:val="00233014"/>
    <w:rsid w:val="00233511"/>
    <w:rsid w:val="00234149"/>
    <w:rsid w:val="00234338"/>
    <w:rsid w:val="00234390"/>
    <w:rsid w:val="002356DB"/>
    <w:rsid w:val="00235B21"/>
    <w:rsid w:val="00236252"/>
    <w:rsid w:val="002363E0"/>
    <w:rsid w:val="0023664E"/>
    <w:rsid w:val="00236767"/>
    <w:rsid w:val="00236A79"/>
    <w:rsid w:val="00236BFA"/>
    <w:rsid w:val="00236ECC"/>
    <w:rsid w:val="00236FCB"/>
    <w:rsid w:val="002377A8"/>
    <w:rsid w:val="002379B4"/>
    <w:rsid w:val="00237B53"/>
    <w:rsid w:val="00237C9E"/>
    <w:rsid w:val="002414F9"/>
    <w:rsid w:val="002416F8"/>
    <w:rsid w:val="00241FA5"/>
    <w:rsid w:val="0024295F"/>
    <w:rsid w:val="002434B1"/>
    <w:rsid w:val="00243BE9"/>
    <w:rsid w:val="00244347"/>
    <w:rsid w:val="002449EF"/>
    <w:rsid w:val="00244C2A"/>
    <w:rsid w:val="00245333"/>
    <w:rsid w:val="0024574A"/>
    <w:rsid w:val="00245900"/>
    <w:rsid w:val="00245D01"/>
    <w:rsid w:val="00245EE3"/>
    <w:rsid w:val="00246729"/>
    <w:rsid w:val="0024793A"/>
    <w:rsid w:val="00247C61"/>
    <w:rsid w:val="00250273"/>
    <w:rsid w:val="00250478"/>
    <w:rsid w:val="0025049D"/>
    <w:rsid w:val="00250EF9"/>
    <w:rsid w:val="00251695"/>
    <w:rsid w:val="002517D5"/>
    <w:rsid w:val="00251A43"/>
    <w:rsid w:val="00251C81"/>
    <w:rsid w:val="00251DD1"/>
    <w:rsid w:val="00252572"/>
    <w:rsid w:val="00252645"/>
    <w:rsid w:val="00252802"/>
    <w:rsid w:val="00252E4C"/>
    <w:rsid w:val="00252F22"/>
    <w:rsid w:val="00253614"/>
    <w:rsid w:val="002539C4"/>
    <w:rsid w:val="00253FDF"/>
    <w:rsid w:val="002540B6"/>
    <w:rsid w:val="0025414B"/>
    <w:rsid w:val="002545EE"/>
    <w:rsid w:val="002546F9"/>
    <w:rsid w:val="0025493D"/>
    <w:rsid w:val="00254BE1"/>
    <w:rsid w:val="00254D07"/>
    <w:rsid w:val="002553BE"/>
    <w:rsid w:val="00255A6A"/>
    <w:rsid w:val="00255B5B"/>
    <w:rsid w:val="00255D19"/>
    <w:rsid w:val="00256119"/>
    <w:rsid w:val="00256647"/>
    <w:rsid w:val="002570EE"/>
    <w:rsid w:val="00257BC5"/>
    <w:rsid w:val="002606CE"/>
    <w:rsid w:val="00260778"/>
    <w:rsid w:val="00260E97"/>
    <w:rsid w:val="0026173E"/>
    <w:rsid w:val="00261846"/>
    <w:rsid w:val="00261888"/>
    <w:rsid w:val="002618B0"/>
    <w:rsid w:val="00261D6A"/>
    <w:rsid w:val="00261E6A"/>
    <w:rsid w:val="002637EB"/>
    <w:rsid w:val="00263C6E"/>
    <w:rsid w:val="002642E7"/>
    <w:rsid w:val="00264A2F"/>
    <w:rsid w:val="00264A39"/>
    <w:rsid w:val="0026574D"/>
    <w:rsid w:val="00265976"/>
    <w:rsid w:val="00265B6A"/>
    <w:rsid w:val="00265C24"/>
    <w:rsid w:val="00265D1B"/>
    <w:rsid w:val="002665B3"/>
    <w:rsid w:val="0026684C"/>
    <w:rsid w:val="00266E16"/>
    <w:rsid w:val="00266ECD"/>
    <w:rsid w:val="00267158"/>
    <w:rsid w:val="002700D7"/>
    <w:rsid w:val="0027047B"/>
    <w:rsid w:val="00270C63"/>
    <w:rsid w:val="002714BB"/>
    <w:rsid w:val="002716A4"/>
    <w:rsid w:val="0027170F"/>
    <w:rsid w:val="00271EFB"/>
    <w:rsid w:val="002722D0"/>
    <w:rsid w:val="00272594"/>
    <w:rsid w:val="00272932"/>
    <w:rsid w:val="0027318F"/>
    <w:rsid w:val="00273DBE"/>
    <w:rsid w:val="00273EC2"/>
    <w:rsid w:val="002746DD"/>
    <w:rsid w:val="00274F9E"/>
    <w:rsid w:val="00275A7B"/>
    <w:rsid w:val="00276099"/>
    <w:rsid w:val="00276788"/>
    <w:rsid w:val="00276952"/>
    <w:rsid w:val="00276AB2"/>
    <w:rsid w:val="00276D13"/>
    <w:rsid w:val="00277182"/>
    <w:rsid w:val="00277285"/>
    <w:rsid w:val="002773E8"/>
    <w:rsid w:val="00280446"/>
    <w:rsid w:val="002808B2"/>
    <w:rsid w:val="00280FC0"/>
    <w:rsid w:val="0028112F"/>
    <w:rsid w:val="0028185C"/>
    <w:rsid w:val="00282574"/>
    <w:rsid w:val="0028273B"/>
    <w:rsid w:val="002830A4"/>
    <w:rsid w:val="002834F3"/>
    <w:rsid w:val="002835A9"/>
    <w:rsid w:val="00283B49"/>
    <w:rsid w:val="00284FF1"/>
    <w:rsid w:val="00285415"/>
    <w:rsid w:val="002855BD"/>
    <w:rsid w:val="00285B17"/>
    <w:rsid w:val="00285C31"/>
    <w:rsid w:val="00285C93"/>
    <w:rsid w:val="00285E71"/>
    <w:rsid w:val="00285F50"/>
    <w:rsid w:val="00286486"/>
    <w:rsid w:val="0028669F"/>
    <w:rsid w:val="002866E5"/>
    <w:rsid w:val="00286BE1"/>
    <w:rsid w:val="00286C57"/>
    <w:rsid w:val="00286FF6"/>
    <w:rsid w:val="002873E5"/>
    <w:rsid w:val="002903FA"/>
    <w:rsid w:val="0029068C"/>
    <w:rsid w:val="00290905"/>
    <w:rsid w:val="00290CCA"/>
    <w:rsid w:val="00290E42"/>
    <w:rsid w:val="00290F57"/>
    <w:rsid w:val="00290FD5"/>
    <w:rsid w:val="002910C6"/>
    <w:rsid w:val="00291B8A"/>
    <w:rsid w:val="00292546"/>
    <w:rsid w:val="0029260D"/>
    <w:rsid w:val="00292B21"/>
    <w:rsid w:val="00292D9F"/>
    <w:rsid w:val="002934EA"/>
    <w:rsid w:val="00294188"/>
    <w:rsid w:val="002946F2"/>
    <w:rsid w:val="00294F59"/>
    <w:rsid w:val="0029501C"/>
    <w:rsid w:val="002950B7"/>
    <w:rsid w:val="002954B3"/>
    <w:rsid w:val="0029605D"/>
    <w:rsid w:val="0029656E"/>
    <w:rsid w:val="002974DF"/>
    <w:rsid w:val="00297A4B"/>
    <w:rsid w:val="00297A70"/>
    <w:rsid w:val="00297DAF"/>
    <w:rsid w:val="00297EC0"/>
    <w:rsid w:val="002A01A9"/>
    <w:rsid w:val="002A079A"/>
    <w:rsid w:val="002A0D2E"/>
    <w:rsid w:val="002A145A"/>
    <w:rsid w:val="002A2554"/>
    <w:rsid w:val="002A27B4"/>
    <w:rsid w:val="002A29B8"/>
    <w:rsid w:val="002A369F"/>
    <w:rsid w:val="002A40C9"/>
    <w:rsid w:val="002A419D"/>
    <w:rsid w:val="002A47F8"/>
    <w:rsid w:val="002A4AD8"/>
    <w:rsid w:val="002A4C1E"/>
    <w:rsid w:val="002A4DB1"/>
    <w:rsid w:val="002A515F"/>
    <w:rsid w:val="002A54AD"/>
    <w:rsid w:val="002A54FE"/>
    <w:rsid w:val="002A566A"/>
    <w:rsid w:val="002A5B97"/>
    <w:rsid w:val="002A5FA4"/>
    <w:rsid w:val="002A647C"/>
    <w:rsid w:val="002A65BC"/>
    <w:rsid w:val="002A6938"/>
    <w:rsid w:val="002A69A1"/>
    <w:rsid w:val="002A6A8B"/>
    <w:rsid w:val="002B039C"/>
    <w:rsid w:val="002B0854"/>
    <w:rsid w:val="002B0F0F"/>
    <w:rsid w:val="002B103E"/>
    <w:rsid w:val="002B1307"/>
    <w:rsid w:val="002B166C"/>
    <w:rsid w:val="002B170E"/>
    <w:rsid w:val="002B1734"/>
    <w:rsid w:val="002B1DED"/>
    <w:rsid w:val="002B2F99"/>
    <w:rsid w:val="002B30DD"/>
    <w:rsid w:val="002B35BA"/>
    <w:rsid w:val="002B37CA"/>
    <w:rsid w:val="002B3FF3"/>
    <w:rsid w:val="002B40C7"/>
    <w:rsid w:val="002B45D7"/>
    <w:rsid w:val="002B4A65"/>
    <w:rsid w:val="002B4B35"/>
    <w:rsid w:val="002B63D0"/>
    <w:rsid w:val="002B6823"/>
    <w:rsid w:val="002B6A6C"/>
    <w:rsid w:val="002B6D0A"/>
    <w:rsid w:val="002B6D3B"/>
    <w:rsid w:val="002B6DBF"/>
    <w:rsid w:val="002B7756"/>
    <w:rsid w:val="002B7EB5"/>
    <w:rsid w:val="002B7F60"/>
    <w:rsid w:val="002C0150"/>
    <w:rsid w:val="002C0706"/>
    <w:rsid w:val="002C171A"/>
    <w:rsid w:val="002C21A7"/>
    <w:rsid w:val="002C27FD"/>
    <w:rsid w:val="002C282D"/>
    <w:rsid w:val="002C2BF5"/>
    <w:rsid w:val="002C30A2"/>
    <w:rsid w:val="002C3294"/>
    <w:rsid w:val="002C3607"/>
    <w:rsid w:val="002C396B"/>
    <w:rsid w:val="002C3DEF"/>
    <w:rsid w:val="002C487B"/>
    <w:rsid w:val="002C4CB0"/>
    <w:rsid w:val="002C5478"/>
    <w:rsid w:val="002C55CD"/>
    <w:rsid w:val="002C5A4C"/>
    <w:rsid w:val="002C621A"/>
    <w:rsid w:val="002C63BE"/>
    <w:rsid w:val="002C678E"/>
    <w:rsid w:val="002C6FC4"/>
    <w:rsid w:val="002C71BA"/>
    <w:rsid w:val="002C7796"/>
    <w:rsid w:val="002C7985"/>
    <w:rsid w:val="002C7A09"/>
    <w:rsid w:val="002D0473"/>
    <w:rsid w:val="002D0517"/>
    <w:rsid w:val="002D0A56"/>
    <w:rsid w:val="002D0BDC"/>
    <w:rsid w:val="002D1351"/>
    <w:rsid w:val="002D158A"/>
    <w:rsid w:val="002D19BA"/>
    <w:rsid w:val="002D2100"/>
    <w:rsid w:val="002D22B6"/>
    <w:rsid w:val="002D2BAE"/>
    <w:rsid w:val="002D3CF8"/>
    <w:rsid w:val="002D4336"/>
    <w:rsid w:val="002D43BF"/>
    <w:rsid w:val="002D46D1"/>
    <w:rsid w:val="002D47D5"/>
    <w:rsid w:val="002D4968"/>
    <w:rsid w:val="002D4CD5"/>
    <w:rsid w:val="002D5283"/>
    <w:rsid w:val="002D55FF"/>
    <w:rsid w:val="002D5786"/>
    <w:rsid w:val="002D5D59"/>
    <w:rsid w:val="002D6582"/>
    <w:rsid w:val="002D6702"/>
    <w:rsid w:val="002D6D34"/>
    <w:rsid w:val="002D6FC6"/>
    <w:rsid w:val="002D7082"/>
    <w:rsid w:val="002E06BC"/>
    <w:rsid w:val="002E0724"/>
    <w:rsid w:val="002E07C5"/>
    <w:rsid w:val="002E0FFC"/>
    <w:rsid w:val="002E1474"/>
    <w:rsid w:val="002E1874"/>
    <w:rsid w:val="002E1CA8"/>
    <w:rsid w:val="002E1CEA"/>
    <w:rsid w:val="002E2096"/>
    <w:rsid w:val="002E20A2"/>
    <w:rsid w:val="002E2DFE"/>
    <w:rsid w:val="002E2F22"/>
    <w:rsid w:val="002E3132"/>
    <w:rsid w:val="002E333D"/>
    <w:rsid w:val="002E3956"/>
    <w:rsid w:val="002E3C5A"/>
    <w:rsid w:val="002E3E86"/>
    <w:rsid w:val="002E4165"/>
    <w:rsid w:val="002E458A"/>
    <w:rsid w:val="002E4660"/>
    <w:rsid w:val="002E4C68"/>
    <w:rsid w:val="002E5569"/>
    <w:rsid w:val="002E56D0"/>
    <w:rsid w:val="002E577D"/>
    <w:rsid w:val="002E5EEE"/>
    <w:rsid w:val="002E5EF9"/>
    <w:rsid w:val="002E6764"/>
    <w:rsid w:val="002E7391"/>
    <w:rsid w:val="002E7BDD"/>
    <w:rsid w:val="002E7C6C"/>
    <w:rsid w:val="002F00AD"/>
    <w:rsid w:val="002F03F6"/>
    <w:rsid w:val="002F0D6A"/>
    <w:rsid w:val="002F15AB"/>
    <w:rsid w:val="002F166E"/>
    <w:rsid w:val="002F17E8"/>
    <w:rsid w:val="002F1CE4"/>
    <w:rsid w:val="002F1E52"/>
    <w:rsid w:val="002F1F9C"/>
    <w:rsid w:val="002F29F5"/>
    <w:rsid w:val="002F2D00"/>
    <w:rsid w:val="002F2DB8"/>
    <w:rsid w:val="002F3464"/>
    <w:rsid w:val="002F3BB4"/>
    <w:rsid w:val="002F3DA9"/>
    <w:rsid w:val="002F3DE7"/>
    <w:rsid w:val="002F3E40"/>
    <w:rsid w:val="002F3F3D"/>
    <w:rsid w:val="002F40FC"/>
    <w:rsid w:val="002F43B7"/>
    <w:rsid w:val="002F444A"/>
    <w:rsid w:val="002F44B7"/>
    <w:rsid w:val="002F4689"/>
    <w:rsid w:val="002F46C0"/>
    <w:rsid w:val="002F4E32"/>
    <w:rsid w:val="002F520E"/>
    <w:rsid w:val="002F529C"/>
    <w:rsid w:val="002F542F"/>
    <w:rsid w:val="002F681D"/>
    <w:rsid w:val="002F6C17"/>
    <w:rsid w:val="002F7247"/>
    <w:rsid w:val="002F73AB"/>
    <w:rsid w:val="002F7750"/>
    <w:rsid w:val="00300079"/>
    <w:rsid w:val="003003FA"/>
    <w:rsid w:val="00300484"/>
    <w:rsid w:val="003010BD"/>
    <w:rsid w:val="003013F6"/>
    <w:rsid w:val="00301AC2"/>
    <w:rsid w:val="00302017"/>
    <w:rsid w:val="00302303"/>
    <w:rsid w:val="003029AC"/>
    <w:rsid w:val="003029F0"/>
    <w:rsid w:val="0030393E"/>
    <w:rsid w:val="00303E19"/>
    <w:rsid w:val="00304168"/>
    <w:rsid w:val="00304830"/>
    <w:rsid w:val="00304E08"/>
    <w:rsid w:val="003051AD"/>
    <w:rsid w:val="00305321"/>
    <w:rsid w:val="0030544C"/>
    <w:rsid w:val="00305B6F"/>
    <w:rsid w:val="0030607C"/>
    <w:rsid w:val="00306F7C"/>
    <w:rsid w:val="00306FF0"/>
    <w:rsid w:val="00307249"/>
    <w:rsid w:val="003078FD"/>
    <w:rsid w:val="00307CA7"/>
    <w:rsid w:val="00307F6A"/>
    <w:rsid w:val="0031014B"/>
    <w:rsid w:val="00310574"/>
    <w:rsid w:val="00310725"/>
    <w:rsid w:val="0031079F"/>
    <w:rsid w:val="00310B12"/>
    <w:rsid w:val="003115F4"/>
    <w:rsid w:val="00311C79"/>
    <w:rsid w:val="00311CDF"/>
    <w:rsid w:val="003120E1"/>
    <w:rsid w:val="003122B7"/>
    <w:rsid w:val="00312356"/>
    <w:rsid w:val="00312B64"/>
    <w:rsid w:val="0031330A"/>
    <w:rsid w:val="003133E5"/>
    <w:rsid w:val="00313CED"/>
    <w:rsid w:val="003142CC"/>
    <w:rsid w:val="003147B1"/>
    <w:rsid w:val="00314B37"/>
    <w:rsid w:val="00314D26"/>
    <w:rsid w:val="00314DB1"/>
    <w:rsid w:val="003157A8"/>
    <w:rsid w:val="00315B7D"/>
    <w:rsid w:val="00315BE5"/>
    <w:rsid w:val="0031657E"/>
    <w:rsid w:val="003165F2"/>
    <w:rsid w:val="00316BF4"/>
    <w:rsid w:val="00316FF2"/>
    <w:rsid w:val="00317039"/>
    <w:rsid w:val="0031780A"/>
    <w:rsid w:val="00317A0E"/>
    <w:rsid w:val="00317D0A"/>
    <w:rsid w:val="00320341"/>
    <w:rsid w:val="00320670"/>
    <w:rsid w:val="00320B4F"/>
    <w:rsid w:val="00321085"/>
    <w:rsid w:val="003211EF"/>
    <w:rsid w:val="00321849"/>
    <w:rsid w:val="003218DA"/>
    <w:rsid w:val="00321A87"/>
    <w:rsid w:val="003227E4"/>
    <w:rsid w:val="003229C2"/>
    <w:rsid w:val="00322E40"/>
    <w:rsid w:val="003233E6"/>
    <w:rsid w:val="003235A3"/>
    <w:rsid w:val="0032361C"/>
    <w:rsid w:val="00323ADA"/>
    <w:rsid w:val="00323D79"/>
    <w:rsid w:val="00324349"/>
    <w:rsid w:val="003246C0"/>
    <w:rsid w:val="00324D8A"/>
    <w:rsid w:val="00324EF8"/>
    <w:rsid w:val="0032572B"/>
    <w:rsid w:val="00325AA7"/>
    <w:rsid w:val="00325DB3"/>
    <w:rsid w:val="003261C6"/>
    <w:rsid w:val="00326583"/>
    <w:rsid w:val="003268E9"/>
    <w:rsid w:val="00326DC5"/>
    <w:rsid w:val="00326E58"/>
    <w:rsid w:val="003273A6"/>
    <w:rsid w:val="003277E8"/>
    <w:rsid w:val="00327952"/>
    <w:rsid w:val="00327D5E"/>
    <w:rsid w:val="00327F7F"/>
    <w:rsid w:val="003300E2"/>
    <w:rsid w:val="00330477"/>
    <w:rsid w:val="00330A6A"/>
    <w:rsid w:val="00330C53"/>
    <w:rsid w:val="0033109B"/>
    <w:rsid w:val="0033181A"/>
    <w:rsid w:val="00331B8D"/>
    <w:rsid w:val="00331D52"/>
    <w:rsid w:val="003320B2"/>
    <w:rsid w:val="003320B3"/>
    <w:rsid w:val="00332230"/>
    <w:rsid w:val="00332243"/>
    <w:rsid w:val="003329DF"/>
    <w:rsid w:val="003333CE"/>
    <w:rsid w:val="003334B2"/>
    <w:rsid w:val="00333BFA"/>
    <w:rsid w:val="00333E75"/>
    <w:rsid w:val="00334184"/>
    <w:rsid w:val="003353FC"/>
    <w:rsid w:val="00335A60"/>
    <w:rsid w:val="00335A6F"/>
    <w:rsid w:val="00335D38"/>
    <w:rsid w:val="00335E1F"/>
    <w:rsid w:val="0033638C"/>
    <w:rsid w:val="0033654B"/>
    <w:rsid w:val="003367D1"/>
    <w:rsid w:val="00336991"/>
    <w:rsid w:val="003370EB"/>
    <w:rsid w:val="00337209"/>
    <w:rsid w:val="00337929"/>
    <w:rsid w:val="00337B82"/>
    <w:rsid w:val="00337FFC"/>
    <w:rsid w:val="0034029F"/>
    <w:rsid w:val="003403A3"/>
    <w:rsid w:val="00340941"/>
    <w:rsid w:val="00340B28"/>
    <w:rsid w:val="00340EA5"/>
    <w:rsid w:val="00341B0D"/>
    <w:rsid w:val="00342994"/>
    <w:rsid w:val="00342B5F"/>
    <w:rsid w:val="00343DF9"/>
    <w:rsid w:val="003441A9"/>
    <w:rsid w:val="003446BC"/>
    <w:rsid w:val="00344B47"/>
    <w:rsid w:val="00344FF5"/>
    <w:rsid w:val="00345BDA"/>
    <w:rsid w:val="00345D0F"/>
    <w:rsid w:val="00345FE1"/>
    <w:rsid w:val="0034603D"/>
    <w:rsid w:val="0034704A"/>
    <w:rsid w:val="00347581"/>
    <w:rsid w:val="00347B49"/>
    <w:rsid w:val="00347E29"/>
    <w:rsid w:val="0035023B"/>
    <w:rsid w:val="003504B6"/>
    <w:rsid w:val="00350535"/>
    <w:rsid w:val="00350B7A"/>
    <w:rsid w:val="0035126D"/>
    <w:rsid w:val="00351491"/>
    <w:rsid w:val="00351526"/>
    <w:rsid w:val="003520BC"/>
    <w:rsid w:val="003527C8"/>
    <w:rsid w:val="0035388F"/>
    <w:rsid w:val="00353C35"/>
    <w:rsid w:val="003540AD"/>
    <w:rsid w:val="003542FD"/>
    <w:rsid w:val="003544C7"/>
    <w:rsid w:val="003549E9"/>
    <w:rsid w:val="00354A45"/>
    <w:rsid w:val="00354CF6"/>
    <w:rsid w:val="0035502E"/>
    <w:rsid w:val="00355458"/>
    <w:rsid w:val="00355BAE"/>
    <w:rsid w:val="00355CBF"/>
    <w:rsid w:val="00356A97"/>
    <w:rsid w:val="00357252"/>
    <w:rsid w:val="0035731A"/>
    <w:rsid w:val="003573A8"/>
    <w:rsid w:val="00357A30"/>
    <w:rsid w:val="00357A65"/>
    <w:rsid w:val="00360211"/>
    <w:rsid w:val="0036064B"/>
    <w:rsid w:val="00360673"/>
    <w:rsid w:val="00361D14"/>
    <w:rsid w:val="00362111"/>
    <w:rsid w:val="0036220D"/>
    <w:rsid w:val="00362C45"/>
    <w:rsid w:val="0036334A"/>
    <w:rsid w:val="0036351A"/>
    <w:rsid w:val="0036353E"/>
    <w:rsid w:val="00363C92"/>
    <w:rsid w:val="00363D1C"/>
    <w:rsid w:val="003642A8"/>
    <w:rsid w:val="003649F0"/>
    <w:rsid w:val="00365491"/>
    <w:rsid w:val="003654B1"/>
    <w:rsid w:val="003657B5"/>
    <w:rsid w:val="003658F7"/>
    <w:rsid w:val="00365A3F"/>
    <w:rsid w:val="00365C8E"/>
    <w:rsid w:val="0036614C"/>
    <w:rsid w:val="0036638A"/>
    <w:rsid w:val="00366468"/>
    <w:rsid w:val="003664D3"/>
    <w:rsid w:val="00366BA5"/>
    <w:rsid w:val="00366C9C"/>
    <w:rsid w:val="00367037"/>
    <w:rsid w:val="0036772C"/>
    <w:rsid w:val="003677F8"/>
    <w:rsid w:val="00367A27"/>
    <w:rsid w:val="00367ADD"/>
    <w:rsid w:val="00367C74"/>
    <w:rsid w:val="00367D85"/>
    <w:rsid w:val="00370445"/>
    <w:rsid w:val="003706B0"/>
    <w:rsid w:val="0037078F"/>
    <w:rsid w:val="0037166B"/>
    <w:rsid w:val="0037258A"/>
    <w:rsid w:val="00372A9C"/>
    <w:rsid w:val="00372AF2"/>
    <w:rsid w:val="003737CC"/>
    <w:rsid w:val="00373B6F"/>
    <w:rsid w:val="00373FF9"/>
    <w:rsid w:val="00374639"/>
    <w:rsid w:val="003749F0"/>
    <w:rsid w:val="00374A17"/>
    <w:rsid w:val="00374B1B"/>
    <w:rsid w:val="00374F4A"/>
    <w:rsid w:val="003763D6"/>
    <w:rsid w:val="003808F9"/>
    <w:rsid w:val="00380DAD"/>
    <w:rsid w:val="0038142B"/>
    <w:rsid w:val="00381495"/>
    <w:rsid w:val="003817C7"/>
    <w:rsid w:val="003821CE"/>
    <w:rsid w:val="003821E0"/>
    <w:rsid w:val="003823E0"/>
    <w:rsid w:val="0038253D"/>
    <w:rsid w:val="00382735"/>
    <w:rsid w:val="00382BBE"/>
    <w:rsid w:val="00382C0C"/>
    <w:rsid w:val="00382FA6"/>
    <w:rsid w:val="00382FE1"/>
    <w:rsid w:val="003830AC"/>
    <w:rsid w:val="0038357B"/>
    <w:rsid w:val="003839E6"/>
    <w:rsid w:val="00384134"/>
    <w:rsid w:val="00384575"/>
    <w:rsid w:val="00384756"/>
    <w:rsid w:val="00384C3C"/>
    <w:rsid w:val="00384D95"/>
    <w:rsid w:val="003850CE"/>
    <w:rsid w:val="00385736"/>
    <w:rsid w:val="00385BC7"/>
    <w:rsid w:val="00385EC9"/>
    <w:rsid w:val="00385EF2"/>
    <w:rsid w:val="0038620A"/>
    <w:rsid w:val="00386E0A"/>
    <w:rsid w:val="003874D6"/>
    <w:rsid w:val="003877BA"/>
    <w:rsid w:val="00387AB3"/>
    <w:rsid w:val="00387B30"/>
    <w:rsid w:val="00387B5D"/>
    <w:rsid w:val="00387C5A"/>
    <w:rsid w:val="00387F14"/>
    <w:rsid w:val="00390C14"/>
    <w:rsid w:val="00390C1E"/>
    <w:rsid w:val="00390D65"/>
    <w:rsid w:val="0039141C"/>
    <w:rsid w:val="00391D8C"/>
    <w:rsid w:val="003927BC"/>
    <w:rsid w:val="0039285B"/>
    <w:rsid w:val="0039471A"/>
    <w:rsid w:val="00395810"/>
    <w:rsid w:val="003959CA"/>
    <w:rsid w:val="00395B0D"/>
    <w:rsid w:val="00396339"/>
    <w:rsid w:val="00396FAB"/>
    <w:rsid w:val="003979AF"/>
    <w:rsid w:val="00397AD8"/>
    <w:rsid w:val="00397D5F"/>
    <w:rsid w:val="003A060B"/>
    <w:rsid w:val="003A06B2"/>
    <w:rsid w:val="003A0A71"/>
    <w:rsid w:val="003A1231"/>
    <w:rsid w:val="003A17A4"/>
    <w:rsid w:val="003A1E02"/>
    <w:rsid w:val="003A21AE"/>
    <w:rsid w:val="003A28DE"/>
    <w:rsid w:val="003A2B73"/>
    <w:rsid w:val="003A2DCE"/>
    <w:rsid w:val="003A2FFC"/>
    <w:rsid w:val="003A30CC"/>
    <w:rsid w:val="003A328F"/>
    <w:rsid w:val="003A34C9"/>
    <w:rsid w:val="003A4325"/>
    <w:rsid w:val="003A43FB"/>
    <w:rsid w:val="003A498E"/>
    <w:rsid w:val="003A4B4F"/>
    <w:rsid w:val="003A4D4B"/>
    <w:rsid w:val="003A5308"/>
    <w:rsid w:val="003A559C"/>
    <w:rsid w:val="003A58E7"/>
    <w:rsid w:val="003A664A"/>
    <w:rsid w:val="003A668C"/>
    <w:rsid w:val="003A6715"/>
    <w:rsid w:val="003A6932"/>
    <w:rsid w:val="003A7987"/>
    <w:rsid w:val="003A7D5A"/>
    <w:rsid w:val="003A7FA8"/>
    <w:rsid w:val="003B0218"/>
    <w:rsid w:val="003B02AE"/>
    <w:rsid w:val="003B0808"/>
    <w:rsid w:val="003B08FA"/>
    <w:rsid w:val="003B0B33"/>
    <w:rsid w:val="003B0C90"/>
    <w:rsid w:val="003B0CFA"/>
    <w:rsid w:val="003B0E85"/>
    <w:rsid w:val="003B1124"/>
    <w:rsid w:val="003B1865"/>
    <w:rsid w:val="003B18F6"/>
    <w:rsid w:val="003B1BCC"/>
    <w:rsid w:val="003B1D0A"/>
    <w:rsid w:val="003B225E"/>
    <w:rsid w:val="003B2586"/>
    <w:rsid w:val="003B2825"/>
    <w:rsid w:val="003B2CBF"/>
    <w:rsid w:val="003B3243"/>
    <w:rsid w:val="003B3270"/>
    <w:rsid w:val="003B398C"/>
    <w:rsid w:val="003B3AD2"/>
    <w:rsid w:val="003B4019"/>
    <w:rsid w:val="003B45CA"/>
    <w:rsid w:val="003B5091"/>
    <w:rsid w:val="003B51BE"/>
    <w:rsid w:val="003B531A"/>
    <w:rsid w:val="003B557D"/>
    <w:rsid w:val="003B60E5"/>
    <w:rsid w:val="003B640E"/>
    <w:rsid w:val="003B660A"/>
    <w:rsid w:val="003B6661"/>
    <w:rsid w:val="003B6C53"/>
    <w:rsid w:val="003B7592"/>
    <w:rsid w:val="003B76F5"/>
    <w:rsid w:val="003B7EA6"/>
    <w:rsid w:val="003C021E"/>
    <w:rsid w:val="003C04BD"/>
    <w:rsid w:val="003C0AE9"/>
    <w:rsid w:val="003C0D70"/>
    <w:rsid w:val="003C0D84"/>
    <w:rsid w:val="003C1214"/>
    <w:rsid w:val="003C2B16"/>
    <w:rsid w:val="003C2D67"/>
    <w:rsid w:val="003C3830"/>
    <w:rsid w:val="003C38CD"/>
    <w:rsid w:val="003C39CD"/>
    <w:rsid w:val="003C4342"/>
    <w:rsid w:val="003C4A99"/>
    <w:rsid w:val="003C5472"/>
    <w:rsid w:val="003C63F1"/>
    <w:rsid w:val="003C6814"/>
    <w:rsid w:val="003C69DE"/>
    <w:rsid w:val="003C6DB1"/>
    <w:rsid w:val="003C70F7"/>
    <w:rsid w:val="003C7285"/>
    <w:rsid w:val="003C7D23"/>
    <w:rsid w:val="003C7E2B"/>
    <w:rsid w:val="003C7E64"/>
    <w:rsid w:val="003D0036"/>
    <w:rsid w:val="003D02B6"/>
    <w:rsid w:val="003D0432"/>
    <w:rsid w:val="003D11F5"/>
    <w:rsid w:val="003D1342"/>
    <w:rsid w:val="003D1417"/>
    <w:rsid w:val="003D16F6"/>
    <w:rsid w:val="003D1FBB"/>
    <w:rsid w:val="003D211C"/>
    <w:rsid w:val="003D22A8"/>
    <w:rsid w:val="003D24A2"/>
    <w:rsid w:val="003D2613"/>
    <w:rsid w:val="003D272A"/>
    <w:rsid w:val="003D326B"/>
    <w:rsid w:val="003D3790"/>
    <w:rsid w:val="003D4793"/>
    <w:rsid w:val="003D47FC"/>
    <w:rsid w:val="003D4866"/>
    <w:rsid w:val="003D4B54"/>
    <w:rsid w:val="003D4C49"/>
    <w:rsid w:val="003D4F7B"/>
    <w:rsid w:val="003D526F"/>
    <w:rsid w:val="003D5E6D"/>
    <w:rsid w:val="003D5FF7"/>
    <w:rsid w:val="003D60BF"/>
    <w:rsid w:val="003D641E"/>
    <w:rsid w:val="003D6906"/>
    <w:rsid w:val="003D6F0D"/>
    <w:rsid w:val="003D70F8"/>
    <w:rsid w:val="003D71B9"/>
    <w:rsid w:val="003D75B2"/>
    <w:rsid w:val="003E0032"/>
    <w:rsid w:val="003E094E"/>
    <w:rsid w:val="003E0A02"/>
    <w:rsid w:val="003E0F5D"/>
    <w:rsid w:val="003E1243"/>
    <w:rsid w:val="003E1503"/>
    <w:rsid w:val="003E17B8"/>
    <w:rsid w:val="003E2598"/>
    <w:rsid w:val="003E28EA"/>
    <w:rsid w:val="003E31C7"/>
    <w:rsid w:val="003E3800"/>
    <w:rsid w:val="003E394E"/>
    <w:rsid w:val="003E39C5"/>
    <w:rsid w:val="003E3CA6"/>
    <w:rsid w:val="003E3EB3"/>
    <w:rsid w:val="003E423C"/>
    <w:rsid w:val="003E435A"/>
    <w:rsid w:val="003E45C7"/>
    <w:rsid w:val="003E49A1"/>
    <w:rsid w:val="003E5BFA"/>
    <w:rsid w:val="003E5DD0"/>
    <w:rsid w:val="003E6053"/>
    <w:rsid w:val="003E6A73"/>
    <w:rsid w:val="003E7627"/>
    <w:rsid w:val="003E7657"/>
    <w:rsid w:val="003E7EEB"/>
    <w:rsid w:val="003F0260"/>
    <w:rsid w:val="003F046B"/>
    <w:rsid w:val="003F050B"/>
    <w:rsid w:val="003F0861"/>
    <w:rsid w:val="003F0A39"/>
    <w:rsid w:val="003F13DA"/>
    <w:rsid w:val="003F13E3"/>
    <w:rsid w:val="003F141E"/>
    <w:rsid w:val="003F2854"/>
    <w:rsid w:val="003F2A71"/>
    <w:rsid w:val="003F2C40"/>
    <w:rsid w:val="003F2FE7"/>
    <w:rsid w:val="003F3301"/>
    <w:rsid w:val="003F3396"/>
    <w:rsid w:val="003F35A2"/>
    <w:rsid w:val="003F39FE"/>
    <w:rsid w:val="003F3BA2"/>
    <w:rsid w:val="003F41B3"/>
    <w:rsid w:val="003F42B1"/>
    <w:rsid w:val="003F4A5D"/>
    <w:rsid w:val="003F4C4A"/>
    <w:rsid w:val="003F4C97"/>
    <w:rsid w:val="003F58A5"/>
    <w:rsid w:val="003F592E"/>
    <w:rsid w:val="003F59D0"/>
    <w:rsid w:val="003F5BF8"/>
    <w:rsid w:val="003F67F9"/>
    <w:rsid w:val="003F69FD"/>
    <w:rsid w:val="003F6AA8"/>
    <w:rsid w:val="003F6B8B"/>
    <w:rsid w:val="003F6C65"/>
    <w:rsid w:val="003F6D0E"/>
    <w:rsid w:val="003F6FDE"/>
    <w:rsid w:val="003F7044"/>
    <w:rsid w:val="003F7684"/>
    <w:rsid w:val="003F7973"/>
    <w:rsid w:val="003F7E43"/>
    <w:rsid w:val="004005A7"/>
    <w:rsid w:val="00400C5A"/>
    <w:rsid w:val="00400E29"/>
    <w:rsid w:val="004010B1"/>
    <w:rsid w:val="0040117D"/>
    <w:rsid w:val="00401212"/>
    <w:rsid w:val="0040128A"/>
    <w:rsid w:val="00402030"/>
    <w:rsid w:val="00402AC2"/>
    <w:rsid w:val="00403589"/>
    <w:rsid w:val="00403D71"/>
    <w:rsid w:val="004043C3"/>
    <w:rsid w:val="0040543B"/>
    <w:rsid w:val="0040681E"/>
    <w:rsid w:val="00406914"/>
    <w:rsid w:val="00406A4F"/>
    <w:rsid w:val="00406A96"/>
    <w:rsid w:val="004070BE"/>
    <w:rsid w:val="00407532"/>
    <w:rsid w:val="0040760D"/>
    <w:rsid w:val="004077BC"/>
    <w:rsid w:val="00407876"/>
    <w:rsid w:val="00407BC7"/>
    <w:rsid w:val="00407C88"/>
    <w:rsid w:val="00407DF9"/>
    <w:rsid w:val="004102DA"/>
    <w:rsid w:val="00410647"/>
    <w:rsid w:val="004107C1"/>
    <w:rsid w:val="00410B16"/>
    <w:rsid w:val="00410CB3"/>
    <w:rsid w:val="004110B6"/>
    <w:rsid w:val="00411617"/>
    <w:rsid w:val="00411764"/>
    <w:rsid w:val="004117D6"/>
    <w:rsid w:val="00411BF6"/>
    <w:rsid w:val="004120B9"/>
    <w:rsid w:val="00412246"/>
    <w:rsid w:val="00412D31"/>
    <w:rsid w:val="00412D8D"/>
    <w:rsid w:val="004134DE"/>
    <w:rsid w:val="00413605"/>
    <w:rsid w:val="00413C02"/>
    <w:rsid w:val="00414223"/>
    <w:rsid w:val="0041440A"/>
    <w:rsid w:val="00414956"/>
    <w:rsid w:val="00415297"/>
    <w:rsid w:val="0041557F"/>
    <w:rsid w:val="00415C2E"/>
    <w:rsid w:val="00416116"/>
    <w:rsid w:val="0041637E"/>
    <w:rsid w:val="00416512"/>
    <w:rsid w:val="00416A64"/>
    <w:rsid w:val="00416DEB"/>
    <w:rsid w:val="00416EA6"/>
    <w:rsid w:val="00416FF7"/>
    <w:rsid w:val="004170DF"/>
    <w:rsid w:val="0041753B"/>
    <w:rsid w:val="00417A16"/>
    <w:rsid w:val="00417A42"/>
    <w:rsid w:val="0042025B"/>
    <w:rsid w:val="0042089D"/>
    <w:rsid w:val="00420A02"/>
    <w:rsid w:val="00420C8C"/>
    <w:rsid w:val="00420FB7"/>
    <w:rsid w:val="0042145D"/>
    <w:rsid w:val="004216E3"/>
    <w:rsid w:val="00421787"/>
    <w:rsid w:val="004221FF"/>
    <w:rsid w:val="004224EA"/>
    <w:rsid w:val="00422580"/>
    <w:rsid w:val="0042271C"/>
    <w:rsid w:val="00423236"/>
    <w:rsid w:val="0042350E"/>
    <w:rsid w:val="00423E48"/>
    <w:rsid w:val="004243C6"/>
    <w:rsid w:val="00424708"/>
    <w:rsid w:val="00424FCA"/>
    <w:rsid w:val="00425200"/>
    <w:rsid w:val="00425C03"/>
    <w:rsid w:val="004262B8"/>
    <w:rsid w:val="004263DE"/>
    <w:rsid w:val="004264C7"/>
    <w:rsid w:val="00427281"/>
    <w:rsid w:val="00427872"/>
    <w:rsid w:val="00427E26"/>
    <w:rsid w:val="00430387"/>
    <w:rsid w:val="004308B3"/>
    <w:rsid w:val="00432634"/>
    <w:rsid w:val="0043301F"/>
    <w:rsid w:val="00433668"/>
    <w:rsid w:val="004339FB"/>
    <w:rsid w:val="00433B67"/>
    <w:rsid w:val="00433C47"/>
    <w:rsid w:val="00433F98"/>
    <w:rsid w:val="004341B2"/>
    <w:rsid w:val="004345FD"/>
    <w:rsid w:val="004348A2"/>
    <w:rsid w:val="00434DD2"/>
    <w:rsid w:val="00434F69"/>
    <w:rsid w:val="004353BC"/>
    <w:rsid w:val="00435A07"/>
    <w:rsid w:val="004367E1"/>
    <w:rsid w:val="00440237"/>
    <w:rsid w:val="004408D3"/>
    <w:rsid w:val="00441864"/>
    <w:rsid w:val="00441B0E"/>
    <w:rsid w:val="00441B7B"/>
    <w:rsid w:val="00441F17"/>
    <w:rsid w:val="00442440"/>
    <w:rsid w:val="00442763"/>
    <w:rsid w:val="00442FB4"/>
    <w:rsid w:val="00443806"/>
    <w:rsid w:val="00443984"/>
    <w:rsid w:val="00443B47"/>
    <w:rsid w:val="00444097"/>
    <w:rsid w:val="00444247"/>
    <w:rsid w:val="00444414"/>
    <w:rsid w:val="004451B0"/>
    <w:rsid w:val="0044562C"/>
    <w:rsid w:val="00445C2F"/>
    <w:rsid w:val="004462E1"/>
    <w:rsid w:val="0044680E"/>
    <w:rsid w:val="00446AC5"/>
    <w:rsid w:val="004479FC"/>
    <w:rsid w:val="00447F68"/>
    <w:rsid w:val="00450786"/>
    <w:rsid w:val="00451108"/>
    <w:rsid w:val="00451982"/>
    <w:rsid w:val="00451B9A"/>
    <w:rsid w:val="00451CD1"/>
    <w:rsid w:val="00451E26"/>
    <w:rsid w:val="004520FF"/>
    <w:rsid w:val="0045212B"/>
    <w:rsid w:val="00452285"/>
    <w:rsid w:val="00452C67"/>
    <w:rsid w:val="00452E06"/>
    <w:rsid w:val="00453692"/>
    <w:rsid w:val="004537F8"/>
    <w:rsid w:val="00453AFD"/>
    <w:rsid w:val="004543A9"/>
    <w:rsid w:val="00454483"/>
    <w:rsid w:val="00454886"/>
    <w:rsid w:val="0045489D"/>
    <w:rsid w:val="00454FA4"/>
    <w:rsid w:val="0045566F"/>
    <w:rsid w:val="00455D90"/>
    <w:rsid w:val="0045649A"/>
    <w:rsid w:val="00456B15"/>
    <w:rsid w:val="004573BD"/>
    <w:rsid w:val="00457997"/>
    <w:rsid w:val="00457FA0"/>
    <w:rsid w:val="00460992"/>
    <w:rsid w:val="004612CC"/>
    <w:rsid w:val="00461B3A"/>
    <w:rsid w:val="00462836"/>
    <w:rsid w:val="00462A14"/>
    <w:rsid w:val="00462A6B"/>
    <w:rsid w:val="00462AF8"/>
    <w:rsid w:val="0046393E"/>
    <w:rsid w:val="00463BF0"/>
    <w:rsid w:val="004642A9"/>
    <w:rsid w:val="004644B1"/>
    <w:rsid w:val="00464ACF"/>
    <w:rsid w:val="00464EA8"/>
    <w:rsid w:val="0046542A"/>
    <w:rsid w:val="00465A9C"/>
    <w:rsid w:val="004667E5"/>
    <w:rsid w:val="004669D6"/>
    <w:rsid w:val="00470423"/>
    <w:rsid w:val="00470B61"/>
    <w:rsid w:val="004717F9"/>
    <w:rsid w:val="004718CE"/>
    <w:rsid w:val="00472BC8"/>
    <w:rsid w:val="004730B1"/>
    <w:rsid w:val="004737DD"/>
    <w:rsid w:val="00473F2B"/>
    <w:rsid w:val="00474262"/>
    <w:rsid w:val="00474551"/>
    <w:rsid w:val="00474B2A"/>
    <w:rsid w:val="00475793"/>
    <w:rsid w:val="00475824"/>
    <w:rsid w:val="00475EEB"/>
    <w:rsid w:val="00476049"/>
    <w:rsid w:val="004761AC"/>
    <w:rsid w:val="00476402"/>
    <w:rsid w:val="0047643A"/>
    <w:rsid w:val="0047654B"/>
    <w:rsid w:val="00476628"/>
    <w:rsid w:val="004766BF"/>
    <w:rsid w:val="00476965"/>
    <w:rsid w:val="004774D9"/>
    <w:rsid w:val="00477534"/>
    <w:rsid w:val="00480038"/>
    <w:rsid w:val="004801C8"/>
    <w:rsid w:val="004802DD"/>
    <w:rsid w:val="00480509"/>
    <w:rsid w:val="0048085F"/>
    <w:rsid w:val="00480EEB"/>
    <w:rsid w:val="004810B8"/>
    <w:rsid w:val="0048135D"/>
    <w:rsid w:val="00481432"/>
    <w:rsid w:val="00481B27"/>
    <w:rsid w:val="0048242C"/>
    <w:rsid w:val="004828EC"/>
    <w:rsid w:val="00483FBF"/>
    <w:rsid w:val="00484111"/>
    <w:rsid w:val="0048526E"/>
    <w:rsid w:val="00485396"/>
    <w:rsid w:val="0048584D"/>
    <w:rsid w:val="004858EA"/>
    <w:rsid w:val="00485921"/>
    <w:rsid w:val="00485B75"/>
    <w:rsid w:val="004864AA"/>
    <w:rsid w:val="004867DE"/>
    <w:rsid w:val="00486936"/>
    <w:rsid w:val="00486A74"/>
    <w:rsid w:val="00486D2B"/>
    <w:rsid w:val="0048710C"/>
    <w:rsid w:val="0048770C"/>
    <w:rsid w:val="004901AD"/>
    <w:rsid w:val="00490324"/>
    <w:rsid w:val="00490483"/>
    <w:rsid w:val="00490791"/>
    <w:rsid w:val="00490E6E"/>
    <w:rsid w:val="00490F0B"/>
    <w:rsid w:val="00490FBB"/>
    <w:rsid w:val="00491585"/>
    <w:rsid w:val="004919B3"/>
    <w:rsid w:val="0049238E"/>
    <w:rsid w:val="004925F3"/>
    <w:rsid w:val="00492CB0"/>
    <w:rsid w:val="0049302E"/>
    <w:rsid w:val="0049326A"/>
    <w:rsid w:val="00493409"/>
    <w:rsid w:val="004934AE"/>
    <w:rsid w:val="00493C88"/>
    <w:rsid w:val="00493DB3"/>
    <w:rsid w:val="00494360"/>
    <w:rsid w:val="00494778"/>
    <w:rsid w:val="00494C83"/>
    <w:rsid w:val="00494FFE"/>
    <w:rsid w:val="0049569A"/>
    <w:rsid w:val="00495E90"/>
    <w:rsid w:val="0049702B"/>
    <w:rsid w:val="00497286"/>
    <w:rsid w:val="004972A7"/>
    <w:rsid w:val="004977DD"/>
    <w:rsid w:val="004A0204"/>
    <w:rsid w:val="004A0222"/>
    <w:rsid w:val="004A04B9"/>
    <w:rsid w:val="004A05BC"/>
    <w:rsid w:val="004A09EA"/>
    <w:rsid w:val="004A0B43"/>
    <w:rsid w:val="004A0FCC"/>
    <w:rsid w:val="004A11AB"/>
    <w:rsid w:val="004A13CB"/>
    <w:rsid w:val="004A2930"/>
    <w:rsid w:val="004A29DB"/>
    <w:rsid w:val="004A2F94"/>
    <w:rsid w:val="004A363B"/>
    <w:rsid w:val="004A413D"/>
    <w:rsid w:val="004A4357"/>
    <w:rsid w:val="004A44EA"/>
    <w:rsid w:val="004A493B"/>
    <w:rsid w:val="004A4CE8"/>
    <w:rsid w:val="004A4FAC"/>
    <w:rsid w:val="004A5156"/>
    <w:rsid w:val="004A5392"/>
    <w:rsid w:val="004A551F"/>
    <w:rsid w:val="004A55F8"/>
    <w:rsid w:val="004A5701"/>
    <w:rsid w:val="004A5C88"/>
    <w:rsid w:val="004A60B0"/>
    <w:rsid w:val="004A6469"/>
    <w:rsid w:val="004A6473"/>
    <w:rsid w:val="004A7230"/>
    <w:rsid w:val="004A72D6"/>
    <w:rsid w:val="004A7C0E"/>
    <w:rsid w:val="004B030F"/>
    <w:rsid w:val="004B0662"/>
    <w:rsid w:val="004B08FC"/>
    <w:rsid w:val="004B0CCF"/>
    <w:rsid w:val="004B12AA"/>
    <w:rsid w:val="004B1DB8"/>
    <w:rsid w:val="004B1F44"/>
    <w:rsid w:val="004B1F8F"/>
    <w:rsid w:val="004B214C"/>
    <w:rsid w:val="004B242C"/>
    <w:rsid w:val="004B2469"/>
    <w:rsid w:val="004B256D"/>
    <w:rsid w:val="004B2BFB"/>
    <w:rsid w:val="004B30D5"/>
    <w:rsid w:val="004B35AC"/>
    <w:rsid w:val="004B3948"/>
    <w:rsid w:val="004B39DC"/>
    <w:rsid w:val="004B3D68"/>
    <w:rsid w:val="004B3FE9"/>
    <w:rsid w:val="004B42D9"/>
    <w:rsid w:val="004B4558"/>
    <w:rsid w:val="004B4B4E"/>
    <w:rsid w:val="004B4D6D"/>
    <w:rsid w:val="004B56E5"/>
    <w:rsid w:val="004B583A"/>
    <w:rsid w:val="004B5995"/>
    <w:rsid w:val="004B604C"/>
    <w:rsid w:val="004B608E"/>
    <w:rsid w:val="004B636C"/>
    <w:rsid w:val="004B67FC"/>
    <w:rsid w:val="004B6EFA"/>
    <w:rsid w:val="004B73EC"/>
    <w:rsid w:val="004B7B98"/>
    <w:rsid w:val="004B7BB9"/>
    <w:rsid w:val="004B7BF9"/>
    <w:rsid w:val="004C037B"/>
    <w:rsid w:val="004C129A"/>
    <w:rsid w:val="004C1334"/>
    <w:rsid w:val="004C202B"/>
    <w:rsid w:val="004C21E6"/>
    <w:rsid w:val="004C24C0"/>
    <w:rsid w:val="004C253A"/>
    <w:rsid w:val="004C270D"/>
    <w:rsid w:val="004C2804"/>
    <w:rsid w:val="004C284E"/>
    <w:rsid w:val="004C2C5E"/>
    <w:rsid w:val="004C314B"/>
    <w:rsid w:val="004C3339"/>
    <w:rsid w:val="004C36E4"/>
    <w:rsid w:val="004C3719"/>
    <w:rsid w:val="004C3C8F"/>
    <w:rsid w:val="004C43FC"/>
    <w:rsid w:val="004C4736"/>
    <w:rsid w:val="004C554D"/>
    <w:rsid w:val="004C5573"/>
    <w:rsid w:val="004C577C"/>
    <w:rsid w:val="004C58B3"/>
    <w:rsid w:val="004C64A9"/>
    <w:rsid w:val="004C665C"/>
    <w:rsid w:val="004C6D57"/>
    <w:rsid w:val="004C6D7D"/>
    <w:rsid w:val="004C7255"/>
    <w:rsid w:val="004C7435"/>
    <w:rsid w:val="004C7458"/>
    <w:rsid w:val="004C7744"/>
    <w:rsid w:val="004D0117"/>
    <w:rsid w:val="004D1622"/>
    <w:rsid w:val="004D1B68"/>
    <w:rsid w:val="004D1BA6"/>
    <w:rsid w:val="004D1BD6"/>
    <w:rsid w:val="004D2889"/>
    <w:rsid w:val="004D2FDE"/>
    <w:rsid w:val="004D3B9C"/>
    <w:rsid w:val="004D3E59"/>
    <w:rsid w:val="004D4189"/>
    <w:rsid w:val="004D4380"/>
    <w:rsid w:val="004D445E"/>
    <w:rsid w:val="004D4838"/>
    <w:rsid w:val="004D49F4"/>
    <w:rsid w:val="004D50A9"/>
    <w:rsid w:val="004D5467"/>
    <w:rsid w:val="004D57E1"/>
    <w:rsid w:val="004D5955"/>
    <w:rsid w:val="004D5F51"/>
    <w:rsid w:val="004D60BD"/>
    <w:rsid w:val="004D6119"/>
    <w:rsid w:val="004D64FC"/>
    <w:rsid w:val="004D68BA"/>
    <w:rsid w:val="004D68C1"/>
    <w:rsid w:val="004D6C5F"/>
    <w:rsid w:val="004D717D"/>
    <w:rsid w:val="004D774A"/>
    <w:rsid w:val="004D78BB"/>
    <w:rsid w:val="004D7ED8"/>
    <w:rsid w:val="004E04AE"/>
    <w:rsid w:val="004E139C"/>
    <w:rsid w:val="004E26CC"/>
    <w:rsid w:val="004E2D6B"/>
    <w:rsid w:val="004E3478"/>
    <w:rsid w:val="004E3780"/>
    <w:rsid w:val="004E3ABF"/>
    <w:rsid w:val="004E3C2E"/>
    <w:rsid w:val="004E45EC"/>
    <w:rsid w:val="004E48B2"/>
    <w:rsid w:val="004E4ABC"/>
    <w:rsid w:val="004E4F44"/>
    <w:rsid w:val="004E51A1"/>
    <w:rsid w:val="004E56EA"/>
    <w:rsid w:val="004E7F0C"/>
    <w:rsid w:val="004E7FC0"/>
    <w:rsid w:val="004F0399"/>
    <w:rsid w:val="004F094D"/>
    <w:rsid w:val="004F0D2F"/>
    <w:rsid w:val="004F0EF9"/>
    <w:rsid w:val="004F12A0"/>
    <w:rsid w:val="004F16DA"/>
    <w:rsid w:val="004F1768"/>
    <w:rsid w:val="004F18A5"/>
    <w:rsid w:val="004F2A03"/>
    <w:rsid w:val="004F3136"/>
    <w:rsid w:val="004F3644"/>
    <w:rsid w:val="004F374F"/>
    <w:rsid w:val="004F4418"/>
    <w:rsid w:val="004F4760"/>
    <w:rsid w:val="004F4906"/>
    <w:rsid w:val="004F4C24"/>
    <w:rsid w:val="004F4D15"/>
    <w:rsid w:val="004F4D6B"/>
    <w:rsid w:val="004F4E9B"/>
    <w:rsid w:val="004F4F76"/>
    <w:rsid w:val="004F5229"/>
    <w:rsid w:val="004F531B"/>
    <w:rsid w:val="004F544E"/>
    <w:rsid w:val="004F560E"/>
    <w:rsid w:val="004F64B6"/>
    <w:rsid w:val="004F72FC"/>
    <w:rsid w:val="004F76D7"/>
    <w:rsid w:val="0050086C"/>
    <w:rsid w:val="00501160"/>
    <w:rsid w:val="0050187B"/>
    <w:rsid w:val="005019CA"/>
    <w:rsid w:val="00501F4D"/>
    <w:rsid w:val="00502E66"/>
    <w:rsid w:val="00502EE4"/>
    <w:rsid w:val="005031CF"/>
    <w:rsid w:val="005033CA"/>
    <w:rsid w:val="0050344D"/>
    <w:rsid w:val="00503A05"/>
    <w:rsid w:val="00503B91"/>
    <w:rsid w:val="00503F5D"/>
    <w:rsid w:val="0050448E"/>
    <w:rsid w:val="00504BCD"/>
    <w:rsid w:val="00504EAB"/>
    <w:rsid w:val="005051B4"/>
    <w:rsid w:val="00505499"/>
    <w:rsid w:val="0050553E"/>
    <w:rsid w:val="0050590E"/>
    <w:rsid w:val="00505CE9"/>
    <w:rsid w:val="00505DAA"/>
    <w:rsid w:val="00505DB9"/>
    <w:rsid w:val="00505F0C"/>
    <w:rsid w:val="00505F52"/>
    <w:rsid w:val="005062AE"/>
    <w:rsid w:val="005064BF"/>
    <w:rsid w:val="00506A7B"/>
    <w:rsid w:val="00506FEF"/>
    <w:rsid w:val="00507831"/>
    <w:rsid w:val="005078A4"/>
    <w:rsid w:val="00507B91"/>
    <w:rsid w:val="005101F4"/>
    <w:rsid w:val="005102C3"/>
    <w:rsid w:val="005103BB"/>
    <w:rsid w:val="0051059B"/>
    <w:rsid w:val="00510650"/>
    <w:rsid w:val="0051080E"/>
    <w:rsid w:val="00510868"/>
    <w:rsid w:val="005109D1"/>
    <w:rsid w:val="00510CFF"/>
    <w:rsid w:val="005117B1"/>
    <w:rsid w:val="0051195E"/>
    <w:rsid w:val="005119DD"/>
    <w:rsid w:val="00511A0B"/>
    <w:rsid w:val="00512220"/>
    <w:rsid w:val="0051258A"/>
    <w:rsid w:val="005126D3"/>
    <w:rsid w:val="00512A2A"/>
    <w:rsid w:val="00512C5E"/>
    <w:rsid w:val="00512C73"/>
    <w:rsid w:val="005132DC"/>
    <w:rsid w:val="005134A4"/>
    <w:rsid w:val="00513775"/>
    <w:rsid w:val="005148FA"/>
    <w:rsid w:val="00514E43"/>
    <w:rsid w:val="00514F4F"/>
    <w:rsid w:val="00515A07"/>
    <w:rsid w:val="00516D8E"/>
    <w:rsid w:val="0051707D"/>
    <w:rsid w:val="00517813"/>
    <w:rsid w:val="0051781D"/>
    <w:rsid w:val="00517884"/>
    <w:rsid w:val="00517CC1"/>
    <w:rsid w:val="005205B1"/>
    <w:rsid w:val="00520AE9"/>
    <w:rsid w:val="00520ED3"/>
    <w:rsid w:val="005214C8"/>
    <w:rsid w:val="005217B0"/>
    <w:rsid w:val="00521BED"/>
    <w:rsid w:val="00522F3E"/>
    <w:rsid w:val="0052312F"/>
    <w:rsid w:val="0052323F"/>
    <w:rsid w:val="0052353A"/>
    <w:rsid w:val="0052366D"/>
    <w:rsid w:val="0052389D"/>
    <w:rsid w:val="005243B6"/>
    <w:rsid w:val="00524FE4"/>
    <w:rsid w:val="005253CE"/>
    <w:rsid w:val="0052634E"/>
    <w:rsid w:val="0052663B"/>
    <w:rsid w:val="00526AAA"/>
    <w:rsid w:val="0052709B"/>
    <w:rsid w:val="0052772A"/>
    <w:rsid w:val="00527844"/>
    <w:rsid w:val="0052796C"/>
    <w:rsid w:val="00527F3F"/>
    <w:rsid w:val="00530044"/>
    <w:rsid w:val="005307C5"/>
    <w:rsid w:val="00530952"/>
    <w:rsid w:val="00530A64"/>
    <w:rsid w:val="00530D0E"/>
    <w:rsid w:val="00530DF2"/>
    <w:rsid w:val="00530FD2"/>
    <w:rsid w:val="0053128F"/>
    <w:rsid w:val="005314BC"/>
    <w:rsid w:val="0053156F"/>
    <w:rsid w:val="0053158A"/>
    <w:rsid w:val="00531674"/>
    <w:rsid w:val="005316EC"/>
    <w:rsid w:val="00532264"/>
    <w:rsid w:val="0053235C"/>
    <w:rsid w:val="0053243E"/>
    <w:rsid w:val="005332A4"/>
    <w:rsid w:val="005335DC"/>
    <w:rsid w:val="00533E2E"/>
    <w:rsid w:val="00534049"/>
    <w:rsid w:val="0053425C"/>
    <w:rsid w:val="00534652"/>
    <w:rsid w:val="00534803"/>
    <w:rsid w:val="00534CC9"/>
    <w:rsid w:val="00534FE9"/>
    <w:rsid w:val="0053521A"/>
    <w:rsid w:val="0053552E"/>
    <w:rsid w:val="00535A5D"/>
    <w:rsid w:val="00535F41"/>
    <w:rsid w:val="005360D5"/>
    <w:rsid w:val="0053623E"/>
    <w:rsid w:val="005363FF"/>
    <w:rsid w:val="00536F3B"/>
    <w:rsid w:val="0053708F"/>
    <w:rsid w:val="00537092"/>
    <w:rsid w:val="00537106"/>
    <w:rsid w:val="00537996"/>
    <w:rsid w:val="00537DA2"/>
    <w:rsid w:val="00540326"/>
    <w:rsid w:val="0054095E"/>
    <w:rsid w:val="00540B07"/>
    <w:rsid w:val="00541490"/>
    <w:rsid w:val="005419B9"/>
    <w:rsid w:val="00541BA8"/>
    <w:rsid w:val="00541C39"/>
    <w:rsid w:val="0054230A"/>
    <w:rsid w:val="00542366"/>
    <w:rsid w:val="00542517"/>
    <w:rsid w:val="0054276C"/>
    <w:rsid w:val="00542DED"/>
    <w:rsid w:val="00543FA0"/>
    <w:rsid w:val="0054431B"/>
    <w:rsid w:val="005448F5"/>
    <w:rsid w:val="00544961"/>
    <w:rsid w:val="005453C6"/>
    <w:rsid w:val="00545808"/>
    <w:rsid w:val="00545944"/>
    <w:rsid w:val="005459F4"/>
    <w:rsid w:val="00545A81"/>
    <w:rsid w:val="00545AF9"/>
    <w:rsid w:val="00545DBC"/>
    <w:rsid w:val="00545EAA"/>
    <w:rsid w:val="00546013"/>
    <w:rsid w:val="005461CD"/>
    <w:rsid w:val="00546ECB"/>
    <w:rsid w:val="00546FC3"/>
    <w:rsid w:val="00547B17"/>
    <w:rsid w:val="00547D10"/>
    <w:rsid w:val="00550D56"/>
    <w:rsid w:val="00551001"/>
    <w:rsid w:val="005519AA"/>
    <w:rsid w:val="00551B8F"/>
    <w:rsid w:val="00551F63"/>
    <w:rsid w:val="005524DF"/>
    <w:rsid w:val="0055252B"/>
    <w:rsid w:val="00552ABE"/>
    <w:rsid w:val="00552D1A"/>
    <w:rsid w:val="00553245"/>
    <w:rsid w:val="0055324B"/>
    <w:rsid w:val="005537E7"/>
    <w:rsid w:val="00553DAE"/>
    <w:rsid w:val="00553DF4"/>
    <w:rsid w:val="00554259"/>
    <w:rsid w:val="00554284"/>
    <w:rsid w:val="00554750"/>
    <w:rsid w:val="0055549E"/>
    <w:rsid w:val="00555742"/>
    <w:rsid w:val="00555A25"/>
    <w:rsid w:val="00555EDC"/>
    <w:rsid w:val="00556030"/>
    <w:rsid w:val="00556147"/>
    <w:rsid w:val="005562CE"/>
    <w:rsid w:val="005562D2"/>
    <w:rsid w:val="00556AFE"/>
    <w:rsid w:val="005570AA"/>
    <w:rsid w:val="00557B0B"/>
    <w:rsid w:val="00557ED4"/>
    <w:rsid w:val="0056037D"/>
    <w:rsid w:val="00560BC0"/>
    <w:rsid w:val="00560E0C"/>
    <w:rsid w:val="00560EA0"/>
    <w:rsid w:val="0056101B"/>
    <w:rsid w:val="005614D0"/>
    <w:rsid w:val="00561DB5"/>
    <w:rsid w:val="005620EC"/>
    <w:rsid w:val="005621A6"/>
    <w:rsid w:val="00562202"/>
    <w:rsid w:val="00562296"/>
    <w:rsid w:val="00562378"/>
    <w:rsid w:val="00562788"/>
    <w:rsid w:val="005628A5"/>
    <w:rsid w:val="00562BEE"/>
    <w:rsid w:val="00563CF5"/>
    <w:rsid w:val="00564831"/>
    <w:rsid w:val="00564C27"/>
    <w:rsid w:val="005651CD"/>
    <w:rsid w:val="00565694"/>
    <w:rsid w:val="00566107"/>
    <w:rsid w:val="005663C6"/>
    <w:rsid w:val="00566733"/>
    <w:rsid w:val="00566F61"/>
    <w:rsid w:val="005672AE"/>
    <w:rsid w:val="0056753E"/>
    <w:rsid w:val="00567953"/>
    <w:rsid w:val="00567D32"/>
    <w:rsid w:val="00567EEE"/>
    <w:rsid w:val="00570109"/>
    <w:rsid w:val="00570432"/>
    <w:rsid w:val="005705DA"/>
    <w:rsid w:val="00570990"/>
    <w:rsid w:val="005710EC"/>
    <w:rsid w:val="005711B5"/>
    <w:rsid w:val="005712F6"/>
    <w:rsid w:val="00571358"/>
    <w:rsid w:val="005713F7"/>
    <w:rsid w:val="005716BD"/>
    <w:rsid w:val="00571822"/>
    <w:rsid w:val="00571CDD"/>
    <w:rsid w:val="00571E4C"/>
    <w:rsid w:val="00571F33"/>
    <w:rsid w:val="00572AAB"/>
    <w:rsid w:val="00572AE9"/>
    <w:rsid w:val="0057356B"/>
    <w:rsid w:val="00573C04"/>
    <w:rsid w:val="005741CC"/>
    <w:rsid w:val="00574686"/>
    <w:rsid w:val="00574815"/>
    <w:rsid w:val="00574CFE"/>
    <w:rsid w:val="005754F3"/>
    <w:rsid w:val="005756B9"/>
    <w:rsid w:val="0057588E"/>
    <w:rsid w:val="00576259"/>
    <w:rsid w:val="0057628B"/>
    <w:rsid w:val="005763EA"/>
    <w:rsid w:val="005765FC"/>
    <w:rsid w:val="005771DC"/>
    <w:rsid w:val="00577AC5"/>
    <w:rsid w:val="00577BDD"/>
    <w:rsid w:val="00580808"/>
    <w:rsid w:val="0058087A"/>
    <w:rsid w:val="00580B8A"/>
    <w:rsid w:val="00580F49"/>
    <w:rsid w:val="005817D6"/>
    <w:rsid w:val="00581C22"/>
    <w:rsid w:val="0058266C"/>
    <w:rsid w:val="00582B60"/>
    <w:rsid w:val="00582F9E"/>
    <w:rsid w:val="00583628"/>
    <w:rsid w:val="00583867"/>
    <w:rsid w:val="005841E1"/>
    <w:rsid w:val="00584882"/>
    <w:rsid w:val="005848C3"/>
    <w:rsid w:val="005849F2"/>
    <w:rsid w:val="00584E83"/>
    <w:rsid w:val="0058511F"/>
    <w:rsid w:val="005851BD"/>
    <w:rsid w:val="005854F6"/>
    <w:rsid w:val="00585D46"/>
    <w:rsid w:val="00585E03"/>
    <w:rsid w:val="00585F37"/>
    <w:rsid w:val="00586502"/>
    <w:rsid w:val="0058659A"/>
    <w:rsid w:val="00586F1E"/>
    <w:rsid w:val="00587011"/>
    <w:rsid w:val="005874DB"/>
    <w:rsid w:val="005906F0"/>
    <w:rsid w:val="005907C1"/>
    <w:rsid w:val="00590978"/>
    <w:rsid w:val="00590E5B"/>
    <w:rsid w:val="005910C9"/>
    <w:rsid w:val="005915F7"/>
    <w:rsid w:val="00591B1D"/>
    <w:rsid w:val="005920F5"/>
    <w:rsid w:val="0059255D"/>
    <w:rsid w:val="005926E5"/>
    <w:rsid w:val="00592719"/>
    <w:rsid w:val="00592726"/>
    <w:rsid w:val="00592E5C"/>
    <w:rsid w:val="00593099"/>
    <w:rsid w:val="005935FD"/>
    <w:rsid w:val="0059367B"/>
    <w:rsid w:val="00593E37"/>
    <w:rsid w:val="00593EA7"/>
    <w:rsid w:val="00593F9A"/>
    <w:rsid w:val="00594509"/>
    <w:rsid w:val="005946F0"/>
    <w:rsid w:val="00594F72"/>
    <w:rsid w:val="0059537B"/>
    <w:rsid w:val="00595A53"/>
    <w:rsid w:val="00595B7D"/>
    <w:rsid w:val="00595CAC"/>
    <w:rsid w:val="0059666A"/>
    <w:rsid w:val="0059667D"/>
    <w:rsid w:val="005967A8"/>
    <w:rsid w:val="00596AF4"/>
    <w:rsid w:val="00596B58"/>
    <w:rsid w:val="00596EBB"/>
    <w:rsid w:val="005975FC"/>
    <w:rsid w:val="00597794"/>
    <w:rsid w:val="005978BA"/>
    <w:rsid w:val="00597E49"/>
    <w:rsid w:val="005A0634"/>
    <w:rsid w:val="005A0A7E"/>
    <w:rsid w:val="005A0C40"/>
    <w:rsid w:val="005A123B"/>
    <w:rsid w:val="005A1C88"/>
    <w:rsid w:val="005A1CB0"/>
    <w:rsid w:val="005A237F"/>
    <w:rsid w:val="005A333C"/>
    <w:rsid w:val="005A33CC"/>
    <w:rsid w:val="005A352A"/>
    <w:rsid w:val="005A3EAD"/>
    <w:rsid w:val="005A4010"/>
    <w:rsid w:val="005A41A2"/>
    <w:rsid w:val="005A4469"/>
    <w:rsid w:val="005A44A7"/>
    <w:rsid w:val="005A5455"/>
    <w:rsid w:val="005A5673"/>
    <w:rsid w:val="005A57E1"/>
    <w:rsid w:val="005A6236"/>
    <w:rsid w:val="005A6A0F"/>
    <w:rsid w:val="005A6A6F"/>
    <w:rsid w:val="005A6DD2"/>
    <w:rsid w:val="005A7341"/>
    <w:rsid w:val="005B01CA"/>
    <w:rsid w:val="005B133D"/>
    <w:rsid w:val="005B144E"/>
    <w:rsid w:val="005B1BB6"/>
    <w:rsid w:val="005B1BF2"/>
    <w:rsid w:val="005B1C35"/>
    <w:rsid w:val="005B1DCD"/>
    <w:rsid w:val="005B1DD7"/>
    <w:rsid w:val="005B1F28"/>
    <w:rsid w:val="005B21F4"/>
    <w:rsid w:val="005B2612"/>
    <w:rsid w:val="005B2993"/>
    <w:rsid w:val="005B2F9E"/>
    <w:rsid w:val="005B31DC"/>
    <w:rsid w:val="005B32DA"/>
    <w:rsid w:val="005B34A9"/>
    <w:rsid w:val="005B351B"/>
    <w:rsid w:val="005B39FF"/>
    <w:rsid w:val="005B3ACE"/>
    <w:rsid w:val="005B3E34"/>
    <w:rsid w:val="005B44D3"/>
    <w:rsid w:val="005B4B44"/>
    <w:rsid w:val="005B4F95"/>
    <w:rsid w:val="005B54D1"/>
    <w:rsid w:val="005B58D1"/>
    <w:rsid w:val="005B5C2E"/>
    <w:rsid w:val="005B5F4D"/>
    <w:rsid w:val="005B631E"/>
    <w:rsid w:val="005B64B9"/>
    <w:rsid w:val="005B65C7"/>
    <w:rsid w:val="005B7BC7"/>
    <w:rsid w:val="005B7FC3"/>
    <w:rsid w:val="005C099F"/>
    <w:rsid w:val="005C0AD6"/>
    <w:rsid w:val="005C0CCD"/>
    <w:rsid w:val="005C0DF9"/>
    <w:rsid w:val="005C14CB"/>
    <w:rsid w:val="005C18B8"/>
    <w:rsid w:val="005C1E1F"/>
    <w:rsid w:val="005C228A"/>
    <w:rsid w:val="005C26AD"/>
    <w:rsid w:val="005C303E"/>
    <w:rsid w:val="005C3657"/>
    <w:rsid w:val="005C3F94"/>
    <w:rsid w:val="005C420D"/>
    <w:rsid w:val="005C4D98"/>
    <w:rsid w:val="005C5C96"/>
    <w:rsid w:val="005C73DA"/>
    <w:rsid w:val="005C767B"/>
    <w:rsid w:val="005C7783"/>
    <w:rsid w:val="005C798E"/>
    <w:rsid w:val="005C7B13"/>
    <w:rsid w:val="005C7FD7"/>
    <w:rsid w:val="005D00C7"/>
    <w:rsid w:val="005D04BB"/>
    <w:rsid w:val="005D0532"/>
    <w:rsid w:val="005D10EC"/>
    <w:rsid w:val="005D1E69"/>
    <w:rsid w:val="005D25B9"/>
    <w:rsid w:val="005D2652"/>
    <w:rsid w:val="005D292C"/>
    <w:rsid w:val="005D2E7D"/>
    <w:rsid w:val="005D358D"/>
    <w:rsid w:val="005D36D1"/>
    <w:rsid w:val="005D393E"/>
    <w:rsid w:val="005D4CCB"/>
    <w:rsid w:val="005D4DBD"/>
    <w:rsid w:val="005D56E5"/>
    <w:rsid w:val="005D5E46"/>
    <w:rsid w:val="005D6807"/>
    <w:rsid w:val="005D6991"/>
    <w:rsid w:val="005D71AB"/>
    <w:rsid w:val="005D7DBA"/>
    <w:rsid w:val="005D7EE9"/>
    <w:rsid w:val="005D7F3D"/>
    <w:rsid w:val="005D7F5A"/>
    <w:rsid w:val="005E022E"/>
    <w:rsid w:val="005E0443"/>
    <w:rsid w:val="005E04C4"/>
    <w:rsid w:val="005E0732"/>
    <w:rsid w:val="005E0AE1"/>
    <w:rsid w:val="005E10DD"/>
    <w:rsid w:val="005E11DE"/>
    <w:rsid w:val="005E140D"/>
    <w:rsid w:val="005E1AC4"/>
    <w:rsid w:val="005E1E56"/>
    <w:rsid w:val="005E1F49"/>
    <w:rsid w:val="005E266C"/>
    <w:rsid w:val="005E2873"/>
    <w:rsid w:val="005E2B12"/>
    <w:rsid w:val="005E31B1"/>
    <w:rsid w:val="005E3D1B"/>
    <w:rsid w:val="005E3D9A"/>
    <w:rsid w:val="005E431D"/>
    <w:rsid w:val="005E43FC"/>
    <w:rsid w:val="005E4BF2"/>
    <w:rsid w:val="005E4C90"/>
    <w:rsid w:val="005E4D63"/>
    <w:rsid w:val="005E5498"/>
    <w:rsid w:val="005E5817"/>
    <w:rsid w:val="005E582A"/>
    <w:rsid w:val="005E586C"/>
    <w:rsid w:val="005E5DB3"/>
    <w:rsid w:val="005E62C4"/>
    <w:rsid w:val="005E6B37"/>
    <w:rsid w:val="005E6DBC"/>
    <w:rsid w:val="005E7F53"/>
    <w:rsid w:val="005F0084"/>
    <w:rsid w:val="005F127A"/>
    <w:rsid w:val="005F19D5"/>
    <w:rsid w:val="005F2767"/>
    <w:rsid w:val="005F2E88"/>
    <w:rsid w:val="005F32ED"/>
    <w:rsid w:val="005F3C53"/>
    <w:rsid w:val="005F40BD"/>
    <w:rsid w:val="005F45BA"/>
    <w:rsid w:val="005F4A61"/>
    <w:rsid w:val="005F53B2"/>
    <w:rsid w:val="005F541E"/>
    <w:rsid w:val="005F5602"/>
    <w:rsid w:val="005F5A95"/>
    <w:rsid w:val="005F5EEB"/>
    <w:rsid w:val="005F6BF9"/>
    <w:rsid w:val="005F6D6C"/>
    <w:rsid w:val="005F6F45"/>
    <w:rsid w:val="005F793D"/>
    <w:rsid w:val="005F7CF5"/>
    <w:rsid w:val="006002CE"/>
    <w:rsid w:val="006005A6"/>
    <w:rsid w:val="00600EA9"/>
    <w:rsid w:val="006011E6"/>
    <w:rsid w:val="0060168C"/>
    <w:rsid w:val="00601FA2"/>
    <w:rsid w:val="00602511"/>
    <w:rsid w:val="00602695"/>
    <w:rsid w:val="006026C6"/>
    <w:rsid w:val="00602763"/>
    <w:rsid w:val="00602BB3"/>
    <w:rsid w:val="00602EE7"/>
    <w:rsid w:val="006031FB"/>
    <w:rsid w:val="00603A54"/>
    <w:rsid w:val="006042E1"/>
    <w:rsid w:val="00604741"/>
    <w:rsid w:val="006049CC"/>
    <w:rsid w:val="00604C56"/>
    <w:rsid w:val="00604D73"/>
    <w:rsid w:val="0060521F"/>
    <w:rsid w:val="006052B6"/>
    <w:rsid w:val="00605D7D"/>
    <w:rsid w:val="00606005"/>
    <w:rsid w:val="00606305"/>
    <w:rsid w:val="00606B5E"/>
    <w:rsid w:val="00607494"/>
    <w:rsid w:val="006074C8"/>
    <w:rsid w:val="00607BA6"/>
    <w:rsid w:val="00607BD6"/>
    <w:rsid w:val="006101DA"/>
    <w:rsid w:val="00610242"/>
    <w:rsid w:val="00610860"/>
    <w:rsid w:val="0061112F"/>
    <w:rsid w:val="006113B4"/>
    <w:rsid w:val="00611938"/>
    <w:rsid w:val="00612342"/>
    <w:rsid w:val="00612BCB"/>
    <w:rsid w:val="00612BD5"/>
    <w:rsid w:val="00612BFE"/>
    <w:rsid w:val="00612C13"/>
    <w:rsid w:val="00613006"/>
    <w:rsid w:val="00613318"/>
    <w:rsid w:val="00613465"/>
    <w:rsid w:val="00613FDC"/>
    <w:rsid w:val="00614AFE"/>
    <w:rsid w:val="00614F3B"/>
    <w:rsid w:val="0061504F"/>
    <w:rsid w:val="0061518B"/>
    <w:rsid w:val="0061543F"/>
    <w:rsid w:val="006158F6"/>
    <w:rsid w:val="00615DFD"/>
    <w:rsid w:val="00615F9F"/>
    <w:rsid w:val="006160B1"/>
    <w:rsid w:val="00616879"/>
    <w:rsid w:val="0061691F"/>
    <w:rsid w:val="00616A50"/>
    <w:rsid w:val="00616D16"/>
    <w:rsid w:val="00616D35"/>
    <w:rsid w:val="00617818"/>
    <w:rsid w:val="006179FC"/>
    <w:rsid w:val="00617CFC"/>
    <w:rsid w:val="00617D44"/>
    <w:rsid w:val="00617ED5"/>
    <w:rsid w:val="006205B7"/>
    <w:rsid w:val="006206C3"/>
    <w:rsid w:val="00620A63"/>
    <w:rsid w:val="00620C38"/>
    <w:rsid w:val="00620D9E"/>
    <w:rsid w:val="00620FA6"/>
    <w:rsid w:val="00622909"/>
    <w:rsid w:val="00622E3A"/>
    <w:rsid w:val="006235F6"/>
    <w:rsid w:val="00623B5C"/>
    <w:rsid w:val="00623C92"/>
    <w:rsid w:val="00623DB7"/>
    <w:rsid w:val="00623E10"/>
    <w:rsid w:val="00625DFB"/>
    <w:rsid w:val="006269FD"/>
    <w:rsid w:val="00626D0B"/>
    <w:rsid w:val="006270D1"/>
    <w:rsid w:val="00630A0A"/>
    <w:rsid w:val="00630D51"/>
    <w:rsid w:val="00630E87"/>
    <w:rsid w:val="006313AA"/>
    <w:rsid w:val="0063157D"/>
    <w:rsid w:val="0063174C"/>
    <w:rsid w:val="006319E4"/>
    <w:rsid w:val="00631BC2"/>
    <w:rsid w:val="00631F3F"/>
    <w:rsid w:val="0063234E"/>
    <w:rsid w:val="00632AA3"/>
    <w:rsid w:val="00632B45"/>
    <w:rsid w:val="006330C9"/>
    <w:rsid w:val="006333B6"/>
    <w:rsid w:val="006334EC"/>
    <w:rsid w:val="00633881"/>
    <w:rsid w:val="00633907"/>
    <w:rsid w:val="00634591"/>
    <w:rsid w:val="00634C23"/>
    <w:rsid w:val="00635152"/>
    <w:rsid w:val="00635239"/>
    <w:rsid w:val="0063540D"/>
    <w:rsid w:val="00636348"/>
    <w:rsid w:val="00636450"/>
    <w:rsid w:val="006365EB"/>
    <w:rsid w:val="00637254"/>
    <w:rsid w:val="00637322"/>
    <w:rsid w:val="00637CDE"/>
    <w:rsid w:val="00637F2C"/>
    <w:rsid w:val="00640437"/>
    <w:rsid w:val="00640D43"/>
    <w:rsid w:val="00641DE4"/>
    <w:rsid w:val="006420C7"/>
    <w:rsid w:val="00642513"/>
    <w:rsid w:val="006428B8"/>
    <w:rsid w:val="00642B1C"/>
    <w:rsid w:val="00642D04"/>
    <w:rsid w:val="0064309A"/>
    <w:rsid w:val="00643BFF"/>
    <w:rsid w:val="00643D74"/>
    <w:rsid w:val="00643E47"/>
    <w:rsid w:val="006443F1"/>
    <w:rsid w:val="00644C7B"/>
    <w:rsid w:val="0064509F"/>
    <w:rsid w:val="00646A60"/>
    <w:rsid w:val="00646B28"/>
    <w:rsid w:val="006478E7"/>
    <w:rsid w:val="00647AF2"/>
    <w:rsid w:val="00650015"/>
    <w:rsid w:val="00650C2F"/>
    <w:rsid w:val="00650DA9"/>
    <w:rsid w:val="0065199B"/>
    <w:rsid w:val="0065205D"/>
    <w:rsid w:val="00652BAE"/>
    <w:rsid w:val="00652EB1"/>
    <w:rsid w:val="0065324C"/>
    <w:rsid w:val="00653B3B"/>
    <w:rsid w:val="006546B4"/>
    <w:rsid w:val="00654748"/>
    <w:rsid w:val="00654A06"/>
    <w:rsid w:val="0065500A"/>
    <w:rsid w:val="00655067"/>
    <w:rsid w:val="00655C89"/>
    <w:rsid w:val="00656099"/>
    <w:rsid w:val="0065644A"/>
    <w:rsid w:val="00656CB0"/>
    <w:rsid w:val="00656D73"/>
    <w:rsid w:val="006574AB"/>
    <w:rsid w:val="0065773E"/>
    <w:rsid w:val="00657D10"/>
    <w:rsid w:val="0066068D"/>
    <w:rsid w:val="00660A55"/>
    <w:rsid w:val="00661771"/>
    <w:rsid w:val="00661F6B"/>
    <w:rsid w:val="006624FF"/>
    <w:rsid w:val="006627CB"/>
    <w:rsid w:val="00662A86"/>
    <w:rsid w:val="00662D33"/>
    <w:rsid w:val="00663046"/>
    <w:rsid w:val="0066306C"/>
    <w:rsid w:val="0066322B"/>
    <w:rsid w:val="0066341F"/>
    <w:rsid w:val="00663A1F"/>
    <w:rsid w:val="00663C8F"/>
    <w:rsid w:val="0066441B"/>
    <w:rsid w:val="00664436"/>
    <w:rsid w:val="0066467D"/>
    <w:rsid w:val="0066526C"/>
    <w:rsid w:val="00665A6F"/>
    <w:rsid w:val="006674D4"/>
    <w:rsid w:val="00667B95"/>
    <w:rsid w:val="006702F5"/>
    <w:rsid w:val="00670355"/>
    <w:rsid w:val="006708CA"/>
    <w:rsid w:val="00670909"/>
    <w:rsid w:val="00670C36"/>
    <w:rsid w:val="00670E7A"/>
    <w:rsid w:val="00671E96"/>
    <w:rsid w:val="006721FB"/>
    <w:rsid w:val="00672604"/>
    <w:rsid w:val="00672831"/>
    <w:rsid w:val="006733B6"/>
    <w:rsid w:val="006735FE"/>
    <w:rsid w:val="006737E1"/>
    <w:rsid w:val="006738AE"/>
    <w:rsid w:val="00673E73"/>
    <w:rsid w:val="00674077"/>
    <w:rsid w:val="006743CD"/>
    <w:rsid w:val="00674410"/>
    <w:rsid w:val="00674C1B"/>
    <w:rsid w:val="00674E7F"/>
    <w:rsid w:val="00674FA9"/>
    <w:rsid w:val="006756B1"/>
    <w:rsid w:val="00675BE9"/>
    <w:rsid w:val="006762EF"/>
    <w:rsid w:val="00676674"/>
    <w:rsid w:val="00676C8F"/>
    <w:rsid w:val="0067756A"/>
    <w:rsid w:val="00677819"/>
    <w:rsid w:val="00677A29"/>
    <w:rsid w:val="00677AE3"/>
    <w:rsid w:val="00680443"/>
    <w:rsid w:val="00680A0D"/>
    <w:rsid w:val="00680E68"/>
    <w:rsid w:val="0068121F"/>
    <w:rsid w:val="00682022"/>
    <w:rsid w:val="00682358"/>
    <w:rsid w:val="006824E5"/>
    <w:rsid w:val="00682892"/>
    <w:rsid w:val="0068298E"/>
    <w:rsid w:val="00682AB8"/>
    <w:rsid w:val="00682ABC"/>
    <w:rsid w:val="00682FD8"/>
    <w:rsid w:val="00683FD9"/>
    <w:rsid w:val="006841C4"/>
    <w:rsid w:val="00684273"/>
    <w:rsid w:val="00684903"/>
    <w:rsid w:val="00684CD1"/>
    <w:rsid w:val="00685082"/>
    <w:rsid w:val="00685355"/>
    <w:rsid w:val="00685474"/>
    <w:rsid w:val="006859FF"/>
    <w:rsid w:val="00686EED"/>
    <w:rsid w:val="006872ED"/>
    <w:rsid w:val="00687465"/>
    <w:rsid w:val="0068753B"/>
    <w:rsid w:val="00687701"/>
    <w:rsid w:val="00687952"/>
    <w:rsid w:val="00687E77"/>
    <w:rsid w:val="006904E9"/>
    <w:rsid w:val="00690D8B"/>
    <w:rsid w:val="006917DF"/>
    <w:rsid w:val="00691AF2"/>
    <w:rsid w:val="00691B8E"/>
    <w:rsid w:val="00691D5E"/>
    <w:rsid w:val="0069241A"/>
    <w:rsid w:val="00692505"/>
    <w:rsid w:val="00692725"/>
    <w:rsid w:val="00692D50"/>
    <w:rsid w:val="0069329C"/>
    <w:rsid w:val="006932DA"/>
    <w:rsid w:val="0069393B"/>
    <w:rsid w:val="00693BFE"/>
    <w:rsid w:val="00693EF5"/>
    <w:rsid w:val="00694070"/>
    <w:rsid w:val="006952F8"/>
    <w:rsid w:val="00695972"/>
    <w:rsid w:val="00695C1A"/>
    <w:rsid w:val="00695DDF"/>
    <w:rsid w:val="0069604F"/>
    <w:rsid w:val="0069641C"/>
    <w:rsid w:val="00696476"/>
    <w:rsid w:val="006965A3"/>
    <w:rsid w:val="0069683D"/>
    <w:rsid w:val="00696CC7"/>
    <w:rsid w:val="00696DD8"/>
    <w:rsid w:val="00696F26"/>
    <w:rsid w:val="00697967"/>
    <w:rsid w:val="00697D2B"/>
    <w:rsid w:val="006A02EA"/>
    <w:rsid w:val="006A0408"/>
    <w:rsid w:val="006A0739"/>
    <w:rsid w:val="006A19B0"/>
    <w:rsid w:val="006A1F29"/>
    <w:rsid w:val="006A23F3"/>
    <w:rsid w:val="006A2B1D"/>
    <w:rsid w:val="006A3107"/>
    <w:rsid w:val="006A33DE"/>
    <w:rsid w:val="006A38DF"/>
    <w:rsid w:val="006A3A8F"/>
    <w:rsid w:val="006A3F79"/>
    <w:rsid w:val="006A467F"/>
    <w:rsid w:val="006A4B69"/>
    <w:rsid w:val="006A5A1E"/>
    <w:rsid w:val="006A5A6C"/>
    <w:rsid w:val="006A5BD2"/>
    <w:rsid w:val="006A6335"/>
    <w:rsid w:val="006A6852"/>
    <w:rsid w:val="006A696B"/>
    <w:rsid w:val="006A6C90"/>
    <w:rsid w:val="006A7918"/>
    <w:rsid w:val="006A796F"/>
    <w:rsid w:val="006A7EA7"/>
    <w:rsid w:val="006B010A"/>
    <w:rsid w:val="006B06B3"/>
    <w:rsid w:val="006B07C8"/>
    <w:rsid w:val="006B128D"/>
    <w:rsid w:val="006B196C"/>
    <w:rsid w:val="006B1B1F"/>
    <w:rsid w:val="006B1C45"/>
    <w:rsid w:val="006B215A"/>
    <w:rsid w:val="006B27B8"/>
    <w:rsid w:val="006B2AEB"/>
    <w:rsid w:val="006B30E9"/>
    <w:rsid w:val="006B35DC"/>
    <w:rsid w:val="006B3631"/>
    <w:rsid w:val="006B3783"/>
    <w:rsid w:val="006B396C"/>
    <w:rsid w:val="006B3BD2"/>
    <w:rsid w:val="006B3F34"/>
    <w:rsid w:val="006B4F6D"/>
    <w:rsid w:val="006B5351"/>
    <w:rsid w:val="006B5482"/>
    <w:rsid w:val="006B5AD8"/>
    <w:rsid w:val="006B5BD9"/>
    <w:rsid w:val="006B6238"/>
    <w:rsid w:val="006B6344"/>
    <w:rsid w:val="006B6444"/>
    <w:rsid w:val="006B6C00"/>
    <w:rsid w:val="006B6EA6"/>
    <w:rsid w:val="006B7433"/>
    <w:rsid w:val="006B7AF7"/>
    <w:rsid w:val="006C0E83"/>
    <w:rsid w:val="006C10DB"/>
    <w:rsid w:val="006C1794"/>
    <w:rsid w:val="006C2346"/>
    <w:rsid w:val="006C2B31"/>
    <w:rsid w:val="006C360B"/>
    <w:rsid w:val="006C3C5F"/>
    <w:rsid w:val="006C4449"/>
    <w:rsid w:val="006C4C30"/>
    <w:rsid w:val="006C5013"/>
    <w:rsid w:val="006C52EE"/>
    <w:rsid w:val="006C5FA1"/>
    <w:rsid w:val="006C62D9"/>
    <w:rsid w:val="006C6568"/>
    <w:rsid w:val="006C6FE5"/>
    <w:rsid w:val="006C71A0"/>
    <w:rsid w:val="006C7246"/>
    <w:rsid w:val="006C7383"/>
    <w:rsid w:val="006C76CD"/>
    <w:rsid w:val="006C790D"/>
    <w:rsid w:val="006C79BA"/>
    <w:rsid w:val="006C7B01"/>
    <w:rsid w:val="006C7CE0"/>
    <w:rsid w:val="006C7E22"/>
    <w:rsid w:val="006C7F99"/>
    <w:rsid w:val="006D03DB"/>
    <w:rsid w:val="006D08BA"/>
    <w:rsid w:val="006D0B68"/>
    <w:rsid w:val="006D1BD9"/>
    <w:rsid w:val="006D2042"/>
    <w:rsid w:val="006D2BA1"/>
    <w:rsid w:val="006D2DE9"/>
    <w:rsid w:val="006D2F19"/>
    <w:rsid w:val="006D3011"/>
    <w:rsid w:val="006D3107"/>
    <w:rsid w:val="006D36A1"/>
    <w:rsid w:val="006D3A09"/>
    <w:rsid w:val="006D3C4F"/>
    <w:rsid w:val="006D3DA7"/>
    <w:rsid w:val="006D3F99"/>
    <w:rsid w:val="006D40BE"/>
    <w:rsid w:val="006D4129"/>
    <w:rsid w:val="006D44C4"/>
    <w:rsid w:val="006D4780"/>
    <w:rsid w:val="006D48AE"/>
    <w:rsid w:val="006D50DD"/>
    <w:rsid w:val="006D5521"/>
    <w:rsid w:val="006D5670"/>
    <w:rsid w:val="006D6287"/>
    <w:rsid w:val="006D65A3"/>
    <w:rsid w:val="006D726D"/>
    <w:rsid w:val="006D74AE"/>
    <w:rsid w:val="006D7552"/>
    <w:rsid w:val="006D75AC"/>
    <w:rsid w:val="006D7FB1"/>
    <w:rsid w:val="006E01CC"/>
    <w:rsid w:val="006E045C"/>
    <w:rsid w:val="006E04B0"/>
    <w:rsid w:val="006E0823"/>
    <w:rsid w:val="006E0E30"/>
    <w:rsid w:val="006E1235"/>
    <w:rsid w:val="006E1414"/>
    <w:rsid w:val="006E20CA"/>
    <w:rsid w:val="006E2219"/>
    <w:rsid w:val="006E2240"/>
    <w:rsid w:val="006E226A"/>
    <w:rsid w:val="006E2B5C"/>
    <w:rsid w:val="006E2F31"/>
    <w:rsid w:val="006E2F40"/>
    <w:rsid w:val="006E3BFF"/>
    <w:rsid w:val="006E3D10"/>
    <w:rsid w:val="006E410E"/>
    <w:rsid w:val="006E5391"/>
    <w:rsid w:val="006E5914"/>
    <w:rsid w:val="006E592D"/>
    <w:rsid w:val="006E610D"/>
    <w:rsid w:val="006E6160"/>
    <w:rsid w:val="006E6B5D"/>
    <w:rsid w:val="006E6C3C"/>
    <w:rsid w:val="006E6F19"/>
    <w:rsid w:val="006E77FB"/>
    <w:rsid w:val="006E7889"/>
    <w:rsid w:val="006F01C4"/>
    <w:rsid w:val="006F030C"/>
    <w:rsid w:val="006F0643"/>
    <w:rsid w:val="006F083B"/>
    <w:rsid w:val="006F0D55"/>
    <w:rsid w:val="006F102E"/>
    <w:rsid w:val="006F113D"/>
    <w:rsid w:val="006F167D"/>
    <w:rsid w:val="006F1C87"/>
    <w:rsid w:val="006F1EED"/>
    <w:rsid w:val="006F204B"/>
    <w:rsid w:val="006F2950"/>
    <w:rsid w:val="006F29F4"/>
    <w:rsid w:val="006F2FB7"/>
    <w:rsid w:val="006F32D5"/>
    <w:rsid w:val="006F4147"/>
    <w:rsid w:val="006F425F"/>
    <w:rsid w:val="006F5211"/>
    <w:rsid w:val="006F54DD"/>
    <w:rsid w:val="006F561A"/>
    <w:rsid w:val="006F5B4F"/>
    <w:rsid w:val="006F6DB5"/>
    <w:rsid w:val="006F6F01"/>
    <w:rsid w:val="006F71FD"/>
    <w:rsid w:val="006F793B"/>
    <w:rsid w:val="00700295"/>
    <w:rsid w:val="00700E39"/>
    <w:rsid w:val="007011AD"/>
    <w:rsid w:val="00701589"/>
    <w:rsid w:val="00701C75"/>
    <w:rsid w:val="00702117"/>
    <w:rsid w:val="00702AFF"/>
    <w:rsid w:val="00702C84"/>
    <w:rsid w:val="00702CF5"/>
    <w:rsid w:val="0070365C"/>
    <w:rsid w:val="00703807"/>
    <w:rsid w:val="00703A6E"/>
    <w:rsid w:val="00703B3B"/>
    <w:rsid w:val="00703EF7"/>
    <w:rsid w:val="007040ED"/>
    <w:rsid w:val="00704164"/>
    <w:rsid w:val="0070454F"/>
    <w:rsid w:val="0070458D"/>
    <w:rsid w:val="007048F8"/>
    <w:rsid w:val="00704CBE"/>
    <w:rsid w:val="00705015"/>
    <w:rsid w:val="007053DF"/>
    <w:rsid w:val="00705429"/>
    <w:rsid w:val="00705478"/>
    <w:rsid w:val="00705A59"/>
    <w:rsid w:val="00706234"/>
    <w:rsid w:val="0070663E"/>
    <w:rsid w:val="007066C9"/>
    <w:rsid w:val="00706DBF"/>
    <w:rsid w:val="00706FC7"/>
    <w:rsid w:val="00706FFE"/>
    <w:rsid w:val="00707410"/>
    <w:rsid w:val="00707D94"/>
    <w:rsid w:val="00707F94"/>
    <w:rsid w:val="00710D3C"/>
    <w:rsid w:val="00710EE7"/>
    <w:rsid w:val="007115DE"/>
    <w:rsid w:val="00711754"/>
    <w:rsid w:val="00712034"/>
    <w:rsid w:val="00712426"/>
    <w:rsid w:val="0071245E"/>
    <w:rsid w:val="00712AC9"/>
    <w:rsid w:val="00712F58"/>
    <w:rsid w:val="00713728"/>
    <w:rsid w:val="007143EB"/>
    <w:rsid w:val="00714547"/>
    <w:rsid w:val="00714855"/>
    <w:rsid w:val="00714A96"/>
    <w:rsid w:val="00714D12"/>
    <w:rsid w:val="00715321"/>
    <w:rsid w:val="0071577C"/>
    <w:rsid w:val="00715AF3"/>
    <w:rsid w:val="00715BB4"/>
    <w:rsid w:val="00715CEF"/>
    <w:rsid w:val="00716522"/>
    <w:rsid w:val="007167BD"/>
    <w:rsid w:val="00717443"/>
    <w:rsid w:val="007176A8"/>
    <w:rsid w:val="00717910"/>
    <w:rsid w:val="00717A66"/>
    <w:rsid w:val="00717A69"/>
    <w:rsid w:val="00720034"/>
    <w:rsid w:val="00720531"/>
    <w:rsid w:val="00720B7E"/>
    <w:rsid w:val="00720DB8"/>
    <w:rsid w:val="007214F6"/>
    <w:rsid w:val="00723007"/>
    <w:rsid w:val="00723100"/>
    <w:rsid w:val="007236CD"/>
    <w:rsid w:val="0072375A"/>
    <w:rsid w:val="007241AA"/>
    <w:rsid w:val="007242A1"/>
    <w:rsid w:val="007243EA"/>
    <w:rsid w:val="00724819"/>
    <w:rsid w:val="007248E9"/>
    <w:rsid w:val="00724959"/>
    <w:rsid w:val="00724E2C"/>
    <w:rsid w:val="00725F2E"/>
    <w:rsid w:val="00726620"/>
    <w:rsid w:val="007269BB"/>
    <w:rsid w:val="00726A04"/>
    <w:rsid w:val="00730DB4"/>
    <w:rsid w:val="007310BB"/>
    <w:rsid w:val="00731185"/>
    <w:rsid w:val="0073180B"/>
    <w:rsid w:val="00731EC7"/>
    <w:rsid w:val="0073211E"/>
    <w:rsid w:val="007324CC"/>
    <w:rsid w:val="00732661"/>
    <w:rsid w:val="007327AB"/>
    <w:rsid w:val="00732AD1"/>
    <w:rsid w:val="00732B57"/>
    <w:rsid w:val="00733221"/>
    <w:rsid w:val="0073382B"/>
    <w:rsid w:val="00733F9E"/>
    <w:rsid w:val="00734011"/>
    <w:rsid w:val="0073420A"/>
    <w:rsid w:val="00734D35"/>
    <w:rsid w:val="007353CD"/>
    <w:rsid w:val="007355BE"/>
    <w:rsid w:val="007358E6"/>
    <w:rsid w:val="00735D81"/>
    <w:rsid w:val="00735DF3"/>
    <w:rsid w:val="00735EBC"/>
    <w:rsid w:val="007360C8"/>
    <w:rsid w:val="00736C3F"/>
    <w:rsid w:val="00737A3A"/>
    <w:rsid w:val="00737B9F"/>
    <w:rsid w:val="00740480"/>
    <w:rsid w:val="00740712"/>
    <w:rsid w:val="00740A61"/>
    <w:rsid w:val="00740FA7"/>
    <w:rsid w:val="00742B1F"/>
    <w:rsid w:val="00742C72"/>
    <w:rsid w:val="00742C80"/>
    <w:rsid w:val="00742E84"/>
    <w:rsid w:val="007432EA"/>
    <w:rsid w:val="0074409D"/>
    <w:rsid w:val="007444D7"/>
    <w:rsid w:val="00744AD1"/>
    <w:rsid w:val="00745F36"/>
    <w:rsid w:val="00745FEB"/>
    <w:rsid w:val="007460DF"/>
    <w:rsid w:val="0074654B"/>
    <w:rsid w:val="00746CBF"/>
    <w:rsid w:val="0074708D"/>
    <w:rsid w:val="0074799E"/>
    <w:rsid w:val="00750504"/>
    <w:rsid w:val="00750E37"/>
    <w:rsid w:val="007511A2"/>
    <w:rsid w:val="00751379"/>
    <w:rsid w:val="00751590"/>
    <w:rsid w:val="00751594"/>
    <w:rsid w:val="00751815"/>
    <w:rsid w:val="0075198F"/>
    <w:rsid w:val="00751AF0"/>
    <w:rsid w:val="00751F10"/>
    <w:rsid w:val="00752192"/>
    <w:rsid w:val="00753306"/>
    <w:rsid w:val="007537CA"/>
    <w:rsid w:val="00753CD9"/>
    <w:rsid w:val="00753DA4"/>
    <w:rsid w:val="00753EDB"/>
    <w:rsid w:val="0075426D"/>
    <w:rsid w:val="007549FB"/>
    <w:rsid w:val="00754D31"/>
    <w:rsid w:val="00754DA1"/>
    <w:rsid w:val="00755E7F"/>
    <w:rsid w:val="00755F95"/>
    <w:rsid w:val="007560CF"/>
    <w:rsid w:val="0075621B"/>
    <w:rsid w:val="00756872"/>
    <w:rsid w:val="00756A6C"/>
    <w:rsid w:val="00756D36"/>
    <w:rsid w:val="00756F3F"/>
    <w:rsid w:val="00757EB6"/>
    <w:rsid w:val="007604A1"/>
    <w:rsid w:val="007605F0"/>
    <w:rsid w:val="00760DBE"/>
    <w:rsid w:val="00761E3F"/>
    <w:rsid w:val="00762B91"/>
    <w:rsid w:val="007637FF"/>
    <w:rsid w:val="00763A01"/>
    <w:rsid w:val="00763F07"/>
    <w:rsid w:val="007643F5"/>
    <w:rsid w:val="007648A2"/>
    <w:rsid w:val="007657AD"/>
    <w:rsid w:val="007664C7"/>
    <w:rsid w:val="00767063"/>
    <w:rsid w:val="0076713F"/>
    <w:rsid w:val="0076737D"/>
    <w:rsid w:val="00767401"/>
    <w:rsid w:val="0076740E"/>
    <w:rsid w:val="00767C7C"/>
    <w:rsid w:val="00767CAC"/>
    <w:rsid w:val="00770547"/>
    <w:rsid w:val="0077111A"/>
    <w:rsid w:val="00771436"/>
    <w:rsid w:val="007718F1"/>
    <w:rsid w:val="0077194F"/>
    <w:rsid w:val="0077201F"/>
    <w:rsid w:val="007733D1"/>
    <w:rsid w:val="00773C4D"/>
    <w:rsid w:val="00773D61"/>
    <w:rsid w:val="00773FA3"/>
    <w:rsid w:val="00774B73"/>
    <w:rsid w:val="00774BC9"/>
    <w:rsid w:val="00774DF8"/>
    <w:rsid w:val="00774F02"/>
    <w:rsid w:val="007751D0"/>
    <w:rsid w:val="0077525C"/>
    <w:rsid w:val="007754CC"/>
    <w:rsid w:val="007759D9"/>
    <w:rsid w:val="00775EA7"/>
    <w:rsid w:val="00775F76"/>
    <w:rsid w:val="00776515"/>
    <w:rsid w:val="0077680D"/>
    <w:rsid w:val="00776A04"/>
    <w:rsid w:val="00777F32"/>
    <w:rsid w:val="007800F5"/>
    <w:rsid w:val="007801F0"/>
    <w:rsid w:val="00780D06"/>
    <w:rsid w:val="00781527"/>
    <w:rsid w:val="00781B7A"/>
    <w:rsid w:val="00781BAB"/>
    <w:rsid w:val="00782AA7"/>
    <w:rsid w:val="0078363D"/>
    <w:rsid w:val="007836FE"/>
    <w:rsid w:val="00783821"/>
    <w:rsid w:val="00783F02"/>
    <w:rsid w:val="00784037"/>
    <w:rsid w:val="0078414A"/>
    <w:rsid w:val="007845AB"/>
    <w:rsid w:val="00785123"/>
    <w:rsid w:val="0078542B"/>
    <w:rsid w:val="007861EA"/>
    <w:rsid w:val="00786F88"/>
    <w:rsid w:val="007875D7"/>
    <w:rsid w:val="00790D12"/>
    <w:rsid w:val="00790E87"/>
    <w:rsid w:val="00791527"/>
    <w:rsid w:val="00791DC7"/>
    <w:rsid w:val="00791E5E"/>
    <w:rsid w:val="0079239A"/>
    <w:rsid w:val="00792894"/>
    <w:rsid w:val="00793157"/>
    <w:rsid w:val="00794157"/>
    <w:rsid w:val="00794584"/>
    <w:rsid w:val="00794F3A"/>
    <w:rsid w:val="00795023"/>
    <w:rsid w:val="00795902"/>
    <w:rsid w:val="00795EFF"/>
    <w:rsid w:val="00795F0C"/>
    <w:rsid w:val="007965D6"/>
    <w:rsid w:val="00796EB7"/>
    <w:rsid w:val="00797099"/>
    <w:rsid w:val="007974F7"/>
    <w:rsid w:val="00797AA6"/>
    <w:rsid w:val="00797C97"/>
    <w:rsid w:val="00797CFA"/>
    <w:rsid w:val="00797F0F"/>
    <w:rsid w:val="00797F2A"/>
    <w:rsid w:val="007A0467"/>
    <w:rsid w:val="007A0D5F"/>
    <w:rsid w:val="007A0E6C"/>
    <w:rsid w:val="007A100A"/>
    <w:rsid w:val="007A10CC"/>
    <w:rsid w:val="007A13E0"/>
    <w:rsid w:val="007A26AF"/>
    <w:rsid w:val="007A3049"/>
    <w:rsid w:val="007A3B1D"/>
    <w:rsid w:val="007A3E13"/>
    <w:rsid w:val="007A4146"/>
    <w:rsid w:val="007A4689"/>
    <w:rsid w:val="007A5CE3"/>
    <w:rsid w:val="007A5D92"/>
    <w:rsid w:val="007A5E88"/>
    <w:rsid w:val="007A6029"/>
    <w:rsid w:val="007A6032"/>
    <w:rsid w:val="007A6135"/>
    <w:rsid w:val="007A66C8"/>
    <w:rsid w:val="007A6802"/>
    <w:rsid w:val="007A72EE"/>
    <w:rsid w:val="007A7A41"/>
    <w:rsid w:val="007A7DD6"/>
    <w:rsid w:val="007B016C"/>
    <w:rsid w:val="007B03AC"/>
    <w:rsid w:val="007B0924"/>
    <w:rsid w:val="007B1317"/>
    <w:rsid w:val="007B19F6"/>
    <w:rsid w:val="007B21C3"/>
    <w:rsid w:val="007B2452"/>
    <w:rsid w:val="007B27E4"/>
    <w:rsid w:val="007B2D20"/>
    <w:rsid w:val="007B369E"/>
    <w:rsid w:val="007B3B10"/>
    <w:rsid w:val="007B3C69"/>
    <w:rsid w:val="007B4022"/>
    <w:rsid w:val="007B409D"/>
    <w:rsid w:val="007B5722"/>
    <w:rsid w:val="007B5EB5"/>
    <w:rsid w:val="007B611E"/>
    <w:rsid w:val="007B6E31"/>
    <w:rsid w:val="007B72F3"/>
    <w:rsid w:val="007B7309"/>
    <w:rsid w:val="007B7336"/>
    <w:rsid w:val="007B78C6"/>
    <w:rsid w:val="007B78FB"/>
    <w:rsid w:val="007B7EF8"/>
    <w:rsid w:val="007C09B8"/>
    <w:rsid w:val="007C0F3D"/>
    <w:rsid w:val="007C11FD"/>
    <w:rsid w:val="007C1A50"/>
    <w:rsid w:val="007C2069"/>
    <w:rsid w:val="007C22F4"/>
    <w:rsid w:val="007C2EBB"/>
    <w:rsid w:val="007C3341"/>
    <w:rsid w:val="007C3BE3"/>
    <w:rsid w:val="007C3CF5"/>
    <w:rsid w:val="007C3FEE"/>
    <w:rsid w:val="007C48A5"/>
    <w:rsid w:val="007C48BE"/>
    <w:rsid w:val="007C552E"/>
    <w:rsid w:val="007C5C38"/>
    <w:rsid w:val="007C6398"/>
    <w:rsid w:val="007C63E4"/>
    <w:rsid w:val="007C65F2"/>
    <w:rsid w:val="007C685F"/>
    <w:rsid w:val="007C6967"/>
    <w:rsid w:val="007C69E0"/>
    <w:rsid w:val="007C6D82"/>
    <w:rsid w:val="007C6EE1"/>
    <w:rsid w:val="007C7206"/>
    <w:rsid w:val="007C734F"/>
    <w:rsid w:val="007C7829"/>
    <w:rsid w:val="007C7B21"/>
    <w:rsid w:val="007C7EE5"/>
    <w:rsid w:val="007C7F9D"/>
    <w:rsid w:val="007D0037"/>
    <w:rsid w:val="007D08A1"/>
    <w:rsid w:val="007D1753"/>
    <w:rsid w:val="007D1D36"/>
    <w:rsid w:val="007D1DAC"/>
    <w:rsid w:val="007D1DBE"/>
    <w:rsid w:val="007D1DF1"/>
    <w:rsid w:val="007D21EF"/>
    <w:rsid w:val="007D25C0"/>
    <w:rsid w:val="007D2AF3"/>
    <w:rsid w:val="007D3001"/>
    <w:rsid w:val="007D32FB"/>
    <w:rsid w:val="007D3332"/>
    <w:rsid w:val="007D386E"/>
    <w:rsid w:val="007D39E1"/>
    <w:rsid w:val="007D426E"/>
    <w:rsid w:val="007D495B"/>
    <w:rsid w:val="007D5840"/>
    <w:rsid w:val="007D5E0A"/>
    <w:rsid w:val="007D5EB1"/>
    <w:rsid w:val="007D6580"/>
    <w:rsid w:val="007D6B83"/>
    <w:rsid w:val="007D6DBB"/>
    <w:rsid w:val="007D7047"/>
    <w:rsid w:val="007D729E"/>
    <w:rsid w:val="007E0171"/>
    <w:rsid w:val="007E07B3"/>
    <w:rsid w:val="007E0A52"/>
    <w:rsid w:val="007E1E75"/>
    <w:rsid w:val="007E2160"/>
    <w:rsid w:val="007E227C"/>
    <w:rsid w:val="007E2988"/>
    <w:rsid w:val="007E36B0"/>
    <w:rsid w:val="007E398F"/>
    <w:rsid w:val="007E3F04"/>
    <w:rsid w:val="007E40BF"/>
    <w:rsid w:val="007E4622"/>
    <w:rsid w:val="007E48C4"/>
    <w:rsid w:val="007E4F57"/>
    <w:rsid w:val="007E524E"/>
    <w:rsid w:val="007E548A"/>
    <w:rsid w:val="007E55E1"/>
    <w:rsid w:val="007E5C53"/>
    <w:rsid w:val="007E5D2E"/>
    <w:rsid w:val="007E5DC3"/>
    <w:rsid w:val="007E5F07"/>
    <w:rsid w:val="007E693E"/>
    <w:rsid w:val="007E6A8B"/>
    <w:rsid w:val="007E7A37"/>
    <w:rsid w:val="007E7BC9"/>
    <w:rsid w:val="007E7D56"/>
    <w:rsid w:val="007E7E66"/>
    <w:rsid w:val="007E7F11"/>
    <w:rsid w:val="007F0260"/>
    <w:rsid w:val="007F0C63"/>
    <w:rsid w:val="007F1C41"/>
    <w:rsid w:val="007F2118"/>
    <w:rsid w:val="007F25F2"/>
    <w:rsid w:val="007F28A8"/>
    <w:rsid w:val="007F3DA0"/>
    <w:rsid w:val="007F3FC3"/>
    <w:rsid w:val="007F431C"/>
    <w:rsid w:val="007F4B44"/>
    <w:rsid w:val="007F518B"/>
    <w:rsid w:val="007F5554"/>
    <w:rsid w:val="007F59B7"/>
    <w:rsid w:val="007F5F78"/>
    <w:rsid w:val="007F6315"/>
    <w:rsid w:val="007F69C5"/>
    <w:rsid w:val="007F73BB"/>
    <w:rsid w:val="007F7A6B"/>
    <w:rsid w:val="008002E4"/>
    <w:rsid w:val="008012DB"/>
    <w:rsid w:val="00801B53"/>
    <w:rsid w:val="00801BEE"/>
    <w:rsid w:val="008022ED"/>
    <w:rsid w:val="0080231A"/>
    <w:rsid w:val="0080254B"/>
    <w:rsid w:val="00802DAE"/>
    <w:rsid w:val="008031E4"/>
    <w:rsid w:val="00803575"/>
    <w:rsid w:val="00803D2B"/>
    <w:rsid w:val="00803E50"/>
    <w:rsid w:val="00804E9C"/>
    <w:rsid w:val="00806E3F"/>
    <w:rsid w:val="00807278"/>
    <w:rsid w:val="00807730"/>
    <w:rsid w:val="00810494"/>
    <w:rsid w:val="00810565"/>
    <w:rsid w:val="00810926"/>
    <w:rsid w:val="00810B69"/>
    <w:rsid w:val="00811C38"/>
    <w:rsid w:val="0081234E"/>
    <w:rsid w:val="008123DE"/>
    <w:rsid w:val="00812521"/>
    <w:rsid w:val="008126D4"/>
    <w:rsid w:val="00812B65"/>
    <w:rsid w:val="00812EB0"/>
    <w:rsid w:val="00813651"/>
    <w:rsid w:val="00813685"/>
    <w:rsid w:val="00813BE6"/>
    <w:rsid w:val="0081468A"/>
    <w:rsid w:val="00814799"/>
    <w:rsid w:val="00814A39"/>
    <w:rsid w:val="00814F46"/>
    <w:rsid w:val="00814FB8"/>
    <w:rsid w:val="008163A6"/>
    <w:rsid w:val="008164F9"/>
    <w:rsid w:val="0081666B"/>
    <w:rsid w:val="008169E9"/>
    <w:rsid w:val="00816DFD"/>
    <w:rsid w:val="0081710C"/>
    <w:rsid w:val="00817BDA"/>
    <w:rsid w:val="00820092"/>
    <w:rsid w:val="0082048F"/>
    <w:rsid w:val="00820915"/>
    <w:rsid w:val="00820A55"/>
    <w:rsid w:val="00820D04"/>
    <w:rsid w:val="00820DF8"/>
    <w:rsid w:val="00821049"/>
    <w:rsid w:val="008215CE"/>
    <w:rsid w:val="00821810"/>
    <w:rsid w:val="00821882"/>
    <w:rsid w:val="00821EE3"/>
    <w:rsid w:val="00822489"/>
    <w:rsid w:val="00822656"/>
    <w:rsid w:val="0082321B"/>
    <w:rsid w:val="0082326E"/>
    <w:rsid w:val="0082356A"/>
    <w:rsid w:val="00823B52"/>
    <w:rsid w:val="0082410B"/>
    <w:rsid w:val="0082471B"/>
    <w:rsid w:val="00824899"/>
    <w:rsid w:val="0082495D"/>
    <w:rsid w:val="00824ADE"/>
    <w:rsid w:val="00824AE3"/>
    <w:rsid w:val="00824CCD"/>
    <w:rsid w:val="00824E9D"/>
    <w:rsid w:val="0082503B"/>
    <w:rsid w:val="008252F2"/>
    <w:rsid w:val="008256CA"/>
    <w:rsid w:val="00825781"/>
    <w:rsid w:val="00825ED7"/>
    <w:rsid w:val="008261CF"/>
    <w:rsid w:val="00826222"/>
    <w:rsid w:val="00826398"/>
    <w:rsid w:val="00826C80"/>
    <w:rsid w:val="008272FA"/>
    <w:rsid w:val="0082780C"/>
    <w:rsid w:val="00827945"/>
    <w:rsid w:val="008300A5"/>
    <w:rsid w:val="00830197"/>
    <w:rsid w:val="0083078C"/>
    <w:rsid w:val="00830FCF"/>
    <w:rsid w:val="008311D2"/>
    <w:rsid w:val="00831BEA"/>
    <w:rsid w:val="00832129"/>
    <w:rsid w:val="008321D0"/>
    <w:rsid w:val="00833B13"/>
    <w:rsid w:val="00833B64"/>
    <w:rsid w:val="00833F4D"/>
    <w:rsid w:val="008342DB"/>
    <w:rsid w:val="00834599"/>
    <w:rsid w:val="00834C2D"/>
    <w:rsid w:val="00834E22"/>
    <w:rsid w:val="00835008"/>
    <w:rsid w:val="0083515C"/>
    <w:rsid w:val="008351BC"/>
    <w:rsid w:val="008357DE"/>
    <w:rsid w:val="00835C47"/>
    <w:rsid w:val="00835C84"/>
    <w:rsid w:val="00835CE6"/>
    <w:rsid w:val="00835F35"/>
    <w:rsid w:val="00835FA0"/>
    <w:rsid w:val="00836821"/>
    <w:rsid w:val="00836B1E"/>
    <w:rsid w:val="00836BB1"/>
    <w:rsid w:val="00836C1D"/>
    <w:rsid w:val="00836C54"/>
    <w:rsid w:val="00836D7F"/>
    <w:rsid w:val="0083750C"/>
    <w:rsid w:val="00837A35"/>
    <w:rsid w:val="00837A70"/>
    <w:rsid w:val="00837DA1"/>
    <w:rsid w:val="008401F6"/>
    <w:rsid w:val="00840364"/>
    <w:rsid w:val="00840CD2"/>
    <w:rsid w:val="0084127C"/>
    <w:rsid w:val="00841A0D"/>
    <w:rsid w:val="00842366"/>
    <w:rsid w:val="008425C7"/>
    <w:rsid w:val="0084282C"/>
    <w:rsid w:val="00842B63"/>
    <w:rsid w:val="00842ECE"/>
    <w:rsid w:val="0084401A"/>
    <w:rsid w:val="00844461"/>
    <w:rsid w:val="008448BE"/>
    <w:rsid w:val="00844DE6"/>
    <w:rsid w:val="00845188"/>
    <w:rsid w:val="008451EB"/>
    <w:rsid w:val="0084680C"/>
    <w:rsid w:val="00846AB8"/>
    <w:rsid w:val="00846B9F"/>
    <w:rsid w:val="00846E5F"/>
    <w:rsid w:val="00847C24"/>
    <w:rsid w:val="00847C76"/>
    <w:rsid w:val="00847E9D"/>
    <w:rsid w:val="00850B4A"/>
    <w:rsid w:val="0085133F"/>
    <w:rsid w:val="00851587"/>
    <w:rsid w:val="00851889"/>
    <w:rsid w:val="00851BDF"/>
    <w:rsid w:val="00851D57"/>
    <w:rsid w:val="0085202C"/>
    <w:rsid w:val="00852E49"/>
    <w:rsid w:val="00853FC2"/>
    <w:rsid w:val="00854BDB"/>
    <w:rsid w:val="00855275"/>
    <w:rsid w:val="0085607F"/>
    <w:rsid w:val="00856836"/>
    <w:rsid w:val="00856DCB"/>
    <w:rsid w:val="00856F72"/>
    <w:rsid w:val="00857453"/>
    <w:rsid w:val="0086061A"/>
    <w:rsid w:val="0086093C"/>
    <w:rsid w:val="00860C5B"/>
    <w:rsid w:val="0086115B"/>
    <w:rsid w:val="0086121C"/>
    <w:rsid w:val="008613C6"/>
    <w:rsid w:val="00862D76"/>
    <w:rsid w:val="008631AC"/>
    <w:rsid w:val="008632E7"/>
    <w:rsid w:val="00863326"/>
    <w:rsid w:val="00863490"/>
    <w:rsid w:val="00863683"/>
    <w:rsid w:val="008636AC"/>
    <w:rsid w:val="008636E9"/>
    <w:rsid w:val="00863D4F"/>
    <w:rsid w:val="00863EC4"/>
    <w:rsid w:val="008641DC"/>
    <w:rsid w:val="008642DA"/>
    <w:rsid w:val="008652B4"/>
    <w:rsid w:val="00865AEB"/>
    <w:rsid w:val="008661B3"/>
    <w:rsid w:val="00866A86"/>
    <w:rsid w:val="00866CDE"/>
    <w:rsid w:val="008700B7"/>
    <w:rsid w:val="00870A86"/>
    <w:rsid w:val="00870DEB"/>
    <w:rsid w:val="00871B1F"/>
    <w:rsid w:val="008720F7"/>
    <w:rsid w:val="00872374"/>
    <w:rsid w:val="0087257D"/>
    <w:rsid w:val="0087285F"/>
    <w:rsid w:val="008728FD"/>
    <w:rsid w:val="0087292C"/>
    <w:rsid w:val="00872CE8"/>
    <w:rsid w:val="00872F88"/>
    <w:rsid w:val="00873621"/>
    <w:rsid w:val="008736D1"/>
    <w:rsid w:val="008739C5"/>
    <w:rsid w:val="00874097"/>
    <w:rsid w:val="0087438B"/>
    <w:rsid w:val="0087549B"/>
    <w:rsid w:val="00875699"/>
    <w:rsid w:val="00875B89"/>
    <w:rsid w:val="00875EF2"/>
    <w:rsid w:val="008760A6"/>
    <w:rsid w:val="00876C92"/>
    <w:rsid w:val="00877011"/>
    <w:rsid w:val="008779F0"/>
    <w:rsid w:val="008801C3"/>
    <w:rsid w:val="00880351"/>
    <w:rsid w:val="00880542"/>
    <w:rsid w:val="0088104C"/>
    <w:rsid w:val="008811BA"/>
    <w:rsid w:val="0088158E"/>
    <w:rsid w:val="00881723"/>
    <w:rsid w:val="00881786"/>
    <w:rsid w:val="00882C5E"/>
    <w:rsid w:val="0088379A"/>
    <w:rsid w:val="00883974"/>
    <w:rsid w:val="00883DB7"/>
    <w:rsid w:val="00884540"/>
    <w:rsid w:val="00884A26"/>
    <w:rsid w:val="00884E08"/>
    <w:rsid w:val="00885239"/>
    <w:rsid w:val="00886745"/>
    <w:rsid w:val="0088679C"/>
    <w:rsid w:val="008868EE"/>
    <w:rsid w:val="00886AE1"/>
    <w:rsid w:val="00886B96"/>
    <w:rsid w:val="00886DC6"/>
    <w:rsid w:val="00887088"/>
    <w:rsid w:val="00887378"/>
    <w:rsid w:val="00887478"/>
    <w:rsid w:val="00887796"/>
    <w:rsid w:val="00887E86"/>
    <w:rsid w:val="00890445"/>
    <w:rsid w:val="00890B1B"/>
    <w:rsid w:val="00891488"/>
    <w:rsid w:val="0089161C"/>
    <w:rsid w:val="00891700"/>
    <w:rsid w:val="00891B5F"/>
    <w:rsid w:val="008921FB"/>
    <w:rsid w:val="00892AE0"/>
    <w:rsid w:val="00892D82"/>
    <w:rsid w:val="008931E6"/>
    <w:rsid w:val="0089350E"/>
    <w:rsid w:val="0089379A"/>
    <w:rsid w:val="00893F3A"/>
    <w:rsid w:val="00894BCB"/>
    <w:rsid w:val="00894C60"/>
    <w:rsid w:val="00895AFB"/>
    <w:rsid w:val="00895B04"/>
    <w:rsid w:val="0089640F"/>
    <w:rsid w:val="00896B33"/>
    <w:rsid w:val="008A023B"/>
    <w:rsid w:val="008A0250"/>
    <w:rsid w:val="008A02BB"/>
    <w:rsid w:val="008A0BE0"/>
    <w:rsid w:val="008A0D65"/>
    <w:rsid w:val="008A1445"/>
    <w:rsid w:val="008A1E47"/>
    <w:rsid w:val="008A221B"/>
    <w:rsid w:val="008A2221"/>
    <w:rsid w:val="008A244F"/>
    <w:rsid w:val="008A262F"/>
    <w:rsid w:val="008A2B0F"/>
    <w:rsid w:val="008A2DE6"/>
    <w:rsid w:val="008A3239"/>
    <w:rsid w:val="008A39E5"/>
    <w:rsid w:val="008A3AD2"/>
    <w:rsid w:val="008A3C9F"/>
    <w:rsid w:val="008A3DE6"/>
    <w:rsid w:val="008A3E14"/>
    <w:rsid w:val="008A4306"/>
    <w:rsid w:val="008A43B0"/>
    <w:rsid w:val="008A4D78"/>
    <w:rsid w:val="008A5045"/>
    <w:rsid w:val="008A53E3"/>
    <w:rsid w:val="008A550F"/>
    <w:rsid w:val="008A5946"/>
    <w:rsid w:val="008A5A0D"/>
    <w:rsid w:val="008A5AD1"/>
    <w:rsid w:val="008A5D12"/>
    <w:rsid w:val="008A5E93"/>
    <w:rsid w:val="008A5EF7"/>
    <w:rsid w:val="008A5FB4"/>
    <w:rsid w:val="008A6539"/>
    <w:rsid w:val="008A677B"/>
    <w:rsid w:val="008A7568"/>
    <w:rsid w:val="008A75C4"/>
    <w:rsid w:val="008A7DCE"/>
    <w:rsid w:val="008A7EBC"/>
    <w:rsid w:val="008B034C"/>
    <w:rsid w:val="008B0682"/>
    <w:rsid w:val="008B153F"/>
    <w:rsid w:val="008B1E2F"/>
    <w:rsid w:val="008B27A3"/>
    <w:rsid w:val="008B2865"/>
    <w:rsid w:val="008B29B0"/>
    <w:rsid w:val="008B2B3A"/>
    <w:rsid w:val="008B2BE2"/>
    <w:rsid w:val="008B32CF"/>
    <w:rsid w:val="008B4271"/>
    <w:rsid w:val="008B48A7"/>
    <w:rsid w:val="008B4A27"/>
    <w:rsid w:val="008B4FA9"/>
    <w:rsid w:val="008B55AC"/>
    <w:rsid w:val="008B5F38"/>
    <w:rsid w:val="008B61B3"/>
    <w:rsid w:val="008B745F"/>
    <w:rsid w:val="008B7A45"/>
    <w:rsid w:val="008B7B6F"/>
    <w:rsid w:val="008C0AD4"/>
    <w:rsid w:val="008C10A0"/>
    <w:rsid w:val="008C1C99"/>
    <w:rsid w:val="008C1CDA"/>
    <w:rsid w:val="008C223E"/>
    <w:rsid w:val="008C225A"/>
    <w:rsid w:val="008C22EC"/>
    <w:rsid w:val="008C2E96"/>
    <w:rsid w:val="008C30AF"/>
    <w:rsid w:val="008C31D8"/>
    <w:rsid w:val="008C3392"/>
    <w:rsid w:val="008C33BC"/>
    <w:rsid w:val="008C3759"/>
    <w:rsid w:val="008C39F5"/>
    <w:rsid w:val="008C3AFA"/>
    <w:rsid w:val="008C4B3C"/>
    <w:rsid w:val="008C4C1C"/>
    <w:rsid w:val="008C4CD9"/>
    <w:rsid w:val="008C53B9"/>
    <w:rsid w:val="008C588A"/>
    <w:rsid w:val="008C5F06"/>
    <w:rsid w:val="008C6395"/>
    <w:rsid w:val="008C7025"/>
    <w:rsid w:val="008C763A"/>
    <w:rsid w:val="008C7CAD"/>
    <w:rsid w:val="008D0010"/>
    <w:rsid w:val="008D07B6"/>
    <w:rsid w:val="008D0AF1"/>
    <w:rsid w:val="008D0BA0"/>
    <w:rsid w:val="008D0EAF"/>
    <w:rsid w:val="008D0F00"/>
    <w:rsid w:val="008D1364"/>
    <w:rsid w:val="008D1F0B"/>
    <w:rsid w:val="008D26A6"/>
    <w:rsid w:val="008D2845"/>
    <w:rsid w:val="008D2CD6"/>
    <w:rsid w:val="008D35DB"/>
    <w:rsid w:val="008D399F"/>
    <w:rsid w:val="008D3B56"/>
    <w:rsid w:val="008D3C9E"/>
    <w:rsid w:val="008D41E1"/>
    <w:rsid w:val="008D4821"/>
    <w:rsid w:val="008D482D"/>
    <w:rsid w:val="008D4842"/>
    <w:rsid w:val="008D4DE0"/>
    <w:rsid w:val="008D5096"/>
    <w:rsid w:val="008D524F"/>
    <w:rsid w:val="008D5316"/>
    <w:rsid w:val="008D53DA"/>
    <w:rsid w:val="008D593E"/>
    <w:rsid w:val="008D5D7A"/>
    <w:rsid w:val="008D622A"/>
    <w:rsid w:val="008D64C4"/>
    <w:rsid w:val="008D6551"/>
    <w:rsid w:val="008D70F5"/>
    <w:rsid w:val="008D715C"/>
    <w:rsid w:val="008D7232"/>
    <w:rsid w:val="008D7981"/>
    <w:rsid w:val="008D7A7C"/>
    <w:rsid w:val="008D7FA5"/>
    <w:rsid w:val="008E0656"/>
    <w:rsid w:val="008E06AB"/>
    <w:rsid w:val="008E0ADE"/>
    <w:rsid w:val="008E0B84"/>
    <w:rsid w:val="008E0DAD"/>
    <w:rsid w:val="008E0E52"/>
    <w:rsid w:val="008E0F37"/>
    <w:rsid w:val="008E118E"/>
    <w:rsid w:val="008E1481"/>
    <w:rsid w:val="008E15AA"/>
    <w:rsid w:val="008E1715"/>
    <w:rsid w:val="008E175A"/>
    <w:rsid w:val="008E1772"/>
    <w:rsid w:val="008E178D"/>
    <w:rsid w:val="008E26B6"/>
    <w:rsid w:val="008E2CDA"/>
    <w:rsid w:val="008E33F3"/>
    <w:rsid w:val="008E36B1"/>
    <w:rsid w:val="008E376B"/>
    <w:rsid w:val="008E3F30"/>
    <w:rsid w:val="008E3FAA"/>
    <w:rsid w:val="008E4A6D"/>
    <w:rsid w:val="008E4DAA"/>
    <w:rsid w:val="008E4E2E"/>
    <w:rsid w:val="008E5050"/>
    <w:rsid w:val="008E5FCF"/>
    <w:rsid w:val="008E6074"/>
    <w:rsid w:val="008E6139"/>
    <w:rsid w:val="008E63C4"/>
    <w:rsid w:val="008E6490"/>
    <w:rsid w:val="008E6655"/>
    <w:rsid w:val="008E68CC"/>
    <w:rsid w:val="008E6C1C"/>
    <w:rsid w:val="008E6F49"/>
    <w:rsid w:val="008E6F98"/>
    <w:rsid w:val="008E7904"/>
    <w:rsid w:val="008E7919"/>
    <w:rsid w:val="008E79CA"/>
    <w:rsid w:val="008F0438"/>
    <w:rsid w:val="008F1532"/>
    <w:rsid w:val="008F16BB"/>
    <w:rsid w:val="008F1B2E"/>
    <w:rsid w:val="008F1D96"/>
    <w:rsid w:val="008F2DB6"/>
    <w:rsid w:val="008F32F1"/>
    <w:rsid w:val="008F459F"/>
    <w:rsid w:val="008F470E"/>
    <w:rsid w:val="008F4C67"/>
    <w:rsid w:val="008F4E53"/>
    <w:rsid w:val="008F540D"/>
    <w:rsid w:val="008F5582"/>
    <w:rsid w:val="008F55AF"/>
    <w:rsid w:val="008F5D36"/>
    <w:rsid w:val="008F60B3"/>
    <w:rsid w:val="008F64E0"/>
    <w:rsid w:val="008F6842"/>
    <w:rsid w:val="008F691D"/>
    <w:rsid w:val="008F769D"/>
    <w:rsid w:val="008F77B6"/>
    <w:rsid w:val="008F7D36"/>
    <w:rsid w:val="008F7DD5"/>
    <w:rsid w:val="009000E0"/>
    <w:rsid w:val="009001D0"/>
    <w:rsid w:val="009009AA"/>
    <w:rsid w:val="009011EE"/>
    <w:rsid w:val="00901264"/>
    <w:rsid w:val="009013ED"/>
    <w:rsid w:val="00901D2E"/>
    <w:rsid w:val="00901E8C"/>
    <w:rsid w:val="00901E9B"/>
    <w:rsid w:val="00902263"/>
    <w:rsid w:val="0090230E"/>
    <w:rsid w:val="00902402"/>
    <w:rsid w:val="00902948"/>
    <w:rsid w:val="00902B7C"/>
    <w:rsid w:val="00902D20"/>
    <w:rsid w:val="00902F25"/>
    <w:rsid w:val="0090360E"/>
    <w:rsid w:val="00903C3B"/>
    <w:rsid w:val="009043D7"/>
    <w:rsid w:val="00904A17"/>
    <w:rsid w:val="00904A3F"/>
    <w:rsid w:val="00904F00"/>
    <w:rsid w:val="0090504E"/>
    <w:rsid w:val="00905356"/>
    <w:rsid w:val="009054A1"/>
    <w:rsid w:val="00905A78"/>
    <w:rsid w:val="00906B2C"/>
    <w:rsid w:val="00906D77"/>
    <w:rsid w:val="00906F03"/>
    <w:rsid w:val="0090725B"/>
    <w:rsid w:val="009075B1"/>
    <w:rsid w:val="009075E2"/>
    <w:rsid w:val="00907616"/>
    <w:rsid w:val="009101DC"/>
    <w:rsid w:val="00910A1A"/>
    <w:rsid w:val="00910B92"/>
    <w:rsid w:val="00911073"/>
    <w:rsid w:val="009111A8"/>
    <w:rsid w:val="00911539"/>
    <w:rsid w:val="0091183B"/>
    <w:rsid w:val="00911D74"/>
    <w:rsid w:val="00911E61"/>
    <w:rsid w:val="00912660"/>
    <w:rsid w:val="00913174"/>
    <w:rsid w:val="00913543"/>
    <w:rsid w:val="00913579"/>
    <w:rsid w:val="0091404C"/>
    <w:rsid w:val="00914093"/>
    <w:rsid w:val="009140D3"/>
    <w:rsid w:val="00914392"/>
    <w:rsid w:val="009146D4"/>
    <w:rsid w:val="009147B9"/>
    <w:rsid w:val="009148CD"/>
    <w:rsid w:val="009150CA"/>
    <w:rsid w:val="009156AD"/>
    <w:rsid w:val="009156EB"/>
    <w:rsid w:val="009165AC"/>
    <w:rsid w:val="00917075"/>
    <w:rsid w:val="00917216"/>
    <w:rsid w:val="00917301"/>
    <w:rsid w:val="009175DA"/>
    <w:rsid w:val="0092067D"/>
    <w:rsid w:val="00920DED"/>
    <w:rsid w:val="00920E5F"/>
    <w:rsid w:val="0092129E"/>
    <w:rsid w:val="0092144C"/>
    <w:rsid w:val="0092161C"/>
    <w:rsid w:val="00921A16"/>
    <w:rsid w:val="0092260B"/>
    <w:rsid w:val="00922860"/>
    <w:rsid w:val="00922B90"/>
    <w:rsid w:val="00922D25"/>
    <w:rsid w:val="00923163"/>
    <w:rsid w:val="009232A5"/>
    <w:rsid w:val="0092375A"/>
    <w:rsid w:val="00923B68"/>
    <w:rsid w:val="00924524"/>
    <w:rsid w:val="00924E24"/>
    <w:rsid w:val="00924FDF"/>
    <w:rsid w:val="00925131"/>
    <w:rsid w:val="009251AD"/>
    <w:rsid w:val="00925527"/>
    <w:rsid w:val="009259EC"/>
    <w:rsid w:val="00925F3A"/>
    <w:rsid w:val="00926796"/>
    <w:rsid w:val="00926939"/>
    <w:rsid w:val="0092751D"/>
    <w:rsid w:val="00927D7E"/>
    <w:rsid w:val="00927E22"/>
    <w:rsid w:val="00927ED3"/>
    <w:rsid w:val="00930149"/>
    <w:rsid w:val="0093036D"/>
    <w:rsid w:val="00930CC7"/>
    <w:rsid w:val="00930F8D"/>
    <w:rsid w:val="0093116C"/>
    <w:rsid w:val="009312AE"/>
    <w:rsid w:val="00931865"/>
    <w:rsid w:val="00931A66"/>
    <w:rsid w:val="00931AA7"/>
    <w:rsid w:val="00931DF5"/>
    <w:rsid w:val="00931E64"/>
    <w:rsid w:val="00932433"/>
    <w:rsid w:val="00932F1F"/>
    <w:rsid w:val="009330E6"/>
    <w:rsid w:val="00933860"/>
    <w:rsid w:val="00933B17"/>
    <w:rsid w:val="00933F49"/>
    <w:rsid w:val="00933F85"/>
    <w:rsid w:val="009340EA"/>
    <w:rsid w:val="009351A0"/>
    <w:rsid w:val="00935B91"/>
    <w:rsid w:val="0093602D"/>
    <w:rsid w:val="00936477"/>
    <w:rsid w:val="009367BA"/>
    <w:rsid w:val="00936F8D"/>
    <w:rsid w:val="009377F7"/>
    <w:rsid w:val="00937A50"/>
    <w:rsid w:val="00937C64"/>
    <w:rsid w:val="0094043C"/>
    <w:rsid w:val="009409F6"/>
    <w:rsid w:val="00940A09"/>
    <w:rsid w:val="00940F84"/>
    <w:rsid w:val="00941146"/>
    <w:rsid w:val="00941F80"/>
    <w:rsid w:val="00941F99"/>
    <w:rsid w:val="009421CD"/>
    <w:rsid w:val="00942525"/>
    <w:rsid w:val="00942C2D"/>
    <w:rsid w:val="00942C6A"/>
    <w:rsid w:val="009433A4"/>
    <w:rsid w:val="00943B43"/>
    <w:rsid w:val="00943DB6"/>
    <w:rsid w:val="00943E3E"/>
    <w:rsid w:val="00943E91"/>
    <w:rsid w:val="009441E8"/>
    <w:rsid w:val="009441FE"/>
    <w:rsid w:val="00944984"/>
    <w:rsid w:val="00944E9D"/>
    <w:rsid w:val="00945A10"/>
    <w:rsid w:val="00945B56"/>
    <w:rsid w:val="00945E43"/>
    <w:rsid w:val="009464A1"/>
    <w:rsid w:val="009466D7"/>
    <w:rsid w:val="00946733"/>
    <w:rsid w:val="00946757"/>
    <w:rsid w:val="009468A6"/>
    <w:rsid w:val="00946943"/>
    <w:rsid w:val="00946CE8"/>
    <w:rsid w:val="009473A0"/>
    <w:rsid w:val="00947805"/>
    <w:rsid w:val="0095018C"/>
    <w:rsid w:val="00950CE1"/>
    <w:rsid w:val="00950DC7"/>
    <w:rsid w:val="0095119D"/>
    <w:rsid w:val="00951613"/>
    <w:rsid w:val="0095176F"/>
    <w:rsid w:val="00951A05"/>
    <w:rsid w:val="00951A4E"/>
    <w:rsid w:val="00951F94"/>
    <w:rsid w:val="009525A5"/>
    <w:rsid w:val="009525AF"/>
    <w:rsid w:val="0095260A"/>
    <w:rsid w:val="0095273A"/>
    <w:rsid w:val="00952C16"/>
    <w:rsid w:val="00952C71"/>
    <w:rsid w:val="0095314B"/>
    <w:rsid w:val="0095377F"/>
    <w:rsid w:val="00953AFA"/>
    <w:rsid w:val="00953CA8"/>
    <w:rsid w:val="0095413D"/>
    <w:rsid w:val="009544E1"/>
    <w:rsid w:val="0095467C"/>
    <w:rsid w:val="0095469C"/>
    <w:rsid w:val="00954B91"/>
    <w:rsid w:val="0095506E"/>
    <w:rsid w:val="00955520"/>
    <w:rsid w:val="00955E4C"/>
    <w:rsid w:val="0095631A"/>
    <w:rsid w:val="009563FB"/>
    <w:rsid w:val="00956483"/>
    <w:rsid w:val="009568DC"/>
    <w:rsid w:val="00956969"/>
    <w:rsid w:val="009600B4"/>
    <w:rsid w:val="00961728"/>
    <w:rsid w:val="00961CA8"/>
    <w:rsid w:val="0096234B"/>
    <w:rsid w:val="00962B36"/>
    <w:rsid w:val="00962CEF"/>
    <w:rsid w:val="00962DD8"/>
    <w:rsid w:val="00963870"/>
    <w:rsid w:val="009652E8"/>
    <w:rsid w:val="009653E8"/>
    <w:rsid w:val="00965655"/>
    <w:rsid w:val="0096571E"/>
    <w:rsid w:val="00965C91"/>
    <w:rsid w:val="009671F5"/>
    <w:rsid w:val="00967220"/>
    <w:rsid w:val="00967242"/>
    <w:rsid w:val="0097049F"/>
    <w:rsid w:val="00970663"/>
    <w:rsid w:val="00970FE0"/>
    <w:rsid w:val="009718FA"/>
    <w:rsid w:val="00972663"/>
    <w:rsid w:val="009727B3"/>
    <w:rsid w:val="009739E4"/>
    <w:rsid w:val="009739F7"/>
    <w:rsid w:val="00974171"/>
    <w:rsid w:val="00974277"/>
    <w:rsid w:val="009743E7"/>
    <w:rsid w:val="0097448F"/>
    <w:rsid w:val="0097455C"/>
    <w:rsid w:val="009749B0"/>
    <w:rsid w:val="00974AB1"/>
    <w:rsid w:val="00974BC4"/>
    <w:rsid w:val="00974F78"/>
    <w:rsid w:val="00975089"/>
    <w:rsid w:val="00975103"/>
    <w:rsid w:val="00975761"/>
    <w:rsid w:val="009757B6"/>
    <w:rsid w:val="00975ACA"/>
    <w:rsid w:val="00975B29"/>
    <w:rsid w:val="00975FD7"/>
    <w:rsid w:val="00976453"/>
    <w:rsid w:val="009766A4"/>
    <w:rsid w:val="009766EF"/>
    <w:rsid w:val="00976CE3"/>
    <w:rsid w:val="00976E81"/>
    <w:rsid w:val="00976F70"/>
    <w:rsid w:val="009774E8"/>
    <w:rsid w:val="00980240"/>
    <w:rsid w:val="00980292"/>
    <w:rsid w:val="0098059B"/>
    <w:rsid w:val="0098087E"/>
    <w:rsid w:val="00980E77"/>
    <w:rsid w:val="00981158"/>
    <w:rsid w:val="00981856"/>
    <w:rsid w:val="009819B8"/>
    <w:rsid w:val="00981A37"/>
    <w:rsid w:val="00981D22"/>
    <w:rsid w:val="00981D26"/>
    <w:rsid w:val="00981D49"/>
    <w:rsid w:val="009820A6"/>
    <w:rsid w:val="00982174"/>
    <w:rsid w:val="0098256F"/>
    <w:rsid w:val="00982845"/>
    <w:rsid w:val="00982DFE"/>
    <w:rsid w:val="00982F00"/>
    <w:rsid w:val="00982FE5"/>
    <w:rsid w:val="00983292"/>
    <w:rsid w:val="0098382C"/>
    <w:rsid w:val="0098436C"/>
    <w:rsid w:val="0098461B"/>
    <w:rsid w:val="00984785"/>
    <w:rsid w:val="00985CF2"/>
    <w:rsid w:val="00986186"/>
    <w:rsid w:val="009864D2"/>
    <w:rsid w:val="00986A37"/>
    <w:rsid w:val="00986B06"/>
    <w:rsid w:val="00987087"/>
    <w:rsid w:val="009871AF"/>
    <w:rsid w:val="00987606"/>
    <w:rsid w:val="00987D13"/>
    <w:rsid w:val="0099017C"/>
    <w:rsid w:val="00990893"/>
    <w:rsid w:val="00990CC3"/>
    <w:rsid w:val="00990DA7"/>
    <w:rsid w:val="00991214"/>
    <w:rsid w:val="00991CFD"/>
    <w:rsid w:val="0099213E"/>
    <w:rsid w:val="0099277C"/>
    <w:rsid w:val="00992E22"/>
    <w:rsid w:val="00992E7B"/>
    <w:rsid w:val="009931AA"/>
    <w:rsid w:val="00993248"/>
    <w:rsid w:val="009934EC"/>
    <w:rsid w:val="00993538"/>
    <w:rsid w:val="009935CE"/>
    <w:rsid w:val="009938B3"/>
    <w:rsid w:val="00994430"/>
    <w:rsid w:val="00994DFE"/>
    <w:rsid w:val="00995148"/>
    <w:rsid w:val="00996623"/>
    <w:rsid w:val="00996CD9"/>
    <w:rsid w:val="009971A3"/>
    <w:rsid w:val="009971AA"/>
    <w:rsid w:val="009974AE"/>
    <w:rsid w:val="009976D8"/>
    <w:rsid w:val="00997940"/>
    <w:rsid w:val="00997BB5"/>
    <w:rsid w:val="009A084C"/>
    <w:rsid w:val="009A0A04"/>
    <w:rsid w:val="009A0B9C"/>
    <w:rsid w:val="009A14E5"/>
    <w:rsid w:val="009A1B58"/>
    <w:rsid w:val="009A1C18"/>
    <w:rsid w:val="009A1CCC"/>
    <w:rsid w:val="009A2460"/>
    <w:rsid w:val="009A284F"/>
    <w:rsid w:val="009A2899"/>
    <w:rsid w:val="009A2C36"/>
    <w:rsid w:val="009A3405"/>
    <w:rsid w:val="009A3C3D"/>
    <w:rsid w:val="009A4106"/>
    <w:rsid w:val="009A46D0"/>
    <w:rsid w:val="009A4FFB"/>
    <w:rsid w:val="009A52EC"/>
    <w:rsid w:val="009A5DD2"/>
    <w:rsid w:val="009A5E25"/>
    <w:rsid w:val="009A67C2"/>
    <w:rsid w:val="009A6843"/>
    <w:rsid w:val="009A68BE"/>
    <w:rsid w:val="009A6F9D"/>
    <w:rsid w:val="009A76FD"/>
    <w:rsid w:val="009B092E"/>
    <w:rsid w:val="009B11C1"/>
    <w:rsid w:val="009B17FA"/>
    <w:rsid w:val="009B197E"/>
    <w:rsid w:val="009B1DF3"/>
    <w:rsid w:val="009B2404"/>
    <w:rsid w:val="009B2C40"/>
    <w:rsid w:val="009B31CC"/>
    <w:rsid w:val="009B3486"/>
    <w:rsid w:val="009B3C57"/>
    <w:rsid w:val="009B3DE4"/>
    <w:rsid w:val="009B4C59"/>
    <w:rsid w:val="009B4EA8"/>
    <w:rsid w:val="009B4EEA"/>
    <w:rsid w:val="009B4F69"/>
    <w:rsid w:val="009B520D"/>
    <w:rsid w:val="009B5753"/>
    <w:rsid w:val="009B5BC3"/>
    <w:rsid w:val="009B5D94"/>
    <w:rsid w:val="009B6044"/>
    <w:rsid w:val="009B612D"/>
    <w:rsid w:val="009B67DB"/>
    <w:rsid w:val="009B6C9E"/>
    <w:rsid w:val="009B7046"/>
    <w:rsid w:val="009B7216"/>
    <w:rsid w:val="009C02A9"/>
    <w:rsid w:val="009C13BB"/>
    <w:rsid w:val="009C14E8"/>
    <w:rsid w:val="009C1666"/>
    <w:rsid w:val="009C17C8"/>
    <w:rsid w:val="009C186D"/>
    <w:rsid w:val="009C19F2"/>
    <w:rsid w:val="009C1AD6"/>
    <w:rsid w:val="009C1AFC"/>
    <w:rsid w:val="009C1B2C"/>
    <w:rsid w:val="009C25D9"/>
    <w:rsid w:val="009C30F5"/>
    <w:rsid w:val="009C392F"/>
    <w:rsid w:val="009C3C45"/>
    <w:rsid w:val="009C4975"/>
    <w:rsid w:val="009C4AF2"/>
    <w:rsid w:val="009C4B1E"/>
    <w:rsid w:val="009C4D35"/>
    <w:rsid w:val="009C55F2"/>
    <w:rsid w:val="009C5762"/>
    <w:rsid w:val="009C589E"/>
    <w:rsid w:val="009C5970"/>
    <w:rsid w:val="009C5E0A"/>
    <w:rsid w:val="009C5EAD"/>
    <w:rsid w:val="009C5F26"/>
    <w:rsid w:val="009C6C85"/>
    <w:rsid w:val="009C7531"/>
    <w:rsid w:val="009C77FB"/>
    <w:rsid w:val="009D01E5"/>
    <w:rsid w:val="009D044F"/>
    <w:rsid w:val="009D05E8"/>
    <w:rsid w:val="009D0903"/>
    <w:rsid w:val="009D098D"/>
    <w:rsid w:val="009D0A93"/>
    <w:rsid w:val="009D1057"/>
    <w:rsid w:val="009D127F"/>
    <w:rsid w:val="009D1515"/>
    <w:rsid w:val="009D19B9"/>
    <w:rsid w:val="009D2E9A"/>
    <w:rsid w:val="009D35A7"/>
    <w:rsid w:val="009D3A3A"/>
    <w:rsid w:val="009D3B0C"/>
    <w:rsid w:val="009D3B26"/>
    <w:rsid w:val="009D3D82"/>
    <w:rsid w:val="009D3F64"/>
    <w:rsid w:val="009D4126"/>
    <w:rsid w:val="009D48BA"/>
    <w:rsid w:val="009D4A05"/>
    <w:rsid w:val="009D5CC4"/>
    <w:rsid w:val="009D6221"/>
    <w:rsid w:val="009D6440"/>
    <w:rsid w:val="009D6AB3"/>
    <w:rsid w:val="009D712E"/>
    <w:rsid w:val="009D7233"/>
    <w:rsid w:val="009D7295"/>
    <w:rsid w:val="009D7315"/>
    <w:rsid w:val="009D7C38"/>
    <w:rsid w:val="009E16AD"/>
    <w:rsid w:val="009E1A4C"/>
    <w:rsid w:val="009E2303"/>
    <w:rsid w:val="009E36C3"/>
    <w:rsid w:val="009E38E5"/>
    <w:rsid w:val="009E3C39"/>
    <w:rsid w:val="009E3F9F"/>
    <w:rsid w:val="009E404A"/>
    <w:rsid w:val="009E41E1"/>
    <w:rsid w:val="009E420D"/>
    <w:rsid w:val="009E4F7D"/>
    <w:rsid w:val="009E51FE"/>
    <w:rsid w:val="009E536B"/>
    <w:rsid w:val="009E5482"/>
    <w:rsid w:val="009E57A9"/>
    <w:rsid w:val="009E5E70"/>
    <w:rsid w:val="009E6001"/>
    <w:rsid w:val="009E6802"/>
    <w:rsid w:val="009E6AEF"/>
    <w:rsid w:val="009E6CEC"/>
    <w:rsid w:val="009E6F01"/>
    <w:rsid w:val="009E74EF"/>
    <w:rsid w:val="009E7762"/>
    <w:rsid w:val="009E7CE7"/>
    <w:rsid w:val="009F0027"/>
    <w:rsid w:val="009F0188"/>
    <w:rsid w:val="009F021D"/>
    <w:rsid w:val="009F0484"/>
    <w:rsid w:val="009F04D8"/>
    <w:rsid w:val="009F05C9"/>
    <w:rsid w:val="009F0AE7"/>
    <w:rsid w:val="009F1540"/>
    <w:rsid w:val="009F1723"/>
    <w:rsid w:val="009F19EF"/>
    <w:rsid w:val="009F28BC"/>
    <w:rsid w:val="009F2CBC"/>
    <w:rsid w:val="009F2F07"/>
    <w:rsid w:val="009F38F9"/>
    <w:rsid w:val="009F3974"/>
    <w:rsid w:val="009F3BB8"/>
    <w:rsid w:val="009F405C"/>
    <w:rsid w:val="009F4BCF"/>
    <w:rsid w:val="009F4E36"/>
    <w:rsid w:val="009F4FF3"/>
    <w:rsid w:val="009F53B0"/>
    <w:rsid w:val="009F53C7"/>
    <w:rsid w:val="009F54A1"/>
    <w:rsid w:val="009F5615"/>
    <w:rsid w:val="009F64B4"/>
    <w:rsid w:val="009F77FE"/>
    <w:rsid w:val="00A0054B"/>
    <w:rsid w:val="00A005E3"/>
    <w:rsid w:val="00A00EDB"/>
    <w:rsid w:val="00A01549"/>
    <w:rsid w:val="00A02063"/>
    <w:rsid w:val="00A022F1"/>
    <w:rsid w:val="00A027CC"/>
    <w:rsid w:val="00A02B4F"/>
    <w:rsid w:val="00A0326E"/>
    <w:rsid w:val="00A0379B"/>
    <w:rsid w:val="00A03D49"/>
    <w:rsid w:val="00A0408B"/>
    <w:rsid w:val="00A0444B"/>
    <w:rsid w:val="00A046DD"/>
    <w:rsid w:val="00A04757"/>
    <w:rsid w:val="00A049F8"/>
    <w:rsid w:val="00A04C7B"/>
    <w:rsid w:val="00A04F54"/>
    <w:rsid w:val="00A056FC"/>
    <w:rsid w:val="00A0574A"/>
    <w:rsid w:val="00A06112"/>
    <w:rsid w:val="00A0629B"/>
    <w:rsid w:val="00A06A49"/>
    <w:rsid w:val="00A06E7F"/>
    <w:rsid w:val="00A06F0E"/>
    <w:rsid w:val="00A0716B"/>
    <w:rsid w:val="00A10131"/>
    <w:rsid w:val="00A102B9"/>
    <w:rsid w:val="00A10626"/>
    <w:rsid w:val="00A10935"/>
    <w:rsid w:val="00A10A21"/>
    <w:rsid w:val="00A10AB3"/>
    <w:rsid w:val="00A10B62"/>
    <w:rsid w:val="00A10E87"/>
    <w:rsid w:val="00A111DF"/>
    <w:rsid w:val="00A11606"/>
    <w:rsid w:val="00A11862"/>
    <w:rsid w:val="00A11931"/>
    <w:rsid w:val="00A119A1"/>
    <w:rsid w:val="00A11B45"/>
    <w:rsid w:val="00A11CC5"/>
    <w:rsid w:val="00A121F7"/>
    <w:rsid w:val="00A122EF"/>
    <w:rsid w:val="00A124B1"/>
    <w:rsid w:val="00A12957"/>
    <w:rsid w:val="00A12B69"/>
    <w:rsid w:val="00A12B98"/>
    <w:rsid w:val="00A13261"/>
    <w:rsid w:val="00A13405"/>
    <w:rsid w:val="00A137E8"/>
    <w:rsid w:val="00A13E3D"/>
    <w:rsid w:val="00A13F3E"/>
    <w:rsid w:val="00A1443D"/>
    <w:rsid w:val="00A14966"/>
    <w:rsid w:val="00A14F4A"/>
    <w:rsid w:val="00A1505B"/>
    <w:rsid w:val="00A150F3"/>
    <w:rsid w:val="00A1557C"/>
    <w:rsid w:val="00A155D8"/>
    <w:rsid w:val="00A158DC"/>
    <w:rsid w:val="00A15DEF"/>
    <w:rsid w:val="00A1641C"/>
    <w:rsid w:val="00A165F2"/>
    <w:rsid w:val="00A165F4"/>
    <w:rsid w:val="00A16808"/>
    <w:rsid w:val="00A168C7"/>
    <w:rsid w:val="00A17174"/>
    <w:rsid w:val="00A17543"/>
    <w:rsid w:val="00A20044"/>
    <w:rsid w:val="00A203EB"/>
    <w:rsid w:val="00A2077C"/>
    <w:rsid w:val="00A20791"/>
    <w:rsid w:val="00A20C25"/>
    <w:rsid w:val="00A20CF9"/>
    <w:rsid w:val="00A20EA5"/>
    <w:rsid w:val="00A215A8"/>
    <w:rsid w:val="00A21BC0"/>
    <w:rsid w:val="00A21CC6"/>
    <w:rsid w:val="00A22866"/>
    <w:rsid w:val="00A2315C"/>
    <w:rsid w:val="00A23698"/>
    <w:rsid w:val="00A2417B"/>
    <w:rsid w:val="00A2430F"/>
    <w:rsid w:val="00A24A0C"/>
    <w:rsid w:val="00A24D68"/>
    <w:rsid w:val="00A24FAE"/>
    <w:rsid w:val="00A2570C"/>
    <w:rsid w:val="00A25886"/>
    <w:rsid w:val="00A25AD6"/>
    <w:rsid w:val="00A25BD3"/>
    <w:rsid w:val="00A25CDC"/>
    <w:rsid w:val="00A266F9"/>
    <w:rsid w:val="00A26764"/>
    <w:rsid w:val="00A2702C"/>
    <w:rsid w:val="00A2735D"/>
    <w:rsid w:val="00A273D4"/>
    <w:rsid w:val="00A27669"/>
    <w:rsid w:val="00A2791F"/>
    <w:rsid w:val="00A3002B"/>
    <w:rsid w:val="00A30075"/>
    <w:rsid w:val="00A30424"/>
    <w:rsid w:val="00A31747"/>
    <w:rsid w:val="00A31CE3"/>
    <w:rsid w:val="00A31F0B"/>
    <w:rsid w:val="00A32151"/>
    <w:rsid w:val="00A32C7D"/>
    <w:rsid w:val="00A32FFA"/>
    <w:rsid w:val="00A33032"/>
    <w:rsid w:val="00A33126"/>
    <w:rsid w:val="00A3389C"/>
    <w:rsid w:val="00A3461B"/>
    <w:rsid w:val="00A3476A"/>
    <w:rsid w:val="00A34818"/>
    <w:rsid w:val="00A34E79"/>
    <w:rsid w:val="00A365ED"/>
    <w:rsid w:val="00A37211"/>
    <w:rsid w:val="00A373B8"/>
    <w:rsid w:val="00A376F3"/>
    <w:rsid w:val="00A37E9C"/>
    <w:rsid w:val="00A40223"/>
    <w:rsid w:val="00A40AB7"/>
    <w:rsid w:val="00A40B46"/>
    <w:rsid w:val="00A41560"/>
    <w:rsid w:val="00A417A8"/>
    <w:rsid w:val="00A41C05"/>
    <w:rsid w:val="00A41E37"/>
    <w:rsid w:val="00A41ED8"/>
    <w:rsid w:val="00A423E1"/>
    <w:rsid w:val="00A42CCE"/>
    <w:rsid w:val="00A42CF3"/>
    <w:rsid w:val="00A42D8B"/>
    <w:rsid w:val="00A43327"/>
    <w:rsid w:val="00A435B6"/>
    <w:rsid w:val="00A43915"/>
    <w:rsid w:val="00A44049"/>
    <w:rsid w:val="00A443BE"/>
    <w:rsid w:val="00A44680"/>
    <w:rsid w:val="00A4473C"/>
    <w:rsid w:val="00A45270"/>
    <w:rsid w:val="00A45844"/>
    <w:rsid w:val="00A458D1"/>
    <w:rsid w:val="00A46B69"/>
    <w:rsid w:val="00A46CE6"/>
    <w:rsid w:val="00A46DEB"/>
    <w:rsid w:val="00A470EF"/>
    <w:rsid w:val="00A4715D"/>
    <w:rsid w:val="00A47AED"/>
    <w:rsid w:val="00A47EAD"/>
    <w:rsid w:val="00A47F79"/>
    <w:rsid w:val="00A50F52"/>
    <w:rsid w:val="00A51672"/>
    <w:rsid w:val="00A523C7"/>
    <w:rsid w:val="00A52609"/>
    <w:rsid w:val="00A52991"/>
    <w:rsid w:val="00A52D07"/>
    <w:rsid w:val="00A52DAB"/>
    <w:rsid w:val="00A53475"/>
    <w:rsid w:val="00A53887"/>
    <w:rsid w:val="00A53AF0"/>
    <w:rsid w:val="00A53E25"/>
    <w:rsid w:val="00A53E51"/>
    <w:rsid w:val="00A540AC"/>
    <w:rsid w:val="00A5442A"/>
    <w:rsid w:val="00A548C8"/>
    <w:rsid w:val="00A54B6A"/>
    <w:rsid w:val="00A54EC5"/>
    <w:rsid w:val="00A55597"/>
    <w:rsid w:val="00A558C2"/>
    <w:rsid w:val="00A55B98"/>
    <w:rsid w:val="00A55C01"/>
    <w:rsid w:val="00A55EDC"/>
    <w:rsid w:val="00A55F18"/>
    <w:rsid w:val="00A560D4"/>
    <w:rsid w:val="00A56278"/>
    <w:rsid w:val="00A562EB"/>
    <w:rsid w:val="00A5658E"/>
    <w:rsid w:val="00A56C11"/>
    <w:rsid w:val="00A56E7B"/>
    <w:rsid w:val="00A5708F"/>
    <w:rsid w:val="00A57C0E"/>
    <w:rsid w:val="00A57FD0"/>
    <w:rsid w:val="00A602D7"/>
    <w:rsid w:val="00A604F4"/>
    <w:rsid w:val="00A60B35"/>
    <w:rsid w:val="00A614C2"/>
    <w:rsid w:val="00A61618"/>
    <w:rsid w:val="00A61F5D"/>
    <w:rsid w:val="00A62163"/>
    <w:rsid w:val="00A62628"/>
    <w:rsid w:val="00A62D76"/>
    <w:rsid w:val="00A62EC2"/>
    <w:rsid w:val="00A6381B"/>
    <w:rsid w:val="00A63832"/>
    <w:rsid w:val="00A6465C"/>
    <w:rsid w:val="00A64A7D"/>
    <w:rsid w:val="00A64ACF"/>
    <w:rsid w:val="00A64F09"/>
    <w:rsid w:val="00A64FB9"/>
    <w:rsid w:val="00A656D6"/>
    <w:rsid w:val="00A65B04"/>
    <w:rsid w:val="00A65DC0"/>
    <w:rsid w:val="00A66728"/>
    <w:rsid w:val="00A66BEA"/>
    <w:rsid w:val="00A67043"/>
    <w:rsid w:val="00A670A0"/>
    <w:rsid w:val="00A672B6"/>
    <w:rsid w:val="00A6763E"/>
    <w:rsid w:val="00A6772F"/>
    <w:rsid w:val="00A6793E"/>
    <w:rsid w:val="00A67A1B"/>
    <w:rsid w:val="00A70567"/>
    <w:rsid w:val="00A70822"/>
    <w:rsid w:val="00A708AE"/>
    <w:rsid w:val="00A7129A"/>
    <w:rsid w:val="00A71382"/>
    <w:rsid w:val="00A71C1A"/>
    <w:rsid w:val="00A720FD"/>
    <w:rsid w:val="00A72609"/>
    <w:rsid w:val="00A72B2F"/>
    <w:rsid w:val="00A73679"/>
    <w:rsid w:val="00A73BAE"/>
    <w:rsid w:val="00A73CF7"/>
    <w:rsid w:val="00A74022"/>
    <w:rsid w:val="00A7403F"/>
    <w:rsid w:val="00A7407F"/>
    <w:rsid w:val="00A74259"/>
    <w:rsid w:val="00A7464D"/>
    <w:rsid w:val="00A7465F"/>
    <w:rsid w:val="00A755A7"/>
    <w:rsid w:val="00A75912"/>
    <w:rsid w:val="00A75BCC"/>
    <w:rsid w:val="00A76A83"/>
    <w:rsid w:val="00A76F8F"/>
    <w:rsid w:val="00A77236"/>
    <w:rsid w:val="00A77923"/>
    <w:rsid w:val="00A77FAC"/>
    <w:rsid w:val="00A8025D"/>
    <w:rsid w:val="00A80277"/>
    <w:rsid w:val="00A8041A"/>
    <w:rsid w:val="00A8063C"/>
    <w:rsid w:val="00A8089A"/>
    <w:rsid w:val="00A80A96"/>
    <w:rsid w:val="00A81481"/>
    <w:rsid w:val="00A81713"/>
    <w:rsid w:val="00A81FD3"/>
    <w:rsid w:val="00A82E70"/>
    <w:rsid w:val="00A82FE4"/>
    <w:rsid w:val="00A832B4"/>
    <w:rsid w:val="00A83907"/>
    <w:rsid w:val="00A83D6A"/>
    <w:rsid w:val="00A8446F"/>
    <w:rsid w:val="00A84B2B"/>
    <w:rsid w:val="00A84B72"/>
    <w:rsid w:val="00A85210"/>
    <w:rsid w:val="00A86628"/>
    <w:rsid w:val="00A86BD4"/>
    <w:rsid w:val="00A86DE9"/>
    <w:rsid w:val="00A875B1"/>
    <w:rsid w:val="00A87EBB"/>
    <w:rsid w:val="00A90878"/>
    <w:rsid w:val="00A90B06"/>
    <w:rsid w:val="00A90B77"/>
    <w:rsid w:val="00A90D27"/>
    <w:rsid w:val="00A9167B"/>
    <w:rsid w:val="00A91939"/>
    <w:rsid w:val="00A91F12"/>
    <w:rsid w:val="00A920D7"/>
    <w:rsid w:val="00A921A4"/>
    <w:rsid w:val="00A9288F"/>
    <w:rsid w:val="00A92C53"/>
    <w:rsid w:val="00A9330E"/>
    <w:rsid w:val="00A9371E"/>
    <w:rsid w:val="00A93DC3"/>
    <w:rsid w:val="00A94D3E"/>
    <w:rsid w:val="00A95559"/>
    <w:rsid w:val="00A956C5"/>
    <w:rsid w:val="00A95919"/>
    <w:rsid w:val="00A95E37"/>
    <w:rsid w:val="00A95FD5"/>
    <w:rsid w:val="00A9671C"/>
    <w:rsid w:val="00A967A5"/>
    <w:rsid w:val="00A9692C"/>
    <w:rsid w:val="00A972DD"/>
    <w:rsid w:val="00A97595"/>
    <w:rsid w:val="00A97AEB"/>
    <w:rsid w:val="00A97EB7"/>
    <w:rsid w:val="00AA003B"/>
    <w:rsid w:val="00AA00E0"/>
    <w:rsid w:val="00AA126A"/>
    <w:rsid w:val="00AA1381"/>
    <w:rsid w:val="00AA19BB"/>
    <w:rsid w:val="00AA20DB"/>
    <w:rsid w:val="00AA2C82"/>
    <w:rsid w:val="00AA2F5B"/>
    <w:rsid w:val="00AA35CA"/>
    <w:rsid w:val="00AA416A"/>
    <w:rsid w:val="00AA46C4"/>
    <w:rsid w:val="00AA474A"/>
    <w:rsid w:val="00AA4D01"/>
    <w:rsid w:val="00AA577D"/>
    <w:rsid w:val="00AA5988"/>
    <w:rsid w:val="00AA5D74"/>
    <w:rsid w:val="00AA5E0E"/>
    <w:rsid w:val="00AA6986"/>
    <w:rsid w:val="00AA732E"/>
    <w:rsid w:val="00AA774B"/>
    <w:rsid w:val="00AB0E7E"/>
    <w:rsid w:val="00AB1905"/>
    <w:rsid w:val="00AB1DE8"/>
    <w:rsid w:val="00AB21C1"/>
    <w:rsid w:val="00AB2B43"/>
    <w:rsid w:val="00AB3394"/>
    <w:rsid w:val="00AB3460"/>
    <w:rsid w:val="00AB39B8"/>
    <w:rsid w:val="00AB3A63"/>
    <w:rsid w:val="00AB43B3"/>
    <w:rsid w:val="00AB4847"/>
    <w:rsid w:val="00AB4857"/>
    <w:rsid w:val="00AB4AFA"/>
    <w:rsid w:val="00AB4F39"/>
    <w:rsid w:val="00AB5215"/>
    <w:rsid w:val="00AB5544"/>
    <w:rsid w:val="00AB5615"/>
    <w:rsid w:val="00AB59B5"/>
    <w:rsid w:val="00AB5BFD"/>
    <w:rsid w:val="00AB6029"/>
    <w:rsid w:val="00AB6795"/>
    <w:rsid w:val="00AB6D1D"/>
    <w:rsid w:val="00AB6E58"/>
    <w:rsid w:val="00AB7091"/>
    <w:rsid w:val="00AB7827"/>
    <w:rsid w:val="00AB7BE2"/>
    <w:rsid w:val="00AB7BEE"/>
    <w:rsid w:val="00AC02B6"/>
    <w:rsid w:val="00AC052F"/>
    <w:rsid w:val="00AC0A9C"/>
    <w:rsid w:val="00AC0C05"/>
    <w:rsid w:val="00AC0D67"/>
    <w:rsid w:val="00AC0E05"/>
    <w:rsid w:val="00AC0FED"/>
    <w:rsid w:val="00AC10A0"/>
    <w:rsid w:val="00AC1212"/>
    <w:rsid w:val="00AC1296"/>
    <w:rsid w:val="00AC17D9"/>
    <w:rsid w:val="00AC1807"/>
    <w:rsid w:val="00AC1861"/>
    <w:rsid w:val="00AC44CB"/>
    <w:rsid w:val="00AC4925"/>
    <w:rsid w:val="00AC4BF9"/>
    <w:rsid w:val="00AC4DD5"/>
    <w:rsid w:val="00AC510D"/>
    <w:rsid w:val="00AC5930"/>
    <w:rsid w:val="00AC5A1E"/>
    <w:rsid w:val="00AC6664"/>
    <w:rsid w:val="00AC69B8"/>
    <w:rsid w:val="00AC6BF7"/>
    <w:rsid w:val="00AC6D6B"/>
    <w:rsid w:val="00AC6F9D"/>
    <w:rsid w:val="00AC71C2"/>
    <w:rsid w:val="00AC78E8"/>
    <w:rsid w:val="00AC7DC6"/>
    <w:rsid w:val="00AC7FBE"/>
    <w:rsid w:val="00AD09A6"/>
    <w:rsid w:val="00AD0A65"/>
    <w:rsid w:val="00AD0A71"/>
    <w:rsid w:val="00AD176A"/>
    <w:rsid w:val="00AD188F"/>
    <w:rsid w:val="00AD23B1"/>
    <w:rsid w:val="00AD2528"/>
    <w:rsid w:val="00AD2674"/>
    <w:rsid w:val="00AD2776"/>
    <w:rsid w:val="00AD33CD"/>
    <w:rsid w:val="00AD3601"/>
    <w:rsid w:val="00AD3801"/>
    <w:rsid w:val="00AD3A45"/>
    <w:rsid w:val="00AD429C"/>
    <w:rsid w:val="00AD47F4"/>
    <w:rsid w:val="00AD4C38"/>
    <w:rsid w:val="00AD5058"/>
    <w:rsid w:val="00AD5488"/>
    <w:rsid w:val="00AD561F"/>
    <w:rsid w:val="00AD5B62"/>
    <w:rsid w:val="00AD6401"/>
    <w:rsid w:val="00AD7A0B"/>
    <w:rsid w:val="00AD7A2C"/>
    <w:rsid w:val="00AD7B6B"/>
    <w:rsid w:val="00AD7FCC"/>
    <w:rsid w:val="00AE099B"/>
    <w:rsid w:val="00AE0B43"/>
    <w:rsid w:val="00AE0D93"/>
    <w:rsid w:val="00AE1485"/>
    <w:rsid w:val="00AE154E"/>
    <w:rsid w:val="00AE1768"/>
    <w:rsid w:val="00AE176A"/>
    <w:rsid w:val="00AE2363"/>
    <w:rsid w:val="00AE26AB"/>
    <w:rsid w:val="00AE31A3"/>
    <w:rsid w:val="00AE347C"/>
    <w:rsid w:val="00AE3C05"/>
    <w:rsid w:val="00AE43BF"/>
    <w:rsid w:val="00AE4405"/>
    <w:rsid w:val="00AE47DC"/>
    <w:rsid w:val="00AE4DB1"/>
    <w:rsid w:val="00AE4E24"/>
    <w:rsid w:val="00AE529B"/>
    <w:rsid w:val="00AE54C6"/>
    <w:rsid w:val="00AE5E94"/>
    <w:rsid w:val="00AE633B"/>
    <w:rsid w:val="00AE6384"/>
    <w:rsid w:val="00AE643D"/>
    <w:rsid w:val="00AE66CA"/>
    <w:rsid w:val="00AE6A6A"/>
    <w:rsid w:val="00AE6B52"/>
    <w:rsid w:val="00AE6FE0"/>
    <w:rsid w:val="00AE729B"/>
    <w:rsid w:val="00AE795C"/>
    <w:rsid w:val="00AE7E06"/>
    <w:rsid w:val="00AE7FBB"/>
    <w:rsid w:val="00AF0B4F"/>
    <w:rsid w:val="00AF0BDB"/>
    <w:rsid w:val="00AF1093"/>
    <w:rsid w:val="00AF17FF"/>
    <w:rsid w:val="00AF2313"/>
    <w:rsid w:val="00AF280E"/>
    <w:rsid w:val="00AF2D03"/>
    <w:rsid w:val="00AF306F"/>
    <w:rsid w:val="00AF30B9"/>
    <w:rsid w:val="00AF35BF"/>
    <w:rsid w:val="00AF370B"/>
    <w:rsid w:val="00AF3943"/>
    <w:rsid w:val="00AF4096"/>
    <w:rsid w:val="00AF4626"/>
    <w:rsid w:val="00AF47B6"/>
    <w:rsid w:val="00AF4DE0"/>
    <w:rsid w:val="00AF5497"/>
    <w:rsid w:val="00AF5617"/>
    <w:rsid w:val="00AF56AA"/>
    <w:rsid w:val="00AF5B4E"/>
    <w:rsid w:val="00AF6211"/>
    <w:rsid w:val="00AF6252"/>
    <w:rsid w:val="00AF63C1"/>
    <w:rsid w:val="00AF6646"/>
    <w:rsid w:val="00AF694A"/>
    <w:rsid w:val="00AF7659"/>
    <w:rsid w:val="00AF7730"/>
    <w:rsid w:val="00AF7A75"/>
    <w:rsid w:val="00B00D89"/>
    <w:rsid w:val="00B015C2"/>
    <w:rsid w:val="00B016AD"/>
    <w:rsid w:val="00B0176A"/>
    <w:rsid w:val="00B0190C"/>
    <w:rsid w:val="00B01964"/>
    <w:rsid w:val="00B01C8D"/>
    <w:rsid w:val="00B01DBC"/>
    <w:rsid w:val="00B0204D"/>
    <w:rsid w:val="00B02679"/>
    <w:rsid w:val="00B026AB"/>
    <w:rsid w:val="00B028DB"/>
    <w:rsid w:val="00B02C21"/>
    <w:rsid w:val="00B02DA2"/>
    <w:rsid w:val="00B02FAB"/>
    <w:rsid w:val="00B042E8"/>
    <w:rsid w:val="00B045BD"/>
    <w:rsid w:val="00B04640"/>
    <w:rsid w:val="00B05AB6"/>
    <w:rsid w:val="00B05B7E"/>
    <w:rsid w:val="00B05F68"/>
    <w:rsid w:val="00B0615A"/>
    <w:rsid w:val="00B06C66"/>
    <w:rsid w:val="00B06CDC"/>
    <w:rsid w:val="00B078C3"/>
    <w:rsid w:val="00B07DF3"/>
    <w:rsid w:val="00B1077A"/>
    <w:rsid w:val="00B10B96"/>
    <w:rsid w:val="00B10D37"/>
    <w:rsid w:val="00B11D9E"/>
    <w:rsid w:val="00B11E52"/>
    <w:rsid w:val="00B11FB4"/>
    <w:rsid w:val="00B12046"/>
    <w:rsid w:val="00B12077"/>
    <w:rsid w:val="00B1211D"/>
    <w:rsid w:val="00B128AB"/>
    <w:rsid w:val="00B12964"/>
    <w:rsid w:val="00B12B58"/>
    <w:rsid w:val="00B12F28"/>
    <w:rsid w:val="00B13011"/>
    <w:rsid w:val="00B1307A"/>
    <w:rsid w:val="00B13B25"/>
    <w:rsid w:val="00B13D4D"/>
    <w:rsid w:val="00B141FE"/>
    <w:rsid w:val="00B142C2"/>
    <w:rsid w:val="00B1444D"/>
    <w:rsid w:val="00B1462E"/>
    <w:rsid w:val="00B14737"/>
    <w:rsid w:val="00B14EE7"/>
    <w:rsid w:val="00B15013"/>
    <w:rsid w:val="00B165EE"/>
    <w:rsid w:val="00B16785"/>
    <w:rsid w:val="00B16930"/>
    <w:rsid w:val="00B16960"/>
    <w:rsid w:val="00B16B34"/>
    <w:rsid w:val="00B17B75"/>
    <w:rsid w:val="00B20D1E"/>
    <w:rsid w:val="00B21104"/>
    <w:rsid w:val="00B2121D"/>
    <w:rsid w:val="00B217D7"/>
    <w:rsid w:val="00B21801"/>
    <w:rsid w:val="00B21A92"/>
    <w:rsid w:val="00B21D2D"/>
    <w:rsid w:val="00B21DE4"/>
    <w:rsid w:val="00B22036"/>
    <w:rsid w:val="00B2253D"/>
    <w:rsid w:val="00B225BE"/>
    <w:rsid w:val="00B22725"/>
    <w:rsid w:val="00B22B6D"/>
    <w:rsid w:val="00B22C4F"/>
    <w:rsid w:val="00B23273"/>
    <w:rsid w:val="00B2523B"/>
    <w:rsid w:val="00B25288"/>
    <w:rsid w:val="00B254B5"/>
    <w:rsid w:val="00B256B6"/>
    <w:rsid w:val="00B25A30"/>
    <w:rsid w:val="00B25A54"/>
    <w:rsid w:val="00B26226"/>
    <w:rsid w:val="00B265D0"/>
    <w:rsid w:val="00B26A6D"/>
    <w:rsid w:val="00B26CB9"/>
    <w:rsid w:val="00B27B2F"/>
    <w:rsid w:val="00B27CAE"/>
    <w:rsid w:val="00B300B5"/>
    <w:rsid w:val="00B30454"/>
    <w:rsid w:val="00B30EDD"/>
    <w:rsid w:val="00B310F3"/>
    <w:rsid w:val="00B31145"/>
    <w:rsid w:val="00B31202"/>
    <w:rsid w:val="00B313FC"/>
    <w:rsid w:val="00B31701"/>
    <w:rsid w:val="00B317DF"/>
    <w:rsid w:val="00B317F9"/>
    <w:rsid w:val="00B32EFF"/>
    <w:rsid w:val="00B3349E"/>
    <w:rsid w:val="00B3399C"/>
    <w:rsid w:val="00B33E9B"/>
    <w:rsid w:val="00B33F57"/>
    <w:rsid w:val="00B342D2"/>
    <w:rsid w:val="00B3454A"/>
    <w:rsid w:val="00B34F4A"/>
    <w:rsid w:val="00B351BE"/>
    <w:rsid w:val="00B357D9"/>
    <w:rsid w:val="00B35F7D"/>
    <w:rsid w:val="00B360B9"/>
    <w:rsid w:val="00B3614D"/>
    <w:rsid w:val="00B36AE3"/>
    <w:rsid w:val="00B372F9"/>
    <w:rsid w:val="00B376E6"/>
    <w:rsid w:val="00B377EB"/>
    <w:rsid w:val="00B37B74"/>
    <w:rsid w:val="00B37BDE"/>
    <w:rsid w:val="00B400A6"/>
    <w:rsid w:val="00B402BA"/>
    <w:rsid w:val="00B40ADC"/>
    <w:rsid w:val="00B410AC"/>
    <w:rsid w:val="00B41170"/>
    <w:rsid w:val="00B412A4"/>
    <w:rsid w:val="00B41362"/>
    <w:rsid w:val="00B41B81"/>
    <w:rsid w:val="00B41D6F"/>
    <w:rsid w:val="00B41E0A"/>
    <w:rsid w:val="00B4210F"/>
    <w:rsid w:val="00B421A5"/>
    <w:rsid w:val="00B42202"/>
    <w:rsid w:val="00B42494"/>
    <w:rsid w:val="00B425DA"/>
    <w:rsid w:val="00B4289C"/>
    <w:rsid w:val="00B431F1"/>
    <w:rsid w:val="00B433CB"/>
    <w:rsid w:val="00B43D44"/>
    <w:rsid w:val="00B43DD7"/>
    <w:rsid w:val="00B441C4"/>
    <w:rsid w:val="00B444CE"/>
    <w:rsid w:val="00B44771"/>
    <w:rsid w:val="00B453DF"/>
    <w:rsid w:val="00B456B0"/>
    <w:rsid w:val="00B456C5"/>
    <w:rsid w:val="00B45741"/>
    <w:rsid w:val="00B45AA0"/>
    <w:rsid w:val="00B462DE"/>
    <w:rsid w:val="00B46B4F"/>
    <w:rsid w:val="00B46C4A"/>
    <w:rsid w:val="00B46DFA"/>
    <w:rsid w:val="00B46E25"/>
    <w:rsid w:val="00B4701B"/>
    <w:rsid w:val="00B4769F"/>
    <w:rsid w:val="00B47732"/>
    <w:rsid w:val="00B47C99"/>
    <w:rsid w:val="00B47EB3"/>
    <w:rsid w:val="00B5008F"/>
    <w:rsid w:val="00B502B0"/>
    <w:rsid w:val="00B505B7"/>
    <w:rsid w:val="00B51050"/>
    <w:rsid w:val="00B51088"/>
    <w:rsid w:val="00B5156E"/>
    <w:rsid w:val="00B519F5"/>
    <w:rsid w:val="00B51EF7"/>
    <w:rsid w:val="00B52356"/>
    <w:rsid w:val="00B52673"/>
    <w:rsid w:val="00B53964"/>
    <w:rsid w:val="00B53AF6"/>
    <w:rsid w:val="00B53FDD"/>
    <w:rsid w:val="00B541AD"/>
    <w:rsid w:val="00B54856"/>
    <w:rsid w:val="00B54FFE"/>
    <w:rsid w:val="00B55501"/>
    <w:rsid w:val="00B56118"/>
    <w:rsid w:val="00B562DA"/>
    <w:rsid w:val="00B5644B"/>
    <w:rsid w:val="00B5683E"/>
    <w:rsid w:val="00B56AF8"/>
    <w:rsid w:val="00B56B27"/>
    <w:rsid w:val="00B56DAF"/>
    <w:rsid w:val="00B57527"/>
    <w:rsid w:val="00B5783B"/>
    <w:rsid w:val="00B57C05"/>
    <w:rsid w:val="00B57C3F"/>
    <w:rsid w:val="00B57C54"/>
    <w:rsid w:val="00B600D9"/>
    <w:rsid w:val="00B60562"/>
    <w:rsid w:val="00B607D4"/>
    <w:rsid w:val="00B60B1D"/>
    <w:rsid w:val="00B60B80"/>
    <w:rsid w:val="00B60CB9"/>
    <w:rsid w:val="00B60EFD"/>
    <w:rsid w:val="00B61123"/>
    <w:rsid w:val="00B61A64"/>
    <w:rsid w:val="00B61F03"/>
    <w:rsid w:val="00B6238C"/>
    <w:rsid w:val="00B624E2"/>
    <w:rsid w:val="00B62F42"/>
    <w:rsid w:val="00B630E6"/>
    <w:rsid w:val="00B63278"/>
    <w:rsid w:val="00B63383"/>
    <w:rsid w:val="00B634DC"/>
    <w:rsid w:val="00B6356C"/>
    <w:rsid w:val="00B63DFA"/>
    <w:rsid w:val="00B63FA7"/>
    <w:rsid w:val="00B64457"/>
    <w:rsid w:val="00B64B9E"/>
    <w:rsid w:val="00B64DB4"/>
    <w:rsid w:val="00B650B5"/>
    <w:rsid w:val="00B65964"/>
    <w:rsid w:val="00B665A4"/>
    <w:rsid w:val="00B6729F"/>
    <w:rsid w:val="00B672D1"/>
    <w:rsid w:val="00B67CB6"/>
    <w:rsid w:val="00B705C6"/>
    <w:rsid w:val="00B71925"/>
    <w:rsid w:val="00B71DA6"/>
    <w:rsid w:val="00B71F9F"/>
    <w:rsid w:val="00B71FE2"/>
    <w:rsid w:val="00B7202C"/>
    <w:rsid w:val="00B724A0"/>
    <w:rsid w:val="00B729C9"/>
    <w:rsid w:val="00B729D7"/>
    <w:rsid w:val="00B7358F"/>
    <w:rsid w:val="00B73858"/>
    <w:rsid w:val="00B73994"/>
    <w:rsid w:val="00B73E36"/>
    <w:rsid w:val="00B73E50"/>
    <w:rsid w:val="00B74112"/>
    <w:rsid w:val="00B743DE"/>
    <w:rsid w:val="00B758F2"/>
    <w:rsid w:val="00B760DD"/>
    <w:rsid w:val="00B7635A"/>
    <w:rsid w:val="00B77698"/>
    <w:rsid w:val="00B7769D"/>
    <w:rsid w:val="00B77AF2"/>
    <w:rsid w:val="00B8017E"/>
    <w:rsid w:val="00B80479"/>
    <w:rsid w:val="00B80518"/>
    <w:rsid w:val="00B80C57"/>
    <w:rsid w:val="00B81308"/>
    <w:rsid w:val="00B8251D"/>
    <w:rsid w:val="00B82A03"/>
    <w:rsid w:val="00B82AAF"/>
    <w:rsid w:val="00B82AFB"/>
    <w:rsid w:val="00B82B20"/>
    <w:rsid w:val="00B82B2F"/>
    <w:rsid w:val="00B83249"/>
    <w:rsid w:val="00B839D8"/>
    <w:rsid w:val="00B83A6C"/>
    <w:rsid w:val="00B83D27"/>
    <w:rsid w:val="00B83F58"/>
    <w:rsid w:val="00B843C9"/>
    <w:rsid w:val="00B8475E"/>
    <w:rsid w:val="00B84F5B"/>
    <w:rsid w:val="00B85047"/>
    <w:rsid w:val="00B8531B"/>
    <w:rsid w:val="00B8541E"/>
    <w:rsid w:val="00B86838"/>
    <w:rsid w:val="00B86911"/>
    <w:rsid w:val="00B86B3C"/>
    <w:rsid w:val="00B87149"/>
    <w:rsid w:val="00B8740B"/>
    <w:rsid w:val="00B90670"/>
    <w:rsid w:val="00B90A83"/>
    <w:rsid w:val="00B922C2"/>
    <w:rsid w:val="00B923CB"/>
    <w:rsid w:val="00B93077"/>
    <w:rsid w:val="00B9421D"/>
    <w:rsid w:val="00B94267"/>
    <w:rsid w:val="00B946CC"/>
    <w:rsid w:val="00B947CB"/>
    <w:rsid w:val="00B9481C"/>
    <w:rsid w:val="00B95023"/>
    <w:rsid w:val="00B952EB"/>
    <w:rsid w:val="00B963D4"/>
    <w:rsid w:val="00B96952"/>
    <w:rsid w:val="00B96FA3"/>
    <w:rsid w:val="00BA03FF"/>
    <w:rsid w:val="00BA0967"/>
    <w:rsid w:val="00BA13B1"/>
    <w:rsid w:val="00BA18A0"/>
    <w:rsid w:val="00BA1B45"/>
    <w:rsid w:val="00BA26CE"/>
    <w:rsid w:val="00BA28DD"/>
    <w:rsid w:val="00BA2B6A"/>
    <w:rsid w:val="00BA2BA7"/>
    <w:rsid w:val="00BA35CB"/>
    <w:rsid w:val="00BA3E0A"/>
    <w:rsid w:val="00BA3F1F"/>
    <w:rsid w:val="00BA4170"/>
    <w:rsid w:val="00BA42D3"/>
    <w:rsid w:val="00BA430E"/>
    <w:rsid w:val="00BA4470"/>
    <w:rsid w:val="00BA45CC"/>
    <w:rsid w:val="00BA4890"/>
    <w:rsid w:val="00BA4E0A"/>
    <w:rsid w:val="00BA5095"/>
    <w:rsid w:val="00BA54E5"/>
    <w:rsid w:val="00BA6811"/>
    <w:rsid w:val="00BA6A58"/>
    <w:rsid w:val="00BA6D14"/>
    <w:rsid w:val="00BA6F97"/>
    <w:rsid w:val="00BA7144"/>
    <w:rsid w:val="00BB0065"/>
    <w:rsid w:val="00BB0805"/>
    <w:rsid w:val="00BB0FFB"/>
    <w:rsid w:val="00BB1587"/>
    <w:rsid w:val="00BB1698"/>
    <w:rsid w:val="00BB1829"/>
    <w:rsid w:val="00BB1B40"/>
    <w:rsid w:val="00BB1D05"/>
    <w:rsid w:val="00BB23F6"/>
    <w:rsid w:val="00BB260F"/>
    <w:rsid w:val="00BB30EA"/>
    <w:rsid w:val="00BB3207"/>
    <w:rsid w:val="00BB4070"/>
    <w:rsid w:val="00BB43A1"/>
    <w:rsid w:val="00BB4728"/>
    <w:rsid w:val="00BB47E1"/>
    <w:rsid w:val="00BB4F17"/>
    <w:rsid w:val="00BB4F63"/>
    <w:rsid w:val="00BB55D2"/>
    <w:rsid w:val="00BB5658"/>
    <w:rsid w:val="00BB56D3"/>
    <w:rsid w:val="00BB5C40"/>
    <w:rsid w:val="00BB5D6E"/>
    <w:rsid w:val="00BB6072"/>
    <w:rsid w:val="00BB63C4"/>
    <w:rsid w:val="00BB63CB"/>
    <w:rsid w:val="00BB647B"/>
    <w:rsid w:val="00BB687F"/>
    <w:rsid w:val="00BB6B09"/>
    <w:rsid w:val="00BB6ED0"/>
    <w:rsid w:val="00BB7BD3"/>
    <w:rsid w:val="00BB7D44"/>
    <w:rsid w:val="00BC0004"/>
    <w:rsid w:val="00BC06EA"/>
    <w:rsid w:val="00BC0A5D"/>
    <w:rsid w:val="00BC0A82"/>
    <w:rsid w:val="00BC0B2A"/>
    <w:rsid w:val="00BC0EF5"/>
    <w:rsid w:val="00BC0F01"/>
    <w:rsid w:val="00BC1265"/>
    <w:rsid w:val="00BC2045"/>
    <w:rsid w:val="00BC2F36"/>
    <w:rsid w:val="00BC32FA"/>
    <w:rsid w:val="00BC37F3"/>
    <w:rsid w:val="00BC3ACE"/>
    <w:rsid w:val="00BC3CF5"/>
    <w:rsid w:val="00BC4A6D"/>
    <w:rsid w:val="00BC4B23"/>
    <w:rsid w:val="00BC4FE3"/>
    <w:rsid w:val="00BC57E4"/>
    <w:rsid w:val="00BC580A"/>
    <w:rsid w:val="00BC5D0B"/>
    <w:rsid w:val="00BC6379"/>
    <w:rsid w:val="00BC722C"/>
    <w:rsid w:val="00BC748D"/>
    <w:rsid w:val="00BC7DD4"/>
    <w:rsid w:val="00BD112F"/>
    <w:rsid w:val="00BD177D"/>
    <w:rsid w:val="00BD1ABA"/>
    <w:rsid w:val="00BD2732"/>
    <w:rsid w:val="00BD2D18"/>
    <w:rsid w:val="00BD3CAF"/>
    <w:rsid w:val="00BD42AB"/>
    <w:rsid w:val="00BD4991"/>
    <w:rsid w:val="00BD4B66"/>
    <w:rsid w:val="00BD4C73"/>
    <w:rsid w:val="00BD5398"/>
    <w:rsid w:val="00BD5663"/>
    <w:rsid w:val="00BD5ACE"/>
    <w:rsid w:val="00BD5CDC"/>
    <w:rsid w:val="00BD5EF8"/>
    <w:rsid w:val="00BD64EA"/>
    <w:rsid w:val="00BD6CAC"/>
    <w:rsid w:val="00BD6CCF"/>
    <w:rsid w:val="00BD7455"/>
    <w:rsid w:val="00BD7611"/>
    <w:rsid w:val="00BD7F1A"/>
    <w:rsid w:val="00BE0159"/>
    <w:rsid w:val="00BE047F"/>
    <w:rsid w:val="00BE0914"/>
    <w:rsid w:val="00BE0A1B"/>
    <w:rsid w:val="00BE18A2"/>
    <w:rsid w:val="00BE2F89"/>
    <w:rsid w:val="00BE2FBF"/>
    <w:rsid w:val="00BE34F1"/>
    <w:rsid w:val="00BE3ADE"/>
    <w:rsid w:val="00BE412D"/>
    <w:rsid w:val="00BE5553"/>
    <w:rsid w:val="00BE5AF8"/>
    <w:rsid w:val="00BE5BA3"/>
    <w:rsid w:val="00BE6085"/>
    <w:rsid w:val="00BE616E"/>
    <w:rsid w:val="00BE640F"/>
    <w:rsid w:val="00BE6661"/>
    <w:rsid w:val="00BE6912"/>
    <w:rsid w:val="00BE6F00"/>
    <w:rsid w:val="00BE790C"/>
    <w:rsid w:val="00BE7CA7"/>
    <w:rsid w:val="00BF0B0E"/>
    <w:rsid w:val="00BF0B72"/>
    <w:rsid w:val="00BF12DE"/>
    <w:rsid w:val="00BF189D"/>
    <w:rsid w:val="00BF19A9"/>
    <w:rsid w:val="00BF1A98"/>
    <w:rsid w:val="00BF1C37"/>
    <w:rsid w:val="00BF1C8B"/>
    <w:rsid w:val="00BF2126"/>
    <w:rsid w:val="00BF2246"/>
    <w:rsid w:val="00BF22CF"/>
    <w:rsid w:val="00BF250A"/>
    <w:rsid w:val="00BF268B"/>
    <w:rsid w:val="00BF361A"/>
    <w:rsid w:val="00BF3A19"/>
    <w:rsid w:val="00BF3CFA"/>
    <w:rsid w:val="00BF3E61"/>
    <w:rsid w:val="00BF4674"/>
    <w:rsid w:val="00BF4842"/>
    <w:rsid w:val="00BF4B8C"/>
    <w:rsid w:val="00BF4C0E"/>
    <w:rsid w:val="00BF52A6"/>
    <w:rsid w:val="00BF56A7"/>
    <w:rsid w:val="00BF5C57"/>
    <w:rsid w:val="00BF62FB"/>
    <w:rsid w:val="00BF63DA"/>
    <w:rsid w:val="00BF6C28"/>
    <w:rsid w:val="00BF6D16"/>
    <w:rsid w:val="00BF6DBF"/>
    <w:rsid w:val="00BF71A6"/>
    <w:rsid w:val="00BF7908"/>
    <w:rsid w:val="00BF7A48"/>
    <w:rsid w:val="00BF7AB7"/>
    <w:rsid w:val="00BF7B18"/>
    <w:rsid w:val="00C00209"/>
    <w:rsid w:val="00C004F4"/>
    <w:rsid w:val="00C0083B"/>
    <w:rsid w:val="00C008AE"/>
    <w:rsid w:val="00C008E1"/>
    <w:rsid w:val="00C00A00"/>
    <w:rsid w:val="00C01007"/>
    <w:rsid w:val="00C011C6"/>
    <w:rsid w:val="00C012E5"/>
    <w:rsid w:val="00C0179D"/>
    <w:rsid w:val="00C0189A"/>
    <w:rsid w:val="00C01BEB"/>
    <w:rsid w:val="00C01CA3"/>
    <w:rsid w:val="00C01D4A"/>
    <w:rsid w:val="00C02601"/>
    <w:rsid w:val="00C02DC4"/>
    <w:rsid w:val="00C03780"/>
    <w:rsid w:val="00C0384D"/>
    <w:rsid w:val="00C0426C"/>
    <w:rsid w:val="00C045B3"/>
    <w:rsid w:val="00C0493E"/>
    <w:rsid w:val="00C04A61"/>
    <w:rsid w:val="00C04F0F"/>
    <w:rsid w:val="00C04FEF"/>
    <w:rsid w:val="00C0551E"/>
    <w:rsid w:val="00C058C5"/>
    <w:rsid w:val="00C05C6F"/>
    <w:rsid w:val="00C06D42"/>
    <w:rsid w:val="00C07450"/>
    <w:rsid w:val="00C0779B"/>
    <w:rsid w:val="00C07CC0"/>
    <w:rsid w:val="00C07E0D"/>
    <w:rsid w:val="00C10185"/>
    <w:rsid w:val="00C10237"/>
    <w:rsid w:val="00C10A00"/>
    <w:rsid w:val="00C1154B"/>
    <w:rsid w:val="00C115BD"/>
    <w:rsid w:val="00C119DD"/>
    <w:rsid w:val="00C1227A"/>
    <w:rsid w:val="00C12513"/>
    <w:rsid w:val="00C12568"/>
    <w:rsid w:val="00C12923"/>
    <w:rsid w:val="00C12EDA"/>
    <w:rsid w:val="00C13102"/>
    <w:rsid w:val="00C135EB"/>
    <w:rsid w:val="00C13964"/>
    <w:rsid w:val="00C13AB0"/>
    <w:rsid w:val="00C143F1"/>
    <w:rsid w:val="00C145ED"/>
    <w:rsid w:val="00C1487A"/>
    <w:rsid w:val="00C148DD"/>
    <w:rsid w:val="00C15006"/>
    <w:rsid w:val="00C15516"/>
    <w:rsid w:val="00C15529"/>
    <w:rsid w:val="00C156F1"/>
    <w:rsid w:val="00C15737"/>
    <w:rsid w:val="00C158EC"/>
    <w:rsid w:val="00C15CA1"/>
    <w:rsid w:val="00C16332"/>
    <w:rsid w:val="00C166D1"/>
    <w:rsid w:val="00C16BB0"/>
    <w:rsid w:val="00C17A71"/>
    <w:rsid w:val="00C17D1A"/>
    <w:rsid w:val="00C2065B"/>
    <w:rsid w:val="00C207CE"/>
    <w:rsid w:val="00C20F9D"/>
    <w:rsid w:val="00C21107"/>
    <w:rsid w:val="00C21F51"/>
    <w:rsid w:val="00C2263B"/>
    <w:rsid w:val="00C23012"/>
    <w:rsid w:val="00C23017"/>
    <w:rsid w:val="00C23216"/>
    <w:rsid w:val="00C238C7"/>
    <w:rsid w:val="00C23C90"/>
    <w:rsid w:val="00C23E3C"/>
    <w:rsid w:val="00C242EC"/>
    <w:rsid w:val="00C24319"/>
    <w:rsid w:val="00C243A2"/>
    <w:rsid w:val="00C246F5"/>
    <w:rsid w:val="00C2489B"/>
    <w:rsid w:val="00C25DD9"/>
    <w:rsid w:val="00C25DE0"/>
    <w:rsid w:val="00C25FF6"/>
    <w:rsid w:val="00C261A6"/>
    <w:rsid w:val="00C26CDC"/>
    <w:rsid w:val="00C26EDB"/>
    <w:rsid w:val="00C27384"/>
    <w:rsid w:val="00C277F7"/>
    <w:rsid w:val="00C27997"/>
    <w:rsid w:val="00C27D1A"/>
    <w:rsid w:val="00C27DD1"/>
    <w:rsid w:val="00C302F3"/>
    <w:rsid w:val="00C3091E"/>
    <w:rsid w:val="00C30E0D"/>
    <w:rsid w:val="00C31159"/>
    <w:rsid w:val="00C313C8"/>
    <w:rsid w:val="00C31846"/>
    <w:rsid w:val="00C320F9"/>
    <w:rsid w:val="00C322DB"/>
    <w:rsid w:val="00C3298E"/>
    <w:rsid w:val="00C32C65"/>
    <w:rsid w:val="00C32CDF"/>
    <w:rsid w:val="00C33A71"/>
    <w:rsid w:val="00C33BC9"/>
    <w:rsid w:val="00C33CC2"/>
    <w:rsid w:val="00C340AB"/>
    <w:rsid w:val="00C342F2"/>
    <w:rsid w:val="00C36330"/>
    <w:rsid w:val="00C3669F"/>
    <w:rsid w:val="00C36779"/>
    <w:rsid w:val="00C368A1"/>
    <w:rsid w:val="00C3753D"/>
    <w:rsid w:val="00C379F1"/>
    <w:rsid w:val="00C37ABC"/>
    <w:rsid w:val="00C4071F"/>
    <w:rsid w:val="00C40CC4"/>
    <w:rsid w:val="00C40FDE"/>
    <w:rsid w:val="00C41329"/>
    <w:rsid w:val="00C41732"/>
    <w:rsid w:val="00C41B7D"/>
    <w:rsid w:val="00C42D57"/>
    <w:rsid w:val="00C43044"/>
    <w:rsid w:val="00C43501"/>
    <w:rsid w:val="00C437DD"/>
    <w:rsid w:val="00C43805"/>
    <w:rsid w:val="00C43DB2"/>
    <w:rsid w:val="00C43DE2"/>
    <w:rsid w:val="00C43E55"/>
    <w:rsid w:val="00C44D4B"/>
    <w:rsid w:val="00C44E64"/>
    <w:rsid w:val="00C44EF2"/>
    <w:rsid w:val="00C457D2"/>
    <w:rsid w:val="00C45AE4"/>
    <w:rsid w:val="00C45B6D"/>
    <w:rsid w:val="00C45C7E"/>
    <w:rsid w:val="00C45D73"/>
    <w:rsid w:val="00C45F8C"/>
    <w:rsid w:val="00C46B02"/>
    <w:rsid w:val="00C47537"/>
    <w:rsid w:val="00C47A5A"/>
    <w:rsid w:val="00C47B93"/>
    <w:rsid w:val="00C47E56"/>
    <w:rsid w:val="00C507BD"/>
    <w:rsid w:val="00C50838"/>
    <w:rsid w:val="00C517F2"/>
    <w:rsid w:val="00C52B41"/>
    <w:rsid w:val="00C52FEB"/>
    <w:rsid w:val="00C5360B"/>
    <w:rsid w:val="00C53661"/>
    <w:rsid w:val="00C536EA"/>
    <w:rsid w:val="00C53760"/>
    <w:rsid w:val="00C54295"/>
    <w:rsid w:val="00C542C5"/>
    <w:rsid w:val="00C54349"/>
    <w:rsid w:val="00C5487B"/>
    <w:rsid w:val="00C54B40"/>
    <w:rsid w:val="00C54C96"/>
    <w:rsid w:val="00C550F9"/>
    <w:rsid w:val="00C55DB4"/>
    <w:rsid w:val="00C56375"/>
    <w:rsid w:val="00C5640F"/>
    <w:rsid w:val="00C565A8"/>
    <w:rsid w:val="00C5698E"/>
    <w:rsid w:val="00C56B51"/>
    <w:rsid w:val="00C56D41"/>
    <w:rsid w:val="00C56ECD"/>
    <w:rsid w:val="00C5739B"/>
    <w:rsid w:val="00C57684"/>
    <w:rsid w:val="00C578C3"/>
    <w:rsid w:val="00C57A61"/>
    <w:rsid w:val="00C57BFC"/>
    <w:rsid w:val="00C57EEE"/>
    <w:rsid w:val="00C60165"/>
    <w:rsid w:val="00C60719"/>
    <w:rsid w:val="00C60780"/>
    <w:rsid w:val="00C609F4"/>
    <w:rsid w:val="00C610BF"/>
    <w:rsid w:val="00C61253"/>
    <w:rsid w:val="00C6184C"/>
    <w:rsid w:val="00C6256F"/>
    <w:rsid w:val="00C62688"/>
    <w:rsid w:val="00C6316B"/>
    <w:rsid w:val="00C63C40"/>
    <w:rsid w:val="00C646A8"/>
    <w:rsid w:val="00C64764"/>
    <w:rsid w:val="00C648C6"/>
    <w:rsid w:val="00C64E9D"/>
    <w:rsid w:val="00C65038"/>
    <w:rsid w:val="00C6556B"/>
    <w:rsid w:val="00C667E2"/>
    <w:rsid w:val="00C66804"/>
    <w:rsid w:val="00C67751"/>
    <w:rsid w:val="00C70776"/>
    <w:rsid w:val="00C70A6A"/>
    <w:rsid w:val="00C711EA"/>
    <w:rsid w:val="00C717B8"/>
    <w:rsid w:val="00C725EF"/>
    <w:rsid w:val="00C726B1"/>
    <w:rsid w:val="00C72ABC"/>
    <w:rsid w:val="00C72E6A"/>
    <w:rsid w:val="00C73882"/>
    <w:rsid w:val="00C73896"/>
    <w:rsid w:val="00C74161"/>
    <w:rsid w:val="00C743B5"/>
    <w:rsid w:val="00C7447A"/>
    <w:rsid w:val="00C74A04"/>
    <w:rsid w:val="00C74A9E"/>
    <w:rsid w:val="00C74C42"/>
    <w:rsid w:val="00C74F3C"/>
    <w:rsid w:val="00C75DC5"/>
    <w:rsid w:val="00C76144"/>
    <w:rsid w:val="00C76328"/>
    <w:rsid w:val="00C76F06"/>
    <w:rsid w:val="00C77073"/>
    <w:rsid w:val="00C777ED"/>
    <w:rsid w:val="00C77ECA"/>
    <w:rsid w:val="00C77EDD"/>
    <w:rsid w:val="00C80654"/>
    <w:rsid w:val="00C80963"/>
    <w:rsid w:val="00C80D04"/>
    <w:rsid w:val="00C8184D"/>
    <w:rsid w:val="00C81CA7"/>
    <w:rsid w:val="00C81F2B"/>
    <w:rsid w:val="00C824D9"/>
    <w:rsid w:val="00C827FF"/>
    <w:rsid w:val="00C833B1"/>
    <w:rsid w:val="00C835C8"/>
    <w:rsid w:val="00C84313"/>
    <w:rsid w:val="00C846B5"/>
    <w:rsid w:val="00C84D4B"/>
    <w:rsid w:val="00C84E1A"/>
    <w:rsid w:val="00C8517F"/>
    <w:rsid w:val="00C85326"/>
    <w:rsid w:val="00C85802"/>
    <w:rsid w:val="00C85EE3"/>
    <w:rsid w:val="00C8601C"/>
    <w:rsid w:val="00C86C18"/>
    <w:rsid w:val="00C873BC"/>
    <w:rsid w:val="00C876FC"/>
    <w:rsid w:val="00C87CFF"/>
    <w:rsid w:val="00C87F53"/>
    <w:rsid w:val="00C906BB"/>
    <w:rsid w:val="00C90A52"/>
    <w:rsid w:val="00C90AC3"/>
    <w:rsid w:val="00C91420"/>
    <w:rsid w:val="00C918CF"/>
    <w:rsid w:val="00C91B2F"/>
    <w:rsid w:val="00C92D23"/>
    <w:rsid w:val="00C92D61"/>
    <w:rsid w:val="00C92E73"/>
    <w:rsid w:val="00C92ED9"/>
    <w:rsid w:val="00C93286"/>
    <w:rsid w:val="00C93922"/>
    <w:rsid w:val="00C93E32"/>
    <w:rsid w:val="00C93FF2"/>
    <w:rsid w:val="00C940AE"/>
    <w:rsid w:val="00C94506"/>
    <w:rsid w:val="00C946E7"/>
    <w:rsid w:val="00C94985"/>
    <w:rsid w:val="00C94B7C"/>
    <w:rsid w:val="00C94D91"/>
    <w:rsid w:val="00C9534E"/>
    <w:rsid w:val="00C954A7"/>
    <w:rsid w:val="00C958C7"/>
    <w:rsid w:val="00C95EA1"/>
    <w:rsid w:val="00C95F31"/>
    <w:rsid w:val="00C968CA"/>
    <w:rsid w:val="00C97AD0"/>
    <w:rsid w:val="00C97AFC"/>
    <w:rsid w:val="00C97D2B"/>
    <w:rsid w:val="00C97E91"/>
    <w:rsid w:val="00C97F09"/>
    <w:rsid w:val="00CA03E1"/>
    <w:rsid w:val="00CA05BF"/>
    <w:rsid w:val="00CA0CB2"/>
    <w:rsid w:val="00CA0D20"/>
    <w:rsid w:val="00CA11A4"/>
    <w:rsid w:val="00CA1740"/>
    <w:rsid w:val="00CA18A3"/>
    <w:rsid w:val="00CA1A95"/>
    <w:rsid w:val="00CA2128"/>
    <w:rsid w:val="00CA276D"/>
    <w:rsid w:val="00CA28F6"/>
    <w:rsid w:val="00CA2E37"/>
    <w:rsid w:val="00CA2EE5"/>
    <w:rsid w:val="00CA301D"/>
    <w:rsid w:val="00CA3C6F"/>
    <w:rsid w:val="00CA3DE1"/>
    <w:rsid w:val="00CA4050"/>
    <w:rsid w:val="00CA4246"/>
    <w:rsid w:val="00CA431F"/>
    <w:rsid w:val="00CA4C08"/>
    <w:rsid w:val="00CA4D16"/>
    <w:rsid w:val="00CA50FF"/>
    <w:rsid w:val="00CA5849"/>
    <w:rsid w:val="00CA587D"/>
    <w:rsid w:val="00CA5A22"/>
    <w:rsid w:val="00CA6085"/>
    <w:rsid w:val="00CA6180"/>
    <w:rsid w:val="00CA6F31"/>
    <w:rsid w:val="00CA7028"/>
    <w:rsid w:val="00CA713D"/>
    <w:rsid w:val="00CA7465"/>
    <w:rsid w:val="00CA7C5C"/>
    <w:rsid w:val="00CA7E39"/>
    <w:rsid w:val="00CB047A"/>
    <w:rsid w:val="00CB04ED"/>
    <w:rsid w:val="00CB0FEB"/>
    <w:rsid w:val="00CB1422"/>
    <w:rsid w:val="00CB160A"/>
    <w:rsid w:val="00CB1877"/>
    <w:rsid w:val="00CB1D64"/>
    <w:rsid w:val="00CB25FD"/>
    <w:rsid w:val="00CB2718"/>
    <w:rsid w:val="00CB279B"/>
    <w:rsid w:val="00CB287F"/>
    <w:rsid w:val="00CB2FF3"/>
    <w:rsid w:val="00CB3054"/>
    <w:rsid w:val="00CB38A8"/>
    <w:rsid w:val="00CB4310"/>
    <w:rsid w:val="00CB449E"/>
    <w:rsid w:val="00CB460C"/>
    <w:rsid w:val="00CB4768"/>
    <w:rsid w:val="00CB4FF8"/>
    <w:rsid w:val="00CB5127"/>
    <w:rsid w:val="00CB530E"/>
    <w:rsid w:val="00CB57A7"/>
    <w:rsid w:val="00CB666E"/>
    <w:rsid w:val="00CB6942"/>
    <w:rsid w:val="00CB6BBF"/>
    <w:rsid w:val="00CB75C7"/>
    <w:rsid w:val="00CB7698"/>
    <w:rsid w:val="00CB772C"/>
    <w:rsid w:val="00CB7868"/>
    <w:rsid w:val="00CC069B"/>
    <w:rsid w:val="00CC0E78"/>
    <w:rsid w:val="00CC0FDF"/>
    <w:rsid w:val="00CC182D"/>
    <w:rsid w:val="00CC1D2F"/>
    <w:rsid w:val="00CC25D4"/>
    <w:rsid w:val="00CC28A4"/>
    <w:rsid w:val="00CC299A"/>
    <w:rsid w:val="00CC2A74"/>
    <w:rsid w:val="00CC2BD1"/>
    <w:rsid w:val="00CC2ED6"/>
    <w:rsid w:val="00CC390A"/>
    <w:rsid w:val="00CC3A1B"/>
    <w:rsid w:val="00CC3A78"/>
    <w:rsid w:val="00CC3AD3"/>
    <w:rsid w:val="00CC410A"/>
    <w:rsid w:val="00CC44C8"/>
    <w:rsid w:val="00CC4CD5"/>
    <w:rsid w:val="00CC55B6"/>
    <w:rsid w:val="00CC622B"/>
    <w:rsid w:val="00CC6293"/>
    <w:rsid w:val="00CC67CE"/>
    <w:rsid w:val="00CC69EF"/>
    <w:rsid w:val="00CC719F"/>
    <w:rsid w:val="00CC752E"/>
    <w:rsid w:val="00CC7693"/>
    <w:rsid w:val="00CD1867"/>
    <w:rsid w:val="00CD18AA"/>
    <w:rsid w:val="00CD1962"/>
    <w:rsid w:val="00CD1E7F"/>
    <w:rsid w:val="00CD2B30"/>
    <w:rsid w:val="00CD3702"/>
    <w:rsid w:val="00CD3AF7"/>
    <w:rsid w:val="00CD3F8A"/>
    <w:rsid w:val="00CD4CD6"/>
    <w:rsid w:val="00CD4E3B"/>
    <w:rsid w:val="00CD5A7C"/>
    <w:rsid w:val="00CD6804"/>
    <w:rsid w:val="00CD68B1"/>
    <w:rsid w:val="00CD6CB6"/>
    <w:rsid w:val="00CD6E10"/>
    <w:rsid w:val="00CD6F9D"/>
    <w:rsid w:val="00CD6FCB"/>
    <w:rsid w:val="00CD7431"/>
    <w:rsid w:val="00CD74BD"/>
    <w:rsid w:val="00CE058A"/>
    <w:rsid w:val="00CE095E"/>
    <w:rsid w:val="00CE0AE8"/>
    <w:rsid w:val="00CE10B4"/>
    <w:rsid w:val="00CE1415"/>
    <w:rsid w:val="00CE1B13"/>
    <w:rsid w:val="00CE30F3"/>
    <w:rsid w:val="00CE3D8B"/>
    <w:rsid w:val="00CE4284"/>
    <w:rsid w:val="00CE44B5"/>
    <w:rsid w:val="00CE456B"/>
    <w:rsid w:val="00CE4E33"/>
    <w:rsid w:val="00CE4F74"/>
    <w:rsid w:val="00CE533D"/>
    <w:rsid w:val="00CE5C8F"/>
    <w:rsid w:val="00CE5F1B"/>
    <w:rsid w:val="00CE605E"/>
    <w:rsid w:val="00CE6119"/>
    <w:rsid w:val="00CE6408"/>
    <w:rsid w:val="00CF0311"/>
    <w:rsid w:val="00CF0545"/>
    <w:rsid w:val="00CF09DC"/>
    <w:rsid w:val="00CF0C94"/>
    <w:rsid w:val="00CF1207"/>
    <w:rsid w:val="00CF1A6D"/>
    <w:rsid w:val="00CF1FF8"/>
    <w:rsid w:val="00CF23C9"/>
    <w:rsid w:val="00CF2528"/>
    <w:rsid w:val="00CF2A1E"/>
    <w:rsid w:val="00CF300F"/>
    <w:rsid w:val="00CF305F"/>
    <w:rsid w:val="00CF37C2"/>
    <w:rsid w:val="00CF37F3"/>
    <w:rsid w:val="00CF3A8C"/>
    <w:rsid w:val="00CF3D4E"/>
    <w:rsid w:val="00CF435E"/>
    <w:rsid w:val="00CF480D"/>
    <w:rsid w:val="00CF4E11"/>
    <w:rsid w:val="00CF5712"/>
    <w:rsid w:val="00CF598B"/>
    <w:rsid w:val="00CF647E"/>
    <w:rsid w:val="00CF66B2"/>
    <w:rsid w:val="00CF6EDA"/>
    <w:rsid w:val="00CF71B9"/>
    <w:rsid w:val="00CF7358"/>
    <w:rsid w:val="00D00C40"/>
    <w:rsid w:val="00D0135E"/>
    <w:rsid w:val="00D01513"/>
    <w:rsid w:val="00D019F2"/>
    <w:rsid w:val="00D01F3A"/>
    <w:rsid w:val="00D0276D"/>
    <w:rsid w:val="00D02E3D"/>
    <w:rsid w:val="00D03A22"/>
    <w:rsid w:val="00D042C9"/>
    <w:rsid w:val="00D04C80"/>
    <w:rsid w:val="00D04ED3"/>
    <w:rsid w:val="00D04FD9"/>
    <w:rsid w:val="00D05B4B"/>
    <w:rsid w:val="00D05CA4"/>
    <w:rsid w:val="00D05DC9"/>
    <w:rsid w:val="00D06014"/>
    <w:rsid w:val="00D060D8"/>
    <w:rsid w:val="00D062FC"/>
    <w:rsid w:val="00D0634E"/>
    <w:rsid w:val="00D065FD"/>
    <w:rsid w:val="00D06A92"/>
    <w:rsid w:val="00D06D2F"/>
    <w:rsid w:val="00D06DB4"/>
    <w:rsid w:val="00D06F72"/>
    <w:rsid w:val="00D07147"/>
    <w:rsid w:val="00D071DB"/>
    <w:rsid w:val="00D0756E"/>
    <w:rsid w:val="00D079A5"/>
    <w:rsid w:val="00D07AC9"/>
    <w:rsid w:val="00D07F96"/>
    <w:rsid w:val="00D07FCA"/>
    <w:rsid w:val="00D11786"/>
    <w:rsid w:val="00D11E6C"/>
    <w:rsid w:val="00D11F48"/>
    <w:rsid w:val="00D11FAE"/>
    <w:rsid w:val="00D12B2D"/>
    <w:rsid w:val="00D130C2"/>
    <w:rsid w:val="00D135B9"/>
    <w:rsid w:val="00D142EA"/>
    <w:rsid w:val="00D15499"/>
    <w:rsid w:val="00D157E0"/>
    <w:rsid w:val="00D15908"/>
    <w:rsid w:val="00D161EC"/>
    <w:rsid w:val="00D17068"/>
    <w:rsid w:val="00D1713C"/>
    <w:rsid w:val="00D17173"/>
    <w:rsid w:val="00D172E8"/>
    <w:rsid w:val="00D17557"/>
    <w:rsid w:val="00D17829"/>
    <w:rsid w:val="00D1791F"/>
    <w:rsid w:val="00D1794F"/>
    <w:rsid w:val="00D17BB9"/>
    <w:rsid w:val="00D17D60"/>
    <w:rsid w:val="00D20090"/>
    <w:rsid w:val="00D20876"/>
    <w:rsid w:val="00D20950"/>
    <w:rsid w:val="00D20DAA"/>
    <w:rsid w:val="00D216D6"/>
    <w:rsid w:val="00D21746"/>
    <w:rsid w:val="00D21B0C"/>
    <w:rsid w:val="00D21BE2"/>
    <w:rsid w:val="00D21E70"/>
    <w:rsid w:val="00D22063"/>
    <w:rsid w:val="00D220AB"/>
    <w:rsid w:val="00D22109"/>
    <w:rsid w:val="00D2247D"/>
    <w:rsid w:val="00D22EDA"/>
    <w:rsid w:val="00D23458"/>
    <w:rsid w:val="00D23E7F"/>
    <w:rsid w:val="00D23E94"/>
    <w:rsid w:val="00D2401A"/>
    <w:rsid w:val="00D2430F"/>
    <w:rsid w:val="00D249E9"/>
    <w:rsid w:val="00D24F10"/>
    <w:rsid w:val="00D25262"/>
    <w:rsid w:val="00D25A6E"/>
    <w:rsid w:val="00D25D41"/>
    <w:rsid w:val="00D2644D"/>
    <w:rsid w:val="00D2670B"/>
    <w:rsid w:val="00D27B01"/>
    <w:rsid w:val="00D27C92"/>
    <w:rsid w:val="00D30118"/>
    <w:rsid w:val="00D30436"/>
    <w:rsid w:val="00D3053B"/>
    <w:rsid w:val="00D30BD2"/>
    <w:rsid w:val="00D310DB"/>
    <w:rsid w:val="00D3154C"/>
    <w:rsid w:val="00D3165D"/>
    <w:rsid w:val="00D3184E"/>
    <w:rsid w:val="00D31A44"/>
    <w:rsid w:val="00D31A7E"/>
    <w:rsid w:val="00D31CE7"/>
    <w:rsid w:val="00D31F6E"/>
    <w:rsid w:val="00D3233F"/>
    <w:rsid w:val="00D324BD"/>
    <w:rsid w:val="00D32E1B"/>
    <w:rsid w:val="00D32F9C"/>
    <w:rsid w:val="00D3324D"/>
    <w:rsid w:val="00D33709"/>
    <w:rsid w:val="00D33EA6"/>
    <w:rsid w:val="00D340FB"/>
    <w:rsid w:val="00D341E8"/>
    <w:rsid w:val="00D34228"/>
    <w:rsid w:val="00D35460"/>
    <w:rsid w:val="00D35E50"/>
    <w:rsid w:val="00D3668D"/>
    <w:rsid w:val="00D36BF9"/>
    <w:rsid w:val="00D373A0"/>
    <w:rsid w:val="00D373E4"/>
    <w:rsid w:val="00D3758A"/>
    <w:rsid w:val="00D37A3F"/>
    <w:rsid w:val="00D40BA0"/>
    <w:rsid w:val="00D4122C"/>
    <w:rsid w:val="00D412E9"/>
    <w:rsid w:val="00D41566"/>
    <w:rsid w:val="00D4177A"/>
    <w:rsid w:val="00D41E11"/>
    <w:rsid w:val="00D41F45"/>
    <w:rsid w:val="00D42A49"/>
    <w:rsid w:val="00D42E3E"/>
    <w:rsid w:val="00D42F9D"/>
    <w:rsid w:val="00D43371"/>
    <w:rsid w:val="00D437F4"/>
    <w:rsid w:val="00D441CC"/>
    <w:rsid w:val="00D4423D"/>
    <w:rsid w:val="00D44970"/>
    <w:rsid w:val="00D44C69"/>
    <w:rsid w:val="00D453C5"/>
    <w:rsid w:val="00D454EF"/>
    <w:rsid w:val="00D45C0D"/>
    <w:rsid w:val="00D45FA2"/>
    <w:rsid w:val="00D46260"/>
    <w:rsid w:val="00D4660A"/>
    <w:rsid w:val="00D46A31"/>
    <w:rsid w:val="00D46F87"/>
    <w:rsid w:val="00D46FA0"/>
    <w:rsid w:val="00D4701A"/>
    <w:rsid w:val="00D47388"/>
    <w:rsid w:val="00D47458"/>
    <w:rsid w:val="00D4790A"/>
    <w:rsid w:val="00D47C38"/>
    <w:rsid w:val="00D50051"/>
    <w:rsid w:val="00D50319"/>
    <w:rsid w:val="00D503AB"/>
    <w:rsid w:val="00D50B6F"/>
    <w:rsid w:val="00D51C57"/>
    <w:rsid w:val="00D51C77"/>
    <w:rsid w:val="00D51DB5"/>
    <w:rsid w:val="00D51E24"/>
    <w:rsid w:val="00D5234C"/>
    <w:rsid w:val="00D52956"/>
    <w:rsid w:val="00D52A79"/>
    <w:rsid w:val="00D5303D"/>
    <w:rsid w:val="00D532C5"/>
    <w:rsid w:val="00D5343B"/>
    <w:rsid w:val="00D54E7F"/>
    <w:rsid w:val="00D554B5"/>
    <w:rsid w:val="00D55DFA"/>
    <w:rsid w:val="00D56ED2"/>
    <w:rsid w:val="00D5714D"/>
    <w:rsid w:val="00D5779A"/>
    <w:rsid w:val="00D57D71"/>
    <w:rsid w:val="00D57D92"/>
    <w:rsid w:val="00D57FD8"/>
    <w:rsid w:val="00D607A2"/>
    <w:rsid w:val="00D609DD"/>
    <w:rsid w:val="00D61CBE"/>
    <w:rsid w:val="00D61DC4"/>
    <w:rsid w:val="00D62D98"/>
    <w:rsid w:val="00D6306F"/>
    <w:rsid w:val="00D64B9F"/>
    <w:rsid w:val="00D64C36"/>
    <w:rsid w:val="00D64DED"/>
    <w:rsid w:val="00D65FBE"/>
    <w:rsid w:val="00D66489"/>
    <w:rsid w:val="00D671C0"/>
    <w:rsid w:val="00D6737C"/>
    <w:rsid w:val="00D6739B"/>
    <w:rsid w:val="00D67B6E"/>
    <w:rsid w:val="00D67FF2"/>
    <w:rsid w:val="00D706A5"/>
    <w:rsid w:val="00D711C4"/>
    <w:rsid w:val="00D71359"/>
    <w:rsid w:val="00D71DB2"/>
    <w:rsid w:val="00D71FC3"/>
    <w:rsid w:val="00D7262F"/>
    <w:rsid w:val="00D729B8"/>
    <w:rsid w:val="00D72C58"/>
    <w:rsid w:val="00D73332"/>
    <w:rsid w:val="00D741B3"/>
    <w:rsid w:val="00D74278"/>
    <w:rsid w:val="00D752C7"/>
    <w:rsid w:val="00D7530A"/>
    <w:rsid w:val="00D76903"/>
    <w:rsid w:val="00D774D1"/>
    <w:rsid w:val="00D779CE"/>
    <w:rsid w:val="00D77A15"/>
    <w:rsid w:val="00D80461"/>
    <w:rsid w:val="00D807C0"/>
    <w:rsid w:val="00D80904"/>
    <w:rsid w:val="00D80E43"/>
    <w:rsid w:val="00D81106"/>
    <w:rsid w:val="00D813DC"/>
    <w:rsid w:val="00D815A8"/>
    <w:rsid w:val="00D81B9D"/>
    <w:rsid w:val="00D81F80"/>
    <w:rsid w:val="00D824D2"/>
    <w:rsid w:val="00D82827"/>
    <w:rsid w:val="00D82B22"/>
    <w:rsid w:val="00D82E45"/>
    <w:rsid w:val="00D83062"/>
    <w:rsid w:val="00D8389D"/>
    <w:rsid w:val="00D84289"/>
    <w:rsid w:val="00D84431"/>
    <w:rsid w:val="00D8472E"/>
    <w:rsid w:val="00D84E12"/>
    <w:rsid w:val="00D850F3"/>
    <w:rsid w:val="00D85150"/>
    <w:rsid w:val="00D851F0"/>
    <w:rsid w:val="00D856C6"/>
    <w:rsid w:val="00D85AFA"/>
    <w:rsid w:val="00D85BAA"/>
    <w:rsid w:val="00D85BC7"/>
    <w:rsid w:val="00D8612F"/>
    <w:rsid w:val="00D8622B"/>
    <w:rsid w:val="00D86652"/>
    <w:rsid w:val="00D867D5"/>
    <w:rsid w:val="00D878DD"/>
    <w:rsid w:val="00D879E3"/>
    <w:rsid w:val="00D87B7D"/>
    <w:rsid w:val="00D90C32"/>
    <w:rsid w:val="00D927BB"/>
    <w:rsid w:val="00D93370"/>
    <w:rsid w:val="00D938B5"/>
    <w:rsid w:val="00D93EF8"/>
    <w:rsid w:val="00D943C2"/>
    <w:rsid w:val="00D9440F"/>
    <w:rsid w:val="00D944F7"/>
    <w:rsid w:val="00D94649"/>
    <w:rsid w:val="00D94926"/>
    <w:rsid w:val="00D95DCE"/>
    <w:rsid w:val="00D96E9E"/>
    <w:rsid w:val="00D979F2"/>
    <w:rsid w:val="00D97B78"/>
    <w:rsid w:val="00DA0045"/>
    <w:rsid w:val="00DA00AC"/>
    <w:rsid w:val="00DA07BE"/>
    <w:rsid w:val="00DA0C4A"/>
    <w:rsid w:val="00DA10BB"/>
    <w:rsid w:val="00DA1856"/>
    <w:rsid w:val="00DA1EC4"/>
    <w:rsid w:val="00DA288D"/>
    <w:rsid w:val="00DA2CFB"/>
    <w:rsid w:val="00DA305C"/>
    <w:rsid w:val="00DA31A2"/>
    <w:rsid w:val="00DA342A"/>
    <w:rsid w:val="00DA3958"/>
    <w:rsid w:val="00DA3C3E"/>
    <w:rsid w:val="00DA3D31"/>
    <w:rsid w:val="00DA43F2"/>
    <w:rsid w:val="00DA45C7"/>
    <w:rsid w:val="00DA4A72"/>
    <w:rsid w:val="00DA4CC5"/>
    <w:rsid w:val="00DA4E9E"/>
    <w:rsid w:val="00DA4EFA"/>
    <w:rsid w:val="00DA531F"/>
    <w:rsid w:val="00DA5791"/>
    <w:rsid w:val="00DA6404"/>
    <w:rsid w:val="00DA6674"/>
    <w:rsid w:val="00DA66E9"/>
    <w:rsid w:val="00DA6DA4"/>
    <w:rsid w:val="00DA741F"/>
    <w:rsid w:val="00DA7477"/>
    <w:rsid w:val="00DA74B6"/>
    <w:rsid w:val="00DA770F"/>
    <w:rsid w:val="00DA785C"/>
    <w:rsid w:val="00DA79E3"/>
    <w:rsid w:val="00DA7FBB"/>
    <w:rsid w:val="00DB018A"/>
    <w:rsid w:val="00DB07A5"/>
    <w:rsid w:val="00DB1068"/>
    <w:rsid w:val="00DB1ADC"/>
    <w:rsid w:val="00DB1CF1"/>
    <w:rsid w:val="00DB213E"/>
    <w:rsid w:val="00DB2163"/>
    <w:rsid w:val="00DB3136"/>
    <w:rsid w:val="00DB3231"/>
    <w:rsid w:val="00DB39B1"/>
    <w:rsid w:val="00DB3F46"/>
    <w:rsid w:val="00DB3FBB"/>
    <w:rsid w:val="00DB4C7D"/>
    <w:rsid w:val="00DB4D7C"/>
    <w:rsid w:val="00DB596A"/>
    <w:rsid w:val="00DB5AE5"/>
    <w:rsid w:val="00DB5E69"/>
    <w:rsid w:val="00DB6BEA"/>
    <w:rsid w:val="00DB70F5"/>
    <w:rsid w:val="00DB73AE"/>
    <w:rsid w:val="00DB742E"/>
    <w:rsid w:val="00DB769A"/>
    <w:rsid w:val="00DB7A32"/>
    <w:rsid w:val="00DC02EC"/>
    <w:rsid w:val="00DC0808"/>
    <w:rsid w:val="00DC0B00"/>
    <w:rsid w:val="00DC0EC5"/>
    <w:rsid w:val="00DC18F3"/>
    <w:rsid w:val="00DC1BEC"/>
    <w:rsid w:val="00DC3582"/>
    <w:rsid w:val="00DC36A4"/>
    <w:rsid w:val="00DC38DD"/>
    <w:rsid w:val="00DC4069"/>
    <w:rsid w:val="00DC48B7"/>
    <w:rsid w:val="00DC4B66"/>
    <w:rsid w:val="00DC4D92"/>
    <w:rsid w:val="00DC4F7A"/>
    <w:rsid w:val="00DC5328"/>
    <w:rsid w:val="00DC5420"/>
    <w:rsid w:val="00DC5B6B"/>
    <w:rsid w:val="00DC616A"/>
    <w:rsid w:val="00DC6837"/>
    <w:rsid w:val="00DC6BD8"/>
    <w:rsid w:val="00DC6C92"/>
    <w:rsid w:val="00DC72D1"/>
    <w:rsid w:val="00DC72D3"/>
    <w:rsid w:val="00DC73D2"/>
    <w:rsid w:val="00DC7933"/>
    <w:rsid w:val="00DD04B9"/>
    <w:rsid w:val="00DD0553"/>
    <w:rsid w:val="00DD08F0"/>
    <w:rsid w:val="00DD0B6A"/>
    <w:rsid w:val="00DD0C99"/>
    <w:rsid w:val="00DD0F0A"/>
    <w:rsid w:val="00DD12B3"/>
    <w:rsid w:val="00DD1830"/>
    <w:rsid w:val="00DD1A41"/>
    <w:rsid w:val="00DD1D72"/>
    <w:rsid w:val="00DD2296"/>
    <w:rsid w:val="00DD2C11"/>
    <w:rsid w:val="00DD2FED"/>
    <w:rsid w:val="00DD3160"/>
    <w:rsid w:val="00DD39A2"/>
    <w:rsid w:val="00DD3CA8"/>
    <w:rsid w:val="00DD4104"/>
    <w:rsid w:val="00DD4180"/>
    <w:rsid w:val="00DD43D5"/>
    <w:rsid w:val="00DD49EE"/>
    <w:rsid w:val="00DD5B73"/>
    <w:rsid w:val="00DD5E64"/>
    <w:rsid w:val="00DD613B"/>
    <w:rsid w:val="00DD6269"/>
    <w:rsid w:val="00DD6605"/>
    <w:rsid w:val="00DD6859"/>
    <w:rsid w:val="00DD6CF3"/>
    <w:rsid w:val="00DD6DC0"/>
    <w:rsid w:val="00DD70DF"/>
    <w:rsid w:val="00DD7181"/>
    <w:rsid w:val="00DD71CB"/>
    <w:rsid w:val="00DD733A"/>
    <w:rsid w:val="00DD76B6"/>
    <w:rsid w:val="00DD7812"/>
    <w:rsid w:val="00DD795C"/>
    <w:rsid w:val="00DD7C61"/>
    <w:rsid w:val="00DD7FF1"/>
    <w:rsid w:val="00DE05AB"/>
    <w:rsid w:val="00DE0CE7"/>
    <w:rsid w:val="00DE0FAB"/>
    <w:rsid w:val="00DE112D"/>
    <w:rsid w:val="00DE11C0"/>
    <w:rsid w:val="00DE1806"/>
    <w:rsid w:val="00DE2584"/>
    <w:rsid w:val="00DE2726"/>
    <w:rsid w:val="00DE274F"/>
    <w:rsid w:val="00DE2A8A"/>
    <w:rsid w:val="00DE2CE4"/>
    <w:rsid w:val="00DE30A3"/>
    <w:rsid w:val="00DE311E"/>
    <w:rsid w:val="00DE3DEF"/>
    <w:rsid w:val="00DE488D"/>
    <w:rsid w:val="00DE4D32"/>
    <w:rsid w:val="00DE530B"/>
    <w:rsid w:val="00DE57EE"/>
    <w:rsid w:val="00DE5875"/>
    <w:rsid w:val="00DE62B0"/>
    <w:rsid w:val="00DE65E1"/>
    <w:rsid w:val="00DE668B"/>
    <w:rsid w:val="00DE74A8"/>
    <w:rsid w:val="00DE762F"/>
    <w:rsid w:val="00DE7703"/>
    <w:rsid w:val="00DE7728"/>
    <w:rsid w:val="00DE7874"/>
    <w:rsid w:val="00DE7E9D"/>
    <w:rsid w:val="00DF0063"/>
    <w:rsid w:val="00DF07D7"/>
    <w:rsid w:val="00DF09E7"/>
    <w:rsid w:val="00DF1277"/>
    <w:rsid w:val="00DF12ED"/>
    <w:rsid w:val="00DF1596"/>
    <w:rsid w:val="00DF1959"/>
    <w:rsid w:val="00DF1AC6"/>
    <w:rsid w:val="00DF223A"/>
    <w:rsid w:val="00DF269C"/>
    <w:rsid w:val="00DF2ACB"/>
    <w:rsid w:val="00DF2BD7"/>
    <w:rsid w:val="00DF2BE4"/>
    <w:rsid w:val="00DF2D71"/>
    <w:rsid w:val="00DF30DB"/>
    <w:rsid w:val="00DF3C74"/>
    <w:rsid w:val="00DF42D2"/>
    <w:rsid w:val="00DF465C"/>
    <w:rsid w:val="00DF4662"/>
    <w:rsid w:val="00DF4E0F"/>
    <w:rsid w:val="00DF62A0"/>
    <w:rsid w:val="00DF661C"/>
    <w:rsid w:val="00DF66BA"/>
    <w:rsid w:val="00DF6BED"/>
    <w:rsid w:val="00DF6F21"/>
    <w:rsid w:val="00DF7583"/>
    <w:rsid w:val="00DF7774"/>
    <w:rsid w:val="00DF79FC"/>
    <w:rsid w:val="00DF7DEC"/>
    <w:rsid w:val="00E004E8"/>
    <w:rsid w:val="00E00E74"/>
    <w:rsid w:val="00E00F66"/>
    <w:rsid w:val="00E01080"/>
    <w:rsid w:val="00E010D0"/>
    <w:rsid w:val="00E01349"/>
    <w:rsid w:val="00E014BD"/>
    <w:rsid w:val="00E015CD"/>
    <w:rsid w:val="00E019D7"/>
    <w:rsid w:val="00E01BC1"/>
    <w:rsid w:val="00E01F3D"/>
    <w:rsid w:val="00E0202F"/>
    <w:rsid w:val="00E03083"/>
    <w:rsid w:val="00E0331A"/>
    <w:rsid w:val="00E033DE"/>
    <w:rsid w:val="00E03453"/>
    <w:rsid w:val="00E038F7"/>
    <w:rsid w:val="00E03982"/>
    <w:rsid w:val="00E039F1"/>
    <w:rsid w:val="00E03A1B"/>
    <w:rsid w:val="00E03D28"/>
    <w:rsid w:val="00E052CF"/>
    <w:rsid w:val="00E05626"/>
    <w:rsid w:val="00E05850"/>
    <w:rsid w:val="00E05DA5"/>
    <w:rsid w:val="00E06149"/>
    <w:rsid w:val="00E06755"/>
    <w:rsid w:val="00E06787"/>
    <w:rsid w:val="00E06951"/>
    <w:rsid w:val="00E069EB"/>
    <w:rsid w:val="00E06FAB"/>
    <w:rsid w:val="00E10D5A"/>
    <w:rsid w:val="00E11227"/>
    <w:rsid w:val="00E115D4"/>
    <w:rsid w:val="00E118D3"/>
    <w:rsid w:val="00E11D2F"/>
    <w:rsid w:val="00E120E5"/>
    <w:rsid w:val="00E124D1"/>
    <w:rsid w:val="00E12514"/>
    <w:rsid w:val="00E129AD"/>
    <w:rsid w:val="00E1313F"/>
    <w:rsid w:val="00E133FC"/>
    <w:rsid w:val="00E13816"/>
    <w:rsid w:val="00E13832"/>
    <w:rsid w:val="00E13A0C"/>
    <w:rsid w:val="00E13F83"/>
    <w:rsid w:val="00E1407D"/>
    <w:rsid w:val="00E140D3"/>
    <w:rsid w:val="00E1466B"/>
    <w:rsid w:val="00E14AB4"/>
    <w:rsid w:val="00E15897"/>
    <w:rsid w:val="00E15C13"/>
    <w:rsid w:val="00E15CBF"/>
    <w:rsid w:val="00E15D7C"/>
    <w:rsid w:val="00E15FEC"/>
    <w:rsid w:val="00E1622B"/>
    <w:rsid w:val="00E16230"/>
    <w:rsid w:val="00E16251"/>
    <w:rsid w:val="00E16443"/>
    <w:rsid w:val="00E167C5"/>
    <w:rsid w:val="00E16852"/>
    <w:rsid w:val="00E16E38"/>
    <w:rsid w:val="00E16FC0"/>
    <w:rsid w:val="00E1733F"/>
    <w:rsid w:val="00E176F6"/>
    <w:rsid w:val="00E17771"/>
    <w:rsid w:val="00E17EFD"/>
    <w:rsid w:val="00E17F7A"/>
    <w:rsid w:val="00E20215"/>
    <w:rsid w:val="00E20271"/>
    <w:rsid w:val="00E20BBD"/>
    <w:rsid w:val="00E211DE"/>
    <w:rsid w:val="00E21691"/>
    <w:rsid w:val="00E21A64"/>
    <w:rsid w:val="00E21C4C"/>
    <w:rsid w:val="00E21D2B"/>
    <w:rsid w:val="00E222F6"/>
    <w:rsid w:val="00E22466"/>
    <w:rsid w:val="00E227B7"/>
    <w:rsid w:val="00E228FE"/>
    <w:rsid w:val="00E2296E"/>
    <w:rsid w:val="00E23335"/>
    <w:rsid w:val="00E23BE4"/>
    <w:rsid w:val="00E23CCC"/>
    <w:rsid w:val="00E243B4"/>
    <w:rsid w:val="00E24643"/>
    <w:rsid w:val="00E2483F"/>
    <w:rsid w:val="00E24CF0"/>
    <w:rsid w:val="00E2505B"/>
    <w:rsid w:val="00E250E8"/>
    <w:rsid w:val="00E25E41"/>
    <w:rsid w:val="00E26FA4"/>
    <w:rsid w:val="00E2701E"/>
    <w:rsid w:val="00E2729E"/>
    <w:rsid w:val="00E3000E"/>
    <w:rsid w:val="00E300FD"/>
    <w:rsid w:val="00E307B0"/>
    <w:rsid w:val="00E309D5"/>
    <w:rsid w:val="00E30BE3"/>
    <w:rsid w:val="00E30C12"/>
    <w:rsid w:val="00E30EED"/>
    <w:rsid w:val="00E30F29"/>
    <w:rsid w:val="00E31721"/>
    <w:rsid w:val="00E31872"/>
    <w:rsid w:val="00E3237F"/>
    <w:rsid w:val="00E3267E"/>
    <w:rsid w:val="00E32A68"/>
    <w:rsid w:val="00E32C2C"/>
    <w:rsid w:val="00E32C8D"/>
    <w:rsid w:val="00E32F77"/>
    <w:rsid w:val="00E3335A"/>
    <w:rsid w:val="00E337FC"/>
    <w:rsid w:val="00E339BD"/>
    <w:rsid w:val="00E33E5B"/>
    <w:rsid w:val="00E33E7F"/>
    <w:rsid w:val="00E33EDA"/>
    <w:rsid w:val="00E34C77"/>
    <w:rsid w:val="00E34D85"/>
    <w:rsid w:val="00E358E2"/>
    <w:rsid w:val="00E35C83"/>
    <w:rsid w:val="00E35E48"/>
    <w:rsid w:val="00E36923"/>
    <w:rsid w:val="00E371E8"/>
    <w:rsid w:val="00E3747A"/>
    <w:rsid w:val="00E402CA"/>
    <w:rsid w:val="00E4068C"/>
    <w:rsid w:val="00E408F6"/>
    <w:rsid w:val="00E40CCD"/>
    <w:rsid w:val="00E40E8F"/>
    <w:rsid w:val="00E40F08"/>
    <w:rsid w:val="00E4138B"/>
    <w:rsid w:val="00E41465"/>
    <w:rsid w:val="00E41A9B"/>
    <w:rsid w:val="00E41E64"/>
    <w:rsid w:val="00E42577"/>
    <w:rsid w:val="00E42AD0"/>
    <w:rsid w:val="00E4320C"/>
    <w:rsid w:val="00E43B5C"/>
    <w:rsid w:val="00E44119"/>
    <w:rsid w:val="00E44A0A"/>
    <w:rsid w:val="00E452A2"/>
    <w:rsid w:val="00E45523"/>
    <w:rsid w:val="00E45A01"/>
    <w:rsid w:val="00E464EA"/>
    <w:rsid w:val="00E470B0"/>
    <w:rsid w:val="00E47616"/>
    <w:rsid w:val="00E478BC"/>
    <w:rsid w:val="00E47EDE"/>
    <w:rsid w:val="00E500C2"/>
    <w:rsid w:val="00E50637"/>
    <w:rsid w:val="00E50946"/>
    <w:rsid w:val="00E5118B"/>
    <w:rsid w:val="00E51301"/>
    <w:rsid w:val="00E51581"/>
    <w:rsid w:val="00E5182C"/>
    <w:rsid w:val="00E51949"/>
    <w:rsid w:val="00E51DA7"/>
    <w:rsid w:val="00E523FF"/>
    <w:rsid w:val="00E524A7"/>
    <w:rsid w:val="00E52BF0"/>
    <w:rsid w:val="00E52C46"/>
    <w:rsid w:val="00E5320F"/>
    <w:rsid w:val="00E533FD"/>
    <w:rsid w:val="00E53C68"/>
    <w:rsid w:val="00E53DCA"/>
    <w:rsid w:val="00E545E2"/>
    <w:rsid w:val="00E54712"/>
    <w:rsid w:val="00E548A4"/>
    <w:rsid w:val="00E54D04"/>
    <w:rsid w:val="00E550C4"/>
    <w:rsid w:val="00E5573A"/>
    <w:rsid w:val="00E55C18"/>
    <w:rsid w:val="00E5649F"/>
    <w:rsid w:val="00E5690A"/>
    <w:rsid w:val="00E56935"/>
    <w:rsid w:val="00E573FD"/>
    <w:rsid w:val="00E5783A"/>
    <w:rsid w:val="00E57ABA"/>
    <w:rsid w:val="00E57EAC"/>
    <w:rsid w:val="00E6020D"/>
    <w:rsid w:val="00E6023C"/>
    <w:rsid w:val="00E607F3"/>
    <w:rsid w:val="00E60E31"/>
    <w:rsid w:val="00E62142"/>
    <w:rsid w:val="00E627B3"/>
    <w:rsid w:val="00E627BC"/>
    <w:rsid w:val="00E62F65"/>
    <w:rsid w:val="00E63523"/>
    <w:rsid w:val="00E639C5"/>
    <w:rsid w:val="00E6462E"/>
    <w:rsid w:val="00E64961"/>
    <w:rsid w:val="00E64A2F"/>
    <w:rsid w:val="00E64B48"/>
    <w:rsid w:val="00E64EE2"/>
    <w:rsid w:val="00E65134"/>
    <w:rsid w:val="00E65236"/>
    <w:rsid w:val="00E6555C"/>
    <w:rsid w:val="00E65F0B"/>
    <w:rsid w:val="00E663F3"/>
    <w:rsid w:val="00E66E93"/>
    <w:rsid w:val="00E6710B"/>
    <w:rsid w:val="00E67440"/>
    <w:rsid w:val="00E67541"/>
    <w:rsid w:val="00E67A6F"/>
    <w:rsid w:val="00E67AA6"/>
    <w:rsid w:val="00E67C39"/>
    <w:rsid w:val="00E700FF"/>
    <w:rsid w:val="00E7036B"/>
    <w:rsid w:val="00E703E4"/>
    <w:rsid w:val="00E70A91"/>
    <w:rsid w:val="00E70B2D"/>
    <w:rsid w:val="00E70BFE"/>
    <w:rsid w:val="00E70F6F"/>
    <w:rsid w:val="00E71060"/>
    <w:rsid w:val="00E717D5"/>
    <w:rsid w:val="00E719F2"/>
    <w:rsid w:val="00E71EA0"/>
    <w:rsid w:val="00E72066"/>
    <w:rsid w:val="00E720EB"/>
    <w:rsid w:val="00E7244B"/>
    <w:rsid w:val="00E7254E"/>
    <w:rsid w:val="00E72E4E"/>
    <w:rsid w:val="00E7367A"/>
    <w:rsid w:val="00E737AA"/>
    <w:rsid w:val="00E73F4E"/>
    <w:rsid w:val="00E7434F"/>
    <w:rsid w:val="00E74408"/>
    <w:rsid w:val="00E74442"/>
    <w:rsid w:val="00E747BB"/>
    <w:rsid w:val="00E74831"/>
    <w:rsid w:val="00E74AF5"/>
    <w:rsid w:val="00E74D80"/>
    <w:rsid w:val="00E7515B"/>
    <w:rsid w:val="00E75218"/>
    <w:rsid w:val="00E75CE3"/>
    <w:rsid w:val="00E75DB6"/>
    <w:rsid w:val="00E7600B"/>
    <w:rsid w:val="00E76339"/>
    <w:rsid w:val="00E764F3"/>
    <w:rsid w:val="00E767E2"/>
    <w:rsid w:val="00E76825"/>
    <w:rsid w:val="00E76DB2"/>
    <w:rsid w:val="00E76F16"/>
    <w:rsid w:val="00E77154"/>
    <w:rsid w:val="00E771F8"/>
    <w:rsid w:val="00E77A59"/>
    <w:rsid w:val="00E806C7"/>
    <w:rsid w:val="00E8085D"/>
    <w:rsid w:val="00E80893"/>
    <w:rsid w:val="00E80C8C"/>
    <w:rsid w:val="00E8119D"/>
    <w:rsid w:val="00E81363"/>
    <w:rsid w:val="00E8188A"/>
    <w:rsid w:val="00E81D8A"/>
    <w:rsid w:val="00E81DBE"/>
    <w:rsid w:val="00E82518"/>
    <w:rsid w:val="00E825C7"/>
    <w:rsid w:val="00E82B2C"/>
    <w:rsid w:val="00E82F33"/>
    <w:rsid w:val="00E831B5"/>
    <w:rsid w:val="00E83B15"/>
    <w:rsid w:val="00E84199"/>
    <w:rsid w:val="00E843CB"/>
    <w:rsid w:val="00E84C27"/>
    <w:rsid w:val="00E84E49"/>
    <w:rsid w:val="00E86751"/>
    <w:rsid w:val="00E86CBE"/>
    <w:rsid w:val="00E870A1"/>
    <w:rsid w:val="00E87611"/>
    <w:rsid w:val="00E876F0"/>
    <w:rsid w:val="00E878E3"/>
    <w:rsid w:val="00E87A99"/>
    <w:rsid w:val="00E90632"/>
    <w:rsid w:val="00E90C65"/>
    <w:rsid w:val="00E9130F"/>
    <w:rsid w:val="00E9133B"/>
    <w:rsid w:val="00E91722"/>
    <w:rsid w:val="00E92436"/>
    <w:rsid w:val="00E925DC"/>
    <w:rsid w:val="00E92668"/>
    <w:rsid w:val="00E929F9"/>
    <w:rsid w:val="00E93569"/>
    <w:rsid w:val="00E93592"/>
    <w:rsid w:val="00E93931"/>
    <w:rsid w:val="00E93F24"/>
    <w:rsid w:val="00E94413"/>
    <w:rsid w:val="00E947F1"/>
    <w:rsid w:val="00E94BF2"/>
    <w:rsid w:val="00E94C0B"/>
    <w:rsid w:val="00E96D3C"/>
    <w:rsid w:val="00E972DD"/>
    <w:rsid w:val="00E97695"/>
    <w:rsid w:val="00EA044B"/>
    <w:rsid w:val="00EA0815"/>
    <w:rsid w:val="00EA0C42"/>
    <w:rsid w:val="00EA13BF"/>
    <w:rsid w:val="00EA2690"/>
    <w:rsid w:val="00EA2A62"/>
    <w:rsid w:val="00EA33AD"/>
    <w:rsid w:val="00EA33F1"/>
    <w:rsid w:val="00EA3535"/>
    <w:rsid w:val="00EA385D"/>
    <w:rsid w:val="00EA38E0"/>
    <w:rsid w:val="00EA392A"/>
    <w:rsid w:val="00EA392F"/>
    <w:rsid w:val="00EA3DCD"/>
    <w:rsid w:val="00EA3DCE"/>
    <w:rsid w:val="00EA420B"/>
    <w:rsid w:val="00EA497F"/>
    <w:rsid w:val="00EA4F42"/>
    <w:rsid w:val="00EA50A9"/>
    <w:rsid w:val="00EA5262"/>
    <w:rsid w:val="00EA58A6"/>
    <w:rsid w:val="00EA5964"/>
    <w:rsid w:val="00EA596E"/>
    <w:rsid w:val="00EA6424"/>
    <w:rsid w:val="00EA6558"/>
    <w:rsid w:val="00EA68E4"/>
    <w:rsid w:val="00EA69C3"/>
    <w:rsid w:val="00EA69C6"/>
    <w:rsid w:val="00EA6B32"/>
    <w:rsid w:val="00EA6C4C"/>
    <w:rsid w:val="00EA7228"/>
    <w:rsid w:val="00EA727C"/>
    <w:rsid w:val="00EA7482"/>
    <w:rsid w:val="00EA75A0"/>
    <w:rsid w:val="00EB05B7"/>
    <w:rsid w:val="00EB0628"/>
    <w:rsid w:val="00EB0A02"/>
    <w:rsid w:val="00EB1732"/>
    <w:rsid w:val="00EB1AEF"/>
    <w:rsid w:val="00EB1DA2"/>
    <w:rsid w:val="00EB222B"/>
    <w:rsid w:val="00EB22A7"/>
    <w:rsid w:val="00EB3431"/>
    <w:rsid w:val="00EB37F2"/>
    <w:rsid w:val="00EB3A11"/>
    <w:rsid w:val="00EB45AA"/>
    <w:rsid w:val="00EB50A1"/>
    <w:rsid w:val="00EB51BD"/>
    <w:rsid w:val="00EB5DE1"/>
    <w:rsid w:val="00EB5E00"/>
    <w:rsid w:val="00EB6036"/>
    <w:rsid w:val="00EB63D4"/>
    <w:rsid w:val="00EB6DB8"/>
    <w:rsid w:val="00EB6E02"/>
    <w:rsid w:val="00EB7224"/>
    <w:rsid w:val="00EB728F"/>
    <w:rsid w:val="00EB7334"/>
    <w:rsid w:val="00EB75B4"/>
    <w:rsid w:val="00EB7647"/>
    <w:rsid w:val="00EB76E5"/>
    <w:rsid w:val="00EB79B1"/>
    <w:rsid w:val="00EB7A53"/>
    <w:rsid w:val="00EC0177"/>
    <w:rsid w:val="00EC04BA"/>
    <w:rsid w:val="00EC0699"/>
    <w:rsid w:val="00EC0DFA"/>
    <w:rsid w:val="00EC115D"/>
    <w:rsid w:val="00EC1871"/>
    <w:rsid w:val="00EC2892"/>
    <w:rsid w:val="00EC2F42"/>
    <w:rsid w:val="00EC3052"/>
    <w:rsid w:val="00EC32AF"/>
    <w:rsid w:val="00EC3B49"/>
    <w:rsid w:val="00EC3F0B"/>
    <w:rsid w:val="00EC40FA"/>
    <w:rsid w:val="00EC410A"/>
    <w:rsid w:val="00EC4B69"/>
    <w:rsid w:val="00EC4BA5"/>
    <w:rsid w:val="00EC57A9"/>
    <w:rsid w:val="00EC5AC5"/>
    <w:rsid w:val="00EC5B57"/>
    <w:rsid w:val="00EC6174"/>
    <w:rsid w:val="00EC642D"/>
    <w:rsid w:val="00EC6703"/>
    <w:rsid w:val="00EC6793"/>
    <w:rsid w:val="00EC6FE5"/>
    <w:rsid w:val="00EC72C4"/>
    <w:rsid w:val="00EC7BCB"/>
    <w:rsid w:val="00EC7C51"/>
    <w:rsid w:val="00ED00C0"/>
    <w:rsid w:val="00ED0BEF"/>
    <w:rsid w:val="00ED1242"/>
    <w:rsid w:val="00ED128D"/>
    <w:rsid w:val="00ED1CE8"/>
    <w:rsid w:val="00ED2C89"/>
    <w:rsid w:val="00ED2C92"/>
    <w:rsid w:val="00ED2DB9"/>
    <w:rsid w:val="00ED30A4"/>
    <w:rsid w:val="00ED3723"/>
    <w:rsid w:val="00ED3CC9"/>
    <w:rsid w:val="00ED3E7D"/>
    <w:rsid w:val="00ED4F2F"/>
    <w:rsid w:val="00ED55B6"/>
    <w:rsid w:val="00ED56DE"/>
    <w:rsid w:val="00ED5C91"/>
    <w:rsid w:val="00ED6786"/>
    <w:rsid w:val="00ED719E"/>
    <w:rsid w:val="00ED78D1"/>
    <w:rsid w:val="00ED7974"/>
    <w:rsid w:val="00ED7A91"/>
    <w:rsid w:val="00ED7BCC"/>
    <w:rsid w:val="00ED7CA0"/>
    <w:rsid w:val="00ED7D83"/>
    <w:rsid w:val="00EE0702"/>
    <w:rsid w:val="00EE0BE3"/>
    <w:rsid w:val="00EE0D7A"/>
    <w:rsid w:val="00EE1283"/>
    <w:rsid w:val="00EE160A"/>
    <w:rsid w:val="00EE178D"/>
    <w:rsid w:val="00EE17DF"/>
    <w:rsid w:val="00EE1CFA"/>
    <w:rsid w:val="00EE1E1B"/>
    <w:rsid w:val="00EE22C0"/>
    <w:rsid w:val="00EE2342"/>
    <w:rsid w:val="00EE2CB0"/>
    <w:rsid w:val="00EE3871"/>
    <w:rsid w:val="00EE3991"/>
    <w:rsid w:val="00EE3DA5"/>
    <w:rsid w:val="00EE3DFB"/>
    <w:rsid w:val="00EE445B"/>
    <w:rsid w:val="00EE4ED8"/>
    <w:rsid w:val="00EE515E"/>
    <w:rsid w:val="00EE5176"/>
    <w:rsid w:val="00EE58DA"/>
    <w:rsid w:val="00EE649E"/>
    <w:rsid w:val="00EE68E2"/>
    <w:rsid w:val="00EE6C2F"/>
    <w:rsid w:val="00EE7798"/>
    <w:rsid w:val="00EE7F15"/>
    <w:rsid w:val="00EF0618"/>
    <w:rsid w:val="00EF19E2"/>
    <w:rsid w:val="00EF1F77"/>
    <w:rsid w:val="00EF1FF7"/>
    <w:rsid w:val="00EF223A"/>
    <w:rsid w:val="00EF2A74"/>
    <w:rsid w:val="00EF3393"/>
    <w:rsid w:val="00EF36FB"/>
    <w:rsid w:val="00EF390D"/>
    <w:rsid w:val="00EF3D4B"/>
    <w:rsid w:val="00EF4306"/>
    <w:rsid w:val="00EF454F"/>
    <w:rsid w:val="00EF45A6"/>
    <w:rsid w:val="00EF5C57"/>
    <w:rsid w:val="00EF609B"/>
    <w:rsid w:val="00EF60BC"/>
    <w:rsid w:val="00EF64C2"/>
    <w:rsid w:val="00EF65BC"/>
    <w:rsid w:val="00EF660C"/>
    <w:rsid w:val="00EF6B84"/>
    <w:rsid w:val="00EF6F92"/>
    <w:rsid w:val="00EF76CE"/>
    <w:rsid w:val="00EF77D9"/>
    <w:rsid w:val="00EF7C39"/>
    <w:rsid w:val="00F0042F"/>
    <w:rsid w:val="00F00697"/>
    <w:rsid w:val="00F00CF3"/>
    <w:rsid w:val="00F00F5C"/>
    <w:rsid w:val="00F01300"/>
    <w:rsid w:val="00F0130B"/>
    <w:rsid w:val="00F01C40"/>
    <w:rsid w:val="00F026B6"/>
    <w:rsid w:val="00F027CA"/>
    <w:rsid w:val="00F03107"/>
    <w:rsid w:val="00F034E1"/>
    <w:rsid w:val="00F039A9"/>
    <w:rsid w:val="00F044B2"/>
    <w:rsid w:val="00F04689"/>
    <w:rsid w:val="00F04A78"/>
    <w:rsid w:val="00F05420"/>
    <w:rsid w:val="00F061D1"/>
    <w:rsid w:val="00F065F7"/>
    <w:rsid w:val="00F06804"/>
    <w:rsid w:val="00F06828"/>
    <w:rsid w:val="00F068F4"/>
    <w:rsid w:val="00F06B2B"/>
    <w:rsid w:val="00F06D8B"/>
    <w:rsid w:val="00F06ED4"/>
    <w:rsid w:val="00F1074B"/>
    <w:rsid w:val="00F1082C"/>
    <w:rsid w:val="00F11435"/>
    <w:rsid w:val="00F11652"/>
    <w:rsid w:val="00F11968"/>
    <w:rsid w:val="00F11B98"/>
    <w:rsid w:val="00F1208C"/>
    <w:rsid w:val="00F1217F"/>
    <w:rsid w:val="00F1226F"/>
    <w:rsid w:val="00F124C9"/>
    <w:rsid w:val="00F12A22"/>
    <w:rsid w:val="00F12A4A"/>
    <w:rsid w:val="00F12A94"/>
    <w:rsid w:val="00F13749"/>
    <w:rsid w:val="00F13793"/>
    <w:rsid w:val="00F1398F"/>
    <w:rsid w:val="00F13A4B"/>
    <w:rsid w:val="00F13BBA"/>
    <w:rsid w:val="00F13F4B"/>
    <w:rsid w:val="00F140FE"/>
    <w:rsid w:val="00F14266"/>
    <w:rsid w:val="00F143FA"/>
    <w:rsid w:val="00F14935"/>
    <w:rsid w:val="00F14A86"/>
    <w:rsid w:val="00F14A97"/>
    <w:rsid w:val="00F14AFA"/>
    <w:rsid w:val="00F14BCA"/>
    <w:rsid w:val="00F16A12"/>
    <w:rsid w:val="00F16BD3"/>
    <w:rsid w:val="00F170B0"/>
    <w:rsid w:val="00F1744B"/>
    <w:rsid w:val="00F17C73"/>
    <w:rsid w:val="00F17E42"/>
    <w:rsid w:val="00F204D1"/>
    <w:rsid w:val="00F2062B"/>
    <w:rsid w:val="00F2073A"/>
    <w:rsid w:val="00F2097C"/>
    <w:rsid w:val="00F20CBB"/>
    <w:rsid w:val="00F20E50"/>
    <w:rsid w:val="00F20F0F"/>
    <w:rsid w:val="00F214FD"/>
    <w:rsid w:val="00F21AB3"/>
    <w:rsid w:val="00F21D9E"/>
    <w:rsid w:val="00F22027"/>
    <w:rsid w:val="00F223DC"/>
    <w:rsid w:val="00F227F4"/>
    <w:rsid w:val="00F22940"/>
    <w:rsid w:val="00F22BDD"/>
    <w:rsid w:val="00F22F13"/>
    <w:rsid w:val="00F238A6"/>
    <w:rsid w:val="00F2402E"/>
    <w:rsid w:val="00F242F7"/>
    <w:rsid w:val="00F243F3"/>
    <w:rsid w:val="00F25127"/>
    <w:rsid w:val="00F251E1"/>
    <w:rsid w:val="00F2537D"/>
    <w:rsid w:val="00F26149"/>
    <w:rsid w:val="00F26EA2"/>
    <w:rsid w:val="00F275E3"/>
    <w:rsid w:val="00F30606"/>
    <w:rsid w:val="00F318AC"/>
    <w:rsid w:val="00F31AF3"/>
    <w:rsid w:val="00F3221A"/>
    <w:rsid w:val="00F32C54"/>
    <w:rsid w:val="00F333B6"/>
    <w:rsid w:val="00F33682"/>
    <w:rsid w:val="00F33D15"/>
    <w:rsid w:val="00F34463"/>
    <w:rsid w:val="00F34F88"/>
    <w:rsid w:val="00F35337"/>
    <w:rsid w:val="00F35446"/>
    <w:rsid w:val="00F358AE"/>
    <w:rsid w:val="00F362AE"/>
    <w:rsid w:val="00F36338"/>
    <w:rsid w:val="00F36669"/>
    <w:rsid w:val="00F366BA"/>
    <w:rsid w:val="00F373A7"/>
    <w:rsid w:val="00F3756E"/>
    <w:rsid w:val="00F379EF"/>
    <w:rsid w:val="00F37BBB"/>
    <w:rsid w:val="00F40A58"/>
    <w:rsid w:val="00F40CCB"/>
    <w:rsid w:val="00F417C8"/>
    <w:rsid w:val="00F41AF8"/>
    <w:rsid w:val="00F4282B"/>
    <w:rsid w:val="00F42DF0"/>
    <w:rsid w:val="00F434AC"/>
    <w:rsid w:val="00F43990"/>
    <w:rsid w:val="00F44639"/>
    <w:rsid w:val="00F44EDA"/>
    <w:rsid w:val="00F452AD"/>
    <w:rsid w:val="00F45509"/>
    <w:rsid w:val="00F457FB"/>
    <w:rsid w:val="00F45AE7"/>
    <w:rsid w:val="00F46474"/>
    <w:rsid w:val="00F4649C"/>
    <w:rsid w:val="00F46A63"/>
    <w:rsid w:val="00F46DE1"/>
    <w:rsid w:val="00F47BBF"/>
    <w:rsid w:val="00F47D1E"/>
    <w:rsid w:val="00F47D6F"/>
    <w:rsid w:val="00F501CD"/>
    <w:rsid w:val="00F50420"/>
    <w:rsid w:val="00F50556"/>
    <w:rsid w:val="00F508A9"/>
    <w:rsid w:val="00F51BE8"/>
    <w:rsid w:val="00F51C07"/>
    <w:rsid w:val="00F51CE6"/>
    <w:rsid w:val="00F51DAE"/>
    <w:rsid w:val="00F5219A"/>
    <w:rsid w:val="00F5260F"/>
    <w:rsid w:val="00F52BEB"/>
    <w:rsid w:val="00F52F71"/>
    <w:rsid w:val="00F532AF"/>
    <w:rsid w:val="00F53A1D"/>
    <w:rsid w:val="00F53DAA"/>
    <w:rsid w:val="00F53E82"/>
    <w:rsid w:val="00F54CB6"/>
    <w:rsid w:val="00F557DC"/>
    <w:rsid w:val="00F558E5"/>
    <w:rsid w:val="00F55E74"/>
    <w:rsid w:val="00F561CE"/>
    <w:rsid w:val="00F56510"/>
    <w:rsid w:val="00F56B20"/>
    <w:rsid w:val="00F57311"/>
    <w:rsid w:val="00F5759D"/>
    <w:rsid w:val="00F5762A"/>
    <w:rsid w:val="00F602C0"/>
    <w:rsid w:val="00F60876"/>
    <w:rsid w:val="00F60C23"/>
    <w:rsid w:val="00F618F2"/>
    <w:rsid w:val="00F61975"/>
    <w:rsid w:val="00F61F4E"/>
    <w:rsid w:val="00F62450"/>
    <w:rsid w:val="00F6260D"/>
    <w:rsid w:val="00F6290A"/>
    <w:rsid w:val="00F62A0D"/>
    <w:rsid w:val="00F62F4E"/>
    <w:rsid w:val="00F63017"/>
    <w:rsid w:val="00F633A1"/>
    <w:rsid w:val="00F64217"/>
    <w:rsid w:val="00F64283"/>
    <w:rsid w:val="00F64547"/>
    <w:rsid w:val="00F64560"/>
    <w:rsid w:val="00F646D6"/>
    <w:rsid w:val="00F648BD"/>
    <w:rsid w:val="00F65077"/>
    <w:rsid w:val="00F6586C"/>
    <w:rsid w:val="00F65ACF"/>
    <w:rsid w:val="00F65B09"/>
    <w:rsid w:val="00F65F2D"/>
    <w:rsid w:val="00F66058"/>
    <w:rsid w:val="00F660E8"/>
    <w:rsid w:val="00F66218"/>
    <w:rsid w:val="00F66C1A"/>
    <w:rsid w:val="00F66C4F"/>
    <w:rsid w:val="00F66C95"/>
    <w:rsid w:val="00F66E07"/>
    <w:rsid w:val="00F67878"/>
    <w:rsid w:val="00F67C5E"/>
    <w:rsid w:val="00F67DE2"/>
    <w:rsid w:val="00F70808"/>
    <w:rsid w:val="00F70C06"/>
    <w:rsid w:val="00F70FFA"/>
    <w:rsid w:val="00F716A0"/>
    <w:rsid w:val="00F71F78"/>
    <w:rsid w:val="00F72420"/>
    <w:rsid w:val="00F7268F"/>
    <w:rsid w:val="00F72A13"/>
    <w:rsid w:val="00F72AC4"/>
    <w:rsid w:val="00F73096"/>
    <w:rsid w:val="00F73944"/>
    <w:rsid w:val="00F73A1D"/>
    <w:rsid w:val="00F73C97"/>
    <w:rsid w:val="00F73E1D"/>
    <w:rsid w:val="00F73E5D"/>
    <w:rsid w:val="00F74019"/>
    <w:rsid w:val="00F742F1"/>
    <w:rsid w:val="00F74515"/>
    <w:rsid w:val="00F7477F"/>
    <w:rsid w:val="00F74C0C"/>
    <w:rsid w:val="00F74E30"/>
    <w:rsid w:val="00F75077"/>
    <w:rsid w:val="00F75531"/>
    <w:rsid w:val="00F760A4"/>
    <w:rsid w:val="00F7636C"/>
    <w:rsid w:val="00F76534"/>
    <w:rsid w:val="00F776BF"/>
    <w:rsid w:val="00F7772D"/>
    <w:rsid w:val="00F77768"/>
    <w:rsid w:val="00F77B43"/>
    <w:rsid w:val="00F8063B"/>
    <w:rsid w:val="00F80CBC"/>
    <w:rsid w:val="00F81118"/>
    <w:rsid w:val="00F8172E"/>
    <w:rsid w:val="00F82880"/>
    <w:rsid w:val="00F82B53"/>
    <w:rsid w:val="00F82E26"/>
    <w:rsid w:val="00F83028"/>
    <w:rsid w:val="00F8334C"/>
    <w:rsid w:val="00F8335D"/>
    <w:rsid w:val="00F83AF1"/>
    <w:rsid w:val="00F8516E"/>
    <w:rsid w:val="00F8519E"/>
    <w:rsid w:val="00F854F8"/>
    <w:rsid w:val="00F85B93"/>
    <w:rsid w:val="00F8615B"/>
    <w:rsid w:val="00F864A6"/>
    <w:rsid w:val="00F866E6"/>
    <w:rsid w:val="00F8698B"/>
    <w:rsid w:val="00F86C66"/>
    <w:rsid w:val="00F876BD"/>
    <w:rsid w:val="00F87A6F"/>
    <w:rsid w:val="00F87B4A"/>
    <w:rsid w:val="00F900E7"/>
    <w:rsid w:val="00F9059D"/>
    <w:rsid w:val="00F91019"/>
    <w:rsid w:val="00F91793"/>
    <w:rsid w:val="00F91806"/>
    <w:rsid w:val="00F91B3E"/>
    <w:rsid w:val="00F9276D"/>
    <w:rsid w:val="00F937B3"/>
    <w:rsid w:val="00F939E9"/>
    <w:rsid w:val="00F93DD1"/>
    <w:rsid w:val="00F94788"/>
    <w:rsid w:val="00F94A48"/>
    <w:rsid w:val="00F94AB8"/>
    <w:rsid w:val="00F953CA"/>
    <w:rsid w:val="00F958E5"/>
    <w:rsid w:val="00F95C74"/>
    <w:rsid w:val="00F961F1"/>
    <w:rsid w:val="00F965E7"/>
    <w:rsid w:val="00F9669B"/>
    <w:rsid w:val="00F969FD"/>
    <w:rsid w:val="00F97473"/>
    <w:rsid w:val="00F97B9D"/>
    <w:rsid w:val="00F97CDD"/>
    <w:rsid w:val="00FA09FF"/>
    <w:rsid w:val="00FA0C74"/>
    <w:rsid w:val="00FA0FD7"/>
    <w:rsid w:val="00FA12AD"/>
    <w:rsid w:val="00FA1568"/>
    <w:rsid w:val="00FA1D93"/>
    <w:rsid w:val="00FA212C"/>
    <w:rsid w:val="00FA2BBE"/>
    <w:rsid w:val="00FA2DE0"/>
    <w:rsid w:val="00FA36FB"/>
    <w:rsid w:val="00FA459C"/>
    <w:rsid w:val="00FA4A52"/>
    <w:rsid w:val="00FA5B0F"/>
    <w:rsid w:val="00FA5B9C"/>
    <w:rsid w:val="00FA60D6"/>
    <w:rsid w:val="00FA638C"/>
    <w:rsid w:val="00FA66D0"/>
    <w:rsid w:val="00FA693D"/>
    <w:rsid w:val="00FA6E28"/>
    <w:rsid w:val="00FA6F6E"/>
    <w:rsid w:val="00FA6F7D"/>
    <w:rsid w:val="00FA79A8"/>
    <w:rsid w:val="00FA7ED6"/>
    <w:rsid w:val="00FB034A"/>
    <w:rsid w:val="00FB040F"/>
    <w:rsid w:val="00FB05DB"/>
    <w:rsid w:val="00FB0995"/>
    <w:rsid w:val="00FB147E"/>
    <w:rsid w:val="00FB1491"/>
    <w:rsid w:val="00FB1668"/>
    <w:rsid w:val="00FB1897"/>
    <w:rsid w:val="00FB228F"/>
    <w:rsid w:val="00FB24B1"/>
    <w:rsid w:val="00FB2843"/>
    <w:rsid w:val="00FB2C0E"/>
    <w:rsid w:val="00FB2DEE"/>
    <w:rsid w:val="00FB2DF0"/>
    <w:rsid w:val="00FB2EFD"/>
    <w:rsid w:val="00FB35A0"/>
    <w:rsid w:val="00FB367A"/>
    <w:rsid w:val="00FB3988"/>
    <w:rsid w:val="00FB39A2"/>
    <w:rsid w:val="00FB3E30"/>
    <w:rsid w:val="00FB43B4"/>
    <w:rsid w:val="00FB492F"/>
    <w:rsid w:val="00FB49DD"/>
    <w:rsid w:val="00FB4B1B"/>
    <w:rsid w:val="00FB540E"/>
    <w:rsid w:val="00FB58A2"/>
    <w:rsid w:val="00FB5A46"/>
    <w:rsid w:val="00FB5EAA"/>
    <w:rsid w:val="00FB62A3"/>
    <w:rsid w:val="00FB65AE"/>
    <w:rsid w:val="00FB7156"/>
    <w:rsid w:val="00FB722C"/>
    <w:rsid w:val="00FB7DC6"/>
    <w:rsid w:val="00FC06DA"/>
    <w:rsid w:val="00FC07A8"/>
    <w:rsid w:val="00FC0851"/>
    <w:rsid w:val="00FC0C5F"/>
    <w:rsid w:val="00FC0F90"/>
    <w:rsid w:val="00FC0FFA"/>
    <w:rsid w:val="00FC13BB"/>
    <w:rsid w:val="00FC13D3"/>
    <w:rsid w:val="00FC1A73"/>
    <w:rsid w:val="00FC2069"/>
    <w:rsid w:val="00FC24A8"/>
    <w:rsid w:val="00FC26E6"/>
    <w:rsid w:val="00FC2CF3"/>
    <w:rsid w:val="00FC2E57"/>
    <w:rsid w:val="00FC31AC"/>
    <w:rsid w:val="00FC3A5F"/>
    <w:rsid w:val="00FC3D60"/>
    <w:rsid w:val="00FC3E55"/>
    <w:rsid w:val="00FC3ED9"/>
    <w:rsid w:val="00FC55A2"/>
    <w:rsid w:val="00FC59A1"/>
    <w:rsid w:val="00FC69E0"/>
    <w:rsid w:val="00FC6B46"/>
    <w:rsid w:val="00FC6CF9"/>
    <w:rsid w:val="00FC72F8"/>
    <w:rsid w:val="00FC73D1"/>
    <w:rsid w:val="00FC7857"/>
    <w:rsid w:val="00FC7A9F"/>
    <w:rsid w:val="00FC7D73"/>
    <w:rsid w:val="00FC7FB0"/>
    <w:rsid w:val="00FD02E9"/>
    <w:rsid w:val="00FD0A4A"/>
    <w:rsid w:val="00FD0BDE"/>
    <w:rsid w:val="00FD0F7D"/>
    <w:rsid w:val="00FD11D1"/>
    <w:rsid w:val="00FD130E"/>
    <w:rsid w:val="00FD1392"/>
    <w:rsid w:val="00FD170C"/>
    <w:rsid w:val="00FD17C8"/>
    <w:rsid w:val="00FD217F"/>
    <w:rsid w:val="00FD2350"/>
    <w:rsid w:val="00FD2896"/>
    <w:rsid w:val="00FD2B29"/>
    <w:rsid w:val="00FD3310"/>
    <w:rsid w:val="00FD3443"/>
    <w:rsid w:val="00FD34DA"/>
    <w:rsid w:val="00FD3687"/>
    <w:rsid w:val="00FD394C"/>
    <w:rsid w:val="00FD4457"/>
    <w:rsid w:val="00FD4AB5"/>
    <w:rsid w:val="00FD4C65"/>
    <w:rsid w:val="00FD4D8F"/>
    <w:rsid w:val="00FD4E33"/>
    <w:rsid w:val="00FD532C"/>
    <w:rsid w:val="00FD54D1"/>
    <w:rsid w:val="00FD56FA"/>
    <w:rsid w:val="00FD582B"/>
    <w:rsid w:val="00FD5B8D"/>
    <w:rsid w:val="00FD69A6"/>
    <w:rsid w:val="00FD7000"/>
    <w:rsid w:val="00FD7189"/>
    <w:rsid w:val="00FE0B21"/>
    <w:rsid w:val="00FE0EB9"/>
    <w:rsid w:val="00FE16D5"/>
    <w:rsid w:val="00FE1890"/>
    <w:rsid w:val="00FE1A7E"/>
    <w:rsid w:val="00FE1C27"/>
    <w:rsid w:val="00FE21C8"/>
    <w:rsid w:val="00FE2409"/>
    <w:rsid w:val="00FE2502"/>
    <w:rsid w:val="00FE2644"/>
    <w:rsid w:val="00FE2BB9"/>
    <w:rsid w:val="00FE2E06"/>
    <w:rsid w:val="00FE2EF7"/>
    <w:rsid w:val="00FE330F"/>
    <w:rsid w:val="00FE3504"/>
    <w:rsid w:val="00FE3DEB"/>
    <w:rsid w:val="00FE3FD1"/>
    <w:rsid w:val="00FE47BF"/>
    <w:rsid w:val="00FE4BA8"/>
    <w:rsid w:val="00FE55DA"/>
    <w:rsid w:val="00FE6251"/>
    <w:rsid w:val="00FE673C"/>
    <w:rsid w:val="00FE6752"/>
    <w:rsid w:val="00FE6D99"/>
    <w:rsid w:val="00FE7611"/>
    <w:rsid w:val="00FE7903"/>
    <w:rsid w:val="00FE7981"/>
    <w:rsid w:val="00FE7FD8"/>
    <w:rsid w:val="00FF0854"/>
    <w:rsid w:val="00FF08FE"/>
    <w:rsid w:val="00FF0AC7"/>
    <w:rsid w:val="00FF0B3A"/>
    <w:rsid w:val="00FF10D0"/>
    <w:rsid w:val="00FF166B"/>
    <w:rsid w:val="00FF1A5E"/>
    <w:rsid w:val="00FF1D60"/>
    <w:rsid w:val="00FF1D82"/>
    <w:rsid w:val="00FF1E30"/>
    <w:rsid w:val="00FF2263"/>
    <w:rsid w:val="00FF23B0"/>
    <w:rsid w:val="00FF2E36"/>
    <w:rsid w:val="00FF3034"/>
    <w:rsid w:val="00FF32E2"/>
    <w:rsid w:val="00FF3897"/>
    <w:rsid w:val="00FF3B4A"/>
    <w:rsid w:val="00FF3E51"/>
    <w:rsid w:val="00FF3F0A"/>
    <w:rsid w:val="00FF483A"/>
    <w:rsid w:val="00FF532F"/>
    <w:rsid w:val="00FF5372"/>
    <w:rsid w:val="00FF5441"/>
    <w:rsid w:val="00FF588F"/>
    <w:rsid w:val="00FF59F3"/>
    <w:rsid w:val="00FF6751"/>
    <w:rsid w:val="00FF77BD"/>
    <w:rsid w:val="00FF77ED"/>
    <w:rsid w:val="00FF7A38"/>
    <w:rsid w:val="010A5EF2"/>
    <w:rsid w:val="0135DFE4"/>
    <w:rsid w:val="02021C0E"/>
    <w:rsid w:val="03910908"/>
    <w:rsid w:val="03DA6EDC"/>
    <w:rsid w:val="090A0767"/>
    <w:rsid w:val="0970B293"/>
    <w:rsid w:val="0A0D2DF3"/>
    <w:rsid w:val="0AB3A2F3"/>
    <w:rsid w:val="0B970FE8"/>
    <w:rsid w:val="0C42711D"/>
    <w:rsid w:val="0D4CBC3B"/>
    <w:rsid w:val="0E3891A8"/>
    <w:rsid w:val="0E549BDC"/>
    <w:rsid w:val="0EE09F16"/>
    <w:rsid w:val="0F2641BA"/>
    <w:rsid w:val="10326C94"/>
    <w:rsid w:val="1063E056"/>
    <w:rsid w:val="1077A7E6"/>
    <w:rsid w:val="11D53FDB"/>
    <w:rsid w:val="13419B47"/>
    <w:rsid w:val="13EF9211"/>
    <w:rsid w:val="142DCC2B"/>
    <w:rsid w:val="14C6B26D"/>
    <w:rsid w:val="1587C8EA"/>
    <w:rsid w:val="15B58C6D"/>
    <w:rsid w:val="15C448E7"/>
    <w:rsid w:val="165C99CD"/>
    <w:rsid w:val="17E6E41C"/>
    <w:rsid w:val="180E877C"/>
    <w:rsid w:val="18508B15"/>
    <w:rsid w:val="1A2B3F43"/>
    <w:rsid w:val="1AF108EC"/>
    <w:rsid w:val="1B9C7EF9"/>
    <w:rsid w:val="1C358361"/>
    <w:rsid w:val="1D2429AB"/>
    <w:rsid w:val="1D2F4768"/>
    <w:rsid w:val="1D62E005"/>
    <w:rsid w:val="1E59DD0E"/>
    <w:rsid w:val="20573AB3"/>
    <w:rsid w:val="209A80C7"/>
    <w:rsid w:val="21F6DB93"/>
    <w:rsid w:val="23DE904A"/>
    <w:rsid w:val="24DCBBD9"/>
    <w:rsid w:val="263D5BF2"/>
    <w:rsid w:val="26EB0899"/>
    <w:rsid w:val="2706CEA0"/>
    <w:rsid w:val="28702792"/>
    <w:rsid w:val="289B4C88"/>
    <w:rsid w:val="28E95AAB"/>
    <w:rsid w:val="292E6B84"/>
    <w:rsid w:val="298E99A6"/>
    <w:rsid w:val="29A13E36"/>
    <w:rsid w:val="2A2A7172"/>
    <w:rsid w:val="2A517977"/>
    <w:rsid w:val="2B1BFDA3"/>
    <w:rsid w:val="2B2FD364"/>
    <w:rsid w:val="2E1138ED"/>
    <w:rsid w:val="2E2F1338"/>
    <w:rsid w:val="2F0DA970"/>
    <w:rsid w:val="30884F56"/>
    <w:rsid w:val="30B19DCD"/>
    <w:rsid w:val="318B3F27"/>
    <w:rsid w:val="330DE72B"/>
    <w:rsid w:val="33CA8F0D"/>
    <w:rsid w:val="34B63330"/>
    <w:rsid w:val="34C2DFE9"/>
    <w:rsid w:val="3507519B"/>
    <w:rsid w:val="37122774"/>
    <w:rsid w:val="381F81B1"/>
    <w:rsid w:val="38852F47"/>
    <w:rsid w:val="395AC2B7"/>
    <w:rsid w:val="399F1761"/>
    <w:rsid w:val="3B0F5293"/>
    <w:rsid w:val="3B5C1167"/>
    <w:rsid w:val="3C123AA1"/>
    <w:rsid w:val="3CFAD376"/>
    <w:rsid w:val="4057A550"/>
    <w:rsid w:val="405C6E4C"/>
    <w:rsid w:val="40DF6AC0"/>
    <w:rsid w:val="415D1B08"/>
    <w:rsid w:val="41F575C5"/>
    <w:rsid w:val="43EBA488"/>
    <w:rsid w:val="44480391"/>
    <w:rsid w:val="44773220"/>
    <w:rsid w:val="44D1BD45"/>
    <w:rsid w:val="4521FD99"/>
    <w:rsid w:val="45EF338C"/>
    <w:rsid w:val="46626F36"/>
    <w:rsid w:val="46E62426"/>
    <w:rsid w:val="47CE27F6"/>
    <w:rsid w:val="4A66323E"/>
    <w:rsid w:val="4AD84DA9"/>
    <w:rsid w:val="4B00D2CF"/>
    <w:rsid w:val="4BA1C5F2"/>
    <w:rsid w:val="4D16675B"/>
    <w:rsid w:val="4E870B8E"/>
    <w:rsid w:val="4EC17EA2"/>
    <w:rsid w:val="4F4C83E8"/>
    <w:rsid w:val="4FF00819"/>
    <w:rsid w:val="5063F39D"/>
    <w:rsid w:val="50E6BEB6"/>
    <w:rsid w:val="5197EE95"/>
    <w:rsid w:val="51DEE6D2"/>
    <w:rsid w:val="534EF3DF"/>
    <w:rsid w:val="53CE5B1F"/>
    <w:rsid w:val="5596DEB1"/>
    <w:rsid w:val="55A0B36F"/>
    <w:rsid w:val="55B79006"/>
    <w:rsid w:val="56B3BEC0"/>
    <w:rsid w:val="56D9D5F5"/>
    <w:rsid w:val="56DBA66E"/>
    <w:rsid w:val="576C3BD5"/>
    <w:rsid w:val="584D69CC"/>
    <w:rsid w:val="584E2496"/>
    <w:rsid w:val="596F38E2"/>
    <w:rsid w:val="59D2EA17"/>
    <w:rsid w:val="59E985FB"/>
    <w:rsid w:val="5AB31E67"/>
    <w:rsid w:val="5B619721"/>
    <w:rsid w:val="5C88639F"/>
    <w:rsid w:val="5DF151E6"/>
    <w:rsid w:val="5E309C4F"/>
    <w:rsid w:val="5EB6CFBD"/>
    <w:rsid w:val="60009B8A"/>
    <w:rsid w:val="60A4AEDA"/>
    <w:rsid w:val="6139FEC7"/>
    <w:rsid w:val="6153C269"/>
    <w:rsid w:val="62165510"/>
    <w:rsid w:val="628F6C62"/>
    <w:rsid w:val="62970A44"/>
    <w:rsid w:val="6400D0D1"/>
    <w:rsid w:val="648EA339"/>
    <w:rsid w:val="652B4BBC"/>
    <w:rsid w:val="659F8AF2"/>
    <w:rsid w:val="65B2CDBE"/>
    <w:rsid w:val="66EBAFF8"/>
    <w:rsid w:val="68462367"/>
    <w:rsid w:val="68938EE6"/>
    <w:rsid w:val="68AE7514"/>
    <w:rsid w:val="69E461B6"/>
    <w:rsid w:val="6BE98143"/>
    <w:rsid w:val="6C30EE99"/>
    <w:rsid w:val="6D17D38B"/>
    <w:rsid w:val="6D887D5E"/>
    <w:rsid w:val="6E24E619"/>
    <w:rsid w:val="6E937BD0"/>
    <w:rsid w:val="6EAFB213"/>
    <w:rsid w:val="72BB1CC1"/>
    <w:rsid w:val="7373E968"/>
    <w:rsid w:val="73A0F101"/>
    <w:rsid w:val="740EF8E4"/>
    <w:rsid w:val="75D2562C"/>
    <w:rsid w:val="774E9B91"/>
    <w:rsid w:val="778319A1"/>
    <w:rsid w:val="79533165"/>
    <w:rsid w:val="7A84D595"/>
    <w:rsid w:val="7AB945F4"/>
    <w:rsid w:val="7CD316DF"/>
    <w:rsid w:val="7EA8016A"/>
    <w:rsid w:val="7EB51A16"/>
    <w:rsid w:val="7ED2A52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94"/>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50344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307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4Char">
    <w:name w:val="Heading 4 Char"/>
    <w:basedOn w:val="DefaultParagraphFont"/>
    <w:link w:val="Heading4"/>
    <w:uiPriority w:val="9"/>
    <w:rsid w:val="0050344D"/>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643B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BF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43BFF"/>
    <w:rPr>
      <w:vertAlign w:val="superscript"/>
    </w:rPr>
  </w:style>
  <w:style w:type="character" w:customStyle="1" w:styleId="Heading5Char">
    <w:name w:val="Heading 5 Char"/>
    <w:basedOn w:val="DefaultParagraphFont"/>
    <w:link w:val="Heading5"/>
    <w:uiPriority w:val="9"/>
    <w:rsid w:val="005307C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83498698">
      <w:bodyDiv w:val="1"/>
      <w:marLeft w:val="0"/>
      <w:marRight w:val="0"/>
      <w:marTop w:val="0"/>
      <w:marBottom w:val="0"/>
      <w:divBdr>
        <w:top w:val="none" w:sz="0" w:space="0" w:color="auto"/>
        <w:left w:val="none" w:sz="0" w:space="0" w:color="auto"/>
        <w:bottom w:val="none" w:sz="0" w:space="0" w:color="auto"/>
        <w:right w:val="none" w:sz="0" w:space="0" w:color="auto"/>
      </w:divBdr>
      <w:divsChild>
        <w:div w:id="137502606">
          <w:marLeft w:val="0"/>
          <w:marRight w:val="0"/>
          <w:marTop w:val="0"/>
          <w:marBottom w:val="0"/>
          <w:divBdr>
            <w:top w:val="none" w:sz="0" w:space="0" w:color="auto"/>
            <w:left w:val="none" w:sz="0" w:space="0" w:color="auto"/>
            <w:bottom w:val="none" w:sz="0" w:space="0" w:color="auto"/>
            <w:right w:val="none" w:sz="0" w:space="0" w:color="auto"/>
          </w:divBdr>
        </w:div>
        <w:div w:id="236935868">
          <w:marLeft w:val="0"/>
          <w:marRight w:val="0"/>
          <w:marTop w:val="0"/>
          <w:marBottom w:val="0"/>
          <w:divBdr>
            <w:top w:val="none" w:sz="0" w:space="0" w:color="auto"/>
            <w:left w:val="none" w:sz="0" w:space="0" w:color="auto"/>
            <w:bottom w:val="none" w:sz="0" w:space="0" w:color="auto"/>
            <w:right w:val="none" w:sz="0" w:space="0" w:color="auto"/>
          </w:divBdr>
        </w:div>
        <w:div w:id="307247889">
          <w:marLeft w:val="0"/>
          <w:marRight w:val="0"/>
          <w:marTop w:val="0"/>
          <w:marBottom w:val="0"/>
          <w:divBdr>
            <w:top w:val="none" w:sz="0" w:space="0" w:color="auto"/>
            <w:left w:val="none" w:sz="0" w:space="0" w:color="auto"/>
            <w:bottom w:val="none" w:sz="0" w:space="0" w:color="auto"/>
            <w:right w:val="none" w:sz="0" w:space="0" w:color="auto"/>
          </w:divBdr>
        </w:div>
        <w:div w:id="347564332">
          <w:marLeft w:val="0"/>
          <w:marRight w:val="0"/>
          <w:marTop w:val="0"/>
          <w:marBottom w:val="0"/>
          <w:divBdr>
            <w:top w:val="none" w:sz="0" w:space="0" w:color="auto"/>
            <w:left w:val="none" w:sz="0" w:space="0" w:color="auto"/>
            <w:bottom w:val="none" w:sz="0" w:space="0" w:color="auto"/>
            <w:right w:val="none" w:sz="0" w:space="0" w:color="auto"/>
          </w:divBdr>
        </w:div>
        <w:div w:id="373041408">
          <w:marLeft w:val="0"/>
          <w:marRight w:val="0"/>
          <w:marTop w:val="0"/>
          <w:marBottom w:val="0"/>
          <w:divBdr>
            <w:top w:val="none" w:sz="0" w:space="0" w:color="auto"/>
            <w:left w:val="none" w:sz="0" w:space="0" w:color="auto"/>
            <w:bottom w:val="none" w:sz="0" w:space="0" w:color="auto"/>
            <w:right w:val="none" w:sz="0" w:space="0" w:color="auto"/>
          </w:divBdr>
        </w:div>
        <w:div w:id="689726188">
          <w:marLeft w:val="0"/>
          <w:marRight w:val="0"/>
          <w:marTop w:val="0"/>
          <w:marBottom w:val="0"/>
          <w:divBdr>
            <w:top w:val="none" w:sz="0" w:space="0" w:color="auto"/>
            <w:left w:val="none" w:sz="0" w:space="0" w:color="auto"/>
            <w:bottom w:val="none" w:sz="0" w:space="0" w:color="auto"/>
            <w:right w:val="none" w:sz="0" w:space="0" w:color="auto"/>
          </w:divBdr>
        </w:div>
        <w:div w:id="730813640">
          <w:marLeft w:val="0"/>
          <w:marRight w:val="0"/>
          <w:marTop w:val="0"/>
          <w:marBottom w:val="0"/>
          <w:divBdr>
            <w:top w:val="none" w:sz="0" w:space="0" w:color="auto"/>
            <w:left w:val="none" w:sz="0" w:space="0" w:color="auto"/>
            <w:bottom w:val="none" w:sz="0" w:space="0" w:color="auto"/>
            <w:right w:val="none" w:sz="0" w:space="0" w:color="auto"/>
          </w:divBdr>
        </w:div>
        <w:div w:id="870217838">
          <w:marLeft w:val="0"/>
          <w:marRight w:val="0"/>
          <w:marTop w:val="0"/>
          <w:marBottom w:val="0"/>
          <w:divBdr>
            <w:top w:val="none" w:sz="0" w:space="0" w:color="auto"/>
            <w:left w:val="none" w:sz="0" w:space="0" w:color="auto"/>
            <w:bottom w:val="none" w:sz="0" w:space="0" w:color="auto"/>
            <w:right w:val="none" w:sz="0" w:space="0" w:color="auto"/>
          </w:divBdr>
        </w:div>
        <w:div w:id="1122067688">
          <w:marLeft w:val="0"/>
          <w:marRight w:val="0"/>
          <w:marTop w:val="0"/>
          <w:marBottom w:val="0"/>
          <w:divBdr>
            <w:top w:val="none" w:sz="0" w:space="0" w:color="auto"/>
            <w:left w:val="none" w:sz="0" w:space="0" w:color="auto"/>
            <w:bottom w:val="none" w:sz="0" w:space="0" w:color="auto"/>
            <w:right w:val="none" w:sz="0" w:space="0" w:color="auto"/>
          </w:divBdr>
        </w:div>
        <w:div w:id="1291012797">
          <w:marLeft w:val="0"/>
          <w:marRight w:val="0"/>
          <w:marTop w:val="0"/>
          <w:marBottom w:val="0"/>
          <w:divBdr>
            <w:top w:val="none" w:sz="0" w:space="0" w:color="auto"/>
            <w:left w:val="none" w:sz="0" w:space="0" w:color="auto"/>
            <w:bottom w:val="none" w:sz="0" w:space="0" w:color="auto"/>
            <w:right w:val="none" w:sz="0" w:space="0" w:color="auto"/>
          </w:divBdr>
        </w:div>
        <w:div w:id="1310597542">
          <w:marLeft w:val="0"/>
          <w:marRight w:val="0"/>
          <w:marTop w:val="0"/>
          <w:marBottom w:val="0"/>
          <w:divBdr>
            <w:top w:val="none" w:sz="0" w:space="0" w:color="auto"/>
            <w:left w:val="none" w:sz="0" w:space="0" w:color="auto"/>
            <w:bottom w:val="none" w:sz="0" w:space="0" w:color="auto"/>
            <w:right w:val="none" w:sz="0" w:space="0" w:color="auto"/>
          </w:divBdr>
        </w:div>
        <w:div w:id="1696268984">
          <w:marLeft w:val="0"/>
          <w:marRight w:val="0"/>
          <w:marTop w:val="0"/>
          <w:marBottom w:val="0"/>
          <w:divBdr>
            <w:top w:val="none" w:sz="0" w:space="0" w:color="auto"/>
            <w:left w:val="none" w:sz="0" w:space="0" w:color="auto"/>
            <w:bottom w:val="none" w:sz="0" w:space="0" w:color="auto"/>
            <w:right w:val="none" w:sz="0" w:space="0" w:color="auto"/>
          </w:divBdr>
        </w:div>
        <w:div w:id="1872375816">
          <w:marLeft w:val="0"/>
          <w:marRight w:val="0"/>
          <w:marTop w:val="0"/>
          <w:marBottom w:val="0"/>
          <w:divBdr>
            <w:top w:val="none" w:sz="0" w:space="0" w:color="auto"/>
            <w:left w:val="none" w:sz="0" w:space="0" w:color="auto"/>
            <w:bottom w:val="none" w:sz="0" w:space="0" w:color="auto"/>
            <w:right w:val="none" w:sz="0" w:space="0" w:color="auto"/>
          </w:divBdr>
        </w:div>
        <w:div w:id="1875340506">
          <w:marLeft w:val="0"/>
          <w:marRight w:val="0"/>
          <w:marTop w:val="0"/>
          <w:marBottom w:val="0"/>
          <w:divBdr>
            <w:top w:val="none" w:sz="0" w:space="0" w:color="auto"/>
            <w:left w:val="none" w:sz="0" w:space="0" w:color="auto"/>
            <w:bottom w:val="none" w:sz="0" w:space="0" w:color="auto"/>
            <w:right w:val="none" w:sz="0" w:space="0" w:color="auto"/>
          </w:divBdr>
        </w:div>
        <w:div w:id="1894729869">
          <w:marLeft w:val="0"/>
          <w:marRight w:val="0"/>
          <w:marTop w:val="0"/>
          <w:marBottom w:val="0"/>
          <w:divBdr>
            <w:top w:val="none" w:sz="0" w:space="0" w:color="auto"/>
            <w:left w:val="none" w:sz="0" w:space="0" w:color="auto"/>
            <w:bottom w:val="none" w:sz="0" w:space="0" w:color="auto"/>
            <w:right w:val="none" w:sz="0" w:space="0" w:color="auto"/>
          </w:divBdr>
        </w:div>
        <w:div w:id="2083288559">
          <w:marLeft w:val="0"/>
          <w:marRight w:val="0"/>
          <w:marTop w:val="0"/>
          <w:marBottom w:val="0"/>
          <w:divBdr>
            <w:top w:val="none" w:sz="0" w:space="0" w:color="auto"/>
            <w:left w:val="none" w:sz="0" w:space="0" w:color="auto"/>
            <w:bottom w:val="none" w:sz="0" w:space="0" w:color="auto"/>
            <w:right w:val="none" w:sz="0" w:space="0" w:color="auto"/>
          </w:divBdr>
        </w:div>
      </w:divsChild>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1672-public" TargetMode="External"/><Relationship Id="rId13" Type="http://schemas.openxmlformats.org/officeDocument/2006/relationships/hyperlink" Target="https://wwwp.medtronic.com/crs-upload/letters/401/401_Micra_AV_Implant_Manual_with_Medical_Procedure_and_EMI_Precautions.pdf" TargetMode="External"/><Relationship Id="rId18" Type="http://schemas.openxmlformats.org/officeDocument/2006/relationships/image" Target="media/image2.png"/><Relationship Id="rId26" Type="http://schemas.openxmlformats.org/officeDocument/2006/relationships/hyperlink" Target="https://www.medtronic.com/us-en/healthcare-professionals/products/cardiac-rhythm/pacemakers/micra-av2.html" TargetMode="External"/><Relationship Id="rId3" Type="http://schemas.openxmlformats.org/officeDocument/2006/relationships/styles" Target="styles.xml"/><Relationship Id="rId21" Type="http://schemas.openxmlformats.org/officeDocument/2006/relationships/hyperlink" Target="https://wwwp.medtronic.com/crs-upload/letters/401/401_Micra_AV_Implant_Manual_with_Medical_Procedure_and_EMI_Precautions.pdf" TargetMode="External"/><Relationship Id="rId7" Type="http://schemas.openxmlformats.org/officeDocument/2006/relationships/endnotes" Target="endnotes.xml"/><Relationship Id="rId12" Type="http://schemas.openxmlformats.org/officeDocument/2006/relationships/hyperlink" Target="http://www.msac.gov.au/internet/msac/publishing.nsf/Content/1672-public" TargetMode="External"/><Relationship Id="rId17" Type="http://schemas.openxmlformats.org/officeDocument/2006/relationships/image" Target="media/image1.png"/><Relationship Id="rId25" Type="http://schemas.openxmlformats.org/officeDocument/2006/relationships/hyperlink" Target="https://wwwp.medtronic.com/crs-upload/letters/401/401_Micra_AV_Implant_Manual_with_Medical_Procedure_and_EMI_Precautions.pdf" TargetMode="External"/><Relationship Id="rId2" Type="http://schemas.openxmlformats.org/officeDocument/2006/relationships/numbering" Target="numbering.xml"/><Relationship Id="rId16" Type="http://schemas.openxmlformats.org/officeDocument/2006/relationships/hyperlink" Target="http://www.msac.gov.au/internet/msac/publishing.nsf/Content/1672-public" TargetMode="External"/><Relationship Id="rId20" Type="http://schemas.openxmlformats.org/officeDocument/2006/relationships/hyperlink" Target="https://www.mbsonline.gov.au/internet/mbsonline/publishing.nsf/Content/Hom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edtronic.com/crs-upload/letters/401/401_Micra_AV_Implant_Manual_with_Medical_Procedure_and_EMI_Precautions.pdf" TargetMode="External"/><Relationship Id="rId24" Type="http://schemas.openxmlformats.org/officeDocument/2006/relationships/hyperlink" Target="https://www.ncbi.nlm.nih.gov/books/NBK5560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sac.gov.au/internet/msac/publishing.nsf/Content/1672-public" TargetMode="External"/><Relationship Id="rId23" Type="http://schemas.openxmlformats.org/officeDocument/2006/relationships/hyperlink" Target="https://www.ncbi.nlm.nih.gov/books/NBK459147/" TargetMode="External"/><Relationship Id="rId28" Type="http://schemas.openxmlformats.org/officeDocument/2006/relationships/hyperlink" Target="https://medlineplus.gov/ency/article/003399.htm" TargetMode="External"/><Relationship Id="rId10" Type="http://schemas.openxmlformats.org/officeDocument/2006/relationships/hyperlink" Target="https://www.accessdata.fda.gov/scripts/cdrh/cfdocs/cfpma/pma.cfm?id=P150035S003" TargetMode="External"/><Relationship Id="rId19" Type="http://schemas.openxmlformats.org/officeDocument/2006/relationships/hyperlink" Target="https://clinicaltrials.gov/study/NCT042354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internet/msac/publishing.nsf/Content/1672-public" TargetMode="External"/><Relationship Id="rId14" Type="http://schemas.openxmlformats.org/officeDocument/2006/relationships/hyperlink" Target="https://www.mbsonline.gov.au" TargetMode="External"/><Relationship Id="rId22" Type="http://schemas.openxmlformats.org/officeDocument/2006/relationships/hyperlink" Target="https://public4.pagefreezer.com/browse/FDA/29-11-2021T06:57/https:/www.fda.gov/medical-devices/letters-health-care-providers/leadless-pacing-systems-risk-major-complications-related-cardiac-perforation-during-implantation" TargetMode="External"/><Relationship Id="rId27" Type="http://schemas.openxmlformats.org/officeDocument/2006/relationships/hyperlink" Target="https://www.nhs.uk/conditions/pacemaker-implantation/what-happen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10808</Words>
  <Characters>61612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72276</CharactersWithSpaces>
  <SharedDoc>false</SharedDoc>
  <HLinks>
    <vt:vector size="114" baseType="variant">
      <vt:variant>
        <vt:i4>7929960</vt:i4>
      </vt:variant>
      <vt:variant>
        <vt:i4>135</vt:i4>
      </vt:variant>
      <vt:variant>
        <vt:i4>0</vt:i4>
      </vt:variant>
      <vt:variant>
        <vt:i4>5</vt:i4>
      </vt:variant>
      <vt:variant>
        <vt:lpwstr>https://medlineplus.gov/ency/article/003399.htm</vt:lpwstr>
      </vt:variant>
      <vt:variant>
        <vt:lpwstr/>
      </vt:variant>
      <vt:variant>
        <vt:i4>6684713</vt:i4>
      </vt:variant>
      <vt:variant>
        <vt:i4>132</vt:i4>
      </vt:variant>
      <vt:variant>
        <vt:i4>0</vt:i4>
      </vt:variant>
      <vt:variant>
        <vt:i4>5</vt:i4>
      </vt:variant>
      <vt:variant>
        <vt:lpwstr>https://www.nhs.uk/conditions/pacemaker-implantation/what-happens/</vt:lpwstr>
      </vt:variant>
      <vt:variant>
        <vt:lpwstr/>
      </vt:variant>
      <vt:variant>
        <vt:i4>3014775</vt:i4>
      </vt:variant>
      <vt:variant>
        <vt:i4>129</vt:i4>
      </vt:variant>
      <vt:variant>
        <vt:i4>0</vt:i4>
      </vt:variant>
      <vt:variant>
        <vt:i4>5</vt:i4>
      </vt:variant>
      <vt:variant>
        <vt:lpwstr>https://www.medtronic.com/us-en/healthcare-professionals/products/cardiac-rhythm/pacemakers/micra-av2.html</vt:lpwstr>
      </vt:variant>
      <vt:variant>
        <vt:lpwstr/>
      </vt:variant>
      <vt:variant>
        <vt:i4>7864376</vt:i4>
      </vt:variant>
      <vt:variant>
        <vt:i4>126</vt:i4>
      </vt:variant>
      <vt:variant>
        <vt:i4>0</vt:i4>
      </vt:variant>
      <vt:variant>
        <vt:i4>5</vt:i4>
      </vt:variant>
      <vt:variant>
        <vt:lpwstr>https://wwwp.medtronic.com/crs-upload/letters/401/401_Micra_AV_Implant_Manual_with_Medical_Procedure_and_EMI_Precautions.pdf</vt:lpwstr>
      </vt:variant>
      <vt:variant>
        <vt:lpwstr/>
      </vt:variant>
      <vt:variant>
        <vt:i4>1638492</vt:i4>
      </vt:variant>
      <vt:variant>
        <vt:i4>123</vt:i4>
      </vt:variant>
      <vt:variant>
        <vt:i4>0</vt:i4>
      </vt:variant>
      <vt:variant>
        <vt:i4>5</vt:i4>
      </vt:variant>
      <vt:variant>
        <vt:lpwstr>https://www.ncbi.nlm.nih.gov/books/NBK556011/</vt:lpwstr>
      </vt:variant>
      <vt:variant>
        <vt:lpwstr/>
      </vt:variant>
      <vt:variant>
        <vt:i4>1966167</vt:i4>
      </vt:variant>
      <vt:variant>
        <vt:i4>120</vt:i4>
      </vt:variant>
      <vt:variant>
        <vt:i4>0</vt:i4>
      </vt:variant>
      <vt:variant>
        <vt:i4>5</vt:i4>
      </vt:variant>
      <vt:variant>
        <vt:lpwstr>https://www.ncbi.nlm.nih.gov/books/NBK459147/</vt:lpwstr>
      </vt:variant>
      <vt:variant>
        <vt:lpwstr/>
      </vt:variant>
      <vt:variant>
        <vt:i4>29</vt:i4>
      </vt:variant>
      <vt:variant>
        <vt:i4>117</vt:i4>
      </vt:variant>
      <vt:variant>
        <vt:i4>0</vt:i4>
      </vt:variant>
      <vt:variant>
        <vt:i4>5</vt:i4>
      </vt:variant>
      <vt:variant>
        <vt:lpwstr>https://public4.pagefreezer.com/browse/FDA/29-11-2021T06:57/https:/www.fda.gov/medical-devices/letters-health-care-providers/leadless-pacing-systems-risk-major-complications-related-cardiac-perforation-during-implantation</vt:lpwstr>
      </vt:variant>
      <vt:variant>
        <vt:lpwstr/>
      </vt:variant>
      <vt:variant>
        <vt:i4>7864376</vt:i4>
      </vt:variant>
      <vt:variant>
        <vt:i4>114</vt:i4>
      </vt:variant>
      <vt:variant>
        <vt:i4>0</vt:i4>
      </vt:variant>
      <vt:variant>
        <vt:i4>5</vt:i4>
      </vt:variant>
      <vt:variant>
        <vt:lpwstr>https://wwwp.medtronic.com/crs-upload/letters/401/401_Micra_AV_Implant_Manual_with_Medical_Procedure_and_EMI_Precautions.pdf</vt:lpwstr>
      </vt:variant>
      <vt:variant>
        <vt:lpwstr/>
      </vt:variant>
      <vt:variant>
        <vt:i4>2949172</vt:i4>
      </vt:variant>
      <vt:variant>
        <vt:i4>108</vt:i4>
      </vt:variant>
      <vt:variant>
        <vt:i4>0</vt:i4>
      </vt:variant>
      <vt:variant>
        <vt:i4>5</vt:i4>
      </vt:variant>
      <vt:variant>
        <vt:lpwstr>https://www.mbsonline.gov.au/internet/mbsonline/publishing.nsf/Content/Home</vt:lpwstr>
      </vt:variant>
      <vt:variant>
        <vt:lpwstr/>
      </vt:variant>
      <vt:variant>
        <vt:i4>655375</vt:i4>
      </vt:variant>
      <vt:variant>
        <vt:i4>96</vt:i4>
      </vt:variant>
      <vt:variant>
        <vt:i4>0</vt:i4>
      </vt:variant>
      <vt:variant>
        <vt:i4>5</vt:i4>
      </vt:variant>
      <vt:variant>
        <vt:lpwstr>https://clinicaltrials.gov/study/NCT04235491</vt:lpwstr>
      </vt:variant>
      <vt:variant>
        <vt:lpwstr/>
      </vt:variant>
      <vt:variant>
        <vt:i4>2228335</vt:i4>
      </vt:variant>
      <vt:variant>
        <vt:i4>75</vt:i4>
      </vt:variant>
      <vt:variant>
        <vt:i4>0</vt:i4>
      </vt:variant>
      <vt:variant>
        <vt:i4>5</vt:i4>
      </vt:variant>
      <vt:variant>
        <vt:lpwstr>http://www.msac.gov.au/internet/msac/publishing.nsf/Content/1672-public</vt:lpwstr>
      </vt:variant>
      <vt:variant>
        <vt:lpwstr/>
      </vt:variant>
      <vt:variant>
        <vt:i4>2228335</vt:i4>
      </vt:variant>
      <vt:variant>
        <vt:i4>60</vt:i4>
      </vt:variant>
      <vt:variant>
        <vt:i4>0</vt:i4>
      </vt:variant>
      <vt:variant>
        <vt:i4>5</vt:i4>
      </vt:variant>
      <vt:variant>
        <vt:lpwstr>http://www.msac.gov.au/internet/msac/publishing.nsf/Content/1672-public</vt:lpwstr>
      </vt:variant>
      <vt:variant>
        <vt:lpwstr/>
      </vt:variant>
      <vt:variant>
        <vt:i4>6094924</vt:i4>
      </vt:variant>
      <vt:variant>
        <vt:i4>54</vt:i4>
      </vt:variant>
      <vt:variant>
        <vt:i4>0</vt:i4>
      </vt:variant>
      <vt:variant>
        <vt:i4>5</vt:i4>
      </vt:variant>
      <vt:variant>
        <vt:lpwstr>https://www.mbsonline.gov.au/</vt:lpwstr>
      </vt:variant>
      <vt:variant>
        <vt:lpwstr/>
      </vt:variant>
      <vt:variant>
        <vt:i4>7864376</vt:i4>
      </vt:variant>
      <vt:variant>
        <vt:i4>36</vt:i4>
      </vt:variant>
      <vt:variant>
        <vt:i4>0</vt:i4>
      </vt:variant>
      <vt:variant>
        <vt:i4>5</vt:i4>
      </vt:variant>
      <vt:variant>
        <vt:lpwstr>https://wwwp.medtronic.com/crs-upload/letters/401/401_Micra_AV_Implant_Manual_with_Medical_Procedure_and_EMI_Precautions.pdf</vt:lpwstr>
      </vt:variant>
      <vt:variant>
        <vt:lpwstr/>
      </vt:variant>
      <vt:variant>
        <vt:i4>2228335</vt:i4>
      </vt:variant>
      <vt:variant>
        <vt:i4>27</vt:i4>
      </vt:variant>
      <vt:variant>
        <vt:i4>0</vt:i4>
      </vt:variant>
      <vt:variant>
        <vt:i4>5</vt:i4>
      </vt:variant>
      <vt:variant>
        <vt:lpwstr>http://www.msac.gov.au/internet/msac/publishing.nsf/Content/1672-public</vt:lpwstr>
      </vt:variant>
      <vt:variant>
        <vt:lpwstr/>
      </vt:variant>
      <vt:variant>
        <vt:i4>7864376</vt:i4>
      </vt:variant>
      <vt:variant>
        <vt:i4>24</vt:i4>
      </vt:variant>
      <vt:variant>
        <vt:i4>0</vt:i4>
      </vt:variant>
      <vt:variant>
        <vt:i4>5</vt:i4>
      </vt:variant>
      <vt:variant>
        <vt:lpwstr>https://wwwp.medtronic.com/crs-upload/letters/401/401_Micra_AV_Implant_Manual_with_Medical_Procedure_and_EMI_Precautions.pdf</vt:lpwstr>
      </vt:variant>
      <vt:variant>
        <vt:lpwstr/>
      </vt:variant>
      <vt:variant>
        <vt:i4>2424889</vt:i4>
      </vt:variant>
      <vt:variant>
        <vt:i4>21</vt:i4>
      </vt:variant>
      <vt:variant>
        <vt:i4>0</vt:i4>
      </vt:variant>
      <vt:variant>
        <vt:i4>5</vt:i4>
      </vt:variant>
      <vt:variant>
        <vt:lpwstr>https://www.accessdata.fda.gov/scripts/cdrh/cfdocs/cfpma/pma.cfm?id=P150035S003</vt:lpwstr>
      </vt:variant>
      <vt:variant>
        <vt:lpwstr/>
      </vt:variant>
      <vt:variant>
        <vt:i4>2228335</vt:i4>
      </vt:variant>
      <vt:variant>
        <vt:i4>18</vt:i4>
      </vt:variant>
      <vt:variant>
        <vt:i4>0</vt:i4>
      </vt:variant>
      <vt:variant>
        <vt:i4>5</vt:i4>
      </vt:variant>
      <vt:variant>
        <vt:lpwstr>http://www.msac.gov.au/internet/msac/publishing.nsf/Content/1672-public</vt:lpwstr>
      </vt:variant>
      <vt:variant>
        <vt:lpwstr/>
      </vt:variant>
      <vt:variant>
        <vt:i4>2228335</vt:i4>
      </vt:variant>
      <vt:variant>
        <vt:i4>6</vt:i4>
      </vt:variant>
      <vt:variant>
        <vt:i4>0</vt:i4>
      </vt:variant>
      <vt:variant>
        <vt:i4>5</vt:i4>
      </vt:variant>
      <vt:variant>
        <vt:lpwstr>http://www.msac.gov.au/internet/msac/publishing.nsf/Content/1672-public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1772 Ratified PICO</dc:title>
  <dc:subject/>
  <dc:creator/>
  <cp:keywords/>
  <dc:description/>
  <cp:lastModifiedBy/>
  <cp:revision>1</cp:revision>
  <dcterms:created xsi:type="dcterms:W3CDTF">2024-07-22T01:20:00Z</dcterms:created>
  <dcterms:modified xsi:type="dcterms:W3CDTF">2024-07-22T01:21:00Z</dcterms:modified>
</cp:coreProperties>
</file>