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44E99" w14:textId="77777777" w:rsidR="00170E70" w:rsidRPr="00707064" w:rsidRDefault="00170E70" w:rsidP="00170E70">
      <w:pPr>
        <w:spacing w:after="240"/>
        <w:jc w:val="center"/>
        <w:rPr>
          <w:b/>
          <w:i/>
          <w:szCs w:val="24"/>
          <w:highlight w:val="yellow"/>
        </w:rPr>
      </w:pPr>
      <w:r>
        <w:rPr>
          <w:rFonts w:ascii="Arial" w:hAnsi="Arial" w:cs="Arial"/>
          <w:b/>
          <w:noProof/>
          <w:color w:val="000080"/>
          <w:sz w:val="28"/>
          <w:szCs w:val="28"/>
        </w:rPr>
        <w:drawing>
          <wp:inline distT="0" distB="0" distL="0" distR="0" wp14:anchorId="4D62B877" wp14:editId="5F4B7A08">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C73C20C" w14:textId="758E1960" w:rsidR="00EF786F" w:rsidRPr="00170E70" w:rsidRDefault="00170E70" w:rsidP="00170E70">
      <w:pPr>
        <w:pStyle w:val="Title"/>
        <w:tabs>
          <w:tab w:val="left" w:pos="1926"/>
          <w:tab w:val="center" w:pos="4513"/>
        </w:tabs>
        <w:jc w:val="left"/>
      </w:pPr>
      <w:r>
        <w:tab/>
      </w:r>
      <w:r>
        <w:tab/>
      </w:r>
      <w:r w:rsidRPr="00F715D1">
        <w:t>Public Summary Document</w:t>
      </w:r>
      <w:bookmarkStart w:id="0" w:name="_Hlk78872729"/>
      <w:r w:rsidR="00EF786F" w:rsidRPr="00EF786F">
        <w:rPr>
          <w:i/>
          <w:sz w:val="28"/>
          <w:szCs w:val="28"/>
        </w:rPr>
        <w:t xml:space="preserve"> </w:t>
      </w:r>
      <w:bookmarkEnd w:id="0"/>
    </w:p>
    <w:p w14:paraId="7AF6B6FC" w14:textId="6CE15E07" w:rsidR="00170E70" w:rsidRPr="00170E70" w:rsidRDefault="00170E70" w:rsidP="00170E70">
      <w:pPr>
        <w:spacing w:before="240" w:after="240"/>
        <w:jc w:val="center"/>
        <w:rPr>
          <w:rFonts w:ascii="Arial" w:hAnsi="Arial" w:cs="Arial"/>
          <w:b/>
          <w:bCs/>
          <w:i/>
          <w:color w:val="000080"/>
          <w:sz w:val="28"/>
          <w:szCs w:val="28"/>
        </w:rPr>
      </w:pPr>
      <w:r>
        <w:rPr>
          <w:rFonts w:ascii="Arial" w:hAnsi="Arial" w:cs="Arial"/>
          <w:b/>
          <w:bCs/>
          <w:i/>
          <w:color w:val="000080"/>
          <w:sz w:val="28"/>
          <w:szCs w:val="28"/>
        </w:rPr>
        <w:t xml:space="preserve">Application </w:t>
      </w:r>
      <w:r w:rsidRPr="00BD17AF">
        <w:rPr>
          <w:rFonts w:ascii="Arial" w:hAnsi="Arial" w:cs="Arial"/>
          <w:b/>
          <w:bCs/>
          <w:i/>
          <w:color w:val="000080"/>
          <w:sz w:val="28"/>
          <w:szCs w:val="28"/>
        </w:rPr>
        <w:t>1656 – Vertebral body tethering for adolescent</w:t>
      </w:r>
      <w:r>
        <w:rPr>
          <w:rFonts w:ascii="Arial" w:hAnsi="Arial" w:cs="Arial"/>
          <w:b/>
          <w:bCs/>
          <w:i/>
          <w:color w:val="000080"/>
          <w:sz w:val="28"/>
          <w:szCs w:val="28"/>
        </w:rPr>
        <w:t xml:space="preserve"> </w:t>
      </w:r>
      <w:r w:rsidRPr="00BD17AF">
        <w:rPr>
          <w:rFonts w:ascii="Arial" w:hAnsi="Arial" w:cs="Arial"/>
          <w:b/>
          <w:bCs/>
          <w:i/>
          <w:color w:val="000080"/>
          <w:sz w:val="28"/>
          <w:szCs w:val="28"/>
        </w:rPr>
        <w:t>idiopathic scoliosis</w:t>
      </w:r>
    </w:p>
    <w:p w14:paraId="2D41890B" w14:textId="37B6CD82" w:rsidR="001D6175" w:rsidRPr="00BD17AF" w:rsidRDefault="003B2589" w:rsidP="00E625A3">
      <w:pPr>
        <w:tabs>
          <w:tab w:val="left" w:pos="3402"/>
        </w:tabs>
        <w:spacing w:before="240"/>
        <w:rPr>
          <w:rFonts w:ascii="Arial" w:hAnsi="Arial" w:cs="Arial"/>
          <w:b/>
          <w:szCs w:val="24"/>
        </w:rPr>
      </w:pPr>
      <w:r w:rsidRPr="00BD17AF">
        <w:rPr>
          <w:rFonts w:ascii="Arial" w:hAnsi="Arial" w:cs="Arial"/>
          <w:b/>
          <w:szCs w:val="24"/>
        </w:rPr>
        <w:t>Applicant:</w:t>
      </w:r>
      <w:r w:rsidR="00E625A3">
        <w:rPr>
          <w:rFonts w:ascii="Arial" w:hAnsi="Arial" w:cs="Arial"/>
          <w:b/>
          <w:szCs w:val="24"/>
        </w:rPr>
        <w:tab/>
      </w:r>
      <w:r w:rsidR="007B6FB7" w:rsidRPr="00BD17AF">
        <w:rPr>
          <w:rFonts w:ascii="Arial" w:hAnsi="Arial" w:cs="Arial"/>
          <w:b/>
          <w:szCs w:val="24"/>
        </w:rPr>
        <w:t xml:space="preserve">Zimmer Biomet </w:t>
      </w:r>
      <w:r w:rsidR="00693467">
        <w:rPr>
          <w:rFonts w:ascii="Arial" w:hAnsi="Arial" w:cs="Arial"/>
          <w:b/>
          <w:szCs w:val="24"/>
        </w:rPr>
        <w:t>Pty Ltd</w:t>
      </w:r>
    </w:p>
    <w:p w14:paraId="4E2A721C" w14:textId="766C986A" w:rsidR="00BD17AF" w:rsidRDefault="00BD17AF" w:rsidP="00BD17AF">
      <w:pPr>
        <w:tabs>
          <w:tab w:val="left" w:pos="3686"/>
        </w:tabs>
        <w:spacing w:before="240" w:after="240"/>
        <w:rPr>
          <w:rFonts w:ascii="Arial" w:hAnsi="Arial" w:cs="Arial"/>
          <w:b/>
          <w:szCs w:val="24"/>
        </w:rPr>
      </w:pPr>
      <w:r w:rsidRPr="00747517">
        <w:rPr>
          <w:rFonts w:ascii="Arial" w:hAnsi="Arial" w:cs="Arial"/>
          <w:b/>
          <w:szCs w:val="24"/>
        </w:rPr>
        <w:t xml:space="preserve">Date of </w:t>
      </w:r>
      <w:r>
        <w:rPr>
          <w:rFonts w:ascii="Arial" w:hAnsi="Arial" w:cs="Arial"/>
          <w:b/>
          <w:szCs w:val="24"/>
        </w:rPr>
        <w:t>MSAC</w:t>
      </w:r>
      <w:r w:rsidRPr="00747517">
        <w:rPr>
          <w:rFonts w:ascii="Arial" w:hAnsi="Arial" w:cs="Arial"/>
          <w:b/>
          <w:szCs w:val="24"/>
        </w:rPr>
        <w:t xml:space="preserve"> consideration: </w:t>
      </w:r>
      <w:r>
        <w:rPr>
          <w:rFonts w:ascii="Arial" w:hAnsi="Arial" w:cs="Arial"/>
          <w:b/>
          <w:szCs w:val="24"/>
        </w:rPr>
        <w:t>83</w:t>
      </w:r>
      <w:r w:rsidRPr="00747517">
        <w:rPr>
          <w:rFonts w:ascii="Arial" w:hAnsi="Arial" w:cs="Arial"/>
          <w:b/>
          <w:szCs w:val="24"/>
          <w:vertAlign w:val="superscript"/>
        </w:rPr>
        <w:t>rd</w:t>
      </w:r>
      <w:r>
        <w:rPr>
          <w:rFonts w:ascii="Arial" w:hAnsi="Arial" w:cs="Arial"/>
          <w:b/>
          <w:szCs w:val="24"/>
        </w:rPr>
        <w:t xml:space="preserve"> MSAC Meeting, 25-26 November 2021</w:t>
      </w:r>
    </w:p>
    <w:p w14:paraId="4D5D0D7C" w14:textId="77777777" w:rsidR="00BD17AF" w:rsidRPr="00747517" w:rsidRDefault="00BD17AF" w:rsidP="00BD17AF">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08A48B3" w14:textId="776A6410" w:rsidR="00576ED3" w:rsidRPr="00BD17AF" w:rsidRDefault="00065623" w:rsidP="00BD17AF">
      <w:pPr>
        <w:pStyle w:val="Heading1"/>
        <w:numPr>
          <w:ilvl w:val="0"/>
          <w:numId w:val="13"/>
        </w:numPr>
        <w:spacing w:before="360" w:after="120"/>
        <w:ind w:hanging="720"/>
        <w:rPr>
          <w:rFonts w:ascii="Arial" w:hAnsi="Arial" w:cs="Arial"/>
        </w:rPr>
      </w:pPr>
      <w:r w:rsidRPr="00BD17AF">
        <w:rPr>
          <w:rFonts w:ascii="Arial" w:hAnsi="Arial" w:cs="Arial"/>
        </w:rPr>
        <w:t>Purpose of application</w:t>
      </w:r>
    </w:p>
    <w:p w14:paraId="37216372" w14:textId="460A29C2" w:rsidR="003E1045" w:rsidRDefault="007B6FB7" w:rsidP="00BD17AF">
      <w:r w:rsidRPr="00252425">
        <w:t xml:space="preserve">An application requesting Medicare Benefits Schedule (MBS) listing of vertebral body tethering (VBT) for the management of adolescent idiopathic scoliosis (AIS) was received from Zimmer Biomet </w:t>
      </w:r>
      <w:r w:rsidR="00FA2BDD">
        <w:t xml:space="preserve">Pty Ltd </w:t>
      </w:r>
      <w:r w:rsidRPr="00252425">
        <w:t>by the Department of Health</w:t>
      </w:r>
      <w:r w:rsidR="00E12160">
        <w:t>.</w:t>
      </w:r>
    </w:p>
    <w:p w14:paraId="1E446693" w14:textId="2D19519E" w:rsidR="00BD17AF" w:rsidRDefault="00BD17AF" w:rsidP="00BD17AF">
      <w:pPr>
        <w:pStyle w:val="Heading1"/>
        <w:numPr>
          <w:ilvl w:val="0"/>
          <w:numId w:val="13"/>
        </w:numPr>
        <w:spacing w:before="360" w:after="120"/>
        <w:ind w:hanging="720"/>
        <w:rPr>
          <w:rFonts w:ascii="Arial" w:hAnsi="Arial" w:cs="Arial"/>
        </w:rPr>
      </w:pPr>
      <w:r w:rsidRPr="007D0728">
        <w:rPr>
          <w:rFonts w:ascii="Arial" w:hAnsi="Arial" w:cs="Arial"/>
        </w:rPr>
        <w:t>MSAC’s advice to the Minister</w:t>
      </w:r>
    </w:p>
    <w:p w14:paraId="39124841" w14:textId="045E9321" w:rsidR="008D35E9" w:rsidRDefault="008D35E9" w:rsidP="0041228F">
      <w:pPr>
        <w:spacing w:after="240"/>
      </w:pPr>
      <w:r w:rsidRPr="008D35E9">
        <w:t xml:space="preserve">After considering the strength of the available evidence in relation to comparative safety, clinical effectiveness and cost-effectiveness, MSAC did not support public funding of VBT for the treatment of </w:t>
      </w:r>
      <w:r w:rsidR="00333391">
        <w:t>AIS</w:t>
      </w:r>
      <w:r w:rsidRPr="008D35E9">
        <w:t>. MSAC accepted that there was a clinical need for VBT but considered that the</w:t>
      </w:r>
      <w:r w:rsidR="007F512F">
        <w:t xml:space="preserve"> evidence for</w:t>
      </w:r>
      <w:r w:rsidRPr="008D35E9">
        <w:t xml:space="preserve"> comparative safety, effectiveness and cost-effectiveness </w:t>
      </w:r>
      <w:r w:rsidR="007F512F">
        <w:t xml:space="preserve">for VBT compared </w:t>
      </w:r>
      <w:r w:rsidR="007C3ECD">
        <w:t>with</w:t>
      </w:r>
      <w:r w:rsidR="007F512F">
        <w:t xml:space="preserve"> </w:t>
      </w:r>
      <w:r w:rsidR="00B01AC0">
        <w:t>posterior spinal fusion (</w:t>
      </w:r>
      <w:r w:rsidR="007F512F">
        <w:t>PSF</w:t>
      </w:r>
      <w:r w:rsidR="00B01AC0">
        <w:t>)</w:t>
      </w:r>
      <w:r w:rsidR="007F512F">
        <w:t xml:space="preserve"> </w:t>
      </w:r>
      <w:r w:rsidRPr="008D35E9">
        <w:t>was uncertain. For these reasons, MSAC advised that the MBS items currently being used to claim VBT need to be reviewed to exclude this use.</w:t>
      </w:r>
    </w:p>
    <w:tbl>
      <w:tblPr>
        <w:tblStyle w:val="TableGrid"/>
        <w:tblW w:w="0" w:type="auto"/>
        <w:tblLook w:val="04A0" w:firstRow="1" w:lastRow="0" w:firstColumn="1" w:lastColumn="0" w:noHBand="0" w:noVBand="1"/>
        <w:tblDescription w:val="Consumer summary of MSAC consideration"/>
      </w:tblPr>
      <w:tblGrid>
        <w:gridCol w:w="9016"/>
      </w:tblGrid>
      <w:tr w:rsidR="0041228F" w14:paraId="2BFED646" w14:textId="77777777" w:rsidTr="0041228F">
        <w:trPr>
          <w:tblHeader/>
        </w:trPr>
        <w:tc>
          <w:tcPr>
            <w:tcW w:w="9016" w:type="dxa"/>
          </w:tcPr>
          <w:p w14:paraId="51D67978" w14:textId="4FF819B3" w:rsidR="0041228F" w:rsidRPr="0041228F" w:rsidRDefault="0041228F" w:rsidP="0041228F">
            <w:pPr>
              <w:spacing w:before="120" w:after="120"/>
              <w:rPr>
                <w:rFonts w:ascii="Times New Roman" w:hAnsi="Times New Roman"/>
                <w:b/>
                <w:bCs/>
                <w:sz w:val="24"/>
                <w:szCs w:val="24"/>
              </w:rPr>
            </w:pPr>
            <w:r w:rsidRPr="0041228F">
              <w:rPr>
                <w:rFonts w:ascii="Times New Roman" w:hAnsi="Times New Roman"/>
                <w:b/>
                <w:bCs/>
                <w:sz w:val="24"/>
                <w:szCs w:val="24"/>
              </w:rPr>
              <w:t>Consumer summary</w:t>
            </w:r>
          </w:p>
        </w:tc>
      </w:tr>
      <w:tr w:rsidR="0041228F" w14:paraId="3F9BCBC0" w14:textId="77777777" w:rsidTr="0041228F">
        <w:tc>
          <w:tcPr>
            <w:tcW w:w="9016" w:type="dxa"/>
          </w:tcPr>
          <w:p w14:paraId="4A429DC7" w14:textId="77777777" w:rsidR="0041228F" w:rsidRPr="0041228F" w:rsidRDefault="0041228F" w:rsidP="0041228F">
            <w:pPr>
              <w:spacing w:before="120"/>
              <w:rPr>
                <w:rFonts w:ascii="Times New Roman" w:hAnsi="Times New Roman"/>
                <w:sz w:val="24"/>
                <w:szCs w:val="24"/>
              </w:rPr>
            </w:pPr>
            <w:r w:rsidRPr="0041228F">
              <w:rPr>
                <w:rFonts w:ascii="Times New Roman" w:hAnsi="Times New Roman"/>
                <w:sz w:val="24"/>
                <w:szCs w:val="24"/>
              </w:rPr>
              <w:t>This application was from Zimmer Biomet to confirm that vertebral body tethering (VBT) for adolescent idiopathic scoliosis (AIS) should be claimed on the Medicare Benefits Schedule (MBS). Surgeons in Australia are already claiming the procedure under MBS item numbers for posterior spinal fusion (PSF).</w:t>
            </w:r>
          </w:p>
          <w:p w14:paraId="78ABCB02" w14:textId="77777777" w:rsidR="0041228F" w:rsidRPr="0041228F" w:rsidRDefault="0041228F" w:rsidP="0041228F">
            <w:pPr>
              <w:spacing w:before="240"/>
              <w:rPr>
                <w:rFonts w:ascii="Times New Roman" w:hAnsi="Times New Roman"/>
                <w:sz w:val="24"/>
                <w:szCs w:val="24"/>
              </w:rPr>
            </w:pPr>
            <w:r w:rsidRPr="0041228F">
              <w:rPr>
                <w:rFonts w:ascii="Times New Roman" w:hAnsi="Times New Roman"/>
                <w:sz w:val="24"/>
                <w:szCs w:val="24"/>
              </w:rPr>
              <w:t>Adolescent scoliosis, or ‘curvature of the spine’, happens when the spine does not develop straight during childhood growth. Mild scoliosis may not cause a person any problems, or problems that can be managed without surgery, but more severe scoliosis may result in impaired lung function, pain, emotional and self-image distress, which can affect day-to-day activities and may need surgery.</w:t>
            </w:r>
          </w:p>
          <w:p w14:paraId="71980542" w14:textId="77777777" w:rsidR="0041228F" w:rsidRPr="0041228F" w:rsidRDefault="0041228F" w:rsidP="0041228F">
            <w:pPr>
              <w:spacing w:before="240"/>
              <w:rPr>
                <w:rFonts w:ascii="Times New Roman" w:hAnsi="Times New Roman"/>
                <w:sz w:val="24"/>
                <w:szCs w:val="24"/>
              </w:rPr>
            </w:pPr>
            <w:r w:rsidRPr="0041228F">
              <w:rPr>
                <w:rFonts w:ascii="Times New Roman" w:hAnsi="Times New Roman"/>
                <w:sz w:val="24"/>
                <w:szCs w:val="24"/>
              </w:rPr>
              <w:t xml:space="preserve">There are two surgical options available in Australia: VBT and PSF. PSF is when two or more bones in the spine (vertebra) are re-aligned and fused together with screws and rods so that the spine grows in a straight line. VBT is when screws are placed along one side of </w:t>
            </w:r>
            <w:r w:rsidRPr="0041228F">
              <w:rPr>
                <w:rFonts w:ascii="Times New Roman" w:hAnsi="Times New Roman"/>
                <w:sz w:val="24"/>
                <w:szCs w:val="24"/>
              </w:rPr>
              <w:lastRenderedPageBreak/>
              <w:t>the spine (the shortened ‘convex’ side), then a tensioning cord (i.e. tether) is placed in the screws and pulled tight so that the growth continues on the opposite side (the long ‘concave’ side), thus straightening the spine.</w:t>
            </w:r>
          </w:p>
          <w:p w14:paraId="700EA6CA" w14:textId="77777777" w:rsidR="0041228F" w:rsidRPr="0041228F" w:rsidRDefault="0041228F" w:rsidP="0041228F">
            <w:pPr>
              <w:spacing w:before="240"/>
              <w:rPr>
                <w:rFonts w:ascii="Times New Roman" w:hAnsi="Times New Roman"/>
                <w:sz w:val="24"/>
                <w:szCs w:val="24"/>
              </w:rPr>
            </w:pPr>
            <w:r w:rsidRPr="0041228F">
              <w:rPr>
                <w:rFonts w:ascii="Times New Roman" w:hAnsi="Times New Roman"/>
                <w:sz w:val="24"/>
                <w:szCs w:val="24"/>
              </w:rPr>
              <w:t>MSAC noted that there are some benefits of VBT compared to PSF: it does not inhibit bone growth after surgery, it has a shorter surgery time, less blood loss and shorter recovery time, it results in less scarring and may allow more movement after surgery. However, MSAC was concerned about some of the disadvantages of VBT: it is crucial that as the patients selected for the procedure were not yet skeletally mature (still had capacity for bone growth) before surgery, it can result in overcorrection (that is, the spine ends up curving the other way), the screws and tethers can break, resulting in the need for repeat tether or PSF anyway, and that there were no long-term data for safety and effectiveness. MSAC also noted that the Spinal Society of Australia did not routinely recommend VBT, and that it was not used in the United Kingdom. MSAC considered that the safety, effectiveness and cost-effectiveness of VBT compared to PSF were all uncertain and more data were needed.</w:t>
            </w:r>
          </w:p>
          <w:p w14:paraId="7D219049" w14:textId="77777777" w:rsidR="0041228F" w:rsidRPr="0041228F" w:rsidRDefault="0041228F" w:rsidP="0041228F">
            <w:pPr>
              <w:spacing w:before="240"/>
              <w:rPr>
                <w:rFonts w:ascii="Times New Roman" w:hAnsi="Times New Roman"/>
                <w:sz w:val="24"/>
                <w:szCs w:val="24"/>
              </w:rPr>
            </w:pPr>
            <w:r w:rsidRPr="0041228F">
              <w:rPr>
                <w:rFonts w:ascii="Times New Roman" w:hAnsi="Times New Roman"/>
                <w:sz w:val="24"/>
                <w:szCs w:val="24"/>
              </w:rPr>
              <w:t>MSAC noted that about 60 VBT procedures are performed each year, but that this number would likely increase if separate MBS item numbers were created for its use. Since correct patient selection was crucial for the success of VBT, MSAC was concerned about this potential increase in usage.</w:t>
            </w:r>
          </w:p>
          <w:p w14:paraId="0BA938EF" w14:textId="77777777" w:rsidR="0041228F" w:rsidRPr="0041228F" w:rsidRDefault="0041228F" w:rsidP="0041228F">
            <w:pPr>
              <w:spacing w:before="240" w:after="120"/>
              <w:rPr>
                <w:rFonts w:ascii="Times New Roman" w:hAnsi="Times New Roman"/>
                <w:b/>
                <w:bCs/>
                <w:sz w:val="24"/>
                <w:szCs w:val="24"/>
              </w:rPr>
            </w:pPr>
            <w:r w:rsidRPr="0041228F">
              <w:rPr>
                <w:rFonts w:ascii="Times New Roman" w:hAnsi="Times New Roman"/>
                <w:b/>
                <w:bCs/>
                <w:sz w:val="24"/>
                <w:szCs w:val="24"/>
              </w:rPr>
              <w:t>MSAC’s advice to the Commonwealth Minister for Health</w:t>
            </w:r>
          </w:p>
          <w:p w14:paraId="6A6F018F" w14:textId="75F9D867" w:rsidR="0041228F" w:rsidRDefault="0041228F" w:rsidP="0041228F">
            <w:r w:rsidRPr="0041228F">
              <w:rPr>
                <w:rFonts w:ascii="Times New Roman" w:hAnsi="Times New Roman"/>
                <w:sz w:val="24"/>
                <w:szCs w:val="24"/>
              </w:rPr>
              <w:t>MSAC did not recommend making separate MBS item numbers for VBT, because the effectiveness, safety and cost-effectiveness were all uncertain. MSAC considered that the current MBS item numbers used to claim VBT should no longer be available to use for this purpose. MSAC could reconsider the application after a trial comparing VBT with PSF in Finland is completed.</w:t>
            </w:r>
          </w:p>
        </w:tc>
      </w:tr>
    </w:tbl>
    <w:p w14:paraId="7BF9EAF1" w14:textId="533A7493" w:rsidR="00BD17AF" w:rsidRPr="007D0728" w:rsidRDefault="00BD17AF" w:rsidP="00BD17AF">
      <w:pPr>
        <w:pStyle w:val="Heading1"/>
        <w:numPr>
          <w:ilvl w:val="0"/>
          <w:numId w:val="13"/>
        </w:numPr>
        <w:spacing w:before="360" w:after="120"/>
        <w:ind w:hanging="720"/>
        <w:rPr>
          <w:rFonts w:ascii="Arial" w:hAnsi="Arial" w:cs="Arial"/>
        </w:rPr>
      </w:pPr>
      <w:r w:rsidRPr="007D0728">
        <w:rPr>
          <w:rFonts w:ascii="Arial" w:hAnsi="Arial" w:cs="Arial"/>
        </w:rPr>
        <w:lastRenderedPageBreak/>
        <w:t xml:space="preserve">Summary of consideration and rationale for MSAC’s advice </w:t>
      </w:r>
    </w:p>
    <w:p w14:paraId="2F92B7EB" w14:textId="312588AD" w:rsidR="008D35E9" w:rsidRDefault="008D35E9" w:rsidP="008D35E9">
      <w:r>
        <w:t>MSAC noted that this application, from Zimmer Biomet, was for the MBS listing of VBT for the management of AIS.</w:t>
      </w:r>
    </w:p>
    <w:p w14:paraId="2AA67E46" w14:textId="0EF0DA4F" w:rsidR="008D35E9" w:rsidRDefault="008D35E9" w:rsidP="0041228F">
      <w:pPr>
        <w:pStyle w:val="NormalBeforeBullet"/>
        <w:spacing w:before="240"/>
      </w:pPr>
      <w:r>
        <w:t xml:space="preserve">MSAC noted this was </w:t>
      </w:r>
      <w:r w:rsidR="00C94BC8">
        <w:t xml:space="preserve">the </w:t>
      </w:r>
      <w:r>
        <w:t>first time this service was being considered, but that spine surgeons are already using existing MBS item numbers (about 60 per year), which are for PSF, to claim this procedure:</w:t>
      </w:r>
    </w:p>
    <w:p w14:paraId="50471D58" w14:textId="77777777" w:rsidR="008D35E9" w:rsidRDefault="008D35E9" w:rsidP="00A40D43">
      <w:pPr>
        <w:pStyle w:val="Bullet"/>
        <w:numPr>
          <w:ilvl w:val="0"/>
          <w:numId w:val="32"/>
        </w:numPr>
        <w:ind w:left="714" w:hanging="357"/>
      </w:pPr>
      <w:r>
        <w:t>one of item numbers 51020–51026 (depending on the number of vertebral bodies being fused)</w:t>
      </w:r>
    </w:p>
    <w:p w14:paraId="533D919C" w14:textId="77777777" w:rsidR="008D35E9" w:rsidRDefault="008D35E9" w:rsidP="008D35E9">
      <w:pPr>
        <w:pStyle w:val="NormalBeforeBullet"/>
      </w:pPr>
      <w:r>
        <w:t>AND</w:t>
      </w:r>
    </w:p>
    <w:p w14:paraId="7C07E2F0" w14:textId="77777777" w:rsidR="008D35E9" w:rsidRDefault="008D35E9" w:rsidP="00A40D43">
      <w:pPr>
        <w:pStyle w:val="BulletLast"/>
        <w:numPr>
          <w:ilvl w:val="0"/>
          <w:numId w:val="32"/>
        </w:numPr>
        <w:spacing w:after="240"/>
        <w:ind w:left="714" w:hanging="357"/>
      </w:pPr>
      <w:r>
        <w:t>51165 (anterior exposure of thoracic/lumbar spine).</w:t>
      </w:r>
    </w:p>
    <w:p w14:paraId="559A0626" w14:textId="21F13284" w:rsidR="008D35E9" w:rsidRDefault="008D35E9" w:rsidP="008D35E9">
      <w:r>
        <w:t xml:space="preserve">MSAC noted </w:t>
      </w:r>
      <w:r w:rsidR="00C94BC8">
        <w:t xml:space="preserve">that </w:t>
      </w:r>
      <w:r w:rsidR="003E0568">
        <w:t xml:space="preserve">in its </w:t>
      </w:r>
      <w:r w:rsidR="00333391">
        <w:t>pre-MSAC response</w:t>
      </w:r>
      <w:r w:rsidR="003E0568">
        <w:t xml:space="preserve">, </w:t>
      </w:r>
      <w:r w:rsidR="00333391">
        <w:t>the</w:t>
      </w:r>
      <w:r>
        <w:t xml:space="preserve"> applicant was requesting </w:t>
      </w:r>
      <w:r w:rsidR="00B275E6">
        <w:t xml:space="preserve">confirmation </w:t>
      </w:r>
      <w:r>
        <w:t>that the existing MBS item numbers could be used to claim for VBT</w:t>
      </w:r>
      <w:r w:rsidR="00B15E80">
        <w:t>;</w:t>
      </w:r>
      <w:r>
        <w:t xml:space="preserve"> or whether new MBS item numbers for VBT were more appropriate</w:t>
      </w:r>
      <w:r w:rsidR="00B10BB7">
        <w:t>, which may be useful to better define the patient population and so the use of VBT and its outcomes could be tracked.</w:t>
      </w:r>
    </w:p>
    <w:p w14:paraId="4B704953" w14:textId="7B0B09A4" w:rsidR="002962CC" w:rsidRDefault="008D35E9" w:rsidP="008D35E9">
      <w:r>
        <w:lastRenderedPageBreak/>
        <w:t>MSAC noted that correct patient selection is critical for VBT, and the most important criterion is</w:t>
      </w:r>
      <w:r w:rsidR="002F7E14">
        <w:t xml:space="preserve"> determining</w:t>
      </w:r>
      <w:r>
        <w:t xml:space="preserve"> skeletal </w:t>
      </w:r>
      <w:r w:rsidR="002F7E14">
        <w:t>im</w:t>
      </w:r>
      <w:r>
        <w:t>maturity of the patient.</w:t>
      </w:r>
      <w:r>
        <w:rPr>
          <w:rStyle w:val="FootnoteReference"/>
        </w:rPr>
        <w:footnoteReference w:id="1"/>
      </w:r>
      <w:r>
        <w:t xml:space="preserve"> Other important selection criteria include Cobb angle, spinal flexibility, type and rotation of curve and patient age. MSAC noted that different methods</w:t>
      </w:r>
      <w:r w:rsidR="002F7E14">
        <w:t xml:space="preserve"> of assessing skeletal maturity are available</w:t>
      </w:r>
      <w:r>
        <w:t>, such as Risser</w:t>
      </w:r>
      <w:r w:rsidR="007C3ECD">
        <w:t xml:space="preserve"> staging</w:t>
      </w:r>
      <w:r>
        <w:t xml:space="preserve"> </w:t>
      </w:r>
      <w:r w:rsidR="00B10BB7">
        <w:t>(</w:t>
      </w:r>
      <w:r>
        <w:t>ilium x-ray</w:t>
      </w:r>
      <w:r w:rsidR="00B10BB7">
        <w:t>)</w:t>
      </w:r>
      <w:r w:rsidR="00396456">
        <w:t xml:space="preserve"> and</w:t>
      </w:r>
      <w:r>
        <w:t xml:space="preserve"> Sanders</w:t>
      </w:r>
      <w:r w:rsidR="007C3ECD">
        <w:t xml:space="preserve"> classification</w:t>
      </w:r>
      <w:r>
        <w:t xml:space="preserve"> </w:t>
      </w:r>
      <w:r w:rsidR="00B10BB7">
        <w:t>(</w:t>
      </w:r>
      <w:r>
        <w:t>hand x-ray</w:t>
      </w:r>
      <w:r w:rsidR="00B10BB7">
        <w:t>)</w:t>
      </w:r>
      <w:r w:rsidR="00396456">
        <w:t>. MSAC</w:t>
      </w:r>
      <w:r>
        <w:t xml:space="preserve"> considered the Sanders classification </w:t>
      </w:r>
      <w:r w:rsidR="002C5901">
        <w:t xml:space="preserve">to </w:t>
      </w:r>
      <w:r>
        <w:t xml:space="preserve">be the best </w:t>
      </w:r>
      <w:r w:rsidR="002F7E14">
        <w:t xml:space="preserve">determinant of VBT eligibility and </w:t>
      </w:r>
      <w:r>
        <w:t>predictor of curve progression. MSAC noted that Risser staging overestimates skeletal maturity, resulting in about 1 in 5 (21.5%) patients who appear nearly skeletally mature (i.e. considered at low risk of curve progression so not offered surgery), actually have very significant remaining growth (by Sanders classification). Also, about 1 in 10 (11.5%) assumed nearly mature were still in their most rapid phase of growth and, overall, 1 in 4 risk misclassification/mistreatment if Risser is used</w:t>
      </w:r>
      <w:r>
        <w:rPr>
          <w:rStyle w:val="FootnoteReference"/>
        </w:rPr>
        <w:footnoteReference w:id="2"/>
      </w:r>
      <w:r w:rsidR="00A40D43">
        <w:t>.</w:t>
      </w:r>
    </w:p>
    <w:p w14:paraId="4ED61A75" w14:textId="15AD8D9B" w:rsidR="002962CC" w:rsidRDefault="002962CC" w:rsidP="00C94BC8">
      <w:pPr>
        <w:spacing w:before="240"/>
      </w:pPr>
      <w:r>
        <w:t>MSAC noted the commentary’s amended MBS item for the index procedure, which was largely agreed to by the applicant</w:t>
      </w:r>
      <w:r w:rsidR="00C6707D">
        <w:t xml:space="preserve"> in the pre-ESC response</w:t>
      </w:r>
      <w:r>
        <w:t xml:space="preserve"> (see Table 2)</w:t>
      </w:r>
      <w:r w:rsidR="00C84587">
        <w:t>,</w:t>
      </w:r>
      <w:r>
        <w:t xml:space="preserve"> and </w:t>
      </w:r>
      <w:r w:rsidR="00C84587">
        <w:t xml:space="preserve">a </w:t>
      </w:r>
      <w:r>
        <w:t>proposed modified item for the revision procedure (see Table 3)</w:t>
      </w:r>
      <w:r w:rsidR="007072FE">
        <w:t>.</w:t>
      </w:r>
      <w:r>
        <w:t xml:space="preserve"> </w:t>
      </w:r>
      <w:r w:rsidR="00C6707D">
        <w:t xml:space="preserve"> MSAC noted the Cobb angle range of </w:t>
      </w:r>
      <w:r w:rsidR="00C6707D" w:rsidRPr="001629E4">
        <w:rPr>
          <w:color w:val="000000"/>
        </w:rPr>
        <w:t>30° - 70°</w:t>
      </w:r>
      <w:r w:rsidR="00B4324E">
        <w:rPr>
          <w:color w:val="000000"/>
        </w:rPr>
        <w:t>. The</w:t>
      </w:r>
      <w:r w:rsidR="00C6707D">
        <w:rPr>
          <w:color w:val="000000"/>
        </w:rPr>
        <w:t xml:space="preserve"> lower </w:t>
      </w:r>
      <w:r w:rsidR="00022C02">
        <w:rPr>
          <w:color w:val="000000"/>
        </w:rPr>
        <w:t>threshold</w:t>
      </w:r>
      <w:r w:rsidR="00C6707D">
        <w:rPr>
          <w:color w:val="000000"/>
        </w:rPr>
        <w:t xml:space="preserve"> was inconsistent with the </w:t>
      </w:r>
      <w:r w:rsidR="00022C02">
        <w:rPr>
          <w:color w:val="000000"/>
        </w:rPr>
        <w:t>majority of the published evidence and the definition of severe AIS as captured in the clinical management algorithm</w:t>
      </w:r>
      <w:r w:rsidR="007F6CD9">
        <w:rPr>
          <w:color w:val="000000"/>
        </w:rPr>
        <w:t>. H</w:t>
      </w:r>
      <w:r w:rsidR="00022C02">
        <w:rPr>
          <w:color w:val="000000"/>
        </w:rPr>
        <w:t>owever, the upper threshold</w:t>
      </w:r>
      <w:r w:rsidR="00C6707D">
        <w:t xml:space="preserve"> </w:t>
      </w:r>
      <w:r w:rsidR="00022C02">
        <w:t>was broadly consistent with published evidence.</w:t>
      </w:r>
      <w:r>
        <w:t xml:space="preserve"> </w:t>
      </w:r>
    </w:p>
    <w:p w14:paraId="4B30CF4A" w14:textId="45A0B283" w:rsidR="008D35E9" w:rsidRDefault="008D35E9" w:rsidP="0041228F">
      <w:pPr>
        <w:spacing w:before="240"/>
      </w:pPr>
      <w:r>
        <w:t xml:space="preserve">Both PSF and VBT require the procedure to be performed by suitably trained orthopaedic surgeons under general anaesthesia. MSAC noted that the </w:t>
      </w:r>
      <w:r w:rsidR="007C3ECD">
        <w:t>potential</w:t>
      </w:r>
      <w:r>
        <w:t xml:space="preserve"> advantages of VBT compared to spinal fusion are that it allows more spinal movement and growth, the </w:t>
      </w:r>
      <w:r w:rsidR="00776D84">
        <w:t>surgery time is shorter</w:t>
      </w:r>
      <w:r w:rsidR="00334946">
        <w:t>,</w:t>
      </w:r>
      <w:r w:rsidR="00776D84">
        <w:t xml:space="preserve"> </w:t>
      </w:r>
      <w:r>
        <w:t xml:space="preserve">recovery time is shorter, it is less invasive, there is less </w:t>
      </w:r>
      <w:r w:rsidR="00E17188">
        <w:t>scarring,</w:t>
      </w:r>
      <w:r>
        <w:t xml:space="preserve"> and it requires less hardware. These advantages were </w:t>
      </w:r>
      <w:r w:rsidR="00375500">
        <w:t xml:space="preserve">delineated </w:t>
      </w:r>
      <w:r>
        <w:t>by parents/carers in the consumer feedback, which was supportive of the application, and</w:t>
      </w:r>
      <w:r w:rsidR="007C3ECD">
        <w:t xml:space="preserve"> </w:t>
      </w:r>
      <w:r w:rsidR="00375500">
        <w:t xml:space="preserve">highlighted </w:t>
      </w:r>
      <w:r>
        <w:t xml:space="preserve">in the pre-MSAC response. MSAC </w:t>
      </w:r>
      <w:r w:rsidR="00B15E80">
        <w:t xml:space="preserve">also </w:t>
      </w:r>
      <w:r>
        <w:t xml:space="preserve">noted </w:t>
      </w:r>
      <w:r w:rsidR="00B15E80">
        <w:t xml:space="preserve">the </w:t>
      </w:r>
      <w:r w:rsidR="0003019F">
        <w:t>consumer</w:t>
      </w:r>
      <w:r w:rsidR="00B15E80">
        <w:t xml:space="preserve"> feedback highlighted</w:t>
      </w:r>
      <w:r>
        <w:t xml:space="preserve"> </w:t>
      </w:r>
      <w:r w:rsidR="006A33C2">
        <w:t xml:space="preserve">that </w:t>
      </w:r>
      <w:r>
        <w:t>some families were paying for the procedure overseas.</w:t>
      </w:r>
    </w:p>
    <w:p w14:paraId="2A8D290B" w14:textId="3E86C44C" w:rsidR="008D35E9" w:rsidRDefault="008D35E9" w:rsidP="0041228F">
      <w:pPr>
        <w:spacing w:before="240"/>
      </w:pPr>
      <w:r>
        <w:t xml:space="preserve">MSAC noted the clinical management algorithm, and disagreed with the initial patient selection, as not all patients present with back pain. MSAC also noted that the proposed criteria for VBT are unclear for </w:t>
      </w:r>
      <w:r w:rsidR="002F7E14">
        <w:t xml:space="preserve">degree of </w:t>
      </w:r>
      <w:r>
        <w:t>curv</w:t>
      </w:r>
      <w:r w:rsidR="002F7E14">
        <w:t>ature</w:t>
      </w:r>
      <w:r>
        <w:t xml:space="preserve"> and severity, age and skeletal maturity</w:t>
      </w:r>
      <w:r w:rsidR="00D24CD1">
        <w:t>.</w:t>
      </w:r>
    </w:p>
    <w:p w14:paraId="2991C3D1" w14:textId="53258022" w:rsidR="008D35E9" w:rsidRDefault="008D35E9" w:rsidP="0041228F">
      <w:pPr>
        <w:spacing w:before="240"/>
      </w:pPr>
      <w:r>
        <w:t xml:space="preserve">MSAC noted the PICO for the application, and noted that range of motion, lumbar bending flexibility, trunk endurance and motor strength of trunk muscles </w:t>
      </w:r>
      <w:r w:rsidR="00FE56B4">
        <w:t xml:space="preserve">were not </w:t>
      </w:r>
      <w:r w:rsidR="003A2C3D">
        <w:t>explicitly included as effectiveness outcomes in the PICO</w:t>
      </w:r>
      <w:r w:rsidR="00B5190B">
        <w:t xml:space="preserve"> but accepted they could be expected to favour VBT over </w:t>
      </w:r>
      <w:r w:rsidR="00172C1E">
        <w:t>PSF given the latter makes the spine rigid</w:t>
      </w:r>
      <w:r w:rsidR="00B5190B">
        <w:t>.</w:t>
      </w:r>
      <w:r w:rsidR="003A2C3D">
        <w:t xml:space="preserve"> </w:t>
      </w:r>
    </w:p>
    <w:p w14:paraId="456FE067" w14:textId="26D6D669" w:rsidR="0003019F" w:rsidRDefault="008D35E9" w:rsidP="0041228F">
      <w:pPr>
        <w:spacing w:before="240"/>
      </w:pPr>
      <w:r>
        <w:t>MSAC noted that the</w:t>
      </w:r>
      <w:r w:rsidR="009C67A3">
        <w:t xml:space="preserve"> tether</w:t>
      </w:r>
      <w:r>
        <w:t xml:space="preserve"> required for VBT </w:t>
      </w:r>
      <w:r w:rsidR="009C67A3">
        <w:t>is</w:t>
      </w:r>
      <w:r>
        <w:t xml:space="preserve"> not currently</w:t>
      </w:r>
      <w:r w:rsidR="003A61D1">
        <w:t xml:space="preserve"> listed</w:t>
      </w:r>
      <w:r>
        <w:t xml:space="preserve"> on the Prostheses List (PL) resulting in high potential out-of-pocket costs</w:t>
      </w:r>
      <w:r w:rsidR="00390A93">
        <w:t>.</w:t>
      </w:r>
      <w:r w:rsidR="004A6802">
        <w:t xml:space="preserve"> The</w:t>
      </w:r>
      <w:r w:rsidR="002F4374">
        <w:t xml:space="preserve"> applicant-</w:t>
      </w:r>
      <w:r w:rsidR="00AF370F">
        <w:t>developed</w:t>
      </w:r>
      <w:r w:rsidR="002F4374">
        <w:t xml:space="preserve"> assessment report</w:t>
      </w:r>
      <w:r w:rsidR="00375500">
        <w:t xml:space="preserve"> </w:t>
      </w:r>
      <w:r w:rsidR="002F4374">
        <w:t>(</w:t>
      </w:r>
      <w:r w:rsidR="004A6802">
        <w:t>ADAR</w:t>
      </w:r>
      <w:r w:rsidR="002F4374">
        <w:t>)</w:t>
      </w:r>
      <w:r w:rsidR="004A6802">
        <w:t xml:space="preserve"> noted that the screws and anchors are funded via existing items on the PL. </w:t>
      </w:r>
      <w:r w:rsidR="00390A93">
        <w:t>In the pre-MSAC response the</w:t>
      </w:r>
      <w:r w:rsidR="004A6802">
        <w:t xml:space="preserve"> </w:t>
      </w:r>
      <w:r w:rsidR="00390A93">
        <w:t xml:space="preserve">applicant </w:t>
      </w:r>
      <w:r>
        <w:t xml:space="preserve">indicated </w:t>
      </w:r>
      <w:r w:rsidR="002F4374">
        <w:t>they</w:t>
      </w:r>
      <w:r>
        <w:t xml:space="preserve"> would apply to</w:t>
      </w:r>
      <w:r w:rsidR="002F4374">
        <w:t xml:space="preserve"> list</w:t>
      </w:r>
      <w:r w:rsidR="002D5E83">
        <w:t xml:space="preserve"> </w:t>
      </w:r>
      <w:r w:rsidR="002F4374">
        <w:t xml:space="preserve">the </w:t>
      </w:r>
      <w:r w:rsidR="0068148F">
        <w:t>prosthesis</w:t>
      </w:r>
      <w:r w:rsidR="002F4374">
        <w:t xml:space="preserve"> on the PL</w:t>
      </w:r>
      <w:r>
        <w:t xml:space="preserve"> if this MSAC application was successful.</w:t>
      </w:r>
    </w:p>
    <w:p w14:paraId="767CB49B" w14:textId="40ED1B8A" w:rsidR="008D35E9" w:rsidRDefault="008D35E9" w:rsidP="008D35E9">
      <w:r>
        <w:lastRenderedPageBreak/>
        <w:t xml:space="preserve">MSAC noted that the </w:t>
      </w:r>
      <w:r w:rsidR="0003019F">
        <w:t>ADARs</w:t>
      </w:r>
      <w:r w:rsidR="00D6671A">
        <w:t xml:space="preserve"> literature review identified</w:t>
      </w:r>
      <w:r w:rsidR="0003019F">
        <w:t xml:space="preserve"> </w:t>
      </w:r>
      <w:r>
        <w:t>three matched cohort studies</w:t>
      </w:r>
      <w:r w:rsidR="00D6671A">
        <w:t xml:space="preserve">: </w:t>
      </w:r>
      <w:r>
        <w:t>Pehlivanoglu 2021</w:t>
      </w:r>
      <w:r>
        <w:rPr>
          <w:rStyle w:val="FootnoteReference"/>
        </w:rPr>
        <w:footnoteReference w:id="3"/>
      </w:r>
      <w:r w:rsidR="0003019F">
        <w:t xml:space="preserve">, </w:t>
      </w:r>
      <w:r>
        <w:t>Newton 2020</w:t>
      </w:r>
      <w:r>
        <w:rPr>
          <w:rStyle w:val="FootnoteReference"/>
        </w:rPr>
        <w:footnoteReference w:id="4"/>
      </w:r>
      <w:r>
        <w:t>, and a</w:t>
      </w:r>
      <w:r w:rsidR="0003019F">
        <w:t xml:space="preserve"> conference</w:t>
      </w:r>
      <w:r>
        <w:t xml:space="preserve"> abstract </w:t>
      </w:r>
      <w:r w:rsidR="0003019F">
        <w:t xml:space="preserve">by </w:t>
      </w:r>
      <w:r>
        <w:t>Mathew 2020</w:t>
      </w:r>
      <w:r>
        <w:rPr>
          <w:rStyle w:val="FootnoteReference"/>
        </w:rPr>
        <w:footnoteReference w:id="5"/>
      </w:r>
      <w:r>
        <w:t xml:space="preserve">. </w:t>
      </w:r>
      <w:r w:rsidR="00D6671A">
        <w:t xml:space="preserve">MSAC noted the ADAR also supplemented this with two single-arm studies providing health-related quality of life </w:t>
      </w:r>
      <w:r w:rsidR="00776D84">
        <w:t xml:space="preserve">(HRQoL) </w:t>
      </w:r>
      <w:r w:rsidR="00D6671A">
        <w:t>data</w:t>
      </w:r>
      <w:r w:rsidR="00450786">
        <w:t xml:space="preserve"> </w:t>
      </w:r>
      <w:r w:rsidR="007829DC" w:rsidRPr="007829DC">
        <w:t>using the disease specific</w:t>
      </w:r>
      <w:r w:rsidR="007829DC">
        <w:t xml:space="preserve"> </w:t>
      </w:r>
      <w:r w:rsidR="007829DC" w:rsidRPr="00CD3675">
        <w:t>Scoliosis Research Society 22-item</w:t>
      </w:r>
      <w:r w:rsidR="00D6671A">
        <w:t>. MSAC noted the commentary included a single-arm meta-analysis (Shin 2021</w:t>
      </w:r>
      <w:r w:rsidR="00D6671A">
        <w:rPr>
          <w:rStyle w:val="FootnoteReference"/>
        </w:rPr>
        <w:footnoteReference w:id="6"/>
      </w:r>
      <w:r w:rsidR="00D6671A">
        <w:t>) published after the ADAR was submitted.</w:t>
      </w:r>
    </w:p>
    <w:p w14:paraId="2929A2EF" w14:textId="63464FB4" w:rsidR="008D35E9" w:rsidRDefault="008D35E9" w:rsidP="0041228F">
      <w:pPr>
        <w:pStyle w:val="NormalBeforeBullet"/>
        <w:spacing w:before="240"/>
      </w:pPr>
      <w:r>
        <w:t>MSAC noted the claim of non</w:t>
      </w:r>
      <w:r w:rsidR="00904370">
        <w:t>-</w:t>
      </w:r>
      <w:r>
        <w:t>inferior safety was uncertain due to:</w:t>
      </w:r>
    </w:p>
    <w:p w14:paraId="3D5C71C8" w14:textId="4CB96263" w:rsidR="008D35E9" w:rsidRDefault="008D35E9" w:rsidP="00992679">
      <w:pPr>
        <w:pStyle w:val="Bullet"/>
        <w:numPr>
          <w:ilvl w:val="0"/>
          <w:numId w:val="32"/>
        </w:numPr>
        <w:ind w:left="714" w:hanging="357"/>
      </w:pPr>
      <w:r>
        <w:t xml:space="preserve">patient selection (possible underreporting </w:t>
      </w:r>
      <w:r w:rsidR="00904370">
        <w:t xml:space="preserve">of adverse events </w:t>
      </w:r>
      <w:r>
        <w:t>in PSF studies)</w:t>
      </w:r>
    </w:p>
    <w:p w14:paraId="33D8FADB" w14:textId="3C74A9F1" w:rsidR="00CF4FC5" w:rsidRDefault="00CF4FC5" w:rsidP="00992679">
      <w:pPr>
        <w:pStyle w:val="Bullet"/>
        <w:numPr>
          <w:ilvl w:val="0"/>
          <w:numId w:val="32"/>
        </w:numPr>
        <w:ind w:left="714" w:hanging="357"/>
      </w:pPr>
      <w:r>
        <w:t>no available longer-term data</w:t>
      </w:r>
    </w:p>
    <w:p w14:paraId="3EB982EE" w14:textId="77777777" w:rsidR="00992679" w:rsidRDefault="00992679" w:rsidP="001E578E">
      <w:pPr>
        <w:pStyle w:val="Bullet"/>
        <w:numPr>
          <w:ilvl w:val="0"/>
          <w:numId w:val="32"/>
        </w:numPr>
        <w:ind w:left="714" w:hanging="357"/>
      </w:pPr>
      <w:r>
        <w:t>more pulmonary complications with VBT (atelectasis with pulmonary oedema and pleural effusion [thoracentesis])</w:t>
      </w:r>
    </w:p>
    <w:p w14:paraId="7B379623" w14:textId="7711E431" w:rsidR="00992679" w:rsidRDefault="00992679" w:rsidP="001E578E">
      <w:pPr>
        <w:pStyle w:val="Bullet"/>
        <w:numPr>
          <w:ilvl w:val="0"/>
          <w:numId w:val="32"/>
        </w:numPr>
        <w:ind w:left="714" w:hanging="357"/>
      </w:pPr>
      <w:r>
        <w:t>more revisions with VBT and that a proportion of patients progress to PSF.</w:t>
      </w:r>
    </w:p>
    <w:p w14:paraId="46290280" w14:textId="2E5D8BFC" w:rsidR="008D35E9" w:rsidRDefault="008D35E9" w:rsidP="008D35E9">
      <w:r>
        <w:t>MSAC noted the high degree of heterogeneity in the VBT studies, making comparison difficult. MSAC noted the meta-analysis showed that the most common complications for VBT were tether breaks (7.5%), overcorrection (7.5%) and lung complications (4.8%</w:t>
      </w:r>
      <w:r w:rsidR="00172C1E">
        <w:t>).</w:t>
      </w:r>
      <w:r>
        <w:t xml:space="preserve"> The most common complications for PSF were neurologic complications (0.5%), screws loosening or falling out (0.5%) and infection (0.5%). MSAC concluded that overall, adverse events (AEs) were more common with VBT (26%) compared to PSF (2.0%), and that device-related AEs were more common in VBT (18%) than PSF (6.0%). MSAC noted there were no differences in neurologic complications or infection</w:t>
      </w:r>
      <w:r w:rsidR="00172C1E">
        <w:t>, but there was a difference in lung complications favouring PSF (</w:t>
      </w:r>
      <w:r w:rsidR="007829DC">
        <w:t>o</w:t>
      </w:r>
      <w:r w:rsidR="00172C1E">
        <w:t>dds ratio = 33.4 [95% confidence interval (CI): 4.8-1442.7).</w:t>
      </w:r>
    </w:p>
    <w:p w14:paraId="2E51C1F7" w14:textId="2A6DE431" w:rsidR="008D35E9" w:rsidRDefault="008D35E9" w:rsidP="0041228F">
      <w:pPr>
        <w:pStyle w:val="NormalBeforeBullet"/>
        <w:spacing w:before="240"/>
      </w:pPr>
      <w:r>
        <w:t xml:space="preserve">MSAC noted the effectiveness claim of superiority was </w:t>
      </w:r>
      <w:r w:rsidR="005A7206">
        <w:t xml:space="preserve">highly </w:t>
      </w:r>
      <w:r>
        <w:t xml:space="preserve">uncertain, and there </w:t>
      </w:r>
      <w:r w:rsidR="00776D84">
        <w:t xml:space="preserve">were </w:t>
      </w:r>
      <w:r>
        <w:t>between-group difference</w:t>
      </w:r>
      <w:r w:rsidR="00172C1E">
        <w:t>s</w:t>
      </w:r>
      <w:r>
        <w:t xml:space="preserve"> for many outcomes:</w:t>
      </w:r>
    </w:p>
    <w:p w14:paraId="4351A6A9" w14:textId="11949CF5" w:rsidR="00992679" w:rsidRDefault="00992679" w:rsidP="00992679">
      <w:pPr>
        <w:pStyle w:val="Bullet"/>
        <w:numPr>
          <w:ilvl w:val="0"/>
          <w:numId w:val="33"/>
        </w:numPr>
      </w:pPr>
      <w:r>
        <w:t>There was no statistically significant difference in major thoracic curve difference before and after surgery between VBT and PSF (4.0°, 95% CI –3.8°, 11.8°), although noting analyses were not adjusted for differences in baseline Cobb angles. However, the proportional change in</w:t>
      </w:r>
      <w:r w:rsidR="00274B50">
        <w:t xml:space="preserve"> major thoracic</w:t>
      </w:r>
      <w:r>
        <w:t xml:space="preserve"> </w:t>
      </w:r>
      <w:r w:rsidR="00274B50">
        <w:t>(</w:t>
      </w:r>
      <w:r>
        <w:t>MT</w:t>
      </w:r>
      <w:r w:rsidR="00274B50">
        <w:t>)</w:t>
      </w:r>
      <w:r>
        <w:t xml:space="preserve"> Cobb angle and clinical success (as defined by study) favoured PSF </w:t>
      </w:r>
    </w:p>
    <w:p w14:paraId="6C8F8D7C" w14:textId="4B7F4CCB" w:rsidR="00992679" w:rsidRDefault="00992679" w:rsidP="00992679">
      <w:pPr>
        <w:pStyle w:val="Bullet"/>
        <w:numPr>
          <w:ilvl w:val="0"/>
          <w:numId w:val="33"/>
        </w:numPr>
      </w:pPr>
      <w:r>
        <w:t>There was no statistically significant difference in the ADARs meta-analysis of post-operative SRS-22 (see Table 8)</w:t>
      </w:r>
      <w:r w:rsidRPr="00CD3675">
        <w:t xml:space="preserve"> </w:t>
      </w:r>
      <w:r>
        <w:t>but the commentary’s additional meta-analysis (inclusive of Shin 2021) showed some domains (total scores and mental health) favoured VBT (see</w:t>
      </w:r>
      <w:r w:rsidR="002E4919">
        <w:t xml:space="preserve"> </w:t>
      </w:r>
      <w:r w:rsidR="002E4919">
        <w:fldChar w:fldCharType="begin"/>
      </w:r>
      <w:r w:rsidR="002E4919">
        <w:instrText xml:space="preserve"> REF _Ref90385568 \h </w:instrText>
      </w:r>
      <w:r w:rsidR="002E4919">
        <w:fldChar w:fldCharType="separate"/>
      </w:r>
      <w:r w:rsidR="002E4919">
        <w:t xml:space="preserve">Figure </w:t>
      </w:r>
      <w:r w:rsidR="002E4919">
        <w:rPr>
          <w:noProof/>
        </w:rPr>
        <w:t>2</w:t>
      </w:r>
      <w:r w:rsidR="002E4919">
        <w:fldChar w:fldCharType="end"/>
      </w:r>
      <w:r>
        <w:t>; however as these were post-operative scores on</w:t>
      </w:r>
      <w:r w:rsidR="00CC407B">
        <w:t>l</w:t>
      </w:r>
      <w:r>
        <w:t>y no</w:t>
      </w:r>
      <w:r w:rsidRPr="009A14EA">
        <w:t xml:space="preserve"> assessment </w:t>
      </w:r>
      <w:r>
        <w:t xml:space="preserve">could be made </w:t>
      </w:r>
      <w:r w:rsidRPr="009A14EA">
        <w:t>against the</w:t>
      </w:r>
      <w:r>
        <w:t xml:space="preserve"> minimal clinically important difference (MCID)</w:t>
      </w:r>
    </w:p>
    <w:p w14:paraId="4D3232FA" w14:textId="77777777" w:rsidR="00992679" w:rsidRDefault="00992679" w:rsidP="00992679">
      <w:pPr>
        <w:pStyle w:val="Bullet"/>
        <w:numPr>
          <w:ilvl w:val="0"/>
          <w:numId w:val="33"/>
        </w:numPr>
      </w:pPr>
      <w:r>
        <w:t>The functional outcomes reported in Pehlivanoglu 2021 favoured VBT.</w:t>
      </w:r>
    </w:p>
    <w:p w14:paraId="518D91BA" w14:textId="5C71C540" w:rsidR="00992679" w:rsidRDefault="00992679" w:rsidP="00CC407B">
      <w:pPr>
        <w:pStyle w:val="BulletLast"/>
        <w:numPr>
          <w:ilvl w:val="0"/>
          <w:numId w:val="33"/>
        </w:numPr>
        <w:spacing w:after="240"/>
      </w:pPr>
      <w:r>
        <w:t>The shorter surgery time and less blood loss favoured VBT.</w:t>
      </w:r>
    </w:p>
    <w:p w14:paraId="0DE77505" w14:textId="5A423F05" w:rsidR="008D35E9" w:rsidRDefault="00C34187" w:rsidP="008D35E9">
      <w:r>
        <w:lastRenderedPageBreak/>
        <w:t xml:space="preserve">In addition, </w:t>
      </w:r>
      <w:r w:rsidR="008D35E9">
        <w:t xml:space="preserve">MSAC noted that VBT does allow continued growth, which </w:t>
      </w:r>
      <w:r>
        <w:t xml:space="preserve">may </w:t>
      </w:r>
      <w:r w:rsidR="008D35E9">
        <w:t>improve lung function; however, PSF also improves lung function by making the spine rigid.</w:t>
      </w:r>
    </w:p>
    <w:p w14:paraId="622DA1C5" w14:textId="7CDC0794" w:rsidR="00E80595" w:rsidRDefault="00F739AB" w:rsidP="0041228F">
      <w:pPr>
        <w:spacing w:before="240"/>
      </w:pPr>
      <w:r>
        <w:t xml:space="preserve">Overall, </w:t>
      </w:r>
      <w:r w:rsidR="008D35E9">
        <w:t xml:space="preserve">MSAC considered the </w:t>
      </w:r>
      <w:r w:rsidR="00450786">
        <w:t>HRQoL</w:t>
      </w:r>
      <w:r w:rsidR="008D35E9">
        <w:t xml:space="preserve"> evidence to be very low </w:t>
      </w:r>
      <w:r w:rsidR="00776D84">
        <w:t xml:space="preserve">certainty </w:t>
      </w:r>
      <w:r>
        <w:t>as some of the comparisons were naïve,</w:t>
      </w:r>
      <w:r w:rsidR="008D35E9">
        <w:t xml:space="preserve"> there was </w:t>
      </w:r>
      <w:r w:rsidR="00463F69">
        <w:t xml:space="preserve">substantial </w:t>
      </w:r>
      <w:r w:rsidR="008D35E9">
        <w:t>heterogeneity among studies</w:t>
      </w:r>
      <w:r w:rsidR="007829DC">
        <w:t xml:space="preserve"> in meta-analyses</w:t>
      </w:r>
      <w:r w:rsidR="008D35E9">
        <w:t xml:space="preserve"> and</w:t>
      </w:r>
      <w:r>
        <w:t xml:space="preserve"> that clinically important outcomes could not be demonstrated</w:t>
      </w:r>
      <w:r w:rsidR="008D35E9">
        <w:t>. Overall, MSAC considered the claim of superior effectiveness was not supported, but agreed that VBT did offer some advantages over PSF.</w:t>
      </w:r>
      <w:r w:rsidR="00450786" w:rsidRPr="00450786">
        <w:t xml:space="preserve"> </w:t>
      </w:r>
      <w:r w:rsidR="004F3363">
        <w:t xml:space="preserve">However, </w:t>
      </w:r>
      <w:r w:rsidR="00450786">
        <w:t>MSAC noted the long-term effects of VBT are unknown due to the short follow-up time of studies.</w:t>
      </w:r>
    </w:p>
    <w:p w14:paraId="1BD040CA" w14:textId="5CC440DB" w:rsidR="00E57DE7" w:rsidRDefault="00E80595" w:rsidP="001E578E">
      <w:pPr>
        <w:spacing w:before="240"/>
      </w:pPr>
      <w:r>
        <w:t xml:space="preserve">MSAC noted the pre-ESC and pre-MSAC response acknowledged the </w:t>
      </w:r>
      <w:r w:rsidRPr="00243499">
        <w:t>shortcomings of the comparative matched cohort studies</w:t>
      </w:r>
      <w:r>
        <w:t>.</w:t>
      </w:r>
    </w:p>
    <w:p w14:paraId="04CF96EE" w14:textId="7C23F2A9" w:rsidR="008D35E9" w:rsidRDefault="00C175AC" w:rsidP="0041228F">
      <w:pPr>
        <w:pStyle w:val="NormalBeforeBullet"/>
        <w:spacing w:before="240"/>
      </w:pPr>
      <w:r>
        <w:t>In addition</w:t>
      </w:r>
      <w:r w:rsidR="008D35E9">
        <w:t xml:space="preserve">, MSAC noted </w:t>
      </w:r>
      <w:r>
        <w:t>the issues raised</w:t>
      </w:r>
      <w:r w:rsidR="00463F69">
        <w:t xml:space="preserve"> in consultation feedback</w:t>
      </w:r>
      <w:r w:rsidR="00E57DE7">
        <w:t xml:space="preserve"> by the Spine Society of Australia (SSA)</w:t>
      </w:r>
      <w:r w:rsidR="00375500">
        <w:t>, which considered the clinical place of VBT was not defined due to</w:t>
      </w:r>
      <w:r w:rsidR="00E57DE7">
        <w:t xml:space="preserve"> the low certainty evidence</w:t>
      </w:r>
      <w:r w:rsidR="00375500">
        <w:t>. The</w:t>
      </w:r>
      <w:r w:rsidR="00E57DE7">
        <w:t xml:space="preserve"> </w:t>
      </w:r>
      <w:r w:rsidR="00A22BB5">
        <w:t>SSA</w:t>
      </w:r>
      <w:r w:rsidR="00375500">
        <w:t xml:space="preserve"> also</w:t>
      </w:r>
      <w:r w:rsidR="00A22BB5">
        <w:t xml:space="preserve"> </w:t>
      </w:r>
      <w:r w:rsidR="00E57DE7">
        <w:t>suggest</w:t>
      </w:r>
      <w:r w:rsidR="00375500">
        <w:t>ed</w:t>
      </w:r>
      <w:r w:rsidR="00A22BB5">
        <w:t xml:space="preserve"> </w:t>
      </w:r>
      <w:r w:rsidR="00E57DE7">
        <w:t xml:space="preserve">a temporary item number which could limit availability to high volume surgeons (see Section 7). MSAC also noted the issues raised at </w:t>
      </w:r>
      <w:r>
        <w:t xml:space="preserve">ESC that other </w:t>
      </w:r>
      <w:r w:rsidR="00E57DE7">
        <w:t xml:space="preserve">international </w:t>
      </w:r>
      <w:r>
        <w:t>jurisdictions restrict or do not use VBT</w:t>
      </w:r>
      <w:r w:rsidR="00E57DE7">
        <w:t>.</w:t>
      </w:r>
    </w:p>
    <w:p w14:paraId="5F335F30" w14:textId="5F077CB5" w:rsidR="00EC7868" w:rsidRDefault="008D35E9" w:rsidP="008D35E9">
      <w:r>
        <w:t xml:space="preserve">MSAC noted the economic evaluation was a cost-utility analysis. The clinical inputs were all based on Newton 2020, utility values </w:t>
      </w:r>
      <w:r w:rsidR="00463F69">
        <w:t xml:space="preserve">were based on meta-analysis </w:t>
      </w:r>
      <w:r>
        <w:t>SRS-22 data from Newton 2020 and Pehlivanoglu 2021</w:t>
      </w:r>
      <w:r w:rsidR="00463F69">
        <w:t xml:space="preserve">. </w:t>
      </w:r>
      <w:r w:rsidR="00EC7868">
        <w:t xml:space="preserve">MSAC </w:t>
      </w:r>
      <w:r w:rsidR="00463F69">
        <w:t xml:space="preserve">agreed with ESC and considered that </w:t>
      </w:r>
      <w:r w:rsidR="00EC7868">
        <w:t>the mapping algorithm</w:t>
      </w:r>
      <w:r w:rsidR="00463F69">
        <w:t xml:space="preserve"> to convert SRS-22 data</w:t>
      </w:r>
      <w:r w:rsidR="00EC7868">
        <w:t xml:space="preserve"> used was appropriate</w:t>
      </w:r>
      <w:r w:rsidR="00463F69">
        <w:t>;</w:t>
      </w:r>
      <w:r w:rsidR="00EC7868">
        <w:t xml:space="preserve"> however, </w:t>
      </w:r>
      <w:r w:rsidR="003B0400">
        <w:t>there was high uncertainty assuming that HRQoL improvements will continue to improve over time</w:t>
      </w:r>
      <w:r w:rsidR="00EC7868">
        <w:t>.</w:t>
      </w:r>
    </w:p>
    <w:p w14:paraId="050591AB" w14:textId="0FB50243" w:rsidR="008D35E9" w:rsidRDefault="003B0400" w:rsidP="0041228F">
      <w:pPr>
        <w:spacing w:before="240"/>
      </w:pPr>
      <w:r>
        <w:t xml:space="preserve">In addition, </w:t>
      </w:r>
      <w:r w:rsidR="008D35E9">
        <w:t xml:space="preserve">MSAC noted the model </w:t>
      </w:r>
      <w:r w:rsidR="00D10A85">
        <w:t xml:space="preserve">incorrectly </w:t>
      </w:r>
      <w:r w:rsidR="008D35E9">
        <w:t xml:space="preserve">assumed significantly lower cost for revisions, </w:t>
      </w:r>
      <w:r>
        <w:t xml:space="preserve">as it assumed no prostheses costs for revisions </w:t>
      </w:r>
      <w:r w:rsidR="008D35E9">
        <w:t xml:space="preserve">and </w:t>
      </w:r>
      <w:r w:rsidR="00EC7868">
        <w:t>assumed a similar</w:t>
      </w:r>
      <w:r w:rsidR="008D35E9">
        <w:t xml:space="preserve"> hospital stay</w:t>
      </w:r>
      <w:r>
        <w:t xml:space="preserve"> for VBT vs. PSF</w:t>
      </w:r>
      <w:r w:rsidR="008D35E9">
        <w:t xml:space="preserve">. </w:t>
      </w:r>
      <w:r w:rsidR="00131D55">
        <w:t>MSAC noted the base case incremental cost-effectiveness ratio (ICER) was sensitive to plausible variation in these inputs in one-way sensitivity analysis.</w:t>
      </w:r>
      <w:r w:rsidR="00131D55" w:rsidRPr="00131D55">
        <w:t xml:space="preserve"> </w:t>
      </w:r>
      <w:r w:rsidR="00131D55">
        <w:t>MSAC also noted the multivariate analysis developed by ESC using utilities from a Food and Drug Administration (US) registration study</w:t>
      </w:r>
      <w:r w:rsidR="00131D55">
        <w:rPr>
          <w:rStyle w:val="FootnoteReference"/>
        </w:rPr>
        <w:footnoteReference w:id="7"/>
      </w:r>
      <w:r w:rsidR="00131D55">
        <w:t xml:space="preserve"> and Aghdasi 2020</w:t>
      </w:r>
      <w:r w:rsidR="00131D55">
        <w:rPr>
          <w:rStyle w:val="FootnoteReference"/>
        </w:rPr>
        <w:footnoteReference w:id="8"/>
      </w:r>
      <w:r w:rsidR="00131D55">
        <w:t xml:space="preserve">, which resulted in ICERs of up to $122,517 depending on the utility value used, and VBT revision hospital stay length </w:t>
      </w:r>
      <w:r w:rsidR="008D35E9">
        <w:t>(</w:t>
      </w:r>
      <w:r w:rsidR="00B71346">
        <w:t>see Table 10)</w:t>
      </w:r>
      <w:r w:rsidR="008D35E9">
        <w:t xml:space="preserve">. MSAC </w:t>
      </w:r>
      <w:r w:rsidR="00131D55">
        <w:t xml:space="preserve">agreed with ESC and </w:t>
      </w:r>
      <w:r w:rsidR="008D35E9">
        <w:t xml:space="preserve">considered the </w:t>
      </w:r>
      <w:r w:rsidR="00A24D6D">
        <w:t xml:space="preserve">base case </w:t>
      </w:r>
      <w:r w:rsidR="008D35E9">
        <w:t>ICER to be very uncertain.</w:t>
      </w:r>
    </w:p>
    <w:p w14:paraId="65159C05" w14:textId="2E2490C5" w:rsidR="008D35E9" w:rsidRDefault="008D35E9" w:rsidP="0041228F">
      <w:pPr>
        <w:spacing w:before="240"/>
      </w:pPr>
      <w:r>
        <w:t xml:space="preserve">MSAC noted the applicant’s claim in its pre-MSAC response that VBT would not increase costs to the MBS as it was already being claimed, but MSAC considered the patient demand impact is understated. MSAC noted that, depending on the percentage of PSF substitutions, the costs to the MBS could increase from $25,535 to $309,348 in </w:t>
      </w:r>
      <w:r w:rsidR="00A24D6D">
        <w:t>Y</w:t>
      </w:r>
      <w:r>
        <w:t xml:space="preserve">ear 1 and from $26,693 to $364,797 in </w:t>
      </w:r>
      <w:r w:rsidR="00A24D6D">
        <w:t>Y</w:t>
      </w:r>
      <w:r>
        <w:t>ear 5</w:t>
      </w:r>
      <w:r w:rsidR="00A24D6D">
        <w:t xml:space="preserve"> (see Table 12)</w:t>
      </w:r>
      <w:r>
        <w:t>.</w:t>
      </w:r>
    </w:p>
    <w:p w14:paraId="090F5146" w14:textId="31A42993" w:rsidR="008D35E9" w:rsidRDefault="008D35E9" w:rsidP="0041228F">
      <w:pPr>
        <w:spacing w:before="240"/>
      </w:pPr>
      <w:r>
        <w:t xml:space="preserve">MSAC noted </w:t>
      </w:r>
      <w:r w:rsidR="00A24D6D">
        <w:t xml:space="preserve">the ESC advice that </w:t>
      </w:r>
      <w:r>
        <w:t>there is a</w:t>
      </w:r>
      <w:r w:rsidR="00A24D6D">
        <w:t>n upcoming</w:t>
      </w:r>
      <w:r>
        <w:t xml:space="preserve"> randomised controlled trial (RCT) in </w:t>
      </w:r>
      <w:r w:rsidR="00A24D6D">
        <w:t>a population similar to the proposed MBS population</w:t>
      </w:r>
      <w:r>
        <w:t xml:space="preserve">, </w:t>
      </w:r>
      <w:r w:rsidR="00A24D6D">
        <w:t>and th</w:t>
      </w:r>
      <w:r w:rsidR="0093025A">
        <w:t>at it</w:t>
      </w:r>
      <w:r w:rsidR="00A24D6D">
        <w:t xml:space="preserve"> </w:t>
      </w:r>
      <w:r>
        <w:t>may provide more data in the future. MSAC advised that the applicant could resubmit the application when these data become available</w:t>
      </w:r>
      <w:r w:rsidR="00A24D6D">
        <w:t>; however, larger studies and longer</w:t>
      </w:r>
      <w:r w:rsidR="007B07C3">
        <w:t>-</w:t>
      </w:r>
      <w:r w:rsidR="00A24D6D">
        <w:t>term follow-up is also needed</w:t>
      </w:r>
      <w:r>
        <w:t>. MSAC also noted that the Medical Research Futures Fund (MRFF) could be approached to fund an RCT comparing VBT and PSF.</w:t>
      </w:r>
    </w:p>
    <w:p w14:paraId="63D4F887" w14:textId="6872AA8F" w:rsidR="00390A93" w:rsidRDefault="008D35E9" w:rsidP="0041228F">
      <w:pPr>
        <w:spacing w:before="240"/>
      </w:pPr>
      <w:r>
        <w:lastRenderedPageBreak/>
        <w:t xml:space="preserve">Overall, MSAC did not support public funding of VBT for the treatment of </w:t>
      </w:r>
      <w:r w:rsidR="00390A93">
        <w:t>AIS</w:t>
      </w:r>
      <w:r>
        <w:t xml:space="preserve">. Although MSAC acknowledged a clinical need for VBT, it considered the </w:t>
      </w:r>
      <w:r w:rsidR="00C31873">
        <w:t xml:space="preserve">evidence for the </w:t>
      </w:r>
      <w:r>
        <w:t xml:space="preserve">comparative safety, effectiveness and cost-effectiveness </w:t>
      </w:r>
      <w:r w:rsidR="007B07C3">
        <w:t xml:space="preserve">for VBT compared with PSF </w:t>
      </w:r>
      <w:r>
        <w:t>was too uncertain</w:t>
      </w:r>
      <w:r w:rsidR="007B07C3">
        <w:t>.</w:t>
      </w:r>
      <w:r>
        <w:t xml:space="preserve"> MSAC advised that the MBS items currently being used to claim VBT need to be reviewed to exclude this use.</w:t>
      </w:r>
      <w:r w:rsidR="00390A93">
        <w:t xml:space="preserve"> </w:t>
      </w:r>
      <w:r w:rsidR="00D518A6">
        <w:t xml:space="preserve">MSAC noted this may have implications for existing items on the PL. </w:t>
      </w:r>
      <w:r w:rsidR="00390A93">
        <w:t>MSAC noted that PLAC would need to be advised of its decision to not support public funding of VBT.</w:t>
      </w:r>
    </w:p>
    <w:p w14:paraId="11BE91A6" w14:textId="77777777" w:rsidR="008D35E9" w:rsidRDefault="008D35E9" w:rsidP="008D35E9"/>
    <w:p w14:paraId="3A916750" w14:textId="77777777" w:rsidR="008D35E9" w:rsidRPr="008D35E9" w:rsidRDefault="008D35E9" w:rsidP="008D35E9">
      <w:pPr>
        <w:pStyle w:val="Heading2"/>
        <w:rPr>
          <w:rFonts w:cs="Times New Roman"/>
          <w:b/>
          <w:bCs w:val="0"/>
          <w:i w:val="0"/>
          <w:iCs/>
        </w:rPr>
      </w:pPr>
      <w:r w:rsidRPr="008D35E9">
        <w:rPr>
          <w:rFonts w:cs="Times New Roman"/>
          <w:b/>
          <w:bCs w:val="0"/>
          <w:i w:val="0"/>
          <w:iCs/>
        </w:rPr>
        <w:t>Other discussion</w:t>
      </w:r>
    </w:p>
    <w:p w14:paraId="310EC265" w14:textId="12275D35" w:rsidR="00BD17AF" w:rsidRPr="00BD17AF" w:rsidRDefault="00860128" w:rsidP="00BD17AF">
      <w:r>
        <w:t xml:space="preserve">MSAC considered the use of MBS item numbers 51020–51026 and 51165 for VBT to be a compliance issue, and the Department may need to consider the wording for these item numbers to exclude </w:t>
      </w:r>
      <w:r w:rsidR="0077583C">
        <w:t>use of VBT through these items</w:t>
      </w:r>
      <w:r>
        <w:t>.</w:t>
      </w:r>
      <w:r w:rsidR="00375500">
        <w:t xml:space="preserve"> </w:t>
      </w:r>
      <w:r>
        <w:t>If the Department required more information, MSAC noted it could approach the MSAC Executive for this.</w:t>
      </w:r>
    </w:p>
    <w:p w14:paraId="426EB9A0" w14:textId="17A85679" w:rsidR="00975F03" w:rsidRPr="00BD17AF" w:rsidRDefault="00065623" w:rsidP="00BD17AF">
      <w:pPr>
        <w:pStyle w:val="Heading1"/>
        <w:numPr>
          <w:ilvl w:val="0"/>
          <w:numId w:val="13"/>
        </w:numPr>
        <w:spacing w:before="360" w:after="120"/>
        <w:ind w:hanging="720"/>
        <w:rPr>
          <w:rFonts w:ascii="Arial" w:hAnsi="Arial" w:cs="Arial"/>
        </w:rPr>
      </w:pPr>
      <w:r w:rsidRPr="00BD17AF">
        <w:rPr>
          <w:rFonts w:ascii="Arial" w:hAnsi="Arial" w:cs="Arial"/>
        </w:rPr>
        <w:t>Background</w:t>
      </w:r>
    </w:p>
    <w:p w14:paraId="02AEF5E5" w14:textId="0A7A964F" w:rsidR="00E12160" w:rsidRDefault="00F40F9A" w:rsidP="00D15FDB">
      <w:pPr>
        <w:spacing w:before="240"/>
      </w:pPr>
      <w:r w:rsidRPr="007636EC">
        <w:t>This is the first submission (</w:t>
      </w:r>
      <w:r>
        <w:t>Applicant Developed</w:t>
      </w:r>
      <w:r w:rsidRPr="007636EC">
        <w:t xml:space="preserve"> Assessment Report [</w:t>
      </w:r>
      <w:r>
        <w:t>AD</w:t>
      </w:r>
      <w:r w:rsidRPr="007636EC">
        <w:t xml:space="preserve">AR]) </w:t>
      </w:r>
      <w:r w:rsidRPr="007E66A0">
        <w:t xml:space="preserve">for </w:t>
      </w:r>
      <w:r w:rsidR="0066357A">
        <w:t>VBT</w:t>
      </w:r>
      <w:r w:rsidR="006903EF">
        <w:t xml:space="preserve"> for the treatment of </w:t>
      </w:r>
      <w:r w:rsidR="0066357A">
        <w:t>AIS</w:t>
      </w:r>
      <w:r w:rsidR="006C5602">
        <w:t>.</w:t>
      </w:r>
    </w:p>
    <w:p w14:paraId="7C6994E9" w14:textId="0B2F6557" w:rsidR="00B411FE" w:rsidRPr="00B02E35" w:rsidRDefault="00E12160" w:rsidP="00BD17AF">
      <w:pPr>
        <w:spacing w:before="240"/>
      </w:pPr>
      <w:r>
        <w:t>The ADAR stated that c</w:t>
      </w:r>
      <w:r w:rsidRPr="00252425">
        <w:t xml:space="preserve">urrently, the VBT procedure is performed in private hospitals in Australia with almost all procedures using the system called Reflect (Globus Medical). Funding for the VBT procedure is currently coming from existing MBS items for the medical service. The implants are funded largely by private health insurers with the screws and anchor funded via existing rebate codes on the </w:t>
      </w:r>
      <w:r w:rsidR="002D5E83">
        <w:t>PL</w:t>
      </w:r>
      <w:r w:rsidRPr="00252425">
        <w:t>. The cord component is either funded by ‘ex gratia’ payments by the private health insurer or is provided at no charge by the company.</w:t>
      </w:r>
    </w:p>
    <w:p w14:paraId="734446EC" w14:textId="483CD410" w:rsidR="00975F03" w:rsidRPr="00BD17AF" w:rsidRDefault="00065623" w:rsidP="00BD17AF">
      <w:pPr>
        <w:pStyle w:val="Heading1"/>
        <w:numPr>
          <w:ilvl w:val="0"/>
          <w:numId w:val="13"/>
        </w:numPr>
        <w:spacing w:before="360" w:after="120"/>
        <w:ind w:hanging="720"/>
        <w:rPr>
          <w:rFonts w:ascii="Arial" w:hAnsi="Arial" w:cs="Arial"/>
        </w:rPr>
      </w:pPr>
      <w:r w:rsidRPr="00BD17AF">
        <w:rPr>
          <w:rFonts w:ascii="Arial" w:hAnsi="Arial" w:cs="Arial"/>
        </w:rPr>
        <w:t>Prerequisites to implementation of any funding advice</w:t>
      </w:r>
    </w:p>
    <w:p w14:paraId="0600F402" w14:textId="344F7F17" w:rsidR="006C5602" w:rsidRDefault="006C5602" w:rsidP="00D15FDB">
      <w:pPr>
        <w:spacing w:before="240"/>
      </w:pPr>
      <w:r w:rsidRPr="006C5602">
        <w:t xml:space="preserve">The proposed technology includes a therapeutic good that requires Therapeutic Goods Administration (TGA) approval.  </w:t>
      </w:r>
      <w:r>
        <w:t>A</w:t>
      </w:r>
      <w:r w:rsidRPr="006C5602">
        <w:t>ll implantable components of the VBT system (that is, the cord, anchor and screws) are included under ARTG 111775</w:t>
      </w:r>
      <w:r w:rsidR="00975F03">
        <w:t xml:space="preserve"> (Table 1).</w:t>
      </w:r>
    </w:p>
    <w:p w14:paraId="71CA576D" w14:textId="79DC4C6B" w:rsidR="00975F03" w:rsidRDefault="00975F03" w:rsidP="00BD17AF">
      <w:pPr>
        <w:pStyle w:val="Caption"/>
        <w:spacing w:before="240"/>
        <w:jc w:val="left"/>
      </w:pPr>
      <w:r>
        <w:t>Table 1</w:t>
      </w:r>
      <w:r>
        <w:tab/>
        <w:t>Details of VBT devices listed on the ARTG</w:t>
      </w:r>
    </w:p>
    <w:tbl>
      <w:tblPr>
        <w:tblStyle w:val="TableGrid2"/>
        <w:tblW w:w="0" w:type="auto"/>
        <w:tblLook w:val="04A0" w:firstRow="1" w:lastRow="0" w:firstColumn="1" w:lastColumn="0" w:noHBand="0" w:noVBand="1"/>
        <w:tblCaption w:val="Table 1 Australian Register of Therapeutic Goods listing"/>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846"/>
        <w:gridCol w:w="1560"/>
        <w:gridCol w:w="1982"/>
        <w:gridCol w:w="1841"/>
        <w:gridCol w:w="1418"/>
        <w:gridCol w:w="1369"/>
      </w:tblGrid>
      <w:tr w:rsidR="006C5602" w:rsidRPr="006C5602" w14:paraId="5A14BB5C" w14:textId="77777777" w:rsidTr="00776876">
        <w:trPr>
          <w:cnfStyle w:val="100000000000" w:firstRow="1" w:lastRow="0" w:firstColumn="0" w:lastColumn="0" w:oddVBand="0" w:evenVBand="0" w:oddHBand="0" w:evenHBand="0" w:firstRowFirstColumn="0" w:firstRowLastColumn="0" w:lastRowFirstColumn="0" w:lastRowLastColumn="0"/>
        </w:trPr>
        <w:tc>
          <w:tcPr>
            <w:tcW w:w="846" w:type="dxa"/>
          </w:tcPr>
          <w:p w14:paraId="0090F1C1" w14:textId="77777777" w:rsidR="006C5602" w:rsidRPr="006C5602" w:rsidRDefault="006C5602" w:rsidP="00BD17AF">
            <w:pPr>
              <w:keepNext/>
              <w:spacing w:after="40"/>
              <w:rPr>
                <w:rFonts w:ascii="Arial Narrow" w:hAnsi="Arial Narrow" w:cs="Tahoma"/>
                <w:b/>
              </w:rPr>
            </w:pPr>
            <w:r w:rsidRPr="006C5602">
              <w:rPr>
                <w:rFonts w:ascii="Arial Narrow" w:hAnsi="Arial Narrow" w:cs="Tahoma"/>
                <w:b/>
              </w:rPr>
              <w:t>ARTG no.</w:t>
            </w:r>
          </w:p>
        </w:tc>
        <w:tc>
          <w:tcPr>
            <w:tcW w:w="1560" w:type="dxa"/>
          </w:tcPr>
          <w:p w14:paraId="53972F5C" w14:textId="77777777" w:rsidR="006C5602" w:rsidRPr="006C5602" w:rsidRDefault="006C5602" w:rsidP="00BD17AF">
            <w:pPr>
              <w:keepNext/>
              <w:spacing w:after="40"/>
              <w:rPr>
                <w:rFonts w:ascii="Arial Narrow" w:hAnsi="Arial Narrow" w:cs="Tahoma"/>
                <w:b/>
              </w:rPr>
            </w:pPr>
            <w:r w:rsidRPr="006C5602">
              <w:rPr>
                <w:rFonts w:ascii="Arial Narrow" w:hAnsi="Arial Narrow" w:cs="Tahoma"/>
                <w:b/>
              </w:rPr>
              <w:t>Product no. (GMDN)</w:t>
            </w:r>
          </w:p>
        </w:tc>
        <w:tc>
          <w:tcPr>
            <w:tcW w:w="1982" w:type="dxa"/>
          </w:tcPr>
          <w:p w14:paraId="6A00C9BE" w14:textId="77777777" w:rsidR="006C5602" w:rsidRPr="006C5602" w:rsidRDefault="006C5602" w:rsidP="00BD17AF">
            <w:pPr>
              <w:keepNext/>
              <w:spacing w:after="40"/>
              <w:rPr>
                <w:rFonts w:ascii="Arial Narrow" w:hAnsi="Arial Narrow" w:cs="Tahoma"/>
                <w:b/>
              </w:rPr>
            </w:pPr>
            <w:r w:rsidRPr="006C5602">
              <w:rPr>
                <w:rFonts w:ascii="Arial Narrow" w:hAnsi="Arial Narrow" w:cs="Tahoma"/>
                <w:b/>
              </w:rPr>
              <w:t>Product description</w:t>
            </w:r>
          </w:p>
        </w:tc>
        <w:tc>
          <w:tcPr>
            <w:tcW w:w="1841" w:type="dxa"/>
          </w:tcPr>
          <w:p w14:paraId="3B4863DA" w14:textId="77777777" w:rsidR="006C5602" w:rsidRPr="006C5602" w:rsidRDefault="006C5602" w:rsidP="00BD17AF">
            <w:pPr>
              <w:keepNext/>
              <w:spacing w:after="40"/>
              <w:rPr>
                <w:rFonts w:ascii="Arial Narrow" w:hAnsi="Arial Narrow" w:cs="Tahoma"/>
                <w:b/>
              </w:rPr>
            </w:pPr>
            <w:r w:rsidRPr="006C5602">
              <w:rPr>
                <w:rFonts w:ascii="Arial Narrow" w:hAnsi="Arial Narrow" w:cs="Tahoma"/>
                <w:b/>
              </w:rPr>
              <w:t>Intended purpose</w:t>
            </w:r>
          </w:p>
        </w:tc>
        <w:tc>
          <w:tcPr>
            <w:tcW w:w="1418" w:type="dxa"/>
          </w:tcPr>
          <w:p w14:paraId="632B7643" w14:textId="77777777" w:rsidR="006C5602" w:rsidRPr="006C5602" w:rsidRDefault="006C5602" w:rsidP="00BD17AF">
            <w:pPr>
              <w:keepNext/>
              <w:spacing w:after="40"/>
              <w:rPr>
                <w:rFonts w:ascii="Arial Narrow" w:hAnsi="Arial Narrow" w:cs="Tahoma"/>
                <w:b/>
              </w:rPr>
            </w:pPr>
            <w:r w:rsidRPr="006C5602">
              <w:rPr>
                <w:rFonts w:ascii="Arial Narrow" w:hAnsi="Arial Narrow" w:cs="Tahoma"/>
                <w:b/>
              </w:rPr>
              <w:t>Product category</w:t>
            </w:r>
          </w:p>
        </w:tc>
        <w:tc>
          <w:tcPr>
            <w:tcW w:w="1369" w:type="dxa"/>
          </w:tcPr>
          <w:p w14:paraId="1564E0E7" w14:textId="77777777" w:rsidR="006C5602" w:rsidRPr="006C5602" w:rsidRDefault="006C5602" w:rsidP="00BD17AF">
            <w:pPr>
              <w:keepNext/>
              <w:spacing w:after="40"/>
              <w:rPr>
                <w:rFonts w:ascii="Arial Narrow" w:hAnsi="Arial Narrow" w:cs="Tahoma"/>
                <w:b/>
              </w:rPr>
            </w:pPr>
            <w:r w:rsidRPr="006C5602">
              <w:rPr>
                <w:rFonts w:ascii="Arial Narrow" w:hAnsi="Arial Narrow" w:cs="Tahoma"/>
                <w:b/>
              </w:rPr>
              <w:t>Sponsor</w:t>
            </w:r>
          </w:p>
        </w:tc>
      </w:tr>
      <w:tr w:rsidR="006C5602" w:rsidRPr="006C5602" w14:paraId="240917A1" w14:textId="77777777" w:rsidTr="00776876">
        <w:tc>
          <w:tcPr>
            <w:tcW w:w="846" w:type="dxa"/>
          </w:tcPr>
          <w:p w14:paraId="74FB69A1" w14:textId="77777777" w:rsidR="006C5602" w:rsidRPr="006C5602" w:rsidRDefault="006C5602" w:rsidP="00BD17AF">
            <w:pPr>
              <w:spacing w:after="40"/>
              <w:rPr>
                <w:rFonts w:cs="Tahoma"/>
              </w:rPr>
            </w:pPr>
            <w:r w:rsidRPr="006C5602">
              <w:rPr>
                <w:rFonts w:cs="Tahoma"/>
              </w:rPr>
              <w:t>111775</w:t>
            </w:r>
          </w:p>
        </w:tc>
        <w:tc>
          <w:tcPr>
            <w:tcW w:w="1560" w:type="dxa"/>
          </w:tcPr>
          <w:p w14:paraId="6C10458A" w14:textId="77777777" w:rsidR="006C5602" w:rsidRPr="006C5602" w:rsidRDefault="006C5602" w:rsidP="00BD17AF">
            <w:pPr>
              <w:spacing w:after="40"/>
              <w:rPr>
                <w:rFonts w:cs="Tahoma"/>
              </w:rPr>
            </w:pPr>
            <w:r w:rsidRPr="006C5602">
              <w:rPr>
                <w:rFonts w:cs="Tahoma"/>
              </w:rPr>
              <w:t>37272 Fixation device, internal, spine, construct</w:t>
            </w:r>
          </w:p>
        </w:tc>
        <w:tc>
          <w:tcPr>
            <w:tcW w:w="1982" w:type="dxa"/>
          </w:tcPr>
          <w:p w14:paraId="4748A94E" w14:textId="77777777" w:rsidR="006C5602" w:rsidRPr="006C5602" w:rsidRDefault="006C5602" w:rsidP="00BD17AF">
            <w:pPr>
              <w:spacing w:after="40"/>
              <w:rPr>
                <w:rFonts w:cs="Tahoma"/>
              </w:rPr>
            </w:pPr>
            <w:r w:rsidRPr="006C5602">
              <w:rPr>
                <w:rFonts w:cs="Tahoma"/>
              </w:rPr>
              <w:t>Zimmer Spine - Fixation device, internal, spine, construct</w:t>
            </w:r>
          </w:p>
        </w:tc>
        <w:tc>
          <w:tcPr>
            <w:tcW w:w="1841" w:type="dxa"/>
          </w:tcPr>
          <w:p w14:paraId="4993FE03" w14:textId="77777777" w:rsidR="006C5602" w:rsidRPr="006C5602" w:rsidRDefault="006C5602" w:rsidP="00BD17AF">
            <w:pPr>
              <w:spacing w:after="40"/>
              <w:rPr>
                <w:rFonts w:cs="Tahoma"/>
              </w:rPr>
            </w:pPr>
            <w:r w:rsidRPr="006C5602">
              <w:rPr>
                <w:rFonts w:cs="Tahoma"/>
              </w:rPr>
              <w:t>Implants used to stabilize, support or correct alignment of spinal vertebrae</w:t>
            </w:r>
          </w:p>
        </w:tc>
        <w:tc>
          <w:tcPr>
            <w:tcW w:w="1418" w:type="dxa"/>
          </w:tcPr>
          <w:p w14:paraId="4D84896A" w14:textId="77777777" w:rsidR="006C5602" w:rsidRPr="006C5602" w:rsidRDefault="006C5602" w:rsidP="00BD17AF">
            <w:pPr>
              <w:spacing w:after="40"/>
              <w:rPr>
                <w:rFonts w:cs="Tahoma"/>
              </w:rPr>
            </w:pPr>
            <w:r w:rsidRPr="006C5602">
              <w:rPr>
                <w:rFonts w:cs="Tahoma"/>
              </w:rPr>
              <w:t>Medical Device Class IIb</w:t>
            </w:r>
          </w:p>
        </w:tc>
        <w:tc>
          <w:tcPr>
            <w:tcW w:w="1369" w:type="dxa"/>
          </w:tcPr>
          <w:p w14:paraId="7098768E" w14:textId="77777777" w:rsidR="006C5602" w:rsidRPr="006C5602" w:rsidRDefault="006C5602" w:rsidP="00BD17AF">
            <w:pPr>
              <w:spacing w:after="40"/>
              <w:rPr>
                <w:rFonts w:cs="Tahoma"/>
              </w:rPr>
            </w:pPr>
            <w:r w:rsidRPr="006C5602">
              <w:rPr>
                <w:rFonts w:cs="Tahoma"/>
              </w:rPr>
              <w:t>Zimmer Biomet Pty Ltd</w:t>
            </w:r>
          </w:p>
        </w:tc>
      </w:tr>
    </w:tbl>
    <w:p w14:paraId="0BDC40A7" w14:textId="77777777" w:rsidR="006C5602" w:rsidRPr="006C5602" w:rsidRDefault="006C5602" w:rsidP="00BD17AF">
      <w:pPr>
        <w:keepLines/>
        <w:widowControl w:val="0"/>
        <w:spacing w:after="240"/>
        <w:contextualSpacing/>
        <w:rPr>
          <w:rFonts w:ascii="Arial Narrow" w:hAnsi="Arial Narrow" w:cs="Arial"/>
          <w:snapToGrid w:val="0"/>
          <w:sz w:val="18"/>
          <w:szCs w:val="22"/>
          <w:lang w:eastAsia="en-US"/>
        </w:rPr>
      </w:pPr>
      <w:r w:rsidRPr="006C5602">
        <w:rPr>
          <w:rFonts w:ascii="Arial Narrow" w:hAnsi="Arial Narrow" w:cs="Arial"/>
          <w:snapToGrid w:val="0"/>
          <w:sz w:val="18"/>
          <w:szCs w:val="22"/>
          <w:lang w:eastAsia="en-US"/>
        </w:rPr>
        <w:t>ARTG, Australian Register of Therapeutic Goods; GMDN, Global Medical Device Nomenclature; VBT, vertebral body tethering</w:t>
      </w:r>
    </w:p>
    <w:p w14:paraId="33D0131A" w14:textId="5D79FB3E" w:rsidR="00BB26AB" w:rsidRPr="00BD17AF" w:rsidRDefault="006C5602" w:rsidP="00BD17AF">
      <w:pPr>
        <w:keepLines/>
        <w:widowControl w:val="0"/>
        <w:spacing w:after="240"/>
        <w:contextualSpacing/>
        <w:rPr>
          <w:rFonts w:ascii="Arial Narrow" w:hAnsi="Arial Narrow" w:cs="Arial"/>
          <w:snapToGrid w:val="0"/>
          <w:sz w:val="18"/>
          <w:szCs w:val="18"/>
          <w:lang w:eastAsia="en-US"/>
        </w:rPr>
      </w:pPr>
      <w:r w:rsidRPr="006C5602">
        <w:rPr>
          <w:rFonts w:ascii="Arial Narrow" w:hAnsi="Arial Narrow" w:cs="Arial"/>
          <w:snapToGrid w:val="0"/>
          <w:sz w:val="18"/>
          <w:szCs w:val="18"/>
          <w:lang w:eastAsia="en-US"/>
        </w:rPr>
        <w:t xml:space="preserve">Source: Therapeutic Goods Administration, accessed 24 March 2021  </w:t>
      </w:r>
      <w:hyperlink r:id="rId10" w:history="1">
        <w:r w:rsidRPr="006C5602">
          <w:rPr>
            <w:rFonts w:ascii="Arial Narrow" w:hAnsi="Arial Narrow" w:cs="Arial"/>
            <w:snapToGrid w:val="0"/>
            <w:color w:val="0000FF"/>
            <w:sz w:val="18"/>
            <w:szCs w:val="18"/>
            <w:u w:val="single"/>
            <w:lang w:eastAsia="en-US"/>
          </w:rPr>
          <w:t>Link to TGA.gov.au</w:t>
        </w:r>
      </w:hyperlink>
    </w:p>
    <w:p w14:paraId="36E07551" w14:textId="51E4F8DE" w:rsidR="008A6C0C" w:rsidRPr="00BD17AF" w:rsidRDefault="00065623" w:rsidP="00BD17AF">
      <w:pPr>
        <w:pStyle w:val="Heading1"/>
        <w:numPr>
          <w:ilvl w:val="0"/>
          <w:numId w:val="13"/>
        </w:numPr>
        <w:spacing w:before="240" w:after="240"/>
        <w:ind w:hanging="720"/>
        <w:rPr>
          <w:rFonts w:ascii="Arial" w:hAnsi="Arial" w:cs="Arial"/>
        </w:rPr>
      </w:pPr>
      <w:r w:rsidRPr="00BD17AF">
        <w:rPr>
          <w:rFonts w:ascii="Arial" w:hAnsi="Arial" w:cs="Arial"/>
        </w:rPr>
        <w:t>Proposal for public funding</w:t>
      </w:r>
    </w:p>
    <w:p w14:paraId="564B9381" w14:textId="776F872A" w:rsidR="00EC71F9" w:rsidRPr="00EC71F9" w:rsidRDefault="00975F03" w:rsidP="00EC71F9">
      <w:pPr>
        <w:pStyle w:val="NormalBeforeBullet"/>
        <w:spacing w:after="240"/>
      </w:pPr>
      <w:r>
        <w:t xml:space="preserve">The </w:t>
      </w:r>
      <w:r w:rsidR="000D42F2">
        <w:t xml:space="preserve">ADAR </w:t>
      </w:r>
      <w:r>
        <w:t xml:space="preserve">proposed </w:t>
      </w:r>
      <w:r w:rsidR="00241DF3">
        <w:t xml:space="preserve">new </w:t>
      </w:r>
      <w:r>
        <w:t xml:space="preserve">MBS item for the </w:t>
      </w:r>
      <w:r w:rsidR="00241DF3">
        <w:t xml:space="preserve">VBT </w:t>
      </w:r>
      <w:r>
        <w:t xml:space="preserve">index </w:t>
      </w:r>
      <w:r w:rsidR="00D14F4A">
        <w:t>procedure is summarised in Table</w:t>
      </w:r>
      <w:r w:rsidR="002E6370">
        <w:t> </w:t>
      </w:r>
      <w:r w:rsidR="00D14F4A">
        <w:t>2. The commentary amendments to the index procedure are marked up below</w:t>
      </w:r>
      <w:r w:rsidR="000D42F2">
        <w:t xml:space="preserve"> (in red text and strikethrough)</w:t>
      </w:r>
      <w:r w:rsidR="00D14F4A">
        <w:t>.</w:t>
      </w:r>
      <w:bookmarkStart w:id="1" w:name="_Ref79737878"/>
      <w:bookmarkStart w:id="2" w:name="_Toc399251120"/>
      <w:bookmarkStart w:id="3" w:name="_Toc81492443"/>
      <w:bookmarkStart w:id="4" w:name="_Toc82085854"/>
      <w:bookmarkStart w:id="5" w:name="_Ref71194060"/>
      <w:bookmarkStart w:id="6" w:name="_Toc73700441"/>
      <w:r w:rsidR="00EC71F9">
        <w:br w:type="page"/>
      </w:r>
    </w:p>
    <w:p w14:paraId="33667653" w14:textId="138E547A" w:rsidR="00D14F4A" w:rsidRPr="00252425" w:rsidRDefault="00D14F4A" w:rsidP="00BD17AF">
      <w:pPr>
        <w:pStyle w:val="Caption"/>
        <w:spacing w:after="120"/>
        <w:jc w:val="left"/>
      </w:pPr>
      <w:r w:rsidRPr="00252425">
        <w:lastRenderedPageBreak/>
        <w:t xml:space="preserve">Table </w:t>
      </w:r>
      <w:bookmarkEnd w:id="1"/>
      <w:r w:rsidR="005C361B">
        <w:t>2</w:t>
      </w:r>
      <w:r>
        <w:tab/>
      </w:r>
      <w:r w:rsidRPr="00252425">
        <w:t>Proposed MBS item descriptor</w:t>
      </w:r>
      <w:bookmarkEnd w:id="2"/>
      <w:r w:rsidRPr="00252425">
        <w:t xml:space="preserve">- index procedure; </w:t>
      </w:r>
      <w:r w:rsidR="000C2E27">
        <w:rPr>
          <w:i/>
          <w:color w:val="FF0000"/>
        </w:rPr>
        <w:t>c</w:t>
      </w:r>
      <w:r w:rsidRPr="00252425">
        <w:rPr>
          <w:i/>
          <w:color w:val="FF0000"/>
        </w:rPr>
        <w:t xml:space="preserve">ommentary amendments </w:t>
      </w:r>
      <w:bookmarkEnd w:id="3"/>
      <w:r>
        <w:rPr>
          <w:i/>
          <w:color w:val="FF0000"/>
        </w:rPr>
        <w:t>marked up</w:t>
      </w:r>
      <w:bookmarkEnd w:id="4"/>
    </w:p>
    <w:tbl>
      <w:tblPr>
        <w:tblStyle w:val="TableGrid2"/>
        <w:tblW w:w="5000" w:type="pct"/>
        <w:tblLook w:val="04A0" w:firstRow="1" w:lastRow="0" w:firstColumn="1" w:lastColumn="0" w:noHBand="0" w:noVBand="1"/>
        <w:tblDescription w:val="Proposed MBS item descriptor- index procedure"/>
      </w:tblPr>
      <w:tblGrid>
        <w:gridCol w:w="9016"/>
      </w:tblGrid>
      <w:tr w:rsidR="00D14F4A" w:rsidRPr="00252425" w14:paraId="3B92F1EF" w14:textId="77777777" w:rsidTr="00776876">
        <w:trPr>
          <w:cnfStyle w:val="100000000000" w:firstRow="1" w:lastRow="0" w:firstColumn="0" w:lastColumn="0" w:oddVBand="0" w:evenVBand="0" w:oddHBand="0" w:evenHBand="0" w:firstRowFirstColumn="0" w:firstRowLastColumn="0" w:lastRowFirstColumn="0" w:lastRowLastColumn="0"/>
          <w:trHeight w:val="351"/>
        </w:trPr>
        <w:tc>
          <w:tcPr>
            <w:tcW w:w="5000" w:type="pct"/>
          </w:tcPr>
          <w:p w14:paraId="7CD6128F" w14:textId="77777777" w:rsidR="00D14F4A" w:rsidRPr="00252425" w:rsidRDefault="00D14F4A" w:rsidP="00BD17AF">
            <w:pPr>
              <w:pStyle w:val="Tabletext"/>
            </w:pPr>
            <w:r w:rsidRPr="00252425" w:rsidDel="00A134DA">
              <w:t xml:space="preserve">Category </w:t>
            </w:r>
            <w:r w:rsidRPr="00252425">
              <w:t>3</w:t>
            </w:r>
            <w:r w:rsidRPr="00252425" w:rsidDel="00A134DA">
              <w:t xml:space="preserve"> – </w:t>
            </w:r>
            <w:r w:rsidRPr="00252425">
              <w:t>Therapeutic Procedures – Surgical Operations</w:t>
            </w:r>
          </w:p>
        </w:tc>
      </w:tr>
      <w:tr w:rsidR="00D14F4A" w:rsidRPr="00252425" w14:paraId="7F55A74E" w14:textId="77777777" w:rsidTr="00776876">
        <w:tc>
          <w:tcPr>
            <w:tcW w:w="5000" w:type="pct"/>
          </w:tcPr>
          <w:p w14:paraId="44B2D992" w14:textId="44AA49DA" w:rsidR="00D14F4A" w:rsidRPr="00BD17AF" w:rsidRDefault="00D14F4A" w:rsidP="00BD17AF">
            <w:pPr>
              <w:pStyle w:val="Tabletext"/>
              <w:spacing w:after="240"/>
              <w:rPr>
                <w:i/>
                <w:iCs/>
                <w:color w:val="FF0000"/>
              </w:rPr>
            </w:pPr>
            <w:r w:rsidRPr="00252425">
              <w:rPr>
                <w:b/>
              </w:rPr>
              <w:t>Proposed item descriptor</w:t>
            </w:r>
            <w:r w:rsidRPr="00252425">
              <w:t xml:space="preserve">: SCOLIOSIS, in a skeletally </w:t>
            </w:r>
            <w:r w:rsidRPr="00252425">
              <w:rPr>
                <w:i/>
                <w:iCs/>
                <w:color w:val="FF0000"/>
              </w:rPr>
              <w:t>im</w:t>
            </w:r>
            <w:r w:rsidRPr="00252425">
              <w:t xml:space="preserve">mature child or adolescent aged 10-18 years with a Cobb angle of ≥40°, </w:t>
            </w:r>
            <w:r w:rsidRPr="00252425">
              <w:rPr>
                <w:i/>
                <w:iCs/>
                <w:color w:val="FF0000"/>
              </w:rPr>
              <w:t>who has failed standard care including external bracing</w:t>
            </w:r>
            <w:r w:rsidRPr="00252425">
              <w:t xml:space="preserve">, anterior correction of, with vertebral body tethering. </w:t>
            </w:r>
            <w:r w:rsidRPr="00252425">
              <w:rPr>
                <w:i/>
                <w:iCs/>
                <w:color w:val="FF0000"/>
              </w:rPr>
              <w:t>Skeletal maturity is to be assessed using the Sanders classification.</w:t>
            </w:r>
          </w:p>
          <w:p w14:paraId="1C518B89" w14:textId="77777777" w:rsidR="00D14F4A" w:rsidRPr="00DC36C9" w:rsidRDefault="00D14F4A" w:rsidP="00BD17AF">
            <w:pPr>
              <w:pStyle w:val="Tabletext"/>
              <w:rPr>
                <w:strike/>
              </w:rPr>
            </w:pPr>
            <w:r w:rsidRPr="00DC36C9">
              <w:rPr>
                <w:strike/>
              </w:rPr>
              <w:t>Note: Skeletal maturity is to be assessed using a validated bone age assessment tool</w:t>
            </w:r>
          </w:p>
          <w:p w14:paraId="7F62C3E8" w14:textId="77777777" w:rsidR="00D14F4A" w:rsidRPr="00252425" w:rsidRDefault="00D14F4A" w:rsidP="00BD17AF">
            <w:pPr>
              <w:pStyle w:val="Tabletext"/>
            </w:pPr>
            <w:r w:rsidRPr="00252425">
              <w:t>Multiple Operation Rule</w:t>
            </w:r>
          </w:p>
          <w:p w14:paraId="0B02A3E1" w14:textId="77777777" w:rsidR="00D14F4A" w:rsidRPr="00252425" w:rsidRDefault="00D14F4A" w:rsidP="00BD17AF">
            <w:pPr>
              <w:pStyle w:val="Tabletext"/>
            </w:pPr>
            <w:r w:rsidRPr="00252425">
              <w:t>(Anaes.) (Assist)</w:t>
            </w:r>
          </w:p>
        </w:tc>
      </w:tr>
      <w:tr w:rsidR="00D14F4A" w:rsidRPr="00252425" w14:paraId="6D90A5C5" w14:textId="77777777" w:rsidTr="00776876">
        <w:tc>
          <w:tcPr>
            <w:tcW w:w="5000" w:type="pct"/>
          </w:tcPr>
          <w:p w14:paraId="140060DC" w14:textId="77777777" w:rsidR="00D14F4A" w:rsidRPr="00252425" w:rsidRDefault="00D14F4A" w:rsidP="00BD17AF">
            <w:pPr>
              <w:pStyle w:val="Tabletext"/>
            </w:pPr>
            <w:r w:rsidRPr="00252425">
              <w:rPr>
                <w:b/>
              </w:rPr>
              <w:t>Proposed fee</w:t>
            </w:r>
            <w:r w:rsidRPr="00252425">
              <w:t>:  $3,534.05</w:t>
            </w:r>
          </w:p>
        </w:tc>
      </w:tr>
    </w:tbl>
    <w:p w14:paraId="3327E7A0" w14:textId="571A00DF" w:rsidR="00D14F4A" w:rsidRDefault="00D14F4A" w:rsidP="00BD17AF">
      <w:pPr>
        <w:pStyle w:val="Tablenotes0"/>
        <w:jc w:val="left"/>
        <w:rPr>
          <w:i/>
          <w:iCs/>
        </w:rPr>
      </w:pPr>
      <w:r w:rsidRPr="00252425">
        <w:rPr>
          <w:i/>
          <w:iCs/>
        </w:rPr>
        <w:t>Note, typographical error corrected (‘immature’ rather than ‘mature’) to align with description of patient population</w:t>
      </w:r>
    </w:p>
    <w:p w14:paraId="1BA05E54" w14:textId="2943B417" w:rsidR="00D14F4A" w:rsidRPr="009C4E63" w:rsidRDefault="00D14F4A" w:rsidP="00BD17AF">
      <w:pPr>
        <w:pStyle w:val="Tablenotes0"/>
        <w:jc w:val="left"/>
      </w:pPr>
      <w:r w:rsidRPr="00252425">
        <w:t xml:space="preserve">Source: </w:t>
      </w:r>
      <w:r w:rsidR="00190AC3">
        <w:t xml:space="preserve">Commentary p.xiv, </w:t>
      </w:r>
      <w:r>
        <w:t>Table 2</w:t>
      </w:r>
      <w:r w:rsidR="00190AC3">
        <w:t>.</w:t>
      </w:r>
    </w:p>
    <w:p w14:paraId="7F21AE44" w14:textId="2A46E0D6" w:rsidR="00D14F4A" w:rsidRDefault="00D14F4A" w:rsidP="00BD17AF">
      <w:pPr>
        <w:pStyle w:val="NormalBeforeBullet"/>
      </w:pPr>
      <w:r>
        <w:t>The commentary considered there were several issues with the proposed descriptor and fees</w:t>
      </w:r>
      <w:r w:rsidR="00241DF3">
        <w:t xml:space="preserve"> for the index procedure</w:t>
      </w:r>
      <w:r>
        <w:t>:</w:t>
      </w:r>
    </w:p>
    <w:p w14:paraId="3A099641" w14:textId="07753CE2" w:rsidR="00D14F4A" w:rsidRDefault="00D14F4A" w:rsidP="00BD17AF">
      <w:pPr>
        <w:pStyle w:val="NormalBeforeBullet"/>
        <w:numPr>
          <w:ilvl w:val="0"/>
          <w:numId w:val="27"/>
        </w:numPr>
      </w:pPr>
      <w:r w:rsidRPr="00D14F4A">
        <w:t>The ADAR did not appropriately justify the proposed MBS fee (based on MBS item 50608)</w:t>
      </w:r>
      <w:r>
        <w:t>,</w:t>
      </w:r>
      <w:r w:rsidRPr="00D14F4A">
        <w:t xml:space="preserve"> including advising on time and complexity as raised by PASC. </w:t>
      </w:r>
      <w:r w:rsidR="009C4E63" w:rsidRPr="00D14F4A">
        <w:t>In regard to</w:t>
      </w:r>
      <w:r w:rsidRPr="00D14F4A">
        <w:t xml:space="preserve"> surgical time, it was noted surgical time was significantly longer in patients undergoing PSF compared with VBT</w:t>
      </w:r>
    </w:p>
    <w:p w14:paraId="31725DBD" w14:textId="6DB19AFD" w:rsidR="00D14F4A" w:rsidRDefault="00D14F4A" w:rsidP="00BD17AF">
      <w:pPr>
        <w:pStyle w:val="NormalBeforeBullet"/>
        <w:numPr>
          <w:ilvl w:val="0"/>
          <w:numId w:val="27"/>
        </w:numPr>
      </w:pPr>
      <w:r>
        <w:t xml:space="preserve">Standard of care was not </w:t>
      </w:r>
      <w:r w:rsidR="001629E4">
        <w:t>included (</w:t>
      </w:r>
      <w:r w:rsidR="00441D8A">
        <w:t>n</w:t>
      </w:r>
      <w:r w:rsidR="00B476DD">
        <w:t xml:space="preserve">or </w:t>
      </w:r>
      <w:r>
        <w:t>defined</w:t>
      </w:r>
      <w:r w:rsidR="001629E4">
        <w:t>)</w:t>
      </w:r>
      <w:r w:rsidR="00B476DD">
        <w:t xml:space="preserve"> in the MBS item as requested by PASC. This was added in during evaluation (see above)</w:t>
      </w:r>
    </w:p>
    <w:p w14:paraId="5A170DE1" w14:textId="123EF92E" w:rsidR="00B476DD" w:rsidRPr="00B476DD" w:rsidRDefault="00B476DD" w:rsidP="00BD17AF">
      <w:pPr>
        <w:pStyle w:val="ListParagraph"/>
        <w:numPr>
          <w:ilvl w:val="0"/>
          <w:numId w:val="27"/>
        </w:numPr>
        <w:rPr>
          <w:color w:val="000000"/>
        </w:rPr>
      </w:pPr>
      <w:r w:rsidRPr="00B476DD">
        <w:rPr>
          <w:color w:val="000000"/>
        </w:rPr>
        <w:t xml:space="preserve">The upper age limit (18 years) is not supported by the literature, nor by the consultation feedback, which suggested an upper age limit of 16 years of age. </w:t>
      </w:r>
      <w:r w:rsidR="009C4E63" w:rsidRPr="00B476DD">
        <w:rPr>
          <w:color w:val="000000"/>
        </w:rPr>
        <w:t>In regard to</w:t>
      </w:r>
      <w:r w:rsidRPr="00B476DD">
        <w:rPr>
          <w:color w:val="000000"/>
        </w:rPr>
        <w:t xml:space="preserve"> the lower age limit (10 years), there is some evidence in the literature of the use of the procedure provided to a child aged 9 years. </w:t>
      </w:r>
      <w:r>
        <w:rPr>
          <w:color w:val="000000"/>
        </w:rPr>
        <w:t>In addition, t</w:t>
      </w:r>
      <w:r w:rsidRPr="00B476DD">
        <w:rPr>
          <w:color w:val="000000"/>
        </w:rPr>
        <w:t xml:space="preserve">he suitability and need of the proposed aged criteria is questioned, given the inclusion of skeletal </w:t>
      </w:r>
      <w:r>
        <w:rPr>
          <w:color w:val="000000"/>
        </w:rPr>
        <w:t>i</w:t>
      </w:r>
      <w:r w:rsidRPr="00B476DD">
        <w:rPr>
          <w:color w:val="000000"/>
        </w:rPr>
        <w:t>mmaturity assessment.</w:t>
      </w:r>
    </w:p>
    <w:p w14:paraId="3FC23A1D" w14:textId="1418AF79" w:rsidR="00B476DD" w:rsidRDefault="00B476DD" w:rsidP="002E6370">
      <w:pPr>
        <w:pStyle w:val="ListParagraph"/>
        <w:numPr>
          <w:ilvl w:val="0"/>
          <w:numId w:val="27"/>
        </w:numPr>
        <w:spacing w:before="120"/>
        <w:ind w:left="714" w:hanging="357"/>
        <w:contextualSpacing w:val="0"/>
        <w:rPr>
          <w:color w:val="000000"/>
        </w:rPr>
      </w:pPr>
      <w:r w:rsidRPr="00B476DD">
        <w:rPr>
          <w:color w:val="000000"/>
        </w:rPr>
        <w:t>While the descriptor recommends assessment of bone age, it does not specify which measure. While this gives flexibility, it should be noted there is level II evidence in the literature that suggests the Sanders classification should be used to guide treatment options in patients with AIS due to the limited sensitivity of Risser staging during peak growth velocity (Minkara  2020</w:t>
      </w:r>
      <w:r>
        <w:rPr>
          <w:rStyle w:val="FootnoteReference"/>
          <w:color w:val="000000"/>
        </w:rPr>
        <w:footnoteReference w:id="9"/>
      </w:r>
      <w:r w:rsidRPr="00B476DD">
        <w:rPr>
          <w:color w:val="000000"/>
        </w:rPr>
        <w:t>); although this evidence has not been formally adopted into a clinical guideline.</w:t>
      </w:r>
      <w:r>
        <w:rPr>
          <w:color w:val="000000"/>
        </w:rPr>
        <w:t xml:space="preserve"> For these reasons, the commentary considered skeletal maturity should be assessed with the Sanders classification (see above).</w:t>
      </w:r>
    </w:p>
    <w:p w14:paraId="3F8EA2B9" w14:textId="156BF757" w:rsidR="001629E4" w:rsidRDefault="001629E4" w:rsidP="00BD17AF">
      <w:pPr>
        <w:spacing w:before="240"/>
        <w:rPr>
          <w:color w:val="000000"/>
        </w:rPr>
      </w:pPr>
      <w:r>
        <w:rPr>
          <w:color w:val="000000"/>
        </w:rPr>
        <w:t>The pre-ESC response largely agreed with the amendments proposed by the commentary. In addition</w:t>
      </w:r>
      <w:r w:rsidR="004C7A02">
        <w:rPr>
          <w:color w:val="000000"/>
        </w:rPr>
        <w:t xml:space="preserve">, the applicant </w:t>
      </w:r>
      <w:r w:rsidR="000D42F2">
        <w:rPr>
          <w:color w:val="000000"/>
        </w:rPr>
        <w:t>agreed with</w:t>
      </w:r>
      <w:r>
        <w:rPr>
          <w:color w:val="000000"/>
        </w:rPr>
        <w:t>:</w:t>
      </w:r>
    </w:p>
    <w:p w14:paraId="077D09D9" w14:textId="0DB4E80B" w:rsidR="001629E4" w:rsidRDefault="000D42F2" w:rsidP="00BD17AF">
      <w:pPr>
        <w:pStyle w:val="ListParagraph"/>
        <w:numPr>
          <w:ilvl w:val="0"/>
          <w:numId w:val="28"/>
        </w:numPr>
        <w:rPr>
          <w:color w:val="000000"/>
        </w:rPr>
      </w:pPr>
      <w:r>
        <w:rPr>
          <w:color w:val="000000"/>
        </w:rPr>
        <w:t xml:space="preserve">amending </w:t>
      </w:r>
      <w:r w:rsidR="001629E4" w:rsidRPr="001629E4">
        <w:rPr>
          <w:color w:val="000000"/>
        </w:rPr>
        <w:t xml:space="preserve">the qualifying Cobb angle </w:t>
      </w:r>
      <w:r w:rsidR="009C4E63" w:rsidRPr="001629E4">
        <w:rPr>
          <w:color w:val="000000"/>
        </w:rPr>
        <w:t xml:space="preserve">range </w:t>
      </w:r>
      <w:r w:rsidR="009C4E63">
        <w:rPr>
          <w:color w:val="000000"/>
        </w:rPr>
        <w:t>to</w:t>
      </w:r>
      <w:r w:rsidR="001629E4" w:rsidRPr="001629E4">
        <w:rPr>
          <w:color w:val="000000"/>
        </w:rPr>
        <w:t xml:space="preserve"> 30° - 70° and the upper age limit to 16</w:t>
      </w:r>
      <w:r w:rsidR="002E6370">
        <w:rPr>
          <w:color w:val="000000"/>
        </w:rPr>
        <w:t> </w:t>
      </w:r>
      <w:r w:rsidR="001629E4" w:rsidRPr="001629E4">
        <w:rPr>
          <w:color w:val="000000"/>
        </w:rPr>
        <w:t>years, noting, however, that an explicit upper age limit may not be necessary when including the phrase “skeletally immature child or adolescent” in the descriptor</w:t>
      </w:r>
    </w:p>
    <w:p w14:paraId="40FCE788" w14:textId="46536A96" w:rsidR="001629E4" w:rsidRDefault="000D42F2" w:rsidP="00BD17AF">
      <w:pPr>
        <w:pStyle w:val="ListParagraph"/>
        <w:numPr>
          <w:ilvl w:val="0"/>
          <w:numId w:val="28"/>
        </w:numPr>
        <w:rPr>
          <w:color w:val="000000"/>
        </w:rPr>
      </w:pPr>
      <w:r>
        <w:rPr>
          <w:color w:val="000000"/>
        </w:rPr>
        <w:t>s</w:t>
      </w:r>
      <w:r w:rsidR="001629E4">
        <w:rPr>
          <w:color w:val="000000"/>
        </w:rPr>
        <w:t>etting the MBS item fee(s) for VBT to</w:t>
      </w:r>
      <w:r w:rsidR="001629E4" w:rsidRPr="001629E4">
        <w:t xml:space="preserve"> </w:t>
      </w:r>
      <w:r w:rsidR="001629E4" w:rsidRPr="001629E4">
        <w:rPr>
          <w:color w:val="000000"/>
        </w:rPr>
        <w:t>the existing fees for ‘fixation of motion segment with vertebral body screw, pedicle screw or hook instrumentation including sublaminar tapes or wires’ (MBS items 51021-51025).</w:t>
      </w:r>
    </w:p>
    <w:p w14:paraId="53C5AF53" w14:textId="10C2FD8D" w:rsidR="001629E4" w:rsidRDefault="001629E4" w:rsidP="00BD17AF">
      <w:pPr>
        <w:spacing w:before="240" w:after="40"/>
        <w:ind w:right="-279"/>
        <w:rPr>
          <w:rFonts w:cstheme="minorHAnsi"/>
        </w:rPr>
      </w:pPr>
      <w:r>
        <w:rPr>
          <w:color w:val="000000"/>
        </w:rPr>
        <w:t>The pre-ESC response also advised that based on previous correspondence with spinal surgeons in Australia, it</w:t>
      </w:r>
      <w:r>
        <w:rPr>
          <w:rFonts w:cstheme="minorHAnsi"/>
        </w:rPr>
        <w:t xml:space="preserve"> is strongly believed that several existing MBS items are currently used to claim VBT procedures, including:</w:t>
      </w:r>
    </w:p>
    <w:p w14:paraId="61E3DF50" w14:textId="4BF2A68F" w:rsidR="001629E4" w:rsidRDefault="001629E4" w:rsidP="00BD17AF">
      <w:pPr>
        <w:pStyle w:val="ListParagraph"/>
        <w:numPr>
          <w:ilvl w:val="0"/>
          <w:numId w:val="29"/>
        </w:numPr>
        <w:spacing w:after="40"/>
        <w:ind w:right="-279"/>
        <w:rPr>
          <w:rFonts w:cstheme="minorHAnsi"/>
        </w:rPr>
      </w:pPr>
      <w:r>
        <w:rPr>
          <w:rFonts w:cstheme="minorHAnsi"/>
        </w:rPr>
        <w:lastRenderedPageBreak/>
        <w:t>MBS Items 51021-51025.</w:t>
      </w:r>
    </w:p>
    <w:p w14:paraId="7DFAE9EF" w14:textId="77777777" w:rsidR="001629E4" w:rsidRDefault="001629E4" w:rsidP="00BD17AF">
      <w:pPr>
        <w:pStyle w:val="ListParagraph"/>
        <w:numPr>
          <w:ilvl w:val="0"/>
          <w:numId w:val="29"/>
        </w:numPr>
        <w:spacing w:after="40"/>
        <w:ind w:right="-279"/>
        <w:rPr>
          <w:rFonts w:cstheme="minorHAnsi"/>
        </w:rPr>
      </w:pPr>
      <w:r>
        <w:rPr>
          <w:rFonts w:cstheme="minorHAnsi"/>
        </w:rPr>
        <w:t>MBS items 50624 or 50628 (‘scoliosis, in a child or adolescent, anterior correction of, with fusion and segmental fixation’; ‘not more than 4 levels’ or ‘more than 4 levels’, respectively).</w:t>
      </w:r>
    </w:p>
    <w:p w14:paraId="1DED68EB" w14:textId="77777777" w:rsidR="001629E4" w:rsidRDefault="001629E4" w:rsidP="00BD17AF">
      <w:pPr>
        <w:pStyle w:val="ListParagraph"/>
        <w:numPr>
          <w:ilvl w:val="0"/>
          <w:numId w:val="29"/>
        </w:numPr>
        <w:spacing w:after="40"/>
        <w:ind w:right="-279"/>
        <w:rPr>
          <w:rFonts w:cstheme="minorHAnsi"/>
        </w:rPr>
      </w:pPr>
      <w:r>
        <w:rPr>
          <w:rFonts w:cstheme="minorHAnsi"/>
        </w:rPr>
        <w:t>These MBS items are typically claimed alongside MBS item 51165 (‘anterior exposure of thoracic or lumbar spine, more than one motion segment’) or 38418 (‘thoracotomy, exploratory, with or without biopsy’).</w:t>
      </w:r>
    </w:p>
    <w:p w14:paraId="4C0610B5" w14:textId="27486335" w:rsidR="00D14F4A" w:rsidRPr="00BD17AF" w:rsidRDefault="001629E4" w:rsidP="002E6370">
      <w:pPr>
        <w:spacing w:before="240" w:after="40"/>
        <w:ind w:right="-279"/>
        <w:rPr>
          <w:rFonts w:cstheme="minorHAnsi"/>
        </w:rPr>
      </w:pPr>
      <w:r>
        <w:rPr>
          <w:rFonts w:cstheme="minorHAnsi"/>
        </w:rPr>
        <w:t>The surgeons also advised that these existing MBS items understate the complexity of the VBT procedure.</w:t>
      </w:r>
    </w:p>
    <w:p w14:paraId="651DA77C" w14:textId="7036999A" w:rsidR="00241DF3" w:rsidRDefault="00241DF3" w:rsidP="00BD17AF">
      <w:pPr>
        <w:spacing w:before="240"/>
      </w:pPr>
      <w:r w:rsidRPr="00B3502A">
        <w:t xml:space="preserve">The </w:t>
      </w:r>
      <w:r>
        <w:t xml:space="preserve">ADAR considered that the </w:t>
      </w:r>
      <w:r w:rsidRPr="00B3502A">
        <w:t>existing MBS item 50616 already cover</w:t>
      </w:r>
      <w:r w:rsidR="008E6482">
        <w:t>s</w:t>
      </w:r>
      <w:r w:rsidRPr="00B3502A">
        <w:t xml:space="preserve"> revisions to the index VBT procedure.  However, a proposed item descriptor (a modification of MBS item 50616 as shown by the strikethrough but with the </w:t>
      </w:r>
      <w:r>
        <w:t xml:space="preserve">same fee) has been provided </w:t>
      </w:r>
      <w:r w:rsidRPr="00B3502A">
        <w:t>below if required.</w:t>
      </w:r>
    </w:p>
    <w:p w14:paraId="7EB6920B" w14:textId="2B6F5F8E" w:rsidR="00D14F4A" w:rsidRDefault="00D14F4A" w:rsidP="00BD17AF">
      <w:pPr>
        <w:pStyle w:val="Caption"/>
        <w:spacing w:before="240"/>
        <w:jc w:val="left"/>
      </w:pPr>
      <w:r>
        <w:t xml:space="preserve">Table </w:t>
      </w:r>
      <w:bookmarkEnd w:id="5"/>
      <w:r w:rsidR="00BD17AF">
        <w:t>3</w:t>
      </w:r>
      <w:r>
        <w:t xml:space="preserve">  Proposed </w:t>
      </w:r>
      <w:r w:rsidR="00D23B93">
        <w:t xml:space="preserve">modified </w:t>
      </w:r>
      <w:r>
        <w:t xml:space="preserve">MBS item </w:t>
      </w:r>
      <w:r w:rsidR="00D23B93">
        <w:t>50616</w:t>
      </w:r>
      <w:r>
        <w:t xml:space="preserve"> – revision procedure</w:t>
      </w:r>
      <w:bookmarkEnd w:id="6"/>
    </w:p>
    <w:tbl>
      <w:tblPr>
        <w:tblStyle w:val="TableGrid2"/>
        <w:tblW w:w="5000" w:type="pct"/>
        <w:tblLook w:val="04A0" w:firstRow="1" w:lastRow="0" w:firstColumn="1" w:lastColumn="0" w:noHBand="0" w:noVBand="1"/>
        <w:tblCaption w:val="Table 8 Proposed MBS item descriptor"/>
        <w:tblDescription w:val="This table provides the proposed description of the requested Medicare Benefits Schedule item."/>
      </w:tblPr>
      <w:tblGrid>
        <w:gridCol w:w="9016"/>
      </w:tblGrid>
      <w:tr w:rsidR="00D14F4A" w14:paraId="51588469" w14:textId="77777777" w:rsidTr="00776876">
        <w:trPr>
          <w:cnfStyle w:val="100000000000" w:firstRow="1" w:lastRow="0" w:firstColumn="0" w:lastColumn="0" w:oddVBand="0" w:evenVBand="0" w:oddHBand="0" w:evenHBand="0" w:firstRowFirstColumn="0" w:firstRowLastColumn="0" w:lastRowFirstColumn="0" w:lastRowLastColumn="0"/>
        </w:trPr>
        <w:tc>
          <w:tcPr>
            <w:tcW w:w="5000" w:type="pct"/>
            <w:hideMark/>
          </w:tcPr>
          <w:p w14:paraId="3D0DB153" w14:textId="77777777" w:rsidR="00D14F4A" w:rsidRDefault="00D14F4A" w:rsidP="00BD17AF">
            <w:pPr>
              <w:pStyle w:val="Tabletext"/>
              <w:keepNext/>
              <w:spacing w:line="256" w:lineRule="auto"/>
              <w:rPr>
                <w:lang w:val="en-US"/>
              </w:rPr>
            </w:pPr>
            <w:r>
              <w:rPr>
                <w:lang w:val="en-US"/>
              </w:rPr>
              <w:t>Category 3 – Therapeutic Procedures – Surgical Operations</w:t>
            </w:r>
          </w:p>
        </w:tc>
      </w:tr>
      <w:tr w:rsidR="00D14F4A" w14:paraId="65280B6B" w14:textId="77777777" w:rsidTr="00776876">
        <w:tc>
          <w:tcPr>
            <w:tcW w:w="5000" w:type="pct"/>
            <w:hideMark/>
          </w:tcPr>
          <w:p w14:paraId="4BDC8005" w14:textId="77777777" w:rsidR="00D14F4A" w:rsidRDefault="00D14F4A" w:rsidP="00BD17AF">
            <w:pPr>
              <w:pStyle w:val="Tabletext"/>
              <w:keepNext/>
              <w:spacing w:line="256" w:lineRule="auto"/>
              <w:rPr>
                <w:lang w:val="en-US"/>
              </w:rPr>
            </w:pPr>
            <w:r>
              <w:rPr>
                <w:b/>
                <w:lang w:val="en-US"/>
              </w:rPr>
              <w:t>Proposed item descriptor</w:t>
            </w:r>
            <w:r>
              <w:rPr>
                <w:lang w:val="en-US"/>
              </w:rPr>
              <w:t xml:space="preserve">: SCOLIOSIS, in a child or adolescent, re-exploration for adjustment or removal of </w:t>
            </w:r>
            <w:r>
              <w:rPr>
                <w:strike/>
                <w:lang w:val="en-US"/>
              </w:rPr>
              <w:t>segmental instrumentation</w:t>
            </w:r>
            <w:r>
              <w:rPr>
                <w:lang w:val="en-US"/>
              </w:rPr>
              <w:t xml:space="preserve"> </w:t>
            </w:r>
            <w:r>
              <w:rPr>
                <w:i/>
                <w:lang w:val="en-US"/>
              </w:rPr>
              <w:t>vertebral body tethering instrumentation</w:t>
            </w:r>
            <w:r>
              <w:rPr>
                <w:lang w:val="en-US"/>
              </w:rPr>
              <w:t xml:space="preserve"> used for correction of spine deformity</w:t>
            </w:r>
          </w:p>
        </w:tc>
      </w:tr>
      <w:tr w:rsidR="00D14F4A" w14:paraId="7157228D" w14:textId="77777777" w:rsidTr="00776876">
        <w:tc>
          <w:tcPr>
            <w:tcW w:w="5000" w:type="pct"/>
            <w:hideMark/>
          </w:tcPr>
          <w:p w14:paraId="4C4AEC46" w14:textId="77777777" w:rsidR="00D14F4A" w:rsidRDefault="00D14F4A" w:rsidP="00BD17AF">
            <w:pPr>
              <w:pStyle w:val="Tabletext"/>
              <w:keepNext/>
              <w:spacing w:line="256" w:lineRule="auto"/>
              <w:rPr>
                <w:lang w:val="en-US"/>
              </w:rPr>
            </w:pPr>
            <w:r>
              <w:rPr>
                <w:b/>
                <w:lang w:val="en-US"/>
              </w:rPr>
              <w:t>Proposed fee</w:t>
            </w:r>
            <w:r>
              <w:rPr>
                <w:lang w:val="en-US"/>
              </w:rPr>
              <w:t>:  $638.70</w:t>
            </w:r>
          </w:p>
        </w:tc>
      </w:tr>
    </w:tbl>
    <w:p w14:paraId="3EB259C8" w14:textId="6D5DA638" w:rsidR="00BE396E" w:rsidRPr="00B02E35" w:rsidRDefault="00190AC3" w:rsidP="00BD17AF">
      <w:pPr>
        <w:pStyle w:val="Tablenotes0"/>
        <w:jc w:val="left"/>
        <w:rPr>
          <w:i/>
        </w:rPr>
      </w:pPr>
      <w:r w:rsidRPr="00252425">
        <w:t>Source: ADAR</w:t>
      </w:r>
      <w:r>
        <w:t xml:space="preserve"> p.24,</w:t>
      </w:r>
      <w:r w:rsidRPr="00252425">
        <w:t xml:space="preserve"> Table </w:t>
      </w:r>
      <w:r>
        <w:t>A3.2</w:t>
      </w:r>
    </w:p>
    <w:p w14:paraId="5B2B1A02" w14:textId="47A019DF" w:rsidR="00775963" w:rsidRPr="00BD17AF" w:rsidRDefault="00775963" w:rsidP="00BD17AF">
      <w:pPr>
        <w:pStyle w:val="Heading1"/>
        <w:numPr>
          <w:ilvl w:val="0"/>
          <w:numId w:val="13"/>
        </w:numPr>
        <w:spacing w:before="240" w:after="240"/>
        <w:ind w:hanging="720"/>
        <w:rPr>
          <w:rFonts w:ascii="Arial" w:hAnsi="Arial" w:cs="Arial"/>
        </w:rPr>
      </w:pPr>
      <w:r w:rsidRPr="00BD17AF">
        <w:rPr>
          <w:rFonts w:ascii="Arial" w:hAnsi="Arial" w:cs="Arial"/>
        </w:rPr>
        <w:t xml:space="preserve">Summary of </w:t>
      </w:r>
      <w:r w:rsidR="00BD17AF">
        <w:rPr>
          <w:rFonts w:ascii="Arial" w:hAnsi="Arial" w:cs="Arial"/>
        </w:rPr>
        <w:t>p</w:t>
      </w:r>
      <w:r w:rsidRPr="00BD17AF">
        <w:rPr>
          <w:rFonts w:ascii="Arial" w:hAnsi="Arial" w:cs="Arial"/>
        </w:rPr>
        <w:t xml:space="preserve">ublic </w:t>
      </w:r>
      <w:r w:rsidR="00BD17AF">
        <w:rPr>
          <w:rFonts w:ascii="Arial" w:hAnsi="Arial" w:cs="Arial"/>
        </w:rPr>
        <w:t>c</w:t>
      </w:r>
      <w:r w:rsidRPr="00BD17AF">
        <w:rPr>
          <w:rFonts w:ascii="Arial" w:hAnsi="Arial" w:cs="Arial"/>
        </w:rPr>
        <w:t xml:space="preserve">onsultation </w:t>
      </w:r>
      <w:r w:rsidR="00BD17AF">
        <w:rPr>
          <w:rFonts w:ascii="Arial" w:hAnsi="Arial" w:cs="Arial"/>
        </w:rPr>
        <w:t>f</w:t>
      </w:r>
      <w:r w:rsidRPr="00BD17AF">
        <w:rPr>
          <w:rFonts w:ascii="Arial" w:hAnsi="Arial" w:cs="Arial"/>
        </w:rPr>
        <w:t>eedback/</w:t>
      </w:r>
      <w:r w:rsidR="00BD17AF">
        <w:rPr>
          <w:rFonts w:ascii="Arial" w:hAnsi="Arial" w:cs="Arial"/>
        </w:rPr>
        <w:t>c</w:t>
      </w:r>
      <w:r w:rsidRPr="00BD17AF">
        <w:rPr>
          <w:rFonts w:ascii="Arial" w:hAnsi="Arial" w:cs="Arial"/>
        </w:rPr>
        <w:t>onsumer Issues</w:t>
      </w:r>
    </w:p>
    <w:p w14:paraId="40AAC390" w14:textId="61707C4C" w:rsidR="00D672DE" w:rsidRPr="007434C0" w:rsidRDefault="00D672DE" w:rsidP="00926718">
      <w:r w:rsidRPr="007434C0">
        <w:t>The department received targeted consultation responses from</w:t>
      </w:r>
      <w:r w:rsidR="00B84D5C">
        <w:t xml:space="preserve"> one specialist organisation:</w:t>
      </w:r>
      <w:r w:rsidRPr="007434C0">
        <w:t xml:space="preserve"> the Spine Society of Australia (SSA)</w:t>
      </w:r>
      <w:r w:rsidR="00821C8D">
        <w:t>.</w:t>
      </w:r>
    </w:p>
    <w:p w14:paraId="6973E982" w14:textId="77777777" w:rsidR="00D672DE" w:rsidRPr="007434C0" w:rsidRDefault="00D672DE" w:rsidP="00926718">
      <w:pPr>
        <w:spacing w:before="240"/>
      </w:pPr>
      <w:r w:rsidRPr="007434C0">
        <w:t>The SSA generally supported the application with the following clarifications:</w:t>
      </w:r>
    </w:p>
    <w:p w14:paraId="1ED210D9" w14:textId="77777777" w:rsidR="00D672DE" w:rsidRPr="007434C0" w:rsidRDefault="00D672DE" w:rsidP="00926718">
      <w:pPr>
        <w:pStyle w:val="ListParagraph"/>
        <w:numPr>
          <w:ilvl w:val="0"/>
          <w:numId w:val="15"/>
        </w:numPr>
        <w:spacing w:after="200"/>
      </w:pPr>
      <w:r w:rsidRPr="007434C0">
        <w:t>SSA suggested a temporary MBS item number for use by clinicians with sufficient volume performance threshold in this field. Patient related outcomes could then be followed for 2-5 years until the patients are skeletally mature, with a review of the MBS items at 5 years</w:t>
      </w:r>
    </w:p>
    <w:p w14:paraId="7BDD0887" w14:textId="4B5CB25B" w:rsidR="00D672DE" w:rsidRPr="007434C0" w:rsidRDefault="00D672DE" w:rsidP="00926718">
      <w:pPr>
        <w:pStyle w:val="ListParagraph"/>
        <w:numPr>
          <w:ilvl w:val="0"/>
          <w:numId w:val="15"/>
        </w:numPr>
        <w:spacing w:after="200"/>
      </w:pPr>
      <w:r w:rsidRPr="007434C0">
        <w:t xml:space="preserve">SSA noted that VBT is technically demanding and specific training requirements and </w:t>
      </w:r>
      <w:r w:rsidR="00B221FA">
        <w:t xml:space="preserve">a </w:t>
      </w:r>
      <w:r w:rsidRPr="007434C0">
        <w:t>volume performance threshold should be considered</w:t>
      </w:r>
    </w:p>
    <w:p w14:paraId="699D2FFB" w14:textId="4DBA093A" w:rsidR="00D672DE" w:rsidRDefault="00D672DE" w:rsidP="00926718">
      <w:pPr>
        <w:pStyle w:val="ListParagraph"/>
        <w:numPr>
          <w:ilvl w:val="0"/>
          <w:numId w:val="15"/>
        </w:numPr>
        <w:spacing w:after="200"/>
      </w:pPr>
      <w:r w:rsidRPr="007434C0">
        <w:t>SSA queried whether the current evidence would support the claim th</w:t>
      </w:r>
      <w:r w:rsidR="0093107A">
        <w:t>at</w:t>
      </w:r>
      <w:r w:rsidRPr="007434C0">
        <w:t xml:space="preserve"> VBT is superior to PSF</w:t>
      </w:r>
      <w:r w:rsidR="00B221FA">
        <w:t xml:space="preserve">; it indicated that </w:t>
      </w:r>
      <w:r w:rsidRPr="007434C0">
        <w:t xml:space="preserve">its exact role </w:t>
      </w:r>
      <w:r w:rsidR="00B221FA">
        <w:t xml:space="preserve">is not </w:t>
      </w:r>
      <w:r w:rsidR="00465A07" w:rsidRPr="007434C0">
        <w:t>defined,</w:t>
      </w:r>
      <w:r w:rsidR="00B221FA">
        <w:t xml:space="preserve"> and higher quality evidence is needed</w:t>
      </w:r>
    </w:p>
    <w:p w14:paraId="4E46A3A6" w14:textId="69FEDDE4" w:rsidR="00D672DE" w:rsidRDefault="00D672DE" w:rsidP="00926718">
      <w:pPr>
        <w:pStyle w:val="ListParagraph"/>
        <w:numPr>
          <w:ilvl w:val="0"/>
          <w:numId w:val="15"/>
        </w:numPr>
        <w:spacing w:after="200"/>
      </w:pPr>
      <w:r w:rsidRPr="007434C0">
        <w:t xml:space="preserve">SSA queried the proposed </w:t>
      </w:r>
      <w:r w:rsidR="009C4E63" w:rsidRPr="007434C0">
        <w:t>fee and</w:t>
      </w:r>
      <w:r w:rsidRPr="007434C0">
        <w:t xml:space="preserve"> referred to MBS items. In the paediatric spinal portion of the MBS schedule, the closest numbers are 50624 and 50628, but both of these procedures are not direct comparators. In the general spine portion of the MBS 51011-51171 there are appropriate direct comparator numbers: 51023 or 51024 for fixation of 3-6 motion segments; and 51165 for anterior approach to 2 or more motion segments which can be used by either the primary or approach surgeon.</w:t>
      </w:r>
    </w:p>
    <w:p w14:paraId="77733D9B" w14:textId="66E66915" w:rsidR="00190AC3" w:rsidRDefault="00821C8D" w:rsidP="00926718">
      <w:r w:rsidRPr="00317AA2">
        <w:t>An</w:t>
      </w:r>
      <w:r w:rsidR="00B84D5C" w:rsidRPr="00317AA2">
        <w:t xml:space="preserve"> individual from </w:t>
      </w:r>
      <w:r w:rsidRPr="00317AA2">
        <w:t>a health organisation</w:t>
      </w:r>
      <w:r>
        <w:t xml:space="preserve"> also</w:t>
      </w:r>
      <w:r w:rsidR="00B84D5C" w:rsidRPr="007434C0">
        <w:t xml:space="preserve"> supported the application and suggested that the MBS item descriptor should include a requirement to limit the intervention to a paediatric population under 16 years of age, in a growing spine.</w:t>
      </w:r>
    </w:p>
    <w:p w14:paraId="14B8F3A8" w14:textId="39A5614B" w:rsidR="00EA0ECA" w:rsidRDefault="00EA0ECA" w:rsidP="00BD17AF">
      <w:pPr>
        <w:spacing w:before="240"/>
      </w:pPr>
      <w:r>
        <w:t>Post PASC, c</w:t>
      </w:r>
      <w:r w:rsidRPr="0035768C">
        <w:t xml:space="preserve">onsultation feedback was received from two care givers of two children with severe scoliosis, one of whom underwent </w:t>
      </w:r>
      <w:r w:rsidRPr="00CE4B0C">
        <w:t xml:space="preserve">VBT, whilst the other received spinal fusion T4-L1. The feedback was supportive of VBT for the treatment of </w:t>
      </w:r>
      <w:r w:rsidR="00B221FA">
        <w:t>AIS</w:t>
      </w:r>
      <w:r w:rsidRPr="00956670">
        <w:t xml:space="preserve"> and stressed that subsidised </w:t>
      </w:r>
      <w:r w:rsidRPr="00956670">
        <w:lastRenderedPageBreak/>
        <w:t xml:space="preserve">treatment through the </w:t>
      </w:r>
      <w:r w:rsidRPr="00F9008F">
        <w:t>MBS would offer a new treatment option for children and fami</w:t>
      </w:r>
      <w:r w:rsidRPr="00E93AA6">
        <w:t xml:space="preserve">lies in the public health sector, who would otherwise be unable to afford it. The feedback </w:t>
      </w:r>
      <w:r w:rsidR="0035768C" w:rsidRPr="00EA0ECA">
        <w:t>highlighted</w:t>
      </w:r>
      <w:r w:rsidRPr="00F9008F">
        <w:t xml:space="preserve"> that VBT is a less invasive and shorter procedure compared to spinal fusion, with less pain</w:t>
      </w:r>
      <w:r w:rsidRPr="00E93AA6">
        <w:t>, faster recovery times, shorter hospital stays and less risk of post-operative complications, therefore reducing the state health costs. One carer outlined that after undergoing VBT, her child achieved modest correction of the spinal deformity and good sp</w:t>
      </w:r>
      <w:r w:rsidRPr="007355E3">
        <w:t>inal growth with improved mental health and lung capacity.</w:t>
      </w:r>
    </w:p>
    <w:p w14:paraId="5184F7D8" w14:textId="094DA85B" w:rsidR="00B411FE" w:rsidRPr="00BD17AF" w:rsidRDefault="00EA0ECA" w:rsidP="00BD17AF">
      <w:pPr>
        <w:spacing w:before="240"/>
      </w:pPr>
      <w:r w:rsidRPr="00EA0ECA">
        <w:rPr>
          <w:iCs/>
        </w:rPr>
        <w:t>The disadvantage of VBT noted in the individual consultation feedback was the possibility of overcorrection and tether breakage. However, the feedback stressed that such instances are not prevalent, especially under the care of highly trained surgeons.</w:t>
      </w:r>
    </w:p>
    <w:p w14:paraId="647036DB" w14:textId="443B5CF7" w:rsidR="00BF0DFE" w:rsidRPr="00BD17AF" w:rsidRDefault="00065623" w:rsidP="00BD17AF">
      <w:pPr>
        <w:pStyle w:val="Heading1"/>
        <w:numPr>
          <w:ilvl w:val="0"/>
          <w:numId w:val="13"/>
        </w:numPr>
        <w:spacing w:before="240" w:after="240"/>
        <w:ind w:hanging="720"/>
        <w:rPr>
          <w:rFonts w:ascii="Arial" w:hAnsi="Arial" w:cs="Arial"/>
        </w:rPr>
      </w:pPr>
      <w:r w:rsidRPr="00BD17AF">
        <w:rPr>
          <w:rFonts w:ascii="Arial" w:hAnsi="Arial" w:cs="Arial"/>
        </w:rPr>
        <w:t>Proposed intervention’s place in clinical management</w:t>
      </w:r>
    </w:p>
    <w:p w14:paraId="2BD4F589" w14:textId="77777777" w:rsidR="00BD17AF" w:rsidRDefault="00BD17AF" w:rsidP="00BD17AF">
      <w:pPr>
        <w:rPr>
          <w:i/>
          <w:iCs/>
        </w:rPr>
      </w:pPr>
      <w:r>
        <w:rPr>
          <w:i/>
          <w:iCs/>
        </w:rPr>
        <w:t>Description of proposed intervention</w:t>
      </w:r>
    </w:p>
    <w:p w14:paraId="23DC4B9C" w14:textId="0382D21D" w:rsidR="00BD17AF" w:rsidRDefault="00BD17AF" w:rsidP="00BD17AF">
      <w:r w:rsidRPr="00252425">
        <w:t>VBT is a form of scoliosis surgery that aims to preserve spinal mobility, flexibility</w:t>
      </w:r>
      <w:r>
        <w:t>,</w:t>
      </w:r>
      <w:r w:rsidRPr="00252425">
        <w:t xml:space="preserve"> and function.</w:t>
      </w:r>
      <w:r>
        <w:t xml:space="preserve"> </w:t>
      </w:r>
      <w:r w:rsidRPr="00252425">
        <w:t>It is a minimally invasive procedure performed by an orthopaedic spinal surgeon. An assisting general (access) surgeon may also be required for anterior exposure of the spine. After the patient is administered general anaesthesia, the surgeon(s) will access the spine via thoracoscopic access or mini‐thoracotomy (an anterior approach).</w:t>
      </w:r>
      <w:r>
        <w:t xml:space="preserve"> The surgeons then use a fibre-optic video camera to help them place titanium screws into the vertebral bodies on the convex side of the coronal deformity. The screws are placed into the middle of the vertebral body with bicortical purchase under fluoroscopic guidance. A high-strength, braided polypropylene tether is then placed into the screw heads and sequentially secured to each screw after segmental compression.  The tether is pulled taut, which then guides future growth. The technique achieves immediate post-operative partial correction of the spinal deformity. The pressure from the tether causes the vertebrae to grow denser and more slowly on the convex side of the curve, whilst the concave side of the spine continues to grow at a normal rate.  As such, the spine gradually straightens as the patient grows.</w:t>
      </w:r>
    </w:p>
    <w:p w14:paraId="129E28ED" w14:textId="564C8CE4" w:rsidR="00BD17AF" w:rsidRPr="00BD17AF" w:rsidRDefault="00BD17AF" w:rsidP="00BD17AF">
      <w:pPr>
        <w:spacing w:before="240"/>
      </w:pPr>
      <w:r>
        <w:rPr>
          <w:i/>
          <w:iCs/>
        </w:rPr>
        <w:t>Description of medical condition(s)</w:t>
      </w:r>
    </w:p>
    <w:p w14:paraId="5894DA66" w14:textId="7C1DEA63" w:rsidR="00BD17AF" w:rsidRDefault="00BD17AF" w:rsidP="00BD17AF">
      <w:r>
        <w:t>AIS refers to scoliosis (Cobb angle ≥10°) of unknown cause first identified in children when they are aged between 10 and 18 years (Horne 2014)</w:t>
      </w:r>
      <w:r>
        <w:rPr>
          <w:rStyle w:val="FootnoteReference"/>
        </w:rPr>
        <w:footnoteReference w:id="10"/>
      </w:r>
      <w:r>
        <w:t>. The incidence of scoliosis is similar in males and females; however, females have up to a 10-fold greater risk of curve progression. Without treatment, there is progression of scoliosis and the extent of spinal curvature, with the rate of progression being greater for more severe curves at the time of diagnosis. Although AIS may not cause significant pain, it is associated with visible deformity, which is in turn associated with emotional distress and diminished self-image.  Detrimental impacts on quality of life have been reported for self-image (and pain) domains for patients who do not undergo surgery for AIS</w:t>
      </w:r>
      <w:r>
        <w:rPr>
          <w:rStyle w:val="FootnoteReference"/>
        </w:rPr>
        <w:footnoteReference w:id="11"/>
      </w:r>
      <w:r>
        <w:t>. Severe curvature (Cobb angle ≥40°) can also lead to impaired pulmonary function (shortness of breath) due to rib deformity, which may affect the ability to perform daily activities</w:t>
      </w:r>
      <w:r>
        <w:rPr>
          <w:rStyle w:val="FootnoteReference"/>
        </w:rPr>
        <w:footnoteReference w:id="12"/>
      </w:r>
      <w:r w:rsidRPr="00080945">
        <w:rPr>
          <w:vertAlign w:val="superscript"/>
        </w:rPr>
        <w:t>,</w:t>
      </w:r>
      <w:r>
        <w:rPr>
          <w:rStyle w:val="FootnoteReference"/>
        </w:rPr>
        <w:footnoteReference w:id="13"/>
      </w:r>
      <w:r w:rsidRPr="00080945">
        <w:rPr>
          <w:vertAlign w:val="superscript"/>
        </w:rPr>
        <w:t>,</w:t>
      </w:r>
      <w:r>
        <w:rPr>
          <w:rStyle w:val="FootnoteReference"/>
        </w:rPr>
        <w:footnoteReference w:id="14"/>
      </w:r>
      <w:r>
        <w:t>.</w:t>
      </w:r>
    </w:p>
    <w:p w14:paraId="38339326" w14:textId="77777777" w:rsidR="00BD17AF" w:rsidRPr="008B03F3" w:rsidRDefault="00BD17AF" w:rsidP="00BD17AF">
      <w:pPr>
        <w:spacing w:before="240"/>
        <w:rPr>
          <w:i/>
          <w:iCs/>
        </w:rPr>
      </w:pPr>
      <w:r w:rsidRPr="00252425">
        <w:lastRenderedPageBreak/>
        <w:t xml:space="preserve">The proposed population is </w:t>
      </w:r>
      <w:r>
        <w:t xml:space="preserve">a </w:t>
      </w:r>
      <w:r w:rsidRPr="00252425">
        <w:t>skeletally immature child or adolescent aged 10-18 years with a Cobb angle of ≥40° who has failed standard car</w:t>
      </w:r>
      <w:r>
        <w:t>e</w:t>
      </w:r>
      <w:r w:rsidRPr="00252425">
        <w:t xml:space="preserve"> including external bracing. Severe AIS is defined internationally (including by Scoliosis Australia) as a Cobb angle ≥40°. Failure of external bracing can be defined by &gt;5° progression and/or intolerance to brace wear</w:t>
      </w:r>
      <w:r>
        <w:rPr>
          <w:rStyle w:val="FootnoteReference"/>
        </w:rPr>
        <w:footnoteReference w:id="15"/>
      </w:r>
      <w:r>
        <w:t>.</w:t>
      </w:r>
    </w:p>
    <w:p w14:paraId="038E16E5" w14:textId="59A8EC6F" w:rsidR="00EB18EB" w:rsidRPr="00252425" w:rsidRDefault="00EB18EB" w:rsidP="00BD17AF">
      <w:r>
        <w:t xml:space="preserve">The current and proposed </w:t>
      </w:r>
      <w:r w:rsidRPr="00EB18EB">
        <w:t xml:space="preserve">clinical management algorithm </w:t>
      </w:r>
      <w:r>
        <w:t xml:space="preserve">is summarised in Figure 1. </w:t>
      </w:r>
      <w:r w:rsidRPr="00252425">
        <w:t xml:space="preserve">Patients are treated according </w:t>
      </w:r>
      <w:r>
        <w:t xml:space="preserve">to </w:t>
      </w:r>
      <w:r w:rsidRPr="00252425">
        <w:t>the severity of their Cobb angle. Those with Cobb angles &lt;</w:t>
      </w:r>
      <w:r>
        <w:t> </w:t>
      </w:r>
      <w:r w:rsidRPr="00252425">
        <w:t>40</w:t>
      </w:r>
      <w:r w:rsidRPr="00252425">
        <w:sym w:font="Symbol" w:char="F0B0"/>
      </w:r>
      <w:r w:rsidRPr="00252425">
        <w:t xml:space="preserve"> are offered bracing, physiotherapy, exercise, and pain management. Those with Cobb </w:t>
      </w:r>
      <w:r w:rsidR="008E6482">
        <w:br/>
      </w:r>
      <w:r w:rsidRPr="00252425">
        <w:t>angles ≥ 40</w:t>
      </w:r>
      <w:r w:rsidRPr="00252425">
        <w:sym w:font="Symbol" w:char="F0B0"/>
      </w:r>
      <w:r w:rsidRPr="00252425">
        <w:t xml:space="preserve"> are offered surgical correction.</w:t>
      </w:r>
    </w:p>
    <w:p w14:paraId="346A53B0" w14:textId="0B9CF24A" w:rsidR="00547152" w:rsidRDefault="00547152" w:rsidP="00BD17AF">
      <w:pPr>
        <w:spacing w:before="240"/>
      </w:pPr>
      <w:r>
        <w:t xml:space="preserve">The commentary considered the clinical management algorithm is appropriate to the population and comparators specified, noting that a proportion of VBT patients will </w:t>
      </w:r>
      <w:r w:rsidR="00DD4893">
        <w:t>undergo subsequent PSF surgery.</w:t>
      </w:r>
    </w:p>
    <w:p w14:paraId="66071120" w14:textId="1B3EACC0" w:rsidR="00E2765F" w:rsidRDefault="00E2765F" w:rsidP="004F0996">
      <w:pPr>
        <w:pStyle w:val="Caption"/>
        <w:jc w:val="left"/>
      </w:pPr>
      <w:r>
        <w:lastRenderedPageBreak/>
        <w:t xml:space="preserve">Figure </w:t>
      </w:r>
      <w:fldSimple w:instr=" SEQ Figure \* ARABIC ">
        <w:r>
          <w:rPr>
            <w:noProof/>
          </w:rPr>
          <w:t>1</w:t>
        </w:r>
      </w:fldSimple>
      <w:r>
        <w:t xml:space="preserve"> </w:t>
      </w:r>
      <w:r w:rsidRPr="003A17B2">
        <w:t>Current and proposed clinical management algorithm</w:t>
      </w:r>
    </w:p>
    <w:p w14:paraId="23A3B82D" w14:textId="3495F691" w:rsidR="00EB18EB" w:rsidRDefault="004467F1" w:rsidP="00BD17AF">
      <w:pPr>
        <w:keepNext/>
      </w:pPr>
      <w:r w:rsidRPr="00252425">
        <w:rPr>
          <w:noProof/>
        </w:rPr>
        <w:drawing>
          <wp:inline distT="0" distB="0" distL="0" distR="0" wp14:anchorId="1531F14A" wp14:editId="380267B2">
            <wp:extent cx="5731510" cy="7595870"/>
            <wp:effectExtent l="0" t="0" r="0" b="0"/>
            <wp:docPr id="41" name="Picture 41" descr="Figure 2: Current and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Current and proposed clinical management algorith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595870"/>
                    </a:xfrm>
                    <a:prstGeom prst="rect">
                      <a:avLst/>
                    </a:prstGeom>
                  </pic:spPr>
                </pic:pic>
              </a:graphicData>
            </a:graphic>
          </wp:inline>
        </w:drawing>
      </w:r>
    </w:p>
    <w:p w14:paraId="290BCF86" w14:textId="2538626C" w:rsidR="004467F1" w:rsidRDefault="004467F1" w:rsidP="00BD17AF">
      <w:pPr>
        <w:pStyle w:val="Tablenotes0"/>
        <w:jc w:val="left"/>
      </w:pPr>
      <w:r w:rsidRPr="00252425">
        <w:t>Source: Ratified PICO, Figure 2, p. 14; ADAR Figure A.6.1, p. 29</w:t>
      </w:r>
    </w:p>
    <w:p w14:paraId="076812CD" w14:textId="150DBEBB" w:rsidR="00EB18EB" w:rsidRPr="00BD17AF" w:rsidRDefault="00065623" w:rsidP="00BD17AF">
      <w:pPr>
        <w:pStyle w:val="Heading1"/>
        <w:numPr>
          <w:ilvl w:val="0"/>
          <w:numId w:val="13"/>
        </w:numPr>
        <w:spacing w:before="240" w:after="240"/>
        <w:ind w:hanging="720"/>
        <w:rPr>
          <w:rFonts w:ascii="Arial" w:hAnsi="Arial" w:cs="Arial"/>
        </w:rPr>
      </w:pPr>
      <w:r w:rsidRPr="00BD17AF">
        <w:rPr>
          <w:rFonts w:ascii="Arial" w:hAnsi="Arial" w:cs="Arial"/>
        </w:rPr>
        <w:t>Comparator</w:t>
      </w:r>
    </w:p>
    <w:p w14:paraId="181E8459" w14:textId="3712C5D9" w:rsidR="001D0D97" w:rsidRDefault="001D0D97" w:rsidP="00BD17AF">
      <w:r w:rsidRPr="00252425">
        <w:t>The comparator proposed in the ADAR is PSF</w:t>
      </w:r>
      <w:r>
        <w:t>,</w:t>
      </w:r>
      <w:r w:rsidRPr="00252425">
        <w:t xml:space="preserve"> which is MBS funded (</w:t>
      </w:r>
      <w:r>
        <w:t>see Table 4).</w:t>
      </w:r>
    </w:p>
    <w:p w14:paraId="52072E1A" w14:textId="18925117" w:rsidR="008B03F3" w:rsidRPr="007434C0" w:rsidRDefault="008B03F3" w:rsidP="00BD17AF">
      <w:pPr>
        <w:spacing w:before="240"/>
      </w:pPr>
      <w:r w:rsidRPr="007434C0">
        <w:t>Spinal fusion</w:t>
      </w:r>
      <w:r>
        <w:t xml:space="preserve"> (</w:t>
      </w:r>
      <w:r w:rsidRPr="007434C0">
        <w:t xml:space="preserve">typically done with a posterior approach, e.g. PSF) is the current approach for the treatment and management of AIS with a Cobb angle of ≥40°. A bone graft taken from </w:t>
      </w:r>
      <w:r w:rsidRPr="007434C0">
        <w:lastRenderedPageBreak/>
        <w:t xml:space="preserve">the patient, bone bank or an artificial substitute is utilised to promote fusion between two vertebrae, improve stability, correct a deformity </w:t>
      </w:r>
      <w:r w:rsidR="00177F0E">
        <w:t>and/</w:t>
      </w:r>
      <w:r w:rsidRPr="007434C0">
        <w:t xml:space="preserve">or reduce pain </w:t>
      </w:r>
      <w:r w:rsidRPr="007434C0">
        <w:fldChar w:fldCharType="begin"/>
      </w:r>
      <w:r w:rsidRPr="007434C0">
        <w:instrText xml:space="preserve"> ADDIN EN.CITE &lt;EndNote&gt;&lt;Cite&gt;&lt;Author&gt;Tarpada&lt;/Author&gt;&lt;Year&gt;2017&lt;/Year&gt;&lt;RecNum&gt;11&lt;/RecNum&gt;&lt;DisplayText&gt;(Tarpada, Morris &amp;amp; Burton 2017)&lt;/DisplayText&gt;&lt;record&gt;&lt;rec-number&gt;11&lt;/rec-number&gt;&lt;foreign-keys&gt;&lt;key app="EN" db-id="x9pfsaaxd0vtalevx00pe2xqrexaefd20sxr" timestamp="1614057797"&gt;11&lt;/key&gt;&lt;/foreign-keys&gt;&lt;ref-type name="Journal Article"&gt;17&lt;/ref-type&gt;&lt;contributors&gt;&lt;authors&gt;&lt;author&gt;Tarpada, Sandip P.&lt;/author&gt;&lt;author&gt;Morris, Matthew T.&lt;/author&gt;&lt;author&gt;Burton, Denver A.&lt;/author&gt;&lt;/authors&gt;&lt;/contributors&gt;&lt;titles&gt;&lt;title&gt;Spinal fusion surgery: A historical perspective&lt;/title&gt;&lt;secondary-title&gt;Journal of Orthopaedics&lt;/secondary-title&gt;&lt;/titles&gt;&lt;periodical&gt;&lt;full-title&gt;Journal of Orthopaedics&lt;/full-title&gt;&lt;/periodical&gt;&lt;pages&gt;134-136&lt;/pages&gt;&lt;volume&gt;14&lt;/volume&gt;&lt;number&gt;1&lt;/number&gt;&lt;keywords&gt;&lt;keyword&gt;History&lt;/keyword&gt;&lt;keyword&gt;Scoliosis&lt;/keyword&gt;&lt;keyword&gt;Spinal fusion&lt;/keyword&gt;&lt;/keywords&gt;&lt;dates&gt;&lt;year&gt;2017&lt;/year&gt;&lt;pub-dates&gt;&lt;date&gt;2017/03/01/&lt;/date&gt;&lt;/pub-dates&gt;&lt;/dates&gt;&lt;isbn&gt;0972-978X&lt;/isbn&gt;&lt;urls&gt;&lt;related-urls&gt;&lt;url&gt;https://www.sciencedirect.com/science/article/pii/S0972978X16301969&lt;/url&gt;&lt;/related-urls&gt;&lt;/urls&gt;&lt;electronic-resource-num&gt;https://doi.org/10.1016/j.jor.2016.10.029&lt;/electronic-resource-num&gt;&lt;/record&gt;&lt;/Cite&gt;&lt;/EndNote&gt;</w:instrText>
      </w:r>
      <w:r w:rsidRPr="007434C0">
        <w:fldChar w:fldCharType="separate"/>
      </w:r>
      <w:r w:rsidRPr="007434C0">
        <w:rPr>
          <w:noProof/>
        </w:rPr>
        <w:t>(Tarpada, Morris &amp; Burton 2017)</w:t>
      </w:r>
      <w:r w:rsidRPr="007434C0">
        <w:fldChar w:fldCharType="end"/>
      </w:r>
      <w:r w:rsidRPr="007434C0">
        <w:t>. The most common approach of spinal fusion</w:t>
      </w:r>
      <w:r w:rsidR="009213A0">
        <w:rPr>
          <w:iCs/>
        </w:rPr>
        <w:t xml:space="preserve">, </w:t>
      </w:r>
      <w:r w:rsidRPr="007434C0">
        <w:t>which involves metal screws, plates, and rods, is generally performed using the posterior approach. After general anaesthesia, an incision at the back of the spine is made, and pedicle screws are utilised, placed above and below the fused vertebrae, to provide extra support and strength to the purported spinal fusion. The pedicle screws are connected by the rod to prevent movement and promote healing. The screws and rod can be removed after the surgery if they cause pain and discomfort</w:t>
      </w:r>
      <w:r w:rsidR="0014052A">
        <w:t>.</w:t>
      </w:r>
      <w:r w:rsidR="0014052A">
        <w:rPr>
          <w:rStyle w:val="FootnoteReference"/>
        </w:rPr>
        <w:footnoteReference w:id="16"/>
      </w:r>
      <w:r w:rsidRPr="007434C0">
        <w:t xml:space="preserve"> </w:t>
      </w:r>
    </w:p>
    <w:p w14:paraId="7DEB7DB3" w14:textId="54076671" w:rsidR="001D0D97" w:rsidRDefault="008B03F3" w:rsidP="00926718">
      <w:pPr>
        <w:spacing w:before="240"/>
      </w:pPr>
      <w:r w:rsidRPr="009C0D0B">
        <w:rPr>
          <w:iCs/>
        </w:rPr>
        <w:t xml:space="preserve">PASC agreed that PSF is the appropriate comparator for VBT, with VBT hypothesised as a direct </w:t>
      </w:r>
      <w:r w:rsidR="009213A0" w:rsidRPr="009C0D0B">
        <w:rPr>
          <w:iCs/>
        </w:rPr>
        <w:t>replacement</w:t>
      </w:r>
      <w:r w:rsidR="009213A0" w:rsidRPr="009C0D0B">
        <w:rPr>
          <w:iCs/>
          <w:sz w:val="12"/>
          <w:szCs w:val="12"/>
        </w:rPr>
        <w:t>.</w:t>
      </w:r>
      <w:r w:rsidR="00F40721">
        <w:t xml:space="preserve"> </w:t>
      </w:r>
      <w:r w:rsidR="00547152">
        <w:t xml:space="preserve">The </w:t>
      </w:r>
      <w:r w:rsidR="008E6482">
        <w:t>c</w:t>
      </w:r>
      <w:r w:rsidR="00547152">
        <w:t>ommentary accepted this as the appropriate comparator</w:t>
      </w:r>
      <w:r w:rsidR="00BE3277">
        <w:t>; h</w:t>
      </w:r>
      <w:r w:rsidR="00BE3277" w:rsidRPr="007434C0">
        <w:t>owever, a percentage of patients that undergo the VBT procedure may require PSF surgery</w:t>
      </w:r>
      <w:r w:rsidR="00BE3277">
        <w:t>.</w:t>
      </w:r>
    </w:p>
    <w:p w14:paraId="4DEDAA66" w14:textId="499E99DE" w:rsidR="0084255E" w:rsidRDefault="0084255E" w:rsidP="00926718">
      <w:pPr>
        <w:pStyle w:val="Caption"/>
        <w:spacing w:before="240"/>
        <w:jc w:val="left"/>
      </w:pPr>
      <w:r>
        <w:t xml:space="preserve">Table 4 </w:t>
      </w:r>
      <w:r>
        <w:tab/>
        <w:t>MBS items for posterior spinal fusion</w:t>
      </w:r>
    </w:p>
    <w:tbl>
      <w:tblPr>
        <w:tblStyle w:val="TableGrid2"/>
        <w:tblW w:w="5000" w:type="pct"/>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1215"/>
        <w:gridCol w:w="7801"/>
      </w:tblGrid>
      <w:tr w:rsidR="00F40721" w:rsidRPr="00252425" w14:paraId="53549421" w14:textId="77777777" w:rsidTr="00776876">
        <w:trPr>
          <w:cnfStyle w:val="100000000000" w:firstRow="1" w:lastRow="0" w:firstColumn="0" w:lastColumn="0" w:oddVBand="0" w:evenVBand="0" w:oddHBand="0" w:evenHBand="0" w:firstRowFirstColumn="0" w:firstRowLastColumn="0" w:lastRowFirstColumn="0" w:lastRowLastColumn="0"/>
          <w:trHeight w:val="335"/>
        </w:trPr>
        <w:tc>
          <w:tcPr>
            <w:tcW w:w="674" w:type="pct"/>
          </w:tcPr>
          <w:p w14:paraId="01EC79ED" w14:textId="77777777" w:rsidR="00F40721" w:rsidRPr="00252425" w:rsidRDefault="00F40721" w:rsidP="00BD17AF">
            <w:pPr>
              <w:pStyle w:val="Tabletext"/>
              <w:rPr>
                <w:b/>
                <w:bCs/>
              </w:rPr>
            </w:pPr>
            <w:r w:rsidRPr="00252425">
              <w:rPr>
                <w:b/>
                <w:bCs/>
              </w:rPr>
              <w:t>MBS item number</w:t>
            </w:r>
          </w:p>
        </w:tc>
        <w:tc>
          <w:tcPr>
            <w:tcW w:w="4326" w:type="pct"/>
          </w:tcPr>
          <w:p w14:paraId="680E3D21" w14:textId="77777777" w:rsidR="00F40721" w:rsidRPr="00252425" w:rsidRDefault="00F40721" w:rsidP="00BD17AF">
            <w:pPr>
              <w:pStyle w:val="Tabletext"/>
              <w:rPr>
                <w:b/>
                <w:bCs/>
              </w:rPr>
            </w:pPr>
            <w:r w:rsidRPr="00252425">
              <w:rPr>
                <w:b/>
                <w:bCs/>
              </w:rPr>
              <w:t>Category 3 – Therapeutic Procedures</w:t>
            </w:r>
          </w:p>
          <w:p w14:paraId="054C1880" w14:textId="77777777" w:rsidR="00F40721" w:rsidRPr="00252425" w:rsidRDefault="00F40721" w:rsidP="00BD17AF">
            <w:pPr>
              <w:pStyle w:val="Tabletext"/>
              <w:rPr>
                <w:b/>
                <w:bCs/>
              </w:rPr>
            </w:pPr>
            <w:r w:rsidRPr="00252425">
              <w:rPr>
                <w:b/>
                <w:bCs/>
              </w:rPr>
              <w:t>(Group T8 – Surgical Operations, Subgroup 15 – Orthopaedic, Subheading 20 – Spine Surgery For Scoliosis And Kyphosis In Paediatric Patients)</w:t>
            </w:r>
          </w:p>
        </w:tc>
      </w:tr>
      <w:tr w:rsidR="00F40721" w:rsidRPr="00252425" w14:paraId="599ADAE3" w14:textId="77777777" w:rsidTr="00776876">
        <w:tc>
          <w:tcPr>
            <w:tcW w:w="674" w:type="pct"/>
          </w:tcPr>
          <w:p w14:paraId="6EC3A794" w14:textId="77777777" w:rsidR="00F40721" w:rsidRPr="00252425" w:rsidRDefault="00F40721" w:rsidP="00BD17AF">
            <w:pPr>
              <w:pStyle w:val="Tabletext"/>
            </w:pPr>
            <w:r w:rsidRPr="00252425">
              <w:t>50608</w:t>
            </w:r>
          </w:p>
        </w:tc>
        <w:tc>
          <w:tcPr>
            <w:tcW w:w="4326" w:type="pct"/>
          </w:tcPr>
          <w:p w14:paraId="6300C0B0" w14:textId="77777777" w:rsidR="00F40721" w:rsidRPr="00252425" w:rsidRDefault="00F40721" w:rsidP="00BD17AF">
            <w:pPr>
              <w:pStyle w:val="Tabletext"/>
            </w:pPr>
            <w:r w:rsidRPr="00252425">
              <w:t>SCOLIOSIS OR KYPHOSIS, in a child or adolescent, treatment by segmental instrumentation and fusion of the spine</w:t>
            </w:r>
          </w:p>
          <w:p w14:paraId="2EED1DBE" w14:textId="77777777" w:rsidR="00F40721" w:rsidRPr="00252425" w:rsidRDefault="00F40721" w:rsidP="00BD17AF">
            <w:pPr>
              <w:pStyle w:val="Tabletext"/>
            </w:pPr>
            <w:r w:rsidRPr="00252425">
              <w:t>Fee: $3,534.05</w:t>
            </w:r>
          </w:p>
        </w:tc>
      </w:tr>
      <w:tr w:rsidR="00F40721" w:rsidRPr="00252425" w14:paraId="622CC953" w14:textId="77777777" w:rsidTr="00776876">
        <w:tc>
          <w:tcPr>
            <w:tcW w:w="674" w:type="pct"/>
          </w:tcPr>
          <w:p w14:paraId="24CC20A4" w14:textId="77777777" w:rsidR="00F40721" w:rsidRPr="00252425" w:rsidRDefault="00F40721" w:rsidP="00BD17AF">
            <w:pPr>
              <w:pStyle w:val="Tabletext"/>
            </w:pPr>
            <w:r w:rsidRPr="00252425">
              <w:t>50604</w:t>
            </w:r>
          </w:p>
        </w:tc>
        <w:tc>
          <w:tcPr>
            <w:tcW w:w="4326" w:type="pct"/>
          </w:tcPr>
          <w:p w14:paraId="460CF5D1" w14:textId="77777777" w:rsidR="00F40721" w:rsidRPr="00252425" w:rsidRDefault="00F40721" w:rsidP="00BD17AF">
            <w:pPr>
              <w:pStyle w:val="Tabletext"/>
            </w:pPr>
            <w:r w:rsidRPr="00252425">
              <w:t>Scoliosis or kyphosis, in a child or adolescent, spinal fusion for (without instrumentation)</w:t>
            </w:r>
          </w:p>
          <w:p w14:paraId="7A3F1C47" w14:textId="77777777" w:rsidR="00F40721" w:rsidRPr="00252425" w:rsidRDefault="00F40721" w:rsidP="00BD17AF">
            <w:pPr>
              <w:pStyle w:val="Tabletext"/>
            </w:pPr>
            <w:r w:rsidRPr="00252425">
              <w:t>Fee: $1,902.65</w:t>
            </w:r>
          </w:p>
        </w:tc>
      </w:tr>
      <w:tr w:rsidR="00F40721" w:rsidRPr="00252425" w14:paraId="6EAD372F" w14:textId="77777777" w:rsidTr="00776876">
        <w:tc>
          <w:tcPr>
            <w:tcW w:w="674" w:type="pct"/>
          </w:tcPr>
          <w:p w14:paraId="6B3466F7" w14:textId="77777777" w:rsidR="00F40721" w:rsidRPr="00252425" w:rsidRDefault="00F40721" w:rsidP="00BD17AF">
            <w:pPr>
              <w:pStyle w:val="Tabletext"/>
            </w:pPr>
            <w:r w:rsidRPr="00252425">
              <w:t>50640</w:t>
            </w:r>
          </w:p>
        </w:tc>
        <w:tc>
          <w:tcPr>
            <w:tcW w:w="4326" w:type="pct"/>
          </w:tcPr>
          <w:p w14:paraId="545F0E8F" w14:textId="77777777" w:rsidR="00F40721" w:rsidRPr="00252425" w:rsidRDefault="00F40721" w:rsidP="00BD17AF">
            <w:pPr>
              <w:pStyle w:val="Tabletext"/>
            </w:pPr>
            <w:r w:rsidRPr="00252425">
              <w:t>SCOLIOSIS, in a child or adolescent, congenital, resection and fusion of abnormal vertebra via an anterior or posterior approach</w:t>
            </w:r>
          </w:p>
          <w:p w14:paraId="5DBE7577" w14:textId="77777777" w:rsidR="00F40721" w:rsidRPr="00252425" w:rsidRDefault="00F40721" w:rsidP="00BD17AF">
            <w:pPr>
              <w:pStyle w:val="Tabletext"/>
            </w:pPr>
            <w:r w:rsidRPr="00252425">
              <w:t>Fee: $2,254.05</w:t>
            </w:r>
          </w:p>
        </w:tc>
      </w:tr>
    </w:tbl>
    <w:p w14:paraId="484034F5" w14:textId="62984E6C" w:rsidR="00443F1D" w:rsidRPr="00B02E35" w:rsidRDefault="00717063" w:rsidP="00BD17AF">
      <w:pPr>
        <w:pStyle w:val="Tablenotes1"/>
        <w:rPr>
          <w:color w:val="3366FF"/>
          <w:szCs w:val="24"/>
        </w:rPr>
      </w:pPr>
      <w:r w:rsidRPr="00252425">
        <w:t>Source</w:t>
      </w:r>
      <w:r>
        <w:t>: Table 16, pp8-9 of the commentary</w:t>
      </w:r>
    </w:p>
    <w:p w14:paraId="5FFEA6BF" w14:textId="14A22CB9" w:rsidR="00A643FB" w:rsidRPr="00926718" w:rsidRDefault="00065623" w:rsidP="00BD17AF">
      <w:pPr>
        <w:pStyle w:val="Heading1"/>
        <w:numPr>
          <w:ilvl w:val="0"/>
          <w:numId w:val="13"/>
        </w:numPr>
        <w:spacing w:before="240" w:after="240"/>
        <w:ind w:hanging="720"/>
        <w:rPr>
          <w:rFonts w:ascii="Arial" w:hAnsi="Arial" w:cs="Arial"/>
        </w:rPr>
      </w:pPr>
      <w:r w:rsidRPr="00926718">
        <w:rPr>
          <w:rFonts w:ascii="Arial" w:hAnsi="Arial" w:cs="Arial"/>
        </w:rPr>
        <w:t>Comparative safety</w:t>
      </w:r>
    </w:p>
    <w:p w14:paraId="5934832E" w14:textId="3AF1D5B1" w:rsidR="00EF0CD8" w:rsidRDefault="00D64636" w:rsidP="00BD17AF">
      <w:pPr>
        <w:pStyle w:val="NormalBeforeBullet"/>
      </w:pPr>
      <w:r>
        <w:t xml:space="preserve">The ADARs included three matched cohort studies of VBT vs. PSF </w:t>
      </w:r>
      <w:r>
        <w:rPr>
          <w:noProof/>
        </w:rPr>
        <w:t>(Mathew 2020; Newton 2020; Pehlivanoglu 2021)</w:t>
      </w:r>
      <w:r>
        <w:t>.</w:t>
      </w:r>
      <w:r w:rsidR="000F5715">
        <w:t xml:space="preserve"> </w:t>
      </w:r>
      <w:r w:rsidR="000F5715" w:rsidRPr="00252425">
        <w:t xml:space="preserve">The ADAR included </w:t>
      </w:r>
      <w:r w:rsidR="00177F0E">
        <w:t>matched cohort</w:t>
      </w:r>
      <w:r w:rsidR="000F5715" w:rsidRPr="00252425">
        <w:t xml:space="preserve"> studies were given an ‘acceptable’ rating, </w:t>
      </w:r>
      <w:r w:rsidR="000F5715" w:rsidRPr="00445D77">
        <w:t>although it should be noted that one study, Mathew (2020) was a conference abstract only</w:t>
      </w:r>
      <w:r w:rsidR="000F5715" w:rsidRPr="000F5715">
        <w:t>.</w:t>
      </w:r>
      <w:r w:rsidR="000F5715">
        <w:t xml:space="preserve"> Meta-analyses of the matched cohort studies are also presented for outcomes, where possible.</w:t>
      </w:r>
      <w:r w:rsidR="00EF0CD8">
        <w:t xml:space="preserve"> The commentary included an additional study; a systematic review by Shin 2021.</w:t>
      </w:r>
      <w:r w:rsidR="000A50B9" w:rsidRPr="000A50B9">
        <w:t xml:space="preserve"> This meta-analysis included case series, retrospective cohorts, prospective cohorts and randomised controlled trials of VBT and PSF and used a single-arm meta-analysis approach.</w:t>
      </w:r>
    </w:p>
    <w:p w14:paraId="00E03FD0" w14:textId="736EB9E7" w:rsidR="0087256D" w:rsidRDefault="000F5715" w:rsidP="00926718">
      <w:pPr>
        <w:pStyle w:val="NormalBeforeBullet"/>
        <w:spacing w:before="240" w:after="240"/>
      </w:pPr>
      <w:r>
        <w:t xml:space="preserve">The ADAR also </w:t>
      </w:r>
      <w:r w:rsidRPr="000F5715">
        <w:t>supplemented comparative studies with the single arm FDA registration study, and a systematic review of PSF by Aghdasi (2020) to provide health</w:t>
      </w:r>
      <w:r>
        <w:t>-</w:t>
      </w:r>
      <w:r w:rsidRPr="000F5715">
        <w:t>related quality of life data</w:t>
      </w:r>
      <w:r>
        <w:t xml:space="preserve">. </w:t>
      </w:r>
      <w:r w:rsidRPr="000F5715">
        <w:t>No formal bias assessment of the FDA study or Aghdasi (2020) studies was conducted in the ADAR.</w:t>
      </w:r>
      <w:r w:rsidR="00CB1315">
        <w:t xml:space="preserve"> </w:t>
      </w:r>
      <w:r w:rsidR="00EF0CD8" w:rsidRPr="00EF0CD8">
        <w:t>The characteristics of the evidence base are summarised in</w:t>
      </w:r>
      <w:r w:rsidR="00EF0CD8">
        <w:t xml:space="preserve"> Table 5.</w:t>
      </w:r>
      <w:r w:rsidR="0087256D">
        <w:t xml:space="preserve"> </w:t>
      </w:r>
    </w:p>
    <w:p w14:paraId="6D99EAD0" w14:textId="7626217B" w:rsidR="00A643FB" w:rsidRDefault="0087256D" w:rsidP="00BD17AF">
      <w:pPr>
        <w:pStyle w:val="NormalBeforeBullet"/>
      </w:pPr>
      <w:r w:rsidRPr="00252425">
        <w:t>Regarding the comparative studies, the ADAR noted that in Newton (2020)</w:t>
      </w:r>
      <w:r>
        <w:t>,</w:t>
      </w:r>
      <w:r w:rsidRPr="00252425">
        <w:t xml:space="preserve"> the VBT group was less skeletally mature (Sanders stage) compared with the PSF group, and in Mathew (2020)</w:t>
      </w:r>
      <w:r>
        <w:t>,</w:t>
      </w:r>
      <w:r w:rsidRPr="00252425">
        <w:t xml:space="preserve"> the P</w:t>
      </w:r>
      <w:r w:rsidR="009213A0">
        <w:t>SF</w:t>
      </w:r>
      <w:r w:rsidRPr="00252425">
        <w:t xml:space="preserve"> group had a higher thoracic Cobb angle than the VBT group</w:t>
      </w:r>
      <w:r>
        <w:t xml:space="preserve">. </w:t>
      </w:r>
      <w:r w:rsidRPr="00ED68A6">
        <w:rPr>
          <w:iCs/>
        </w:rPr>
        <w:t xml:space="preserve">The impact of the former is ambiguous (particularly since not all patients reached skeletal maturity during the study). The impact of the latter may be in favour of PSF since these patients had a greater </w:t>
      </w:r>
      <w:r w:rsidRPr="00ED68A6">
        <w:rPr>
          <w:iCs/>
        </w:rPr>
        <w:lastRenderedPageBreak/>
        <w:t>potential for Cobb angle correction.</w:t>
      </w:r>
      <w:r>
        <w:rPr>
          <w:iCs/>
        </w:rPr>
        <w:t xml:space="preserve"> Overall, </w:t>
      </w:r>
      <w:r>
        <w:t xml:space="preserve">the commentary considered that despite matching, </w:t>
      </w:r>
      <w:r w:rsidRPr="0087256D">
        <w:t>the comparative studies are at substantial risk of confounding</w:t>
      </w:r>
      <w:r>
        <w:t>.</w:t>
      </w:r>
    </w:p>
    <w:p w14:paraId="45A0F7DA" w14:textId="05794973" w:rsidR="001D0D97" w:rsidRPr="00252425" w:rsidRDefault="001D0D97" w:rsidP="00926718">
      <w:pPr>
        <w:pStyle w:val="Caption"/>
        <w:spacing w:before="240"/>
        <w:jc w:val="left"/>
      </w:pPr>
      <w:bookmarkStart w:id="7" w:name="_Ref81346905"/>
      <w:bookmarkStart w:id="8" w:name="_Toc81492444"/>
      <w:bookmarkStart w:id="9" w:name="_Toc82085855"/>
      <w:r w:rsidRPr="00252425">
        <w:t xml:space="preserve">Table </w:t>
      </w:r>
      <w:bookmarkEnd w:id="7"/>
      <w:r>
        <w:t>5</w:t>
      </w:r>
      <w:r w:rsidRPr="00252425">
        <w:tab/>
        <w:t xml:space="preserve">Key features of the included evidence- </w:t>
      </w:r>
      <w:bookmarkEnd w:id="8"/>
      <w:bookmarkEnd w:id="9"/>
      <w:r w:rsidR="0087256D">
        <w:t>commentary</w:t>
      </w:r>
    </w:p>
    <w:tbl>
      <w:tblPr>
        <w:tblStyle w:val="TableGrid2"/>
        <w:tblW w:w="0" w:type="auto"/>
        <w:tblLayout w:type="fixed"/>
        <w:tblCellMar>
          <w:left w:w="28" w:type="dxa"/>
          <w:right w:w="28" w:type="dxa"/>
        </w:tblCellMar>
        <w:tblLook w:val="04A0" w:firstRow="1" w:lastRow="0" w:firstColumn="1" w:lastColumn="0" w:noHBand="0" w:noVBand="1"/>
        <w:tblDescription w:val="Key features of the included evidence- commentary"/>
      </w:tblPr>
      <w:tblGrid>
        <w:gridCol w:w="1671"/>
        <w:gridCol w:w="467"/>
        <w:gridCol w:w="966"/>
        <w:gridCol w:w="896"/>
        <w:gridCol w:w="2231"/>
        <w:gridCol w:w="1917"/>
        <w:gridCol w:w="868"/>
      </w:tblGrid>
      <w:tr w:rsidR="001D0D97" w:rsidRPr="00252425" w14:paraId="08B8C34E" w14:textId="77777777" w:rsidTr="003A3E18">
        <w:trPr>
          <w:cnfStyle w:val="100000000000" w:firstRow="1" w:lastRow="0" w:firstColumn="0" w:lastColumn="0" w:oddVBand="0" w:evenVBand="0" w:oddHBand="0" w:evenHBand="0" w:firstRowFirstColumn="0" w:firstRowLastColumn="0" w:lastRowFirstColumn="0" w:lastRowLastColumn="0"/>
          <w:tblHeader/>
        </w:trPr>
        <w:tc>
          <w:tcPr>
            <w:tcW w:w="1671" w:type="dxa"/>
            <w:shd w:val="clear" w:color="auto" w:fill="auto"/>
          </w:tcPr>
          <w:p w14:paraId="4B5144C1" w14:textId="77777777" w:rsidR="001D0D97" w:rsidRPr="00252425" w:rsidRDefault="001D0D97" w:rsidP="00BD17AF">
            <w:pPr>
              <w:pStyle w:val="TableText0"/>
              <w:keepNext w:val="0"/>
              <w:rPr>
                <w:b/>
              </w:rPr>
            </w:pPr>
            <w:r w:rsidRPr="00252425">
              <w:rPr>
                <w:b/>
              </w:rPr>
              <w:t>Study/ Country</w:t>
            </w:r>
          </w:p>
        </w:tc>
        <w:tc>
          <w:tcPr>
            <w:tcW w:w="467" w:type="dxa"/>
            <w:shd w:val="clear" w:color="auto" w:fill="auto"/>
          </w:tcPr>
          <w:p w14:paraId="07C782CC" w14:textId="77777777" w:rsidR="001D0D97" w:rsidRPr="00252425" w:rsidRDefault="001D0D97" w:rsidP="00BD17AF">
            <w:pPr>
              <w:pStyle w:val="TableText0"/>
              <w:keepNext w:val="0"/>
              <w:rPr>
                <w:b/>
              </w:rPr>
            </w:pPr>
            <w:r w:rsidRPr="00252425">
              <w:rPr>
                <w:b/>
              </w:rPr>
              <w:t>N</w:t>
            </w:r>
          </w:p>
        </w:tc>
        <w:tc>
          <w:tcPr>
            <w:tcW w:w="966" w:type="dxa"/>
            <w:shd w:val="clear" w:color="auto" w:fill="auto"/>
          </w:tcPr>
          <w:p w14:paraId="0BF1880E" w14:textId="77777777" w:rsidR="001D0D97" w:rsidRPr="00252425" w:rsidRDefault="001D0D97" w:rsidP="00BD17AF">
            <w:pPr>
              <w:pStyle w:val="TableText0"/>
              <w:keepNext w:val="0"/>
              <w:rPr>
                <w:b/>
              </w:rPr>
            </w:pPr>
            <w:r w:rsidRPr="00252425">
              <w:rPr>
                <w:b/>
              </w:rPr>
              <w:t>Design/ duration of follow-up</w:t>
            </w:r>
          </w:p>
        </w:tc>
        <w:tc>
          <w:tcPr>
            <w:tcW w:w="896" w:type="dxa"/>
          </w:tcPr>
          <w:p w14:paraId="4BFD408D" w14:textId="77777777" w:rsidR="001D0D97" w:rsidRPr="00252425" w:rsidRDefault="001D0D97" w:rsidP="00BD17AF">
            <w:pPr>
              <w:pStyle w:val="TableText0"/>
              <w:keepNext w:val="0"/>
              <w:rPr>
                <w:b/>
              </w:rPr>
            </w:pPr>
            <w:r w:rsidRPr="00252425">
              <w:rPr>
                <w:b/>
              </w:rPr>
              <w:t>Risk of bias</w:t>
            </w:r>
          </w:p>
        </w:tc>
        <w:tc>
          <w:tcPr>
            <w:tcW w:w="2231" w:type="dxa"/>
            <w:shd w:val="clear" w:color="auto" w:fill="auto"/>
          </w:tcPr>
          <w:p w14:paraId="4DA2354B" w14:textId="77777777" w:rsidR="001D0D97" w:rsidRPr="00252425" w:rsidRDefault="001D0D97" w:rsidP="00BD17AF">
            <w:pPr>
              <w:pStyle w:val="TableText0"/>
              <w:keepNext w:val="0"/>
              <w:rPr>
                <w:b/>
              </w:rPr>
            </w:pPr>
            <w:r w:rsidRPr="00252425">
              <w:rPr>
                <w:b/>
              </w:rPr>
              <w:t>Patient population</w:t>
            </w:r>
          </w:p>
        </w:tc>
        <w:tc>
          <w:tcPr>
            <w:tcW w:w="1917" w:type="dxa"/>
            <w:shd w:val="clear" w:color="auto" w:fill="auto"/>
          </w:tcPr>
          <w:p w14:paraId="62E35071" w14:textId="77777777" w:rsidR="001D0D97" w:rsidRPr="00252425" w:rsidRDefault="001D0D97" w:rsidP="00BD17AF">
            <w:pPr>
              <w:pStyle w:val="TableText0"/>
              <w:keepNext w:val="0"/>
              <w:rPr>
                <w:b/>
              </w:rPr>
            </w:pPr>
            <w:r w:rsidRPr="00252425">
              <w:rPr>
                <w:b/>
              </w:rPr>
              <w:t>Outcome(s)</w:t>
            </w:r>
          </w:p>
        </w:tc>
        <w:tc>
          <w:tcPr>
            <w:tcW w:w="868" w:type="dxa"/>
            <w:shd w:val="clear" w:color="auto" w:fill="auto"/>
          </w:tcPr>
          <w:p w14:paraId="4591E2DB" w14:textId="77777777" w:rsidR="001D0D97" w:rsidRPr="00252425" w:rsidRDefault="001D0D97" w:rsidP="00BD17AF">
            <w:pPr>
              <w:pStyle w:val="TableText0"/>
              <w:keepNext w:val="0"/>
              <w:rPr>
                <w:b/>
              </w:rPr>
            </w:pPr>
            <w:r w:rsidRPr="00252425">
              <w:rPr>
                <w:b/>
              </w:rPr>
              <w:t>Use in modelled evaluation</w:t>
            </w:r>
          </w:p>
        </w:tc>
      </w:tr>
      <w:tr w:rsidR="001D0D97" w:rsidRPr="00252425" w14:paraId="4E0A4305" w14:textId="77777777" w:rsidTr="003A3E18">
        <w:tc>
          <w:tcPr>
            <w:tcW w:w="9016" w:type="dxa"/>
            <w:gridSpan w:val="7"/>
            <w:shd w:val="clear" w:color="auto" w:fill="auto"/>
          </w:tcPr>
          <w:p w14:paraId="33292F59" w14:textId="77777777" w:rsidR="001D0D97" w:rsidRPr="00252425" w:rsidRDefault="001D0D97" w:rsidP="00BD17AF">
            <w:pPr>
              <w:pStyle w:val="TableText0"/>
              <w:keepNext w:val="0"/>
              <w:rPr>
                <w:rFonts w:ascii="Times" w:hAnsi="Times" w:cs="Times New Roman"/>
              </w:rPr>
            </w:pPr>
            <w:r w:rsidRPr="00252425">
              <w:rPr>
                <w:b/>
                <w:bCs/>
              </w:rPr>
              <w:t>ADAR comparative studies</w:t>
            </w:r>
          </w:p>
        </w:tc>
      </w:tr>
      <w:tr w:rsidR="001D0D97" w:rsidRPr="00252425" w14:paraId="12B1A80D" w14:textId="77777777" w:rsidTr="003A3E18">
        <w:tc>
          <w:tcPr>
            <w:tcW w:w="1671" w:type="dxa"/>
            <w:shd w:val="clear" w:color="auto" w:fill="auto"/>
          </w:tcPr>
          <w:p w14:paraId="7ABA00E9" w14:textId="77777777" w:rsidR="001D0D97" w:rsidRPr="00252425" w:rsidRDefault="001D0D97" w:rsidP="00BD17AF">
            <w:pPr>
              <w:pStyle w:val="TableText0"/>
              <w:keepNext w:val="0"/>
            </w:pPr>
            <w:r w:rsidRPr="00252425">
              <w:t>Pehlivanoglu (2021)</w:t>
            </w:r>
          </w:p>
          <w:p w14:paraId="4CC1F2A4" w14:textId="77777777" w:rsidR="001D0D97" w:rsidRPr="00252425" w:rsidRDefault="001D0D97" w:rsidP="00BD17AF">
            <w:pPr>
              <w:pStyle w:val="TableText0"/>
              <w:keepNext w:val="0"/>
            </w:pPr>
            <w:r w:rsidRPr="00252425">
              <w:t>Turkey</w:t>
            </w:r>
          </w:p>
        </w:tc>
        <w:tc>
          <w:tcPr>
            <w:tcW w:w="467" w:type="dxa"/>
            <w:shd w:val="clear" w:color="auto" w:fill="auto"/>
          </w:tcPr>
          <w:p w14:paraId="47864B21" w14:textId="77777777" w:rsidR="001D0D97" w:rsidRPr="00252425" w:rsidRDefault="001D0D97" w:rsidP="00BD17AF">
            <w:pPr>
              <w:pStyle w:val="TableText0"/>
              <w:keepNext w:val="0"/>
            </w:pPr>
            <w:r w:rsidRPr="00252425">
              <w:t>43</w:t>
            </w:r>
          </w:p>
        </w:tc>
        <w:tc>
          <w:tcPr>
            <w:tcW w:w="966" w:type="dxa"/>
            <w:shd w:val="clear" w:color="auto" w:fill="auto"/>
          </w:tcPr>
          <w:p w14:paraId="05FD0AC2" w14:textId="77777777" w:rsidR="001D0D97" w:rsidRPr="00252425" w:rsidRDefault="001D0D97" w:rsidP="00BD17AF">
            <w:pPr>
              <w:pStyle w:val="TableText0"/>
              <w:keepNext w:val="0"/>
            </w:pPr>
            <w:r w:rsidRPr="00252425">
              <w:t>Retro CC, SC</w:t>
            </w:r>
          </w:p>
          <w:p w14:paraId="579258D1" w14:textId="77777777" w:rsidR="001D0D97" w:rsidRPr="00252425" w:rsidRDefault="001D0D97" w:rsidP="00BD17AF">
            <w:pPr>
              <w:pStyle w:val="TableText0"/>
              <w:keepNext w:val="0"/>
            </w:pPr>
            <w:r w:rsidRPr="00252425">
              <w:rPr>
                <w:u w:val="single"/>
              </w:rPr>
              <w:t>Mean FU</w:t>
            </w:r>
            <w:r w:rsidRPr="00252425">
              <w:t xml:space="preserve"> 3.3 yrs. in both arms</w:t>
            </w:r>
          </w:p>
        </w:tc>
        <w:tc>
          <w:tcPr>
            <w:tcW w:w="896" w:type="dxa"/>
          </w:tcPr>
          <w:p w14:paraId="24662770" w14:textId="77777777" w:rsidR="001D0D97" w:rsidRPr="00252425" w:rsidRDefault="001D0D97" w:rsidP="00BD17AF">
            <w:pPr>
              <w:pStyle w:val="TableText0"/>
              <w:keepNext w:val="0"/>
            </w:pPr>
            <w:r w:rsidRPr="00252425">
              <w:t>Acceptable</w:t>
            </w:r>
          </w:p>
        </w:tc>
        <w:tc>
          <w:tcPr>
            <w:tcW w:w="2231" w:type="dxa"/>
            <w:shd w:val="clear" w:color="auto" w:fill="auto"/>
          </w:tcPr>
          <w:p w14:paraId="7E03C189" w14:textId="77777777" w:rsidR="001D0D97" w:rsidRPr="00252425" w:rsidRDefault="001D0D97" w:rsidP="00BD17AF">
            <w:pPr>
              <w:pStyle w:val="TableText0"/>
              <w:keepNext w:val="0"/>
            </w:pPr>
            <w:r w:rsidRPr="00252425">
              <w:t>Age 9 —14 years</w:t>
            </w:r>
          </w:p>
          <w:p w14:paraId="71249A67" w14:textId="77777777" w:rsidR="001D0D97" w:rsidRPr="00252425" w:rsidRDefault="001D0D97" w:rsidP="00BD17AF">
            <w:pPr>
              <w:pStyle w:val="TableText0"/>
              <w:keepNext w:val="0"/>
            </w:pPr>
            <w:r w:rsidRPr="00252425">
              <w:t>MT-TL curve 40°—60°</w:t>
            </w:r>
          </w:p>
          <w:p w14:paraId="24446884" w14:textId="77777777" w:rsidR="001D0D97" w:rsidRPr="00252425" w:rsidRDefault="001D0D97" w:rsidP="00BD17AF">
            <w:pPr>
              <w:pStyle w:val="TableText0"/>
              <w:keepNext w:val="0"/>
            </w:pPr>
            <w:r w:rsidRPr="00252425">
              <w:t>Risser ≤ 2—Sanders ≤ 4</w:t>
            </w:r>
          </w:p>
          <w:p w14:paraId="6F6A569C" w14:textId="77777777" w:rsidR="001D0D97" w:rsidRPr="00252425" w:rsidRDefault="001D0D97" w:rsidP="00BD17AF">
            <w:pPr>
              <w:pStyle w:val="TableText0"/>
              <w:keepNext w:val="0"/>
            </w:pPr>
            <w:r w:rsidRPr="00252425">
              <w:t>History of failed bracing</w:t>
            </w:r>
          </w:p>
          <w:p w14:paraId="5D898386" w14:textId="77777777" w:rsidR="001D0D97" w:rsidRPr="00252425" w:rsidRDefault="001D0D97" w:rsidP="00BD17AF">
            <w:pPr>
              <w:pStyle w:val="TableText0"/>
              <w:keepNext w:val="0"/>
            </w:pPr>
            <w:r w:rsidRPr="00252425">
              <w:rPr>
                <w:u w:val="single"/>
              </w:rPr>
              <w:t>Matched:</w:t>
            </w:r>
            <w:r w:rsidRPr="00252425">
              <w:t xml:space="preserve"> age-gender-instrumented level-min FU</w:t>
            </w:r>
          </w:p>
        </w:tc>
        <w:tc>
          <w:tcPr>
            <w:tcW w:w="1917" w:type="dxa"/>
            <w:shd w:val="clear" w:color="auto" w:fill="auto"/>
          </w:tcPr>
          <w:p w14:paraId="7F879866" w14:textId="77777777" w:rsidR="001D0D97" w:rsidRPr="00252425" w:rsidRDefault="001D0D97" w:rsidP="00BD17AF">
            <w:pPr>
              <w:pStyle w:val="TableText0"/>
              <w:keepNext w:val="0"/>
            </w:pPr>
            <w:r w:rsidRPr="00252425">
              <w:t>Radiographic outcomes</w:t>
            </w:r>
          </w:p>
          <w:p w14:paraId="0FEE7067" w14:textId="77777777" w:rsidR="001D0D97" w:rsidRPr="00252425" w:rsidRDefault="001D0D97" w:rsidP="00BD17AF">
            <w:pPr>
              <w:pStyle w:val="TableText0"/>
              <w:keepNext w:val="0"/>
            </w:pPr>
            <w:r w:rsidRPr="00252425">
              <w:t>HRQoL- SRS-22, SF-36</w:t>
            </w:r>
          </w:p>
          <w:p w14:paraId="495ACFE5" w14:textId="77777777" w:rsidR="001D0D97" w:rsidRPr="00252425" w:rsidRDefault="001D0D97" w:rsidP="00BD17AF">
            <w:pPr>
              <w:pStyle w:val="TableText0"/>
              <w:keepNext w:val="0"/>
            </w:pPr>
            <w:r w:rsidRPr="00252425">
              <w:t>Functional outcomes (lumbar ROM, lumbar bending flexibility, trunk endurance, motor strength of trunk)</w:t>
            </w:r>
          </w:p>
        </w:tc>
        <w:tc>
          <w:tcPr>
            <w:tcW w:w="868" w:type="dxa"/>
            <w:shd w:val="clear" w:color="auto" w:fill="auto"/>
          </w:tcPr>
          <w:p w14:paraId="3BE67209" w14:textId="77777777" w:rsidR="001D0D97" w:rsidRPr="00252425" w:rsidRDefault="001D0D97" w:rsidP="00BD17AF">
            <w:pPr>
              <w:pStyle w:val="TableText0"/>
              <w:keepNext w:val="0"/>
            </w:pPr>
            <w:r w:rsidRPr="00252425">
              <w:t>Yes</w:t>
            </w:r>
          </w:p>
        </w:tc>
      </w:tr>
      <w:tr w:rsidR="001D0D97" w:rsidRPr="00252425" w14:paraId="173B6027" w14:textId="77777777" w:rsidTr="003A3E18">
        <w:tc>
          <w:tcPr>
            <w:tcW w:w="1671" w:type="dxa"/>
            <w:shd w:val="clear" w:color="auto" w:fill="auto"/>
          </w:tcPr>
          <w:p w14:paraId="4488B9F6" w14:textId="77777777" w:rsidR="001D0D97" w:rsidRPr="00252425" w:rsidRDefault="001D0D97" w:rsidP="00BD17AF">
            <w:pPr>
              <w:pStyle w:val="TableText0"/>
              <w:keepNext w:val="0"/>
            </w:pPr>
            <w:r w:rsidRPr="00252425">
              <w:t>Newton (2020)</w:t>
            </w:r>
          </w:p>
          <w:p w14:paraId="4C52F7E5" w14:textId="77777777" w:rsidR="001D0D97" w:rsidRPr="00252425" w:rsidRDefault="001D0D97" w:rsidP="00BD17AF">
            <w:pPr>
              <w:pStyle w:val="TableText0"/>
              <w:keepNext w:val="0"/>
            </w:pPr>
            <w:r w:rsidRPr="00252425">
              <w:t>United States</w:t>
            </w:r>
          </w:p>
        </w:tc>
        <w:tc>
          <w:tcPr>
            <w:tcW w:w="467" w:type="dxa"/>
            <w:shd w:val="clear" w:color="auto" w:fill="auto"/>
          </w:tcPr>
          <w:p w14:paraId="25FCEAC1" w14:textId="77777777" w:rsidR="001D0D97" w:rsidRPr="00252425" w:rsidRDefault="001D0D97" w:rsidP="00BD17AF">
            <w:pPr>
              <w:pStyle w:val="TableText0"/>
              <w:keepNext w:val="0"/>
            </w:pPr>
            <w:r w:rsidRPr="00252425">
              <w:t>49</w:t>
            </w:r>
          </w:p>
        </w:tc>
        <w:tc>
          <w:tcPr>
            <w:tcW w:w="966" w:type="dxa"/>
            <w:shd w:val="clear" w:color="auto" w:fill="auto"/>
          </w:tcPr>
          <w:p w14:paraId="72C6AA6E" w14:textId="77777777" w:rsidR="001D0D97" w:rsidRPr="00252425" w:rsidRDefault="001D0D97" w:rsidP="00BD17AF">
            <w:pPr>
              <w:pStyle w:val="TableText0"/>
              <w:keepNext w:val="0"/>
            </w:pPr>
            <w:r w:rsidRPr="00252425">
              <w:t>Retro CC, SC</w:t>
            </w:r>
          </w:p>
          <w:p w14:paraId="4A852044" w14:textId="77777777" w:rsidR="001D0D97" w:rsidRPr="00252425" w:rsidRDefault="001D0D97" w:rsidP="00BD17AF">
            <w:pPr>
              <w:pStyle w:val="TableText0"/>
              <w:keepNext w:val="0"/>
              <w:rPr>
                <w:u w:val="single"/>
              </w:rPr>
            </w:pPr>
            <w:r w:rsidRPr="00252425">
              <w:rPr>
                <w:u w:val="single"/>
              </w:rPr>
              <w:t>Mean FU</w:t>
            </w:r>
          </w:p>
          <w:p w14:paraId="7033B687" w14:textId="77777777" w:rsidR="001D0D97" w:rsidRPr="00252425" w:rsidRDefault="001D0D97" w:rsidP="00BD17AF">
            <w:pPr>
              <w:pStyle w:val="TableText0"/>
              <w:keepNext w:val="0"/>
            </w:pPr>
            <w:r w:rsidRPr="00252425">
              <w:t>VBT:3.4±1.1 yrs.; PSF: 3.6±1.6 yrs.</w:t>
            </w:r>
          </w:p>
        </w:tc>
        <w:tc>
          <w:tcPr>
            <w:tcW w:w="896" w:type="dxa"/>
          </w:tcPr>
          <w:p w14:paraId="0AEE537B" w14:textId="77777777" w:rsidR="001D0D97" w:rsidRPr="00252425" w:rsidRDefault="001D0D97" w:rsidP="00BD17AF">
            <w:pPr>
              <w:pStyle w:val="TableText0"/>
              <w:keepNext w:val="0"/>
            </w:pPr>
            <w:r w:rsidRPr="00252425">
              <w:t>Acceptable</w:t>
            </w:r>
          </w:p>
        </w:tc>
        <w:tc>
          <w:tcPr>
            <w:tcW w:w="2231" w:type="dxa"/>
            <w:shd w:val="clear" w:color="auto" w:fill="auto"/>
          </w:tcPr>
          <w:p w14:paraId="740541AA" w14:textId="77777777" w:rsidR="001D0D97" w:rsidRPr="00252425" w:rsidRDefault="001D0D97" w:rsidP="00BD17AF">
            <w:pPr>
              <w:pStyle w:val="TableText0"/>
              <w:keepNext w:val="0"/>
            </w:pPr>
            <w:r w:rsidRPr="00252425">
              <w:t>Age 9—15 years</w:t>
            </w:r>
          </w:p>
          <w:p w14:paraId="08B50881" w14:textId="77777777" w:rsidR="001D0D97" w:rsidRPr="00252425" w:rsidRDefault="001D0D97" w:rsidP="00BD17AF">
            <w:pPr>
              <w:pStyle w:val="TableText0"/>
              <w:keepNext w:val="0"/>
            </w:pPr>
            <w:r w:rsidRPr="00252425">
              <w:t>MT curve 40°—67°</w:t>
            </w:r>
          </w:p>
          <w:p w14:paraId="2413E627" w14:textId="77777777" w:rsidR="001D0D97" w:rsidRPr="00252425" w:rsidRDefault="001D0D97" w:rsidP="00BD17AF">
            <w:pPr>
              <w:pStyle w:val="TableText0"/>
              <w:keepNext w:val="0"/>
            </w:pPr>
            <w:r w:rsidRPr="00252425">
              <w:t>Risser stage of ≤1</w:t>
            </w:r>
          </w:p>
          <w:p w14:paraId="2A711CDE" w14:textId="77777777" w:rsidR="001D0D97" w:rsidRPr="00252425" w:rsidRDefault="001D0D97" w:rsidP="00BD17AF">
            <w:pPr>
              <w:pStyle w:val="TableText0"/>
              <w:keepNext w:val="0"/>
            </w:pPr>
            <w:r w:rsidRPr="00252425">
              <w:t>No prior spine surgery</w:t>
            </w:r>
          </w:p>
          <w:p w14:paraId="506D3B0D" w14:textId="77777777" w:rsidR="001D0D97" w:rsidRPr="00252425" w:rsidRDefault="001D0D97" w:rsidP="00BD17AF">
            <w:pPr>
              <w:pStyle w:val="TableText0"/>
              <w:keepNext w:val="0"/>
            </w:pPr>
            <w:r w:rsidRPr="00252425">
              <w:t>Surgery: 2011-2016</w:t>
            </w:r>
          </w:p>
          <w:p w14:paraId="097F49BA" w14:textId="77777777" w:rsidR="001D0D97" w:rsidRPr="00252425" w:rsidRDefault="001D0D97" w:rsidP="00BD17AF">
            <w:pPr>
              <w:pStyle w:val="TableText0"/>
              <w:keepNext w:val="0"/>
            </w:pPr>
            <w:r w:rsidRPr="00252425">
              <w:rPr>
                <w:u w:val="single"/>
              </w:rPr>
              <w:t>Matched:</w:t>
            </w:r>
            <w:r w:rsidRPr="00252425">
              <w:t xml:space="preserve"> demographics</w:t>
            </w:r>
          </w:p>
        </w:tc>
        <w:tc>
          <w:tcPr>
            <w:tcW w:w="1917" w:type="dxa"/>
            <w:shd w:val="clear" w:color="auto" w:fill="auto"/>
          </w:tcPr>
          <w:p w14:paraId="733C1C8A" w14:textId="77777777" w:rsidR="001D0D97" w:rsidRPr="00252425" w:rsidRDefault="001D0D97" w:rsidP="00BD17AF">
            <w:pPr>
              <w:pStyle w:val="TableText0"/>
              <w:keepNext w:val="0"/>
            </w:pPr>
            <w:r w:rsidRPr="00252425">
              <w:t>Complications</w:t>
            </w:r>
          </w:p>
          <w:p w14:paraId="641FCE45" w14:textId="77777777" w:rsidR="001D0D97" w:rsidRPr="00252425" w:rsidRDefault="001D0D97" w:rsidP="00BD17AF">
            <w:pPr>
              <w:pStyle w:val="TableText0"/>
              <w:keepNext w:val="0"/>
            </w:pPr>
            <w:r w:rsidRPr="00252425">
              <w:t>Revision surgery</w:t>
            </w:r>
          </w:p>
          <w:p w14:paraId="33391BE3" w14:textId="77777777" w:rsidR="001D0D97" w:rsidRPr="00252425" w:rsidRDefault="001D0D97" w:rsidP="00BD17AF">
            <w:pPr>
              <w:pStyle w:val="TableText0"/>
              <w:keepNext w:val="0"/>
            </w:pPr>
            <w:r w:rsidRPr="00252425">
              <w:t>Radiographic outcomes</w:t>
            </w:r>
          </w:p>
          <w:p w14:paraId="30EF9FBE" w14:textId="77777777" w:rsidR="001D0D97" w:rsidRPr="00252425" w:rsidRDefault="001D0D97" w:rsidP="00BD17AF">
            <w:pPr>
              <w:pStyle w:val="TableText0"/>
              <w:keepNext w:val="0"/>
            </w:pPr>
            <w:r w:rsidRPr="00252425">
              <w:t>Clinical success</w:t>
            </w:r>
          </w:p>
          <w:p w14:paraId="73D0126A" w14:textId="77777777" w:rsidR="001D0D97" w:rsidRPr="00252425" w:rsidRDefault="001D0D97" w:rsidP="00BD17AF">
            <w:pPr>
              <w:pStyle w:val="TableText0"/>
              <w:keepNext w:val="0"/>
            </w:pPr>
            <w:r w:rsidRPr="00252425">
              <w:t>HRQoL- SRS-22</w:t>
            </w:r>
          </w:p>
          <w:p w14:paraId="105F56E9" w14:textId="77777777" w:rsidR="001D0D97" w:rsidRPr="00252425" w:rsidRDefault="001D0D97" w:rsidP="00BD17AF">
            <w:pPr>
              <w:pStyle w:val="TableText0"/>
              <w:keepNext w:val="0"/>
            </w:pPr>
            <w:r w:rsidRPr="00252425">
              <w:t>Clinical measurements</w:t>
            </w:r>
          </w:p>
          <w:p w14:paraId="3495D96D" w14:textId="77777777" w:rsidR="001D0D97" w:rsidRPr="00252425" w:rsidRDefault="001D0D97" w:rsidP="00BD17AF">
            <w:pPr>
              <w:pStyle w:val="TableText0"/>
              <w:keepNext w:val="0"/>
            </w:pPr>
            <w:r w:rsidRPr="00252425">
              <w:t>HC system outcomes</w:t>
            </w:r>
          </w:p>
        </w:tc>
        <w:tc>
          <w:tcPr>
            <w:tcW w:w="868" w:type="dxa"/>
            <w:shd w:val="clear" w:color="auto" w:fill="auto"/>
          </w:tcPr>
          <w:p w14:paraId="73C2E796" w14:textId="77777777" w:rsidR="001D0D97" w:rsidRPr="00252425" w:rsidRDefault="001D0D97" w:rsidP="00BD17AF">
            <w:pPr>
              <w:pStyle w:val="TableText0"/>
              <w:keepNext w:val="0"/>
            </w:pPr>
            <w:r w:rsidRPr="00252425">
              <w:t>Yes (revision surgery)</w:t>
            </w:r>
          </w:p>
        </w:tc>
      </w:tr>
      <w:tr w:rsidR="001D0D97" w:rsidRPr="00252425" w14:paraId="605955D2" w14:textId="77777777" w:rsidTr="003A3E18">
        <w:tc>
          <w:tcPr>
            <w:tcW w:w="1671" w:type="dxa"/>
            <w:shd w:val="clear" w:color="auto" w:fill="auto"/>
          </w:tcPr>
          <w:p w14:paraId="5BE478FB" w14:textId="77777777" w:rsidR="001D0D97" w:rsidRPr="00252425" w:rsidRDefault="001D0D97" w:rsidP="00BD17AF">
            <w:pPr>
              <w:pStyle w:val="TableText0"/>
              <w:keepNext w:val="0"/>
            </w:pPr>
            <w:r w:rsidRPr="00252425">
              <w:t>Mathew (2020)</w:t>
            </w:r>
          </w:p>
          <w:p w14:paraId="67021397" w14:textId="77777777" w:rsidR="001D0D97" w:rsidRPr="00252425" w:rsidRDefault="001D0D97" w:rsidP="00BD17AF">
            <w:pPr>
              <w:pStyle w:val="TableText0"/>
              <w:keepNext w:val="0"/>
            </w:pPr>
            <w:r w:rsidRPr="00252425">
              <w:t>United States</w:t>
            </w:r>
          </w:p>
          <w:p w14:paraId="55B682F6" w14:textId="77777777" w:rsidR="001D0D97" w:rsidRPr="00252425" w:rsidRDefault="001D0D97" w:rsidP="00BD17AF">
            <w:pPr>
              <w:pStyle w:val="TableText0"/>
              <w:keepNext w:val="0"/>
            </w:pPr>
            <w:r w:rsidRPr="00252425">
              <w:t>[Conference abstract]</w:t>
            </w:r>
          </w:p>
          <w:p w14:paraId="55CB01EA" w14:textId="77777777" w:rsidR="001D0D97" w:rsidRPr="00252425" w:rsidRDefault="001D0D97" w:rsidP="00BD17AF">
            <w:pPr>
              <w:pStyle w:val="TableText0"/>
              <w:keepNext w:val="0"/>
            </w:pPr>
            <w:r w:rsidRPr="00252425">
              <w:t>(part of the FDA 2019 registration study)</w:t>
            </w:r>
          </w:p>
        </w:tc>
        <w:tc>
          <w:tcPr>
            <w:tcW w:w="467" w:type="dxa"/>
            <w:shd w:val="clear" w:color="auto" w:fill="auto"/>
          </w:tcPr>
          <w:p w14:paraId="68155315" w14:textId="77777777" w:rsidR="001D0D97" w:rsidRPr="00252425" w:rsidRDefault="001D0D97" w:rsidP="00BD17AF">
            <w:pPr>
              <w:pStyle w:val="TableText0"/>
              <w:keepNext w:val="0"/>
            </w:pPr>
            <w:r w:rsidRPr="00252425">
              <w:t>60</w:t>
            </w:r>
          </w:p>
        </w:tc>
        <w:tc>
          <w:tcPr>
            <w:tcW w:w="966" w:type="dxa"/>
            <w:tcBorders>
              <w:bottom w:val="single" w:sz="4" w:space="0" w:color="auto"/>
            </w:tcBorders>
            <w:shd w:val="clear" w:color="auto" w:fill="auto"/>
          </w:tcPr>
          <w:p w14:paraId="15214E1C" w14:textId="77777777" w:rsidR="001D0D97" w:rsidRPr="00252425" w:rsidRDefault="001D0D97" w:rsidP="00BD17AF">
            <w:pPr>
              <w:pStyle w:val="TableText0"/>
              <w:keepNext w:val="0"/>
            </w:pPr>
            <w:r w:rsidRPr="00252425">
              <w:t>Pro, CC, SC</w:t>
            </w:r>
          </w:p>
          <w:p w14:paraId="39BE36DA" w14:textId="77777777" w:rsidR="001D0D97" w:rsidRPr="00252425" w:rsidRDefault="001D0D97" w:rsidP="00BD17AF">
            <w:pPr>
              <w:pStyle w:val="TableText0"/>
              <w:keepNext w:val="0"/>
            </w:pPr>
            <w:r w:rsidRPr="00252425">
              <w:t>FU:</w:t>
            </w:r>
          </w:p>
          <w:p w14:paraId="514B2941" w14:textId="77777777" w:rsidR="001D0D97" w:rsidRPr="00252425" w:rsidRDefault="001D0D97" w:rsidP="00BD17AF">
            <w:pPr>
              <w:pStyle w:val="TableText0"/>
              <w:keepNext w:val="0"/>
            </w:pPr>
            <w:r w:rsidRPr="00252425">
              <w:t xml:space="preserve">73% 1 year </w:t>
            </w:r>
          </w:p>
          <w:p w14:paraId="4B7A7735" w14:textId="77777777" w:rsidR="001D0D97" w:rsidRPr="00252425" w:rsidRDefault="001D0D97" w:rsidP="00BD17AF">
            <w:pPr>
              <w:pStyle w:val="TableText0"/>
              <w:keepNext w:val="0"/>
            </w:pPr>
            <w:r w:rsidRPr="00252425">
              <w:t>33% 2 years</w:t>
            </w:r>
          </w:p>
        </w:tc>
        <w:tc>
          <w:tcPr>
            <w:tcW w:w="896" w:type="dxa"/>
            <w:tcBorders>
              <w:bottom w:val="single" w:sz="4" w:space="0" w:color="auto"/>
            </w:tcBorders>
          </w:tcPr>
          <w:p w14:paraId="343C08DE" w14:textId="77777777" w:rsidR="001D0D97" w:rsidRPr="00252425" w:rsidRDefault="001D0D97" w:rsidP="00BD17AF">
            <w:pPr>
              <w:pStyle w:val="TableText0"/>
              <w:keepNext w:val="0"/>
            </w:pPr>
            <w:r w:rsidRPr="00252425">
              <w:t>Acceptable</w:t>
            </w:r>
          </w:p>
        </w:tc>
        <w:tc>
          <w:tcPr>
            <w:tcW w:w="2231" w:type="dxa"/>
            <w:tcBorders>
              <w:bottom w:val="single" w:sz="4" w:space="0" w:color="auto"/>
            </w:tcBorders>
            <w:shd w:val="clear" w:color="auto" w:fill="auto"/>
          </w:tcPr>
          <w:p w14:paraId="7E2CF39A" w14:textId="77777777" w:rsidR="001D0D97" w:rsidRPr="00252425" w:rsidRDefault="001D0D97" w:rsidP="00BD17AF">
            <w:pPr>
              <w:pStyle w:val="TableText0"/>
              <w:keepNext w:val="0"/>
            </w:pPr>
            <w:r w:rsidRPr="00252425">
              <w:t>Paediatrics ≥10 years of age</w:t>
            </w:r>
          </w:p>
          <w:p w14:paraId="1D8A5BAD" w14:textId="77777777" w:rsidR="001D0D97" w:rsidRPr="00252425" w:rsidRDefault="001D0D97" w:rsidP="00BD17AF">
            <w:pPr>
              <w:pStyle w:val="TableText0"/>
              <w:keepNext w:val="0"/>
            </w:pPr>
            <w:r w:rsidRPr="00252425">
              <w:t>MT curve, Cobb ≥30°&amp; ≤65°</w:t>
            </w:r>
          </w:p>
          <w:p w14:paraId="5FEBB1B8" w14:textId="77777777" w:rsidR="001D0D97" w:rsidRPr="00252425" w:rsidRDefault="001D0D97" w:rsidP="00BD17AF">
            <w:pPr>
              <w:pStyle w:val="TableText0"/>
              <w:keepNext w:val="0"/>
            </w:pPr>
            <w:r w:rsidRPr="00252425">
              <w:t>Sanders ≤5 or Risser ≤3</w:t>
            </w:r>
          </w:p>
          <w:p w14:paraId="700DD0AF" w14:textId="77777777" w:rsidR="001D0D97" w:rsidRPr="00252425" w:rsidRDefault="001D0D97" w:rsidP="00BD17AF">
            <w:pPr>
              <w:pStyle w:val="TableText0"/>
              <w:keepNext w:val="0"/>
            </w:pPr>
            <w:r w:rsidRPr="00252425">
              <w:rPr>
                <w:u w:val="single"/>
              </w:rPr>
              <w:t>Matched</w:t>
            </w:r>
            <w:r w:rsidRPr="00252425">
              <w:t xml:space="preserve"> 1:1 age- Risser sign- MT curve magnitude</w:t>
            </w:r>
          </w:p>
        </w:tc>
        <w:tc>
          <w:tcPr>
            <w:tcW w:w="1917" w:type="dxa"/>
            <w:tcBorders>
              <w:bottom w:val="single" w:sz="4" w:space="0" w:color="auto"/>
            </w:tcBorders>
            <w:shd w:val="clear" w:color="auto" w:fill="auto"/>
          </w:tcPr>
          <w:p w14:paraId="5D0BB88B" w14:textId="77777777" w:rsidR="001D0D97" w:rsidRPr="00252425" w:rsidRDefault="001D0D97" w:rsidP="00BD17AF">
            <w:pPr>
              <w:pStyle w:val="TableText0"/>
              <w:keepNext w:val="0"/>
            </w:pPr>
            <w:r w:rsidRPr="00252425">
              <w:t>Complications</w:t>
            </w:r>
          </w:p>
          <w:p w14:paraId="25B386C9" w14:textId="77777777" w:rsidR="001D0D97" w:rsidRPr="00252425" w:rsidRDefault="001D0D97" w:rsidP="00BD17AF">
            <w:pPr>
              <w:pStyle w:val="TableText0"/>
              <w:keepNext w:val="0"/>
            </w:pPr>
            <w:r w:rsidRPr="00252425">
              <w:t>Revision surgery</w:t>
            </w:r>
          </w:p>
          <w:p w14:paraId="7346A223" w14:textId="77777777" w:rsidR="001D0D97" w:rsidRPr="00252425" w:rsidRDefault="001D0D97" w:rsidP="00BD17AF">
            <w:pPr>
              <w:pStyle w:val="TableText0"/>
              <w:keepNext w:val="0"/>
            </w:pPr>
            <w:r w:rsidRPr="00252425">
              <w:t>Radiographic outcomes</w:t>
            </w:r>
          </w:p>
          <w:p w14:paraId="77C6FFBD" w14:textId="77777777" w:rsidR="001D0D97" w:rsidRPr="00252425" w:rsidRDefault="001D0D97" w:rsidP="00BD17AF">
            <w:pPr>
              <w:pStyle w:val="TableText0"/>
              <w:keepNext w:val="0"/>
            </w:pPr>
            <w:r w:rsidRPr="00252425">
              <w:t>Curve flexibility</w:t>
            </w:r>
          </w:p>
          <w:p w14:paraId="284DEC93" w14:textId="77777777" w:rsidR="001D0D97" w:rsidRPr="00252425" w:rsidRDefault="001D0D97" w:rsidP="00BD17AF">
            <w:pPr>
              <w:pStyle w:val="TableText0"/>
              <w:keepNext w:val="0"/>
            </w:pPr>
            <w:r w:rsidRPr="00252425">
              <w:t>HC system outcomes</w:t>
            </w:r>
          </w:p>
        </w:tc>
        <w:tc>
          <w:tcPr>
            <w:tcW w:w="868" w:type="dxa"/>
            <w:shd w:val="clear" w:color="auto" w:fill="auto"/>
          </w:tcPr>
          <w:p w14:paraId="50798111" w14:textId="77777777" w:rsidR="001D0D97" w:rsidRPr="00252425" w:rsidRDefault="001D0D97" w:rsidP="00BD17AF">
            <w:pPr>
              <w:pStyle w:val="TableText0"/>
              <w:keepNext w:val="0"/>
            </w:pPr>
            <w:r w:rsidRPr="00252425">
              <w:t>No</w:t>
            </w:r>
          </w:p>
        </w:tc>
      </w:tr>
      <w:tr w:rsidR="001D0D97" w:rsidRPr="00252425" w14:paraId="7E9C0C48" w14:textId="77777777" w:rsidTr="003A3E18">
        <w:tc>
          <w:tcPr>
            <w:tcW w:w="1671" w:type="dxa"/>
            <w:shd w:val="clear" w:color="auto" w:fill="auto"/>
          </w:tcPr>
          <w:p w14:paraId="5E3E41AA" w14:textId="77777777" w:rsidR="001D0D97" w:rsidRPr="00252425" w:rsidRDefault="001D0D97" w:rsidP="00BD17AF">
            <w:pPr>
              <w:pStyle w:val="TableText0"/>
              <w:keepNext w:val="0"/>
            </w:pPr>
            <w:r w:rsidRPr="00252425">
              <w:t>Meta-analysis</w:t>
            </w:r>
          </w:p>
        </w:tc>
        <w:tc>
          <w:tcPr>
            <w:tcW w:w="467" w:type="dxa"/>
            <w:tcBorders>
              <w:right w:val="single" w:sz="4" w:space="0" w:color="auto"/>
            </w:tcBorders>
            <w:shd w:val="clear" w:color="auto" w:fill="auto"/>
          </w:tcPr>
          <w:p w14:paraId="1569F193" w14:textId="77777777" w:rsidR="001D0D97" w:rsidRPr="00252425" w:rsidRDefault="001D0D97" w:rsidP="00BD17AF">
            <w:pPr>
              <w:pStyle w:val="TableText0"/>
              <w:keepNext w:val="0"/>
            </w:pPr>
            <w:r w:rsidRPr="00252425">
              <w:t>103</w:t>
            </w:r>
          </w:p>
          <w:p w14:paraId="1C654D93" w14:textId="77777777" w:rsidR="001D0D97" w:rsidRPr="00252425" w:rsidRDefault="001D0D97" w:rsidP="00BD17AF">
            <w:pPr>
              <w:pStyle w:val="TableText0"/>
              <w:keepNext w:val="0"/>
            </w:pPr>
            <w:r w:rsidRPr="00252425">
              <w:t>k=2</w:t>
            </w:r>
          </w:p>
        </w:tc>
        <w:tc>
          <w:tcPr>
            <w:tcW w:w="966" w:type="dxa"/>
            <w:tcBorders>
              <w:top w:val="single" w:sz="4" w:space="0" w:color="auto"/>
              <w:left w:val="single" w:sz="4" w:space="0" w:color="auto"/>
              <w:bottom w:val="single" w:sz="4" w:space="0" w:color="auto"/>
              <w:right w:val="nil"/>
            </w:tcBorders>
            <w:shd w:val="clear" w:color="auto" w:fill="auto"/>
          </w:tcPr>
          <w:p w14:paraId="755DCA94" w14:textId="77777777" w:rsidR="001D0D97" w:rsidRPr="00252425" w:rsidRDefault="001D0D97" w:rsidP="00BD17AF">
            <w:pPr>
              <w:pStyle w:val="TableText0"/>
              <w:keepNext w:val="0"/>
            </w:pPr>
            <w:r w:rsidRPr="00252425">
              <w:t>-</w:t>
            </w:r>
          </w:p>
        </w:tc>
        <w:tc>
          <w:tcPr>
            <w:tcW w:w="896" w:type="dxa"/>
            <w:tcBorders>
              <w:top w:val="single" w:sz="4" w:space="0" w:color="auto"/>
              <w:left w:val="nil"/>
              <w:bottom w:val="single" w:sz="4" w:space="0" w:color="auto"/>
              <w:right w:val="nil"/>
            </w:tcBorders>
          </w:tcPr>
          <w:p w14:paraId="2A31893A" w14:textId="77777777" w:rsidR="001D0D97" w:rsidRPr="00252425" w:rsidRDefault="001D0D97" w:rsidP="00BD17AF">
            <w:pPr>
              <w:pStyle w:val="TableText0"/>
              <w:keepNext w:val="0"/>
            </w:pPr>
            <w:r w:rsidRPr="00252425">
              <w:t>-</w:t>
            </w:r>
          </w:p>
        </w:tc>
        <w:tc>
          <w:tcPr>
            <w:tcW w:w="2231" w:type="dxa"/>
            <w:tcBorders>
              <w:top w:val="single" w:sz="4" w:space="0" w:color="auto"/>
              <w:left w:val="nil"/>
              <w:bottom w:val="single" w:sz="4" w:space="0" w:color="auto"/>
              <w:right w:val="nil"/>
            </w:tcBorders>
            <w:shd w:val="clear" w:color="auto" w:fill="auto"/>
          </w:tcPr>
          <w:p w14:paraId="496A3A7B" w14:textId="77777777" w:rsidR="001D0D97" w:rsidRPr="00252425" w:rsidRDefault="001D0D97" w:rsidP="00BD17AF">
            <w:pPr>
              <w:pStyle w:val="TableText0"/>
              <w:keepNext w:val="0"/>
            </w:pPr>
            <w:r w:rsidRPr="00252425">
              <w:t>Newton (2020)</w:t>
            </w:r>
          </w:p>
          <w:p w14:paraId="0B52544F" w14:textId="77777777" w:rsidR="001D0D97" w:rsidRPr="00252425" w:rsidRDefault="001D0D97" w:rsidP="00BD17AF">
            <w:pPr>
              <w:pStyle w:val="TableText0"/>
              <w:keepNext w:val="0"/>
            </w:pPr>
            <w:r w:rsidRPr="00252425">
              <w:t>Mathew (2020)</w:t>
            </w:r>
          </w:p>
        </w:tc>
        <w:tc>
          <w:tcPr>
            <w:tcW w:w="1917" w:type="dxa"/>
            <w:tcBorders>
              <w:top w:val="single" w:sz="4" w:space="0" w:color="auto"/>
              <w:left w:val="nil"/>
              <w:bottom w:val="single" w:sz="4" w:space="0" w:color="auto"/>
              <w:right w:val="single" w:sz="4" w:space="0" w:color="auto"/>
            </w:tcBorders>
            <w:shd w:val="clear" w:color="auto" w:fill="auto"/>
          </w:tcPr>
          <w:p w14:paraId="70790315" w14:textId="77777777" w:rsidR="001D0D97" w:rsidRPr="00252425" w:rsidRDefault="001D0D97" w:rsidP="00BD17AF">
            <w:pPr>
              <w:pStyle w:val="TableText0"/>
              <w:keepNext w:val="0"/>
            </w:pPr>
            <w:r w:rsidRPr="00252425">
              <w:t>Complications</w:t>
            </w:r>
          </w:p>
          <w:p w14:paraId="6D783928" w14:textId="77777777" w:rsidR="001D0D97" w:rsidRPr="00252425" w:rsidRDefault="001D0D97" w:rsidP="00BD17AF">
            <w:pPr>
              <w:pStyle w:val="TableText0"/>
              <w:keepNext w:val="0"/>
            </w:pPr>
            <w:r w:rsidRPr="00252425">
              <w:t>Revision surgery</w:t>
            </w:r>
          </w:p>
        </w:tc>
        <w:tc>
          <w:tcPr>
            <w:tcW w:w="868" w:type="dxa"/>
            <w:tcBorders>
              <w:left w:val="single" w:sz="4" w:space="0" w:color="auto"/>
            </w:tcBorders>
            <w:shd w:val="clear" w:color="auto" w:fill="auto"/>
          </w:tcPr>
          <w:p w14:paraId="3835AF8A" w14:textId="77777777" w:rsidR="001D0D97" w:rsidRPr="00252425" w:rsidRDefault="001D0D97" w:rsidP="00BD17AF">
            <w:pPr>
              <w:pStyle w:val="TableText0"/>
              <w:keepNext w:val="0"/>
            </w:pPr>
            <w:r>
              <w:t>No</w:t>
            </w:r>
          </w:p>
        </w:tc>
      </w:tr>
      <w:tr w:rsidR="001D0D97" w:rsidRPr="00252425" w14:paraId="4591FB1B" w14:textId="77777777" w:rsidTr="003A3E18">
        <w:tc>
          <w:tcPr>
            <w:tcW w:w="1671" w:type="dxa"/>
            <w:shd w:val="clear" w:color="auto" w:fill="auto"/>
          </w:tcPr>
          <w:p w14:paraId="43902D7A" w14:textId="77777777" w:rsidR="001D0D97" w:rsidRPr="00252425" w:rsidRDefault="001D0D97" w:rsidP="00BD17AF">
            <w:pPr>
              <w:pStyle w:val="TableText0"/>
              <w:keepNext w:val="0"/>
            </w:pPr>
            <w:r w:rsidRPr="00252425">
              <w:t>Meta analysis</w:t>
            </w:r>
          </w:p>
        </w:tc>
        <w:tc>
          <w:tcPr>
            <w:tcW w:w="467" w:type="dxa"/>
            <w:tcBorders>
              <w:right w:val="single" w:sz="4" w:space="0" w:color="auto"/>
            </w:tcBorders>
            <w:shd w:val="clear" w:color="auto" w:fill="auto"/>
          </w:tcPr>
          <w:p w14:paraId="0D2D7CF6" w14:textId="77777777" w:rsidR="001D0D97" w:rsidRPr="00252425" w:rsidRDefault="001D0D97" w:rsidP="00BD17AF">
            <w:pPr>
              <w:pStyle w:val="TableText0"/>
              <w:keepNext w:val="0"/>
            </w:pPr>
            <w:r w:rsidRPr="00252425">
              <w:t>92</w:t>
            </w:r>
          </w:p>
          <w:p w14:paraId="251FA277" w14:textId="77777777" w:rsidR="001D0D97" w:rsidRPr="00252425" w:rsidRDefault="001D0D97" w:rsidP="00BD17AF">
            <w:pPr>
              <w:pStyle w:val="TableText0"/>
              <w:keepNext w:val="0"/>
            </w:pPr>
            <w:r w:rsidRPr="00252425">
              <w:t>2=2</w:t>
            </w:r>
          </w:p>
        </w:tc>
        <w:tc>
          <w:tcPr>
            <w:tcW w:w="966" w:type="dxa"/>
            <w:tcBorders>
              <w:top w:val="single" w:sz="4" w:space="0" w:color="auto"/>
              <w:left w:val="single" w:sz="4" w:space="0" w:color="auto"/>
              <w:bottom w:val="single" w:sz="4" w:space="0" w:color="auto"/>
              <w:right w:val="nil"/>
            </w:tcBorders>
            <w:shd w:val="clear" w:color="auto" w:fill="auto"/>
          </w:tcPr>
          <w:p w14:paraId="49A87271" w14:textId="77777777" w:rsidR="001D0D97" w:rsidRPr="00252425" w:rsidRDefault="001D0D97" w:rsidP="00BD17AF">
            <w:pPr>
              <w:pStyle w:val="TableText0"/>
              <w:keepNext w:val="0"/>
            </w:pPr>
            <w:r w:rsidRPr="00252425">
              <w:t>-</w:t>
            </w:r>
          </w:p>
        </w:tc>
        <w:tc>
          <w:tcPr>
            <w:tcW w:w="896" w:type="dxa"/>
            <w:tcBorders>
              <w:top w:val="single" w:sz="4" w:space="0" w:color="auto"/>
              <w:left w:val="nil"/>
              <w:bottom w:val="single" w:sz="4" w:space="0" w:color="auto"/>
              <w:right w:val="nil"/>
            </w:tcBorders>
          </w:tcPr>
          <w:p w14:paraId="5E3B3044" w14:textId="77777777" w:rsidR="001D0D97" w:rsidRPr="00252425" w:rsidRDefault="001D0D97" w:rsidP="00BD17AF">
            <w:pPr>
              <w:pStyle w:val="TableText0"/>
              <w:keepNext w:val="0"/>
            </w:pPr>
            <w:r w:rsidRPr="00252425">
              <w:t>-</w:t>
            </w:r>
          </w:p>
        </w:tc>
        <w:tc>
          <w:tcPr>
            <w:tcW w:w="2231" w:type="dxa"/>
            <w:tcBorders>
              <w:top w:val="single" w:sz="4" w:space="0" w:color="auto"/>
              <w:left w:val="nil"/>
              <w:bottom w:val="single" w:sz="4" w:space="0" w:color="auto"/>
              <w:right w:val="nil"/>
            </w:tcBorders>
            <w:shd w:val="clear" w:color="auto" w:fill="auto"/>
          </w:tcPr>
          <w:p w14:paraId="1FB78B07" w14:textId="77777777" w:rsidR="001D0D97" w:rsidRPr="00252425" w:rsidRDefault="001D0D97" w:rsidP="00BD17AF">
            <w:pPr>
              <w:pStyle w:val="TableText0"/>
              <w:keepNext w:val="0"/>
            </w:pPr>
            <w:r w:rsidRPr="00252425">
              <w:t>Pehlivanoglu (2021)</w:t>
            </w:r>
          </w:p>
          <w:p w14:paraId="5F5D5BB7" w14:textId="77777777" w:rsidR="001D0D97" w:rsidRPr="00252425" w:rsidRDefault="001D0D97" w:rsidP="00BD17AF">
            <w:pPr>
              <w:pStyle w:val="TableText0"/>
              <w:keepNext w:val="0"/>
            </w:pPr>
            <w:r w:rsidRPr="00252425">
              <w:t>Newton (2020)</w:t>
            </w:r>
          </w:p>
        </w:tc>
        <w:tc>
          <w:tcPr>
            <w:tcW w:w="1917" w:type="dxa"/>
            <w:tcBorders>
              <w:top w:val="single" w:sz="4" w:space="0" w:color="auto"/>
              <w:left w:val="nil"/>
              <w:bottom w:val="single" w:sz="4" w:space="0" w:color="auto"/>
              <w:right w:val="single" w:sz="4" w:space="0" w:color="auto"/>
            </w:tcBorders>
            <w:shd w:val="clear" w:color="auto" w:fill="auto"/>
          </w:tcPr>
          <w:p w14:paraId="1B9462F6" w14:textId="77777777" w:rsidR="001D0D97" w:rsidRPr="00252425" w:rsidRDefault="001D0D97" w:rsidP="00BD17AF">
            <w:pPr>
              <w:pStyle w:val="TableText0"/>
              <w:keepNext w:val="0"/>
            </w:pPr>
            <w:r w:rsidRPr="00252425">
              <w:t>Radiographic outcomes</w:t>
            </w:r>
          </w:p>
          <w:p w14:paraId="26A524ED" w14:textId="77777777" w:rsidR="001D0D97" w:rsidRPr="00252425" w:rsidRDefault="001D0D97" w:rsidP="00BD17AF">
            <w:pPr>
              <w:pStyle w:val="TableText0"/>
              <w:keepNext w:val="0"/>
            </w:pPr>
            <w:r w:rsidRPr="00252425">
              <w:t>HRQoL- SRS-22</w:t>
            </w:r>
          </w:p>
        </w:tc>
        <w:tc>
          <w:tcPr>
            <w:tcW w:w="868" w:type="dxa"/>
            <w:tcBorders>
              <w:left w:val="single" w:sz="4" w:space="0" w:color="auto"/>
            </w:tcBorders>
            <w:shd w:val="clear" w:color="auto" w:fill="auto"/>
          </w:tcPr>
          <w:p w14:paraId="28865C5C" w14:textId="77777777" w:rsidR="001D0D97" w:rsidRPr="00252425" w:rsidRDefault="001D0D97" w:rsidP="00BD17AF">
            <w:pPr>
              <w:pStyle w:val="TableText0"/>
              <w:keepNext w:val="0"/>
            </w:pPr>
            <w:r w:rsidRPr="00252425">
              <w:t>Yes (utilities)</w:t>
            </w:r>
          </w:p>
        </w:tc>
      </w:tr>
      <w:tr w:rsidR="001D0D97" w:rsidRPr="00252425" w14:paraId="089ED6B2" w14:textId="77777777" w:rsidTr="003A3E18">
        <w:tc>
          <w:tcPr>
            <w:tcW w:w="1671" w:type="dxa"/>
            <w:shd w:val="clear" w:color="auto" w:fill="auto"/>
          </w:tcPr>
          <w:p w14:paraId="0C5B11CE" w14:textId="77777777" w:rsidR="001D0D97" w:rsidRPr="00252425" w:rsidRDefault="001D0D97" w:rsidP="00BD17AF">
            <w:pPr>
              <w:pStyle w:val="TableText0"/>
              <w:keepNext w:val="0"/>
              <w:rPr>
                <w:i/>
                <w:iCs/>
              </w:rPr>
            </w:pPr>
            <w:r w:rsidRPr="00252425">
              <w:rPr>
                <w:i/>
                <w:iCs/>
              </w:rPr>
              <w:t>Meta-analysis</w:t>
            </w:r>
          </w:p>
          <w:p w14:paraId="1CC6BAE5" w14:textId="77777777" w:rsidR="001D0D97" w:rsidRPr="00252425" w:rsidRDefault="001D0D97" w:rsidP="00BD17AF">
            <w:pPr>
              <w:pStyle w:val="TableText0"/>
              <w:keepNext w:val="0"/>
              <w:rPr>
                <w:i/>
                <w:iCs/>
              </w:rPr>
            </w:pPr>
            <w:r w:rsidRPr="00252425">
              <w:rPr>
                <w:i/>
                <w:iCs/>
              </w:rPr>
              <w:t>Shin (2021)</w:t>
            </w:r>
          </w:p>
        </w:tc>
        <w:tc>
          <w:tcPr>
            <w:tcW w:w="467" w:type="dxa"/>
            <w:shd w:val="clear" w:color="auto" w:fill="auto"/>
          </w:tcPr>
          <w:p w14:paraId="0EFC995E" w14:textId="77777777" w:rsidR="001D0D97" w:rsidRPr="00252425" w:rsidRDefault="001D0D97" w:rsidP="00BD17AF">
            <w:pPr>
              <w:pStyle w:val="TableText0"/>
              <w:keepNext w:val="0"/>
              <w:rPr>
                <w:i/>
                <w:iCs/>
              </w:rPr>
            </w:pPr>
            <w:r w:rsidRPr="00252425">
              <w:rPr>
                <w:i/>
                <w:iCs/>
              </w:rPr>
              <w:t>1,280</w:t>
            </w:r>
          </w:p>
          <w:p w14:paraId="0B946B24" w14:textId="77777777" w:rsidR="001D0D97" w:rsidRPr="00252425" w:rsidRDefault="001D0D97" w:rsidP="00BD17AF">
            <w:pPr>
              <w:pStyle w:val="TableText0"/>
              <w:keepNext w:val="0"/>
              <w:rPr>
                <w:i/>
                <w:iCs/>
              </w:rPr>
            </w:pPr>
            <w:r w:rsidRPr="00252425">
              <w:rPr>
                <w:i/>
                <w:iCs/>
              </w:rPr>
              <w:t>k=24</w:t>
            </w:r>
          </w:p>
        </w:tc>
        <w:tc>
          <w:tcPr>
            <w:tcW w:w="966" w:type="dxa"/>
            <w:tcBorders>
              <w:top w:val="single" w:sz="4" w:space="0" w:color="auto"/>
            </w:tcBorders>
            <w:shd w:val="clear" w:color="auto" w:fill="auto"/>
          </w:tcPr>
          <w:p w14:paraId="57DEFC33" w14:textId="77777777" w:rsidR="001D0D97" w:rsidRPr="00252425" w:rsidRDefault="001D0D97" w:rsidP="00BD17AF">
            <w:pPr>
              <w:pStyle w:val="TableText0"/>
              <w:keepNext w:val="0"/>
              <w:rPr>
                <w:i/>
                <w:iCs/>
              </w:rPr>
            </w:pPr>
            <w:r w:rsidRPr="00252425">
              <w:rPr>
                <w:i/>
                <w:iCs/>
              </w:rPr>
              <w:t>Included CS, retro, pro &amp; RCTs</w:t>
            </w:r>
          </w:p>
          <w:p w14:paraId="207E0C3E" w14:textId="77777777" w:rsidR="001D0D97" w:rsidRPr="00252425" w:rsidRDefault="001D0D97" w:rsidP="00BD17AF">
            <w:pPr>
              <w:pStyle w:val="TableText0"/>
              <w:keepNext w:val="0"/>
              <w:rPr>
                <w:i/>
                <w:iCs/>
              </w:rPr>
            </w:pPr>
            <w:r w:rsidRPr="00252425">
              <w:rPr>
                <w:i/>
                <w:iCs/>
              </w:rPr>
              <w:t>Mean FU</w:t>
            </w:r>
          </w:p>
          <w:p w14:paraId="1EA86697" w14:textId="77777777" w:rsidR="001D0D97" w:rsidRPr="00252425" w:rsidRDefault="001D0D97" w:rsidP="00BD17AF">
            <w:pPr>
              <w:pStyle w:val="TableText0"/>
              <w:keepNext w:val="0"/>
              <w:rPr>
                <w:i/>
                <w:iCs/>
              </w:rPr>
            </w:pPr>
            <w:r w:rsidRPr="00252425">
              <w:rPr>
                <w:i/>
                <w:iCs/>
              </w:rPr>
              <w:t>VBT 33.7 months</w:t>
            </w:r>
          </w:p>
          <w:p w14:paraId="3D746DF2" w14:textId="77777777" w:rsidR="001D0D97" w:rsidRPr="00252425" w:rsidRDefault="001D0D97" w:rsidP="00BD17AF">
            <w:pPr>
              <w:pStyle w:val="TableText0"/>
              <w:keepNext w:val="0"/>
              <w:rPr>
                <w:i/>
                <w:iCs/>
              </w:rPr>
            </w:pPr>
            <w:r w:rsidRPr="00252425">
              <w:rPr>
                <w:i/>
                <w:iCs/>
              </w:rPr>
              <w:t>PSF 46.9 months</w:t>
            </w:r>
          </w:p>
        </w:tc>
        <w:tc>
          <w:tcPr>
            <w:tcW w:w="896" w:type="dxa"/>
            <w:tcBorders>
              <w:top w:val="single" w:sz="4" w:space="0" w:color="auto"/>
            </w:tcBorders>
          </w:tcPr>
          <w:p w14:paraId="36AAB482" w14:textId="77777777" w:rsidR="001D0D97" w:rsidRPr="00252425" w:rsidRDefault="001D0D97" w:rsidP="00BD17AF">
            <w:pPr>
              <w:pStyle w:val="TableText0"/>
              <w:keepNext w:val="0"/>
              <w:rPr>
                <w:i/>
                <w:iCs/>
              </w:rPr>
            </w:pPr>
            <w:r w:rsidRPr="00252425">
              <w:rPr>
                <w:i/>
                <w:iCs/>
              </w:rPr>
              <w:t>Acceptable</w:t>
            </w:r>
          </w:p>
        </w:tc>
        <w:tc>
          <w:tcPr>
            <w:tcW w:w="2231" w:type="dxa"/>
            <w:tcBorders>
              <w:top w:val="single" w:sz="4" w:space="0" w:color="auto"/>
            </w:tcBorders>
            <w:shd w:val="clear" w:color="auto" w:fill="auto"/>
          </w:tcPr>
          <w:p w14:paraId="4DDB9FAA" w14:textId="77777777" w:rsidR="001D0D97" w:rsidRPr="00252425" w:rsidRDefault="001D0D97" w:rsidP="00BD17AF">
            <w:pPr>
              <w:pStyle w:val="TableText0"/>
              <w:rPr>
                <w:i/>
                <w:iCs/>
              </w:rPr>
            </w:pPr>
            <w:r w:rsidRPr="00252425">
              <w:rPr>
                <w:i/>
                <w:iCs/>
              </w:rPr>
              <w:t xml:space="preserve">Included studies were </w:t>
            </w:r>
            <w:r w:rsidRPr="008838B4">
              <w:rPr>
                <w:i/>
                <w:iCs/>
              </w:rPr>
              <w:t>human clinical outcomes study</w:t>
            </w:r>
            <w:r w:rsidRPr="00252425">
              <w:rPr>
                <w:i/>
                <w:iCs/>
              </w:rPr>
              <w:t xml:space="preserve"> with </w:t>
            </w:r>
            <w:r w:rsidRPr="008838B4">
              <w:rPr>
                <w:i/>
                <w:iCs/>
              </w:rPr>
              <w:t xml:space="preserve">follow-up of </w:t>
            </w:r>
            <w:r w:rsidRPr="00252425">
              <w:rPr>
                <w:i/>
                <w:iCs/>
              </w:rPr>
              <w:t>&gt;1</w:t>
            </w:r>
            <w:r w:rsidRPr="008838B4">
              <w:rPr>
                <w:i/>
                <w:iCs/>
              </w:rPr>
              <w:t xml:space="preserve"> year</w:t>
            </w:r>
            <w:r w:rsidRPr="00252425">
              <w:rPr>
                <w:i/>
                <w:iCs/>
              </w:rPr>
              <w:t xml:space="preserve">; </w:t>
            </w:r>
            <w:r w:rsidRPr="008838B4">
              <w:rPr>
                <w:i/>
                <w:iCs/>
              </w:rPr>
              <w:t>selective thoracic fusion or Lenke 1 or 2 curves</w:t>
            </w:r>
            <w:r w:rsidRPr="00252425">
              <w:rPr>
                <w:i/>
                <w:iCs/>
              </w:rPr>
              <w:t xml:space="preserve">; </w:t>
            </w:r>
            <w:r w:rsidRPr="008838B4">
              <w:rPr>
                <w:i/>
                <w:iCs/>
              </w:rPr>
              <w:t xml:space="preserve"> patient age</w:t>
            </w:r>
            <w:r w:rsidRPr="00252425">
              <w:rPr>
                <w:i/>
                <w:iCs/>
              </w:rPr>
              <w:t xml:space="preserve"> of 10 to 18 years;  AIS; undergoing primary surgical procedures</w:t>
            </w:r>
          </w:p>
        </w:tc>
        <w:tc>
          <w:tcPr>
            <w:tcW w:w="1917" w:type="dxa"/>
            <w:tcBorders>
              <w:top w:val="single" w:sz="4" w:space="0" w:color="auto"/>
            </w:tcBorders>
            <w:shd w:val="clear" w:color="auto" w:fill="auto"/>
          </w:tcPr>
          <w:p w14:paraId="7D891EB0" w14:textId="77777777" w:rsidR="001D0D97" w:rsidRPr="00252425" w:rsidRDefault="001D0D97" w:rsidP="00BD17AF">
            <w:pPr>
              <w:pStyle w:val="TableText0"/>
              <w:keepNext w:val="0"/>
              <w:rPr>
                <w:i/>
                <w:iCs/>
              </w:rPr>
            </w:pPr>
            <w:r w:rsidRPr="00252425">
              <w:rPr>
                <w:i/>
                <w:iCs/>
              </w:rPr>
              <w:t>Radiographic outcomes</w:t>
            </w:r>
          </w:p>
          <w:p w14:paraId="106B2F4A" w14:textId="77777777" w:rsidR="001D0D97" w:rsidRPr="00252425" w:rsidRDefault="001D0D97" w:rsidP="00BD17AF">
            <w:pPr>
              <w:pStyle w:val="TableText0"/>
              <w:keepNext w:val="0"/>
              <w:rPr>
                <w:i/>
                <w:iCs/>
              </w:rPr>
            </w:pPr>
            <w:r w:rsidRPr="00252425">
              <w:rPr>
                <w:i/>
                <w:iCs/>
              </w:rPr>
              <w:t>Complications</w:t>
            </w:r>
          </w:p>
          <w:p w14:paraId="7B01EC57" w14:textId="77777777" w:rsidR="001D0D97" w:rsidRPr="00252425" w:rsidRDefault="001D0D97" w:rsidP="00BD17AF">
            <w:pPr>
              <w:pStyle w:val="TableText0"/>
              <w:keepNext w:val="0"/>
              <w:rPr>
                <w:i/>
                <w:iCs/>
              </w:rPr>
            </w:pPr>
            <w:r w:rsidRPr="00252425">
              <w:rPr>
                <w:i/>
                <w:iCs/>
              </w:rPr>
              <w:t>Revision surgery</w:t>
            </w:r>
          </w:p>
          <w:p w14:paraId="13D4CA3B" w14:textId="77777777" w:rsidR="001D0D97" w:rsidRPr="00252425" w:rsidRDefault="001D0D97" w:rsidP="00BD17AF">
            <w:pPr>
              <w:pStyle w:val="TableText0"/>
              <w:keepNext w:val="0"/>
              <w:rPr>
                <w:i/>
                <w:iCs/>
              </w:rPr>
            </w:pPr>
            <w:r w:rsidRPr="00252425">
              <w:rPr>
                <w:i/>
                <w:iCs/>
              </w:rPr>
              <w:t>Conversion to PSF</w:t>
            </w:r>
          </w:p>
        </w:tc>
        <w:tc>
          <w:tcPr>
            <w:tcW w:w="868" w:type="dxa"/>
            <w:shd w:val="clear" w:color="auto" w:fill="auto"/>
          </w:tcPr>
          <w:p w14:paraId="655F0064" w14:textId="77777777" w:rsidR="001D0D97" w:rsidRPr="001D1DC3" w:rsidRDefault="001D0D97" w:rsidP="00BD17AF">
            <w:pPr>
              <w:pStyle w:val="TableText0"/>
              <w:keepNext w:val="0"/>
            </w:pPr>
            <w:r>
              <w:t>No</w:t>
            </w:r>
          </w:p>
        </w:tc>
      </w:tr>
      <w:tr w:rsidR="001D0D97" w:rsidRPr="00252425" w14:paraId="03AA58E0" w14:textId="77777777" w:rsidTr="003A3E18">
        <w:tc>
          <w:tcPr>
            <w:tcW w:w="9016" w:type="dxa"/>
            <w:gridSpan w:val="7"/>
            <w:shd w:val="clear" w:color="auto" w:fill="auto"/>
          </w:tcPr>
          <w:p w14:paraId="509F2063" w14:textId="77777777" w:rsidR="001D0D97" w:rsidRPr="00252425" w:rsidRDefault="001D0D97" w:rsidP="00BD17AF">
            <w:pPr>
              <w:pStyle w:val="TableText0"/>
              <w:keepNext w:val="0"/>
            </w:pPr>
            <w:r w:rsidRPr="00252425">
              <w:rPr>
                <w:b/>
                <w:bCs/>
              </w:rPr>
              <w:t xml:space="preserve">ADAR non-comparative studies </w:t>
            </w:r>
          </w:p>
        </w:tc>
      </w:tr>
      <w:tr w:rsidR="001D0D97" w:rsidRPr="00252425" w14:paraId="1249CC69" w14:textId="77777777" w:rsidTr="003A3E18">
        <w:tc>
          <w:tcPr>
            <w:tcW w:w="1671" w:type="dxa"/>
            <w:shd w:val="clear" w:color="auto" w:fill="auto"/>
          </w:tcPr>
          <w:p w14:paraId="392033DC" w14:textId="77777777" w:rsidR="001D0D97" w:rsidRPr="00252425" w:rsidRDefault="001D0D97" w:rsidP="00BD17AF">
            <w:pPr>
              <w:pStyle w:val="TableText0"/>
              <w:keepNext w:val="0"/>
              <w:rPr>
                <w:i/>
                <w:iCs/>
              </w:rPr>
            </w:pPr>
            <w:r w:rsidRPr="00252425">
              <w:rPr>
                <w:i/>
                <w:iCs/>
              </w:rPr>
              <w:t>FDA study (2019)</w:t>
            </w:r>
          </w:p>
        </w:tc>
        <w:tc>
          <w:tcPr>
            <w:tcW w:w="467" w:type="dxa"/>
            <w:shd w:val="clear" w:color="auto" w:fill="auto"/>
          </w:tcPr>
          <w:p w14:paraId="23725863" w14:textId="77777777" w:rsidR="001D0D97" w:rsidRPr="00252425" w:rsidRDefault="001D0D97" w:rsidP="00BD17AF">
            <w:pPr>
              <w:pStyle w:val="TableText0"/>
              <w:keepNext w:val="0"/>
              <w:rPr>
                <w:i/>
                <w:iCs/>
              </w:rPr>
            </w:pPr>
            <w:r w:rsidRPr="00252425">
              <w:rPr>
                <w:i/>
                <w:iCs/>
              </w:rPr>
              <w:t>57</w:t>
            </w:r>
          </w:p>
        </w:tc>
        <w:tc>
          <w:tcPr>
            <w:tcW w:w="966" w:type="dxa"/>
            <w:shd w:val="clear" w:color="auto" w:fill="auto"/>
          </w:tcPr>
          <w:p w14:paraId="74B5A328" w14:textId="77777777" w:rsidR="001D0D97" w:rsidRPr="00252425" w:rsidRDefault="001D0D97" w:rsidP="00BD17AF">
            <w:pPr>
              <w:pStyle w:val="TableText0"/>
              <w:keepNext w:val="0"/>
              <w:rPr>
                <w:i/>
                <w:iCs/>
              </w:rPr>
            </w:pPr>
            <w:r w:rsidRPr="00252425">
              <w:rPr>
                <w:i/>
                <w:iCs/>
              </w:rPr>
              <w:t>Mean FU: 57 months</w:t>
            </w:r>
          </w:p>
        </w:tc>
        <w:tc>
          <w:tcPr>
            <w:tcW w:w="896" w:type="dxa"/>
          </w:tcPr>
          <w:p w14:paraId="77412386" w14:textId="77777777" w:rsidR="001D0D97" w:rsidRPr="00252425" w:rsidRDefault="001D0D97" w:rsidP="00BD17AF">
            <w:pPr>
              <w:pStyle w:val="TableText0"/>
              <w:keepNext w:val="0"/>
              <w:rPr>
                <w:i/>
                <w:iCs/>
              </w:rPr>
            </w:pPr>
            <w:r w:rsidRPr="00252425">
              <w:rPr>
                <w:i/>
                <w:iCs/>
              </w:rPr>
              <w:t>Not assessed</w:t>
            </w:r>
          </w:p>
        </w:tc>
        <w:tc>
          <w:tcPr>
            <w:tcW w:w="2231" w:type="dxa"/>
            <w:shd w:val="clear" w:color="auto" w:fill="auto"/>
          </w:tcPr>
          <w:p w14:paraId="18FCBE66" w14:textId="77777777" w:rsidR="001D0D97" w:rsidRPr="00252425" w:rsidRDefault="001D0D97" w:rsidP="00BD17AF">
            <w:pPr>
              <w:pStyle w:val="TableText0"/>
              <w:keepNext w:val="0"/>
              <w:rPr>
                <w:i/>
                <w:iCs/>
              </w:rPr>
            </w:pPr>
            <w:r w:rsidRPr="00252425">
              <w:rPr>
                <w:i/>
                <w:iCs/>
              </w:rPr>
              <w:t>VBT, patients aged ≥10 years; AIS failed brace treatment defined as &gt; 5 degrees of progression and/intolerance to brace wear, Lenke 1; pre-operative Cobb ≥ 30</w:t>
            </w:r>
            <w:r w:rsidRPr="00252425">
              <w:rPr>
                <w:i/>
                <w:iCs/>
              </w:rPr>
              <w:sym w:font="Symbol" w:char="F0B0"/>
            </w:r>
            <w:r w:rsidRPr="00252425">
              <w:rPr>
                <w:i/>
                <w:iCs/>
              </w:rPr>
              <w:t xml:space="preserve"> and ≤ 65</w:t>
            </w:r>
            <w:r w:rsidRPr="00252425">
              <w:rPr>
                <w:i/>
                <w:iCs/>
              </w:rPr>
              <w:sym w:font="Symbol" w:char="F0B0"/>
            </w:r>
            <w:r w:rsidRPr="00252425">
              <w:rPr>
                <w:i/>
                <w:iCs/>
              </w:rPr>
              <w:t>; Sanders stage ≤ 5 or Risser sign ≤3</w:t>
            </w:r>
          </w:p>
        </w:tc>
        <w:tc>
          <w:tcPr>
            <w:tcW w:w="1917" w:type="dxa"/>
            <w:shd w:val="clear" w:color="auto" w:fill="auto"/>
          </w:tcPr>
          <w:p w14:paraId="33210621" w14:textId="77777777" w:rsidR="001D0D97" w:rsidRPr="00252425" w:rsidRDefault="001D0D97" w:rsidP="00BD17AF">
            <w:pPr>
              <w:pStyle w:val="TableText0"/>
              <w:keepNext w:val="0"/>
              <w:rPr>
                <w:i/>
                <w:iCs/>
              </w:rPr>
            </w:pPr>
            <w:r w:rsidRPr="00252425">
              <w:rPr>
                <w:i/>
                <w:iCs/>
              </w:rPr>
              <w:t>HRQoL- SRS-22</w:t>
            </w:r>
          </w:p>
        </w:tc>
        <w:tc>
          <w:tcPr>
            <w:tcW w:w="868" w:type="dxa"/>
            <w:shd w:val="clear" w:color="auto" w:fill="auto"/>
          </w:tcPr>
          <w:p w14:paraId="14F4E6E0" w14:textId="77777777" w:rsidR="001D0D97" w:rsidRPr="00252425" w:rsidRDefault="001D0D97" w:rsidP="00BD17AF">
            <w:pPr>
              <w:pStyle w:val="TableText0"/>
              <w:keepNext w:val="0"/>
              <w:rPr>
                <w:i/>
                <w:iCs/>
              </w:rPr>
            </w:pPr>
            <w:r w:rsidRPr="00252425">
              <w:rPr>
                <w:i/>
                <w:iCs/>
              </w:rPr>
              <w:t>Yes (SA)</w:t>
            </w:r>
          </w:p>
        </w:tc>
      </w:tr>
      <w:tr w:rsidR="001D0D97" w:rsidRPr="00252425" w14:paraId="4C3FCDB9" w14:textId="77777777" w:rsidTr="003A3E18">
        <w:tc>
          <w:tcPr>
            <w:tcW w:w="1671" w:type="dxa"/>
            <w:shd w:val="clear" w:color="auto" w:fill="auto"/>
          </w:tcPr>
          <w:p w14:paraId="343391FD" w14:textId="77777777" w:rsidR="001D0D97" w:rsidRPr="00252425" w:rsidRDefault="001D0D97" w:rsidP="00BD17AF">
            <w:pPr>
              <w:pStyle w:val="TableText0"/>
              <w:keepNext w:val="0"/>
            </w:pPr>
            <w:r w:rsidRPr="00252425">
              <w:t>Aghdasi (2020)</w:t>
            </w:r>
          </w:p>
        </w:tc>
        <w:tc>
          <w:tcPr>
            <w:tcW w:w="467" w:type="dxa"/>
            <w:shd w:val="clear" w:color="auto" w:fill="auto"/>
          </w:tcPr>
          <w:p w14:paraId="39747971" w14:textId="77777777" w:rsidR="001D0D97" w:rsidRPr="00252425" w:rsidRDefault="001D0D97" w:rsidP="00BD17AF">
            <w:pPr>
              <w:pStyle w:val="TableText0"/>
              <w:keepNext w:val="0"/>
            </w:pPr>
            <w:r w:rsidRPr="00252425">
              <w:t>1,494</w:t>
            </w:r>
          </w:p>
        </w:tc>
        <w:tc>
          <w:tcPr>
            <w:tcW w:w="966" w:type="dxa"/>
            <w:shd w:val="clear" w:color="auto" w:fill="auto"/>
          </w:tcPr>
          <w:p w14:paraId="4463B86C" w14:textId="77777777" w:rsidR="001D0D97" w:rsidRPr="00252425" w:rsidRDefault="001D0D97" w:rsidP="00BD17AF">
            <w:pPr>
              <w:pStyle w:val="TableText0"/>
              <w:keepNext w:val="0"/>
              <w:rPr>
                <w:i/>
                <w:iCs/>
                <w:sz w:val="18"/>
                <w:szCs w:val="18"/>
              </w:rPr>
            </w:pPr>
            <w:r w:rsidRPr="00252425">
              <w:rPr>
                <w:i/>
                <w:iCs/>
                <w:sz w:val="18"/>
                <w:szCs w:val="18"/>
              </w:rPr>
              <w:t>Systematic review and meta-analysis (k=7, N=1494)</w:t>
            </w:r>
          </w:p>
          <w:p w14:paraId="40A6CEF1" w14:textId="77777777" w:rsidR="001D0D97" w:rsidRPr="00252425" w:rsidRDefault="001D0D97" w:rsidP="00BD17AF">
            <w:pPr>
              <w:pStyle w:val="TableText0"/>
              <w:keepNext w:val="0"/>
              <w:rPr>
                <w:i/>
                <w:iCs/>
              </w:rPr>
            </w:pPr>
            <w:r w:rsidRPr="00252425">
              <w:rPr>
                <w:i/>
                <w:iCs/>
              </w:rPr>
              <w:t xml:space="preserve">Mean FU: </w:t>
            </w:r>
          </w:p>
          <w:p w14:paraId="5A5DC6DF" w14:textId="77777777" w:rsidR="001D0D97" w:rsidRPr="00252425" w:rsidRDefault="001D0D97" w:rsidP="00BD17AF">
            <w:pPr>
              <w:pStyle w:val="TableText0"/>
              <w:keepNext w:val="0"/>
            </w:pPr>
            <w:r w:rsidRPr="00252425">
              <w:rPr>
                <w:i/>
                <w:iCs/>
              </w:rPr>
              <w:lastRenderedPageBreak/>
              <w:t>Not reported</w:t>
            </w:r>
          </w:p>
        </w:tc>
        <w:tc>
          <w:tcPr>
            <w:tcW w:w="896" w:type="dxa"/>
          </w:tcPr>
          <w:p w14:paraId="5AA33240" w14:textId="77777777" w:rsidR="001D0D97" w:rsidRPr="00252425" w:rsidRDefault="001D0D97" w:rsidP="00BD17AF">
            <w:pPr>
              <w:pStyle w:val="TableText0"/>
              <w:keepNext w:val="0"/>
              <w:rPr>
                <w:i/>
                <w:iCs/>
              </w:rPr>
            </w:pPr>
            <w:r w:rsidRPr="00252425">
              <w:rPr>
                <w:i/>
                <w:iCs/>
              </w:rPr>
              <w:lastRenderedPageBreak/>
              <w:t>Acceptable</w:t>
            </w:r>
          </w:p>
        </w:tc>
        <w:tc>
          <w:tcPr>
            <w:tcW w:w="2231" w:type="dxa"/>
            <w:shd w:val="clear" w:color="auto" w:fill="auto"/>
          </w:tcPr>
          <w:p w14:paraId="41CBA7E7" w14:textId="77777777" w:rsidR="001D0D97" w:rsidRPr="00252425" w:rsidRDefault="001D0D97" w:rsidP="00BD17AF">
            <w:pPr>
              <w:pStyle w:val="TableText0"/>
              <w:rPr>
                <w:i/>
                <w:iCs/>
              </w:rPr>
            </w:pPr>
            <w:r w:rsidRPr="00252425">
              <w:rPr>
                <w:i/>
                <w:iCs/>
              </w:rPr>
              <w:t xml:space="preserve">PSF, included studies provided SRS-22 data; performed spinal </w:t>
            </w:r>
            <w:r w:rsidRPr="00A85A69">
              <w:rPr>
                <w:i/>
                <w:iCs/>
              </w:rPr>
              <w:t>fusion using posterior pedicle screw instrumentation for AIS;</w:t>
            </w:r>
            <w:r w:rsidRPr="00252425">
              <w:rPr>
                <w:i/>
                <w:iCs/>
              </w:rPr>
              <w:t xml:space="preserve"> and</w:t>
            </w:r>
            <w:r w:rsidRPr="00A85A69">
              <w:rPr>
                <w:i/>
                <w:iCs/>
              </w:rPr>
              <w:t xml:space="preserve"> reported values for </w:t>
            </w:r>
            <w:r w:rsidRPr="00A85A69">
              <w:rPr>
                <w:i/>
                <w:iCs/>
              </w:rPr>
              <w:lastRenderedPageBreak/>
              <w:t>preoperative and postoperative</w:t>
            </w:r>
            <w:r w:rsidRPr="00252425">
              <w:rPr>
                <w:i/>
                <w:iCs/>
              </w:rPr>
              <w:t xml:space="preserve"> </w:t>
            </w:r>
            <w:r w:rsidRPr="00A85A69">
              <w:rPr>
                <w:i/>
                <w:iCs/>
              </w:rPr>
              <w:t>means and SDs for the same patient cohort at 24- or</w:t>
            </w:r>
            <w:r w:rsidRPr="00252425">
              <w:rPr>
                <w:i/>
                <w:iCs/>
              </w:rPr>
              <w:t xml:space="preserve"> &gt; 60-month follow-up</w:t>
            </w:r>
          </w:p>
        </w:tc>
        <w:tc>
          <w:tcPr>
            <w:tcW w:w="1917" w:type="dxa"/>
            <w:shd w:val="clear" w:color="auto" w:fill="auto"/>
          </w:tcPr>
          <w:p w14:paraId="3CF51CEA" w14:textId="77777777" w:rsidR="001D0D97" w:rsidRPr="00252425" w:rsidRDefault="001D0D97" w:rsidP="00BD17AF">
            <w:pPr>
              <w:pStyle w:val="TableText0"/>
              <w:keepNext w:val="0"/>
              <w:rPr>
                <w:i/>
                <w:iCs/>
              </w:rPr>
            </w:pPr>
            <w:r w:rsidRPr="00252425">
              <w:rPr>
                <w:i/>
                <w:iCs/>
              </w:rPr>
              <w:lastRenderedPageBreak/>
              <w:t>HRQoL- SRS-22</w:t>
            </w:r>
          </w:p>
        </w:tc>
        <w:tc>
          <w:tcPr>
            <w:tcW w:w="868" w:type="dxa"/>
            <w:shd w:val="clear" w:color="auto" w:fill="auto"/>
          </w:tcPr>
          <w:p w14:paraId="2263083D" w14:textId="77777777" w:rsidR="001D0D97" w:rsidRPr="00252425" w:rsidRDefault="001D0D97" w:rsidP="00BD17AF">
            <w:pPr>
              <w:pStyle w:val="TableText0"/>
              <w:keepNext w:val="0"/>
              <w:rPr>
                <w:i/>
                <w:iCs/>
              </w:rPr>
            </w:pPr>
            <w:r w:rsidRPr="00252425">
              <w:rPr>
                <w:i/>
                <w:iCs/>
              </w:rPr>
              <w:t>Yes (SA)</w:t>
            </w:r>
          </w:p>
        </w:tc>
      </w:tr>
    </w:tbl>
    <w:p w14:paraId="46C40993" w14:textId="77777777" w:rsidR="001D0D97" w:rsidRPr="00252425" w:rsidRDefault="001D0D97" w:rsidP="00BD17AF">
      <w:pPr>
        <w:pStyle w:val="TableFooter"/>
        <w:jc w:val="left"/>
      </w:pPr>
      <w:r w:rsidRPr="00252425">
        <w:t>CC = case-control; CS = case series; FU = follow-up; HC = healthcare  HRQoL = health related quality of life; pro = prospective; retro = retrospective; TL = thoracolumbar; MT = major thoracic; PSF = posterior spinal fusion; RCT = randomised controlled trial; SF-36 = short form-36; SA = sensitivity analysis; SC = single centre; SRS-22= Scoliosis Research Society -22; VBT = vertebral body tethering; yrs. = years</w:t>
      </w:r>
    </w:p>
    <w:p w14:paraId="69B01E4C" w14:textId="77777777" w:rsidR="001D0D97" w:rsidRPr="00252425" w:rsidRDefault="001D0D97" w:rsidP="00BD17AF">
      <w:pPr>
        <w:pStyle w:val="TableFooter"/>
        <w:jc w:val="left"/>
      </w:pPr>
      <w:r w:rsidRPr="00252425">
        <w:t>Source: compiled during the evaluation based on Tables B.4.1, B.4.2, B.4.3 of ADAR</w:t>
      </w:r>
    </w:p>
    <w:p w14:paraId="437AF62F" w14:textId="4E631F89" w:rsidR="000C63A1" w:rsidRDefault="000C63A1" w:rsidP="00BD17AF">
      <w:bookmarkStart w:id="10" w:name="_Hlk68276176"/>
      <w:r w:rsidRPr="00252425">
        <w:t>Newton (2020) reported that (outside of revision procedures) neither surgical cohort experienced major, life-threatening, or debilitating complications. The peri-operative complications in the VBT group, for example, atelectasis, pleural effusion, were reported to be typical of thoracoscopic spine surgery. The ADAR concluded non-inferior safety based on no statistically significant differences in revision procedures, medical complications</w:t>
      </w:r>
      <w:r>
        <w:t>, or</w:t>
      </w:r>
      <w:r w:rsidRPr="00252425">
        <w:t xml:space="preserve"> pleural effusion after a mean follow-up of 3.5 years (Newton 2020) and up to two years (Mathew 2020). </w:t>
      </w:r>
      <w:r w:rsidRPr="009213A0">
        <w:t xml:space="preserve">However, revision procedures were statistically higher in the Newton (2020) study. </w:t>
      </w:r>
      <w:r w:rsidR="0090375B">
        <w:t>The commentary considered that p</w:t>
      </w:r>
      <w:r w:rsidRPr="009213A0">
        <w:t>ooling the estimate of revision surgery with Mathew (2020), a conference abstract with limited follow-up</w:t>
      </w:r>
      <w:r w:rsidR="009213A0">
        <w:t>,</w:t>
      </w:r>
      <w:r w:rsidRPr="00445D77">
        <w:t xml:space="preserve"> drives the difference to marginal levels</w:t>
      </w:r>
      <w:r w:rsidR="0090375B">
        <w:t xml:space="preserve"> and favours VBT. In addition, including the results by Shin (2021) also suggested </w:t>
      </w:r>
      <w:r w:rsidR="0090375B" w:rsidRPr="0090375B">
        <w:t>there are significantly more revisions in patients who undergo VBT</w:t>
      </w:r>
      <w:r w:rsidR="0090375B">
        <w:t xml:space="preserve"> (Table 6).</w:t>
      </w:r>
    </w:p>
    <w:p w14:paraId="1F5E8DAE" w14:textId="79D8E55F" w:rsidR="0090375B" w:rsidRPr="00252425" w:rsidRDefault="0090375B" w:rsidP="002448B4">
      <w:pPr>
        <w:pStyle w:val="Caption"/>
        <w:spacing w:before="240"/>
        <w:jc w:val="left"/>
      </w:pPr>
      <w:bookmarkStart w:id="11" w:name="_Ref78120661"/>
      <w:bookmarkStart w:id="12" w:name="_Toc81492480"/>
      <w:bookmarkStart w:id="13" w:name="_Toc82085891"/>
      <w:r w:rsidRPr="00252425">
        <w:t xml:space="preserve">Table </w:t>
      </w:r>
      <w:bookmarkEnd w:id="11"/>
      <w:r>
        <w:t>6</w:t>
      </w:r>
      <w:r>
        <w:tab/>
      </w:r>
      <w:r w:rsidRPr="00252425">
        <w:t>Revision surgeries</w:t>
      </w:r>
      <w:bookmarkEnd w:id="12"/>
      <w:bookmarkEnd w:id="13"/>
    </w:p>
    <w:tbl>
      <w:tblPr>
        <w:tblStyle w:val="TableGrid2"/>
        <w:tblW w:w="5000" w:type="pct"/>
        <w:jc w:val="center"/>
        <w:tblCellMar>
          <w:left w:w="28" w:type="dxa"/>
          <w:right w:w="28" w:type="dxa"/>
        </w:tblCellMar>
        <w:tblLook w:val="04A0" w:firstRow="1" w:lastRow="0" w:firstColumn="1" w:lastColumn="0" w:noHBand="0" w:noVBand="1"/>
        <w:tblDescription w:val="Revision surgeries"/>
      </w:tblPr>
      <w:tblGrid>
        <w:gridCol w:w="1610"/>
        <w:gridCol w:w="1044"/>
        <w:gridCol w:w="1524"/>
        <w:gridCol w:w="1266"/>
        <w:gridCol w:w="1291"/>
        <w:gridCol w:w="2281"/>
      </w:tblGrid>
      <w:tr w:rsidR="001F22FA" w:rsidRPr="00252425" w14:paraId="4E819565" w14:textId="77777777" w:rsidTr="008603D6">
        <w:trPr>
          <w:cnfStyle w:val="100000000000" w:firstRow="1" w:lastRow="0" w:firstColumn="0" w:lastColumn="0" w:oddVBand="0" w:evenVBand="0" w:oddHBand="0" w:evenHBand="0" w:firstRowFirstColumn="0" w:firstRowLastColumn="0" w:lastRowFirstColumn="0" w:lastRowLastColumn="0"/>
          <w:tblHeader/>
          <w:jc w:val="center"/>
        </w:trPr>
        <w:tc>
          <w:tcPr>
            <w:tcW w:w="893" w:type="pct"/>
            <w:vMerge w:val="restart"/>
            <w:shd w:val="clear" w:color="auto" w:fill="auto"/>
          </w:tcPr>
          <w:p w14:paraId="096E1F4F" w14:textId="77777777" w:rsidR="0090375B" w:rsidRPr="008603D6" w:rsidRDefault="0090375B" w:rsidP="00BD17AF">
            <w:pPr>
              <w:pStyle w:val="Tabletextcentred"/>
              <w:jc w:val="left"/>
              <w:rPr>
                <w:bCs/>
                <w:snapToGrid w:val="0"/>
              </w:rPr>
            </w:pPr>
            <w:r w:rsidRPr="009213A0">
              <w:rPr>
                <w:b/>
                <w:bCs/>
                <w:snapToGrid w:val="0"/>
              </w:rPr>
              <w:t>Study ID</w:t>
            </w:r>
          </w:p>
        </w:tc>
        <w:tc>
          <w:tcPr>
            <w:tcW w:w="1424" w:type="pct"/>
            <w:gridSpan w:val="2"/>
            <w:shd w:val="clear" w:color="auto" w:fill="auto"/>
          </w:tcPr>
          <w:p w14:paraId="60B3DE08" w14:textId="77777777" w:rsidR="0090375B" w:rsidRPr="008603D6" w:rsidRDefault="0090375B" w:rsidP="00BD17AF">
            <w:pPr>
              <w:pStyle w:val="Tabletextcentred"/>
              <w:jc w:val="left"/>
              <w:rPr>
                <w:bCs/>
                <w:snapToGrid w:val="0"/>
              </w:rPr>
            </w:pPr>
            <w:r w:rsidRPr="009213A0">
              <w:rPr>
                <w:b/>
                <w:bCs/>
                <w:snapToGrid w:val="0"/>
              </w:rPr>
              <w:t>VBT</w:t>
            </w:r>
          </w:p>
        </w:tc>
        <w:tc>
          <w:tcPr>
            <w:tcW w:w="1418" w:type="pct"/>
            <w:gridSpan w:val="2"/>
            <w:shd w:val="clear" w:color="auto" w:fill="auto"/>
          </w:tcPr>
          <w:p w14:paraId="6F59CBEB" w14:textId="77777777" w:rsidR="0090375B" w:rsidRPr="008603D6" w:rsidRDefault="0090375B" w:rsidP="00BD17AF">
            <w:pPr>
              <w:pStyle w:val="Tabletextcentred"/>
              <w:jc w:val="left"/>
              <w:rPr>
                <w:bCs/>
                <w:snapToGrid w:val="0"/>
              </w:rPr>
            </w:pPr>
            <w:r w:rsidRPr="009213A0">
              <w:rPr>
                <w:b/>
                <w:bCs/>
                <w:snapToGrid w:val="0"/>
              </w:rPr>
              <w:t>PSF</w:t>
            </w:r>
          </w:p>
        </w:tc>
        <w:tc>
          <w:tcPr>
            <w:tcW w:w="1265" w:type="pct"/>
            <w:vMerge w:val="restart"/>
            <w:shd w:val="clear" w:color="auto" w:fill="auto"/>
          </w:tcPr>
          <w:p w14:paraId="62F0EF9A" w14:textId="77777777" w:rsidR="0090375B" w:rsidRPr="008603D6" w:rsidRDefault="0090375B" w:rsidP="00BD17AF">
            <w:pPr>
              <w:pStyle w:val="Tabletextcentred"/>
              <w:jc w:val="left"/>
              <w:rPr>
                <w:bCs/>
              </w:rPr>
            </w:pPr>
            <w:r w:rsidRPr="009213A0">
              <w:rPr>
                <w:b/>
                <w:bCs/>
              </w:rPr>
              <w:t>OR</w:t>
            </w:r>
          </w:p>
          <w:p w14:paraId="5024E340" w14:textId="77777777" w:rsidR="0090375B" w:rsidRPr="008603D6" w:rsidRDefault="0090375B" w:rsidP="00BD17AF">
            <w:pPr>
              <w:pStyle w:val="Tabletextcentred"/>
              <w:jc w:val="left"/>
              <w:rPr>
                <w:bCs/>
              </w:rPr>
            </w:pPr>
            <w:r w:rsidRPr="009213A0">
              <w:rPr>
                <w:b/>
                <w:bCs/>
              </w:rPr>
              <w:t>(95% CI)</w:t>
            </w:r>
          </w:p>
          <w:p w14:paraId="322EF534" w14:textId="77777777" w:rsidR="0090375B" w:rsidRPr="008603D6" w:rsidRDefault="0090375B" w:rsidP="00BD17AF">
            <w:pPr>
              <w:pStyle w:val="Tabletextcentred"/>
              <w:jc w:val="left"/>
              <w:rPr>
                <w:bCs/>
                <w:snapToGrid w:val="0"/>
              </w:rPr>
            </w:pPr>
            <w:r w:rsidRPr="009213A0">
              <w:rPr>
                <w:b/>
                <w:bCs/>
              </w:rPr>
              <w:t>P-value</w:t>
            </w:r>
          </w:p>
        </w:tc>
      </w:tr>
      <w:tr w:rsidR="00B51ADD" w:rsidRPr="00252425" w14:paraId="31DE3983" w14:textId="77777777" w:rsidTr="008603D6">
        <w:trPr>
          <w:cnfStyle w:val="100000000000" w:firstRow="1" w:lastRow="0" w:firstColumn="0" w:lastColumn="0" w:oddVBand="0" w:evenVBand="0" w:oddHBand="0" w:evenHBand="0" w:firstRowFirstColumn="0" w:firstRowLastColumn="0" w:lastRowFirstColumn="0" w:lastRowLastColumn="0"/>
          <w:tblHeader/>
          <w:jc w:val="center"/>
        </w:trPr>
        <w:tc>
          <w:tcPr>
            <w:tcW w:w="893" w:type="pct"/>
            <w:vMerge/>
            <w:shd w:val="clear" w:color="auto" w:fill="auto"/>
          </w:tcPr>
          <w:p w14:paraId="5C4D24CC" w14:textId="77777777" w:rsidR="0090375B" w:rsidRPr="00252425" w:rsidRDefault="0090375B" w:rsidP="00BD17AF">
            <w:pPr>
              <w:pStyle w:val="TableHeading"/>
              <w:jc w:val="left"/>
              <w:rPr>
                <w:snapToGrid w:val="0"/>
                <w:lang w:eastAsia="en-US"/>
              </w:rPr>
            </w:pPr>
          </w:p>
        </w:tc>
        <w:tc>
          <w:tcPr>
            <w:tcW w:w="579" w:type="pct"/>
            <w:shd w:val="clear" w:color="auto" w:fill="auto"/>
          </w:tcPr>
          <w:p w14:paraId="16898F89" w14:textId="77777777" w:rsidR="0090375B" w:rsidRPr="00252425" w:rsidRDefault="0090375B" w:rsidP="00BD17AF">
            <w:pPr>
              <w:pStyle w:val="TableHeading"/>
              <w:ind w:left="0" w:right="119" w:firstLine="0"/>
              <w:jc w:val="left"/>
              <w:rPr>
                <w:snapToGrid w:val="0"/>
                <w:lang w:eastAsia="en-US"/>
              </w:rPr>
            </w:pPr>
            <w:r w:rsidRPr="00252425">
              <w:rPr>
                <w:snapToGrid w:val="0"/>
                <w:lang w:eastAsia="en-US"/>
              </w:rPr>
              <w:t>N</w:t>
            </w:r>
          </w:p>
        </w:tc>
        <w:tc>
          <w:tcPr>
            <w:tcW w:w="845" w:type="pct"/>
          </w:tcPr>
          <w:p w14:paraId="3654440D" w14:textId="77777777" w:rsidR="0090375B" w:rsidRPr="00252425" w:rsidRDefault="0090375B" w:rsidP="00BD17AF">
            <w:pPr>
              <w:pStyle w:val="TableHeading"/>
              <w:ind w:left="0" w:right="119" w:firstLine="0"/>
              <w:jc w:val="left"/>
              <w:rPr>
                <w:snapToGrid w:val="0"/>
                <w:lang w:eastAsia="en-US"/>
              </w:rPr>
            </w:pPr>
            <w:r w:rsidRPr="00252425">
              <w:rPr>
                <w:snapToGrid w:val="0"/>
                <w:lang w:eastAsia="en-US"/>
              </w:rPr>
              <w:t>n (%)</w:t>
            </w:r>
          </w:p>
        </w:tc>
        <w:tc>
          <w:tcPr>
            <w:tcW w:w="702" w:type="pct"/>
          </w:tcPr>
          <w:p w14:paraId="59C372EC" w14:textId="77777777" w:rsidR="0090375B" w:rsidRPr="00252425" w:rsidRDefault="0090375B" w:rsidP="00BD17AF">
            <w:pPr>
              <w:pStyle w:val="TableHeading"/>
              <w:ind w:left="0" w:right="119" w:firstLine="0"/>
              <w:jc w:val="left"/>
              <w:rPr>
                <w:snapToGrid w:val="0"/>
                <w:lang w:eastAsia="en-US"/>
              </w:rPr>
            </w:pPr>
            <w:r w:rsidRPr="00252425">
              <w:rPr>
                <w:snapToGrid w:val="0"/>
                <w:lang w:eastAsia="en-US"/>
              </w:rPr>
              <w:t>N</w:t>
            </w:r>
          </w:p>
        </w:tc>
        <w:tc>
          <w:tcPr>
            <w:tcW w:w="716" w:type="pct"/>
          </w:tcPr>
          <w:p w14:paraId="3A1CBD86" w14:textId="77777777" w:rsidR="0090375B" w:rsidRPr="00252425" w:rsidRDefault="0090375B" w:rsidP="00BD17AF">
            <w:pPr>
              <w:pStyle w:val="TableHeading"/>
              <w:ind w:left="0" w:right="119" w:firstLine="0"/>
              <w:jc w:val="left"/>
              <w:rPr>
                <w:snapToGrid w:val="0"/>
                <w:lang w:eastAsia="en-US"/>
              </w:rPr>
            </w:pPr>
            <w:r w:rsidRPr="00252425">
              <w:rPr>
                <w:snapToGrid w:val="0"/>
                <w:lang w:eastAsia="en-US"/>
              </w:rPr>
              <w:t>n (%)</w:t>
            </w:r>
          </w:p>
        </w:tc>
        <w:tc>
          <w:tcPr>
            <w:tcW w:w="1265" w:type="pct"/>
            <w:vMerge/>
            <w:shd w:val="clear" w:color="auto" w:fill="auto"/>
          </w:tcPr>
          <w:p w14:paraId="7B9F85D5" w14:textId="77777777" w:rsidR="0090375B" w:rsidRPr="00252425" w:rsidRDefault="0090375B" w:rsidP="00BD17AF">
            <w:pPr>
              <w:pStyle w:val="TableHeading"/>
              <w:ind w:left="41" w:right="117"/>
              <w:jc w:val="left"/>
              <w:rPr>
                <w:snapToGrid w:val="0"/>
                <w:lang w:eastAsia="en-US"/>
              </w:rPr>
            </w:pPr>
          </w:p>
        </w:tc>
      </w:tr>
      <w:tr w:rsidR="00B51ADD" w:rsidRPr="00252425" w14:paraId="0C7C5085" w14:textId="77777777" w:rsidTr="008603D6">
        <w:trPr>
          <w:jc w:val="center"/>
        </w:trPr>
        <w:tc>
          <w:tcPr>
            <w:tcW w:w="893" w:type="pct"/>
            <w:tcBorders>
              <w:top w:val="single" w:sz="4" w:space="0" w:color="auto"/>
              <w:left w:val="single" w:sz="4" w:space="0" w:color="auto"/>
              <w:bottom w:val="single" w:sz="4" w:space="0" w:color="auto"/>
              <w:right w:val="single" w:sz="4" w:space="0" w:color="auto"/>
            </w:tcBorders>
            <w:shd w:val="clear" w:color="auto" w:fill="auto"/>
          </w:tcPr>
          <w:p w14:paraId="35511741" w14:textId="77777777" w:rsidR="0090375B" w:rsidRPr="00252425" w:rsidRDefault="0090375B" w:rsidP="00BD17AF">
            <w:pPr>
              <w:pStyle w:val="TableText0"/>
              <w:rPr>
                <w:snapToGrid w:val="0"/>
                <w:szCs w:val="20"/>
                <w:vertAlign w:val="superscript"/>
              </w:rPr>
            </w:pPr>
            <w:r w:rsidRPr="00252425">
              <w:t>Newton (2020)</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2F5E917" w14:textId="77777777" w:rsidR="0090375B" w:rsidRPr="00252425" w:rsidRDefault="0090375B" w:rsidP="00BD17AF">
            <w:pPr>
              <w:pStyle w:val="TableText0"/>
              <w:ind w:left="111" w:right="117"/>
              <w:rPr>
                <w:snapToGrid w:val="0"/>
                <w:szCs w:val="20"/>
              </w:rPr>
            </w:pPr>
            <w:r w:rsidRPr="00252425">
              <w:rPr>
                <w:rFonts w:cs="Calibri"/>
                <w:szCs w:val="20"/>
              </w:rPr>
              <w:t>23</w:t>
            </w:r>
          </w:p>
        </w:tc>
        <w:tc>
          <w:tcPr>
            <w:tcW w:w="845" w:type="pct"/>
            <w:tcBorders>
              <w:top w:val="single" w:sz="4" w:space="0" w:color="auto"/>
              <w:left w:val="single" w:sz="4" w:space="0" w:color="auto"/>
              <w:bottom w:val="single" w:sz="4" w:space="0" w:color="auto"/>
              <w:right w:val="single" w:sz="4" w:space="0" w:color="auto"/>
            </w:tcBorders>
          </w:tcPr>
          <w:p w14:paraId="2EFBCDFB" w14:textId="77777777" w:rsidR="0090375B" w:rsidRPr="00252425" w:rsidRDefault="0090375B" w:rsidP="00BD17AF">
            <w:pPr>
              <w:pStyle w:val="TableText0"/>
              <w:ind w:left="77" w:right="117"/>
              <w:rPr>
                <w:snapToGrid w:val="0"/>
                <w:szCs w:val="20"/>
              </w:rPr>
            </w:pPr>
            <w:r w:rsidRPr="00252425">
              <w:rPr>
                <w:snapToGrid w:val="0"/>
                <w:szCs w:val="20"/>
              </w:rPr>
              <w:t>7 (</w:t>
            </w:r>
            <w:r w:rsidRPr="00252425">
              <w:rPr>
                <w:i/>
                <w:snapToGrid w:val="0"/>
                <w:szCs w:val="20"/>
              </w:rPr>
              <w:t>30</w:t>
            </w:r>
            <w:r w:rsidRPr="00252425">
              <w:rPr>
                <w:snapToGrid w:val="0"/>
                <w:szCs w:val="20"/>
              </w:rPr>
              <w:t>)</w:t>
            </w:r>
          </w:p>
        </w:tc>
        <w:tc>
          <w:tcPr>
            <w:tcW w:w="702" w:type="pct"/>
            <w:tcBorders>
              <w:top w:val="single" w:sz="4" w:space="0" w:color="auto"/>
              <w:left w:val="single" w:sz="4" w:space="0" w:color="auto"/>
              <w:bottom w:val="single" w:sz="4" w:space="0" w:color="auto"/>
              <w:right w:val="single" w:sz="4" w:space="0" w:color="auto"/>
            </w:tcBorders>
          </w:tcPr>
          <w:p w14:paraId="0D19D9A0" w14:textId="77777777" w:rsidR="0090375B" w:rsidRPr="00252425" w:rsidRDefault="0090375B" w:rsidP="00BD17AF">
            <w:pPr>
              <w:pStyle w:val="TableText0"/>
              <w:ind w:left="41" w:right="117"/>
              <w:rPr>
                <w:snapToGrid w:val="0"/>
                <w:szCs w:val="20"/>
              </w:rPr>
            </w:pPr>
            <w:r w:rsidRPr="00252425">
              <w:rPr>
                <w:rFonts w:cs="Calibri"/>
                <w:szCs w:val="20"/>
              </w:rPr>
              <w:t>26</w:t>
            </w:r>
          </w:p>
        </w:tc>
        <w:tc>
          <w:tcPr>
            <w:tcW w:w="716" w:type="pct"/>
            <w:tcBorders>
              <w:top w:val="single" w:sz="4" w:space="0" w:color="auto"/>
              <w:left w:val="single" w:sz="4" w:space="0" w:color="auto"/>
              <w:bottom w:val="single" w:sz="4" w:space="0" w:color="auto"/>
              <w:right w:val="single" w:sz="4" w:space="0" w:color="auto"/>
            </w:tcBorders>
          </w:tcPr>
          <w:p w14:paraId="33BE8586" w14:textId="77777777" w:rsidR="0090375B" w:rsidRPr="00252425" w:rsidRDefault="0090375B" w:rsidP="00BD17AF">
            <w:pPr>
              <w:pStyle w:val="TableText0"/>
              <w:ind w:left="41" w:right="117"/>
              <w:rPr>
                <w:snapToGrid w:val="0"/>
                <w:szCs w:val="20"/>
              </w:rPr>
            </w:pPr>
            <w:r w:rsidRPr="00252425">
              <w:rPr>
                <w:snapToGrid w:val="0"/>
                <w:szCs w:val="20"/>
              </w:rPr>
              <w:t>0</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2F153A93" w14:textId="77777777" w:rsidR="0090375B" w:rsidRPr="00252425" w:rsidRDefault="0090375B" w:rsidP="00BD17AF">
            <w:pPr>
              <w:keepNext/>
              <w:rPr>
                <w:b/>
                <w:iCs/>
              </w:rPr>
            </w:pPr>
            <w:r w:rsidRPr="00252425">
              <w:rPr>
                <w:b/>
                <w:iCs/>
              </w:rPr>
              <w:t>22.3 (1.2, 420.6)</w:t>
            </w:r>
          </w:p>
          <w:p w14:paraId="5C74EB86" w14:textId="77777777" w:rsidR="0090375B" w:rsidRPr="00252425" w:rsidRDefault="0090375B" w:rsidP="00BD17AF">
            <w:pPr>
              <w:keepNext/>
              <w:rPr>
                <w:b/>
                <w:iCs/>
              </w:rPr>
            </w:pPr>
            <w:r w:rsidRPr="00252425">
              <w:rPr>
                <w:b/>
                <w:iCs/>
              </w:rPr>
              <w:t>0.0437</w:t>
            </w:r>
          </w:p>
        </w:tc>
      </w:tr>
      <w:tr w:rsidR="00B51ADD" w:rsidRPr="00252425" w14:paraId="066384DB" w14:textId="77777777" w:rsidTr="008603D6">
        <w:trPr>
          <w:jc w:val="center"/>
        </w:trPr>
        <w:tc>
          <w:tcPr>
            <w:tcW w:w="893" w:type="pct"/>
            <w:tcBorders>
              <w:top w:val="single" w:sz="4" w:space="0" w:color="auto"/>
              <w:left w:val="single" w:sz="4" w:space="0" w:color="auto"/>
              <w:bottom w:val="single" w:sz="4" w:space="0" w:color="auto"/>
              <w:right w:val="single" w:sz="4" w:space="0" w:color="auto"/>
            </w:tcBorders>
            <w:shd w:val="clear" w:color="auto" w:fill="auto"/>
          </w:tcPr>
          <w:p w14:paraId="1829B3D1" w14:textId="77777777" w:rsidR="0090375B" w:rsidRPr="00252425" w:rsidRDefault="0090375B" w:rsidP="00BD17AF">
            <w:pPr>
              <w:pStyle w:val="TableText0"/>
              <w:rPr>
                <w:snapToGrid w:val="0"/>
                <w:szCs w:val="20"/>
              </w:rPr>
            </w:pPr>
            <w:r w:rsidRPr="00252425">
              <w:rPr>
                <w:snapToGrid w:val="0"/>
                <w:szCs w:val="20"/>
              </w:rPr>
              <w:t>Mathew (2020)</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2E426EE" w14:textId="77777777" w:rsidR="0090375B" w:rsidRPr="00252425" w:rsidRDefault="0090375B" w:rsidP="00BD17AF">
            <w:pPr>
              <w:pStyle w:val="TableText0"/>
              <w:ind w:left="111" w:right="117"/>
              <w:rPr>
                <w:rFonts w:cs="Calibri"/>
                <w:szCs w:val="20"/>
              </w:rPr>
            </w:pPr>
            <w:r w:rsidRPr="00252425">
              <w:rPr>
                <w:rFonts w:cs="Calibri"/>
                <w:szCs w:val="20"/>
              </w:rPr>
              <w:t>30</w:t>
            </w:r>
          </w:p>
        </w:tc>
        <w:tc>
          <w:tcPr>
            <w:tcW w:w="845" w:type="pct"/>
            <w:tcBorders>
              <w:top w:val="single" w:sz="4" w:space="0" w:color="auto"/>
              <w:left w:val="single" w:sz="4" w:space="0" w:color="auto"/>
              <w:bottom w:val="single" w:sz="4" w:space="0" w:color="auto"/>
              <w:right w:val="single" w:sz="4" w:space="0" w:color="auto"/>
            </w:tcBorders>
          </w:tcPr>
          <w:p w14:paraId="55B62F4F" w14:textId="77777777" w:rsidR="0090375B" w:rsidRPr="00252425" w:rsidRDefault="0090375B" w:rsidP="00BD17AF">
            <w:pPr>
              <w:pStyle w:val="TableText0"/>
              <w:ind w:left="77" w:right="117"/>
              <w:rPr>
                <w:rFonts w:cs="Calibri"/>
                <w:szCs w:val="20"/>
              </w:rPr>
            </w:pPr>
            <w:r w:rsidRPr="00252425">
              <w:rPr>
                <w:rFonts w:cs="Calibri"/>
                <w:szCs w:val="20"/>
              </w:rPr>
              <w:t>1 (</w:t>
            </w:r>
            <w:r w:rsidRPr="00252425">
              <w:rPr>
                <w:rFonts w:cs="Calibri"/>
                <w:i/>
                <w:szCs w:val="20"/>
              </w:rPr>
              <w:t>3</w:t>
            </w:r>
            <w:r w:rsidRPr="00252425">
              <w:rPr>
                <w:rFonts w:cs="Calibri"/>
                <w:szCs w:val="20"/>
              </w:rPr>
              <w:t>)</w:t>
            </w:r>
          </w:p>
        </w:tc>
        <w:tc>
          <w:tcPr>
            <w:tcW w:w="702" w:type="pct"/>
            <w:tcBorders>
              <w:top w:val="single" w:sz="4" w:space="0" w:color="auto"/>
              <w:left w:val="single" w:sz="4" w:space="0" w:color="auto"/>
              <w:bottom w:val="single" w:sz="4" w:space="0" w:color="auto"/>
              <w:right w:val="single" w:sz="4" w:space="0" w:color="auto"/>
            </w:tcBorders>
          </w:tcPr>
          <w:p w14:paraId="4941C20A" w14:textId="77777777" w:rsidR="0090375B" w:rsidRPr="00252425" w:rsidRDefault="0090375B" w:rsidP="00BD17AF">
            <w:pPr>
              <w:pStyle w:val="TableText0"/>
              <w:ind w:left="41" w:right="117"/>
              <w:rPr>
                <w:rFonts w:cs="Calibri"/>
                <w:szCs w:val="20"/>
              </w:rPr>
            </w:pPr>
            <w:r w:rsidRPr="00252425">
              <w:rPr>
                <w:rFonts w:cs="Calibri"/>
                <w:szCs w:val="20"/>
              </w:rPr>
              <w:t>30</w:t>
            </w:r>
          </w:p>
        </w:tc>
        <w:tc>
          <w:tcPr>
            <w:tcW w:w="716" w:type="pct"/>
            <w:tcBorders>
              <w:top w:val="single" w:sz="4" w:space="0" w:color="auto"/>
              <w:left w:val="single" w:sz="4" w:space="0" w:color="auto"/>
              <w:bottom w:val="single" w:sz="4" w:space="0" w:color="auto"/>
              <w:right w:val="single" w:sz="4" w:space="0" w:color="auto"/>
            </w:tcBorders>
          </w:tcPr>
          <w:p w14:paraId="7ABDD963" w14:textId="77777777" w:rsidR="0090375B" w:rsidRPr="00252425" w:rsidRDefault="0090375B" w:rsidP="00BD17AF">
            <w:pPr>
              <w:pStyle w:val="TableText0"/>
              <w:ind w:left="41" w:right="117"/>
              <w:rPr>
                <w:rFonts w:cs="Calibri"/>
                <w:szCs w:val="20"/>
              </w:rPr>
            </w:pPr>
            <w:r w:rsidRPr="00252425">
              <w:rPr>
                <w:rFonts w:cs="Calibri"/>
                <w:szCs w:val="20"/>
              </w:rPr>
              <w:t>0</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6049B069" w14:textId="77777777" w:rsidR="0090375B" w:rsidRPr="00252425" w:rsidRDefault="0090375B" w:rsidP="00BD17AF">
            <w:pPr>
              <w:keepNext/>
              <w:rPr>
                <w:iCs/>
              </w:rPr>
            </w:pPr>
            <w:r w:rsidRPr="00252425">
              <w:rPr>
                <w:iCs/>
              </w:rPr>
              <w:t>2.0 (0.1, 63.0)</w:t>
            </w:r>
          </w:p>
          <w:p w14:paraId="06019952" w14:textId="77777777" w:rsidR="0090375B" w:rsidRPr="00252425" w:rsidRDefault="0090375B" w:rsidP="00BD17AF">
            <w:pPr>
              <w:keepNext/>
              <w:rPr>
                <w:iCs/>
              </w:rPr>
            </w:pPr>
            <w:r w:rsidRPr="00252425">
              <w:rPr>
                <w:iCs/>
              </w:rPr>
              <w:t>0.6866</w:t>
            </w:r>
          </w:p>
        </w:tc>
      </w:tr>
      <w:tr w:rsidR="00B51ADD" w:rsidRPr="00252425" w14:paraId="1162390A" w14:textId="77777777" w:rsidTr="008603D6">
        <w:trPr>
          <w:jc w:val="center"/>
        </w:trPr>
        <w:tc>
          <w:tcPr>
            <w:tcW w:w="893" w:type="pct"/>
            <w:tcBorders>
              <w:top w:val="single" w:sz="4" w:space="0" w:color="auto"/>
              <w:left w:val="single" w:sz="4" w:space="0" w:color="auto"/>
              <w:bottom w:val="single" w:sz="4" w:space="0" w:color="auto"/>
              <w:right w:val="single" w:sz="4" w:space="0" w:color="auto"/>
            </w:tcBorders>
            <w:shd w:val="clear" w:color="auto" w:fill="auto"/>
          </w:tcPr>
          <w:p w14:paraId="32EC8387" w14:textId="77777777" w:rsidR="0090375B" w:rsidRPr="00252425" w:rsidRDefault="0090375B" w:rsidP="00BD17AF">
            <w:pPr>
              <w:pStyle w:val="TableText0"/>
              <w:rPr>
                <w:i/>
                <w:iCs/>
                <w:snapToGrid w:val="0"/>
                <w:szCs w:val="20"/>
              </w:rPr>
            </w:pPr>
            <w:r w:rsidRPr="00252425">
              <w:rPr>
                <w:i/>
                <w:iCs/>
              </w:rPr>
              <w:t>Shin (2021)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67E8DD6" w14:textId="77777777" w:rsidR="0090375B" w:rsidRPr="00252425" w:rsidRDefault="0090375B" w:rsidP="00BD17AF">
            <w:pPr>
              <w:pStyle w:val="TableText0"/>
              <w:rPr>
                <w:rFonts w:cs="Calibri"/>
                <w:i/>
                <w:iCs/>
                <w:szCs w:val="20"/>
              </w:rPr>
            </w:pPr>
            <w:r w:rsidRPr="00252425">
              <w:rPr>
                <w:i/>
                <w:iCs/>
              </w:rPr>
              <w:t>211</w:t>
            </w:r>
          </w:p>
        </w:tc>
        <w:tc>
          <w:tcPr>
            <w:tcW w:w="845" w:type="pct"/>
            <w:tcBorders>
              <w:top w:val="single" w:sz="4" w:space="0" w:color="auto"/>
              <w:left w:val="single" w:sz="4" w:space="0" w:color="auto"/>
              <w:bottom w:val="single" w:sz="4" w:space="0" w:color="auto"/>
              <w:right w:val="single" w:sz="4" w:space="0" w:color="auto"/>
            </w:tcBorders>
          </w:tcPr>
          <w:p w14:paraId="301422A2" w14:textId="77777777" w:rsidR="0090375B" w:rsidRPr="00252425" w:rsidRDefault="0090375B" w:rsidP="00BD17AF">
            <w:pPr>
              <w:pStyle w:val="TableText0"/>
              <w:rPr>
                <w:i/>
                <w:iCs/>
              </w:rPr>
            </w:pPr>
            <w:r w:rsidRPr="00252425">
              <w:rPr>
                <w:i/>
                <w:iCs/>
              </w:rPr>
              <w:t>n=31</w:t>
            </w:r>
          </w:p>
          <w:p w14:paraId="0F817D2B" w14:textId="45741CD3" w:rsidR="0090375B" w:rsidRPr="00252425" w:rsidRDefault="0090375B" w:rsidP="00BD17AF">
            <w:pPr>
              <w:pStyle w:val="TableText0"/>
              <w:rPr>
                <w:rFonts w:cs="Calibri"/>
                <w:i/>
                <w:iCs/>
                <w:szCs w:val="20"/>
              </w:rPr>
            </w:pPr>
            <w:r w:rsidRPr="00252425">
              <w:rPr>
                <w:i/>
                <w:iCs/>
              </w:rPr>
              <w:t>14.1%</w:t>
            </w:r>
            <w:r w:rsidR="00BE3277">
              <w:rPr>
                <w:i/>
                <w:iCs/>
              </w:rPr>
              <w:t xml:space="preserve"> </w:t>
            </w:r>
            <w:r w:rsidRPr="00252425">
              <w:rPr>
                <w:i/>
                <w:iCs/>
              </w:rPr>
              <w:t>(95% CI 5.6 to 22.6)</w:t>
            </w:r>
          </w:p>
        </w:tc>
        <w:tc>
          <w:tcPr>
            <w:tcW w:w="702" w:type="pct"/>
            <w:tcBorders>
              <w:top w:val="single" w:sz="4" w:space="0" w:color="auto"/>
              <w:left w:val="single" w:sz="4" w:space="0" w:color="auto"/>
              <w:bottom w:val="single" w:sz="4" w:space="0" w:color="auto"/>
              <w:right w:val="single" w:sz="4" w:space="0" w:color="auto"/>
            </w:tcBorders>
          </w:tcPr>
          <w:p w14:paraId="75AB85B4" w14:textId="77777777" w:rsidR="0090375B" w:rsidRPr="00252425" w:rsidRDefault="0090375B" w:rsidP="00BD17AF">
            <w:pPr>
              <w:pStyle w:val="TableText0"/>
              <w:rPr>
                <w:rFonts w:cs="Calibri"/>
                <w:i/>
                <w:iCs/>
                <w:szCs w:val="20"/>
              </w:rPr>
            </w:pPr>
            <w:r w:rsidRPr="00252425">
              <w:rPr>
                <w:i/>
                <w:iCs/>
              </w:rPr>
              <w:t>312</w:t>
            </w:r>
          </w:p>
        </w:tc>
        <w:tc>
          <w:tcPr>
            <w:tcW w:w="716" w:type="pct"/>
            <w:tcBorders>
              <w:top w:val="single" w:sz="4" w:space="0" w:color="auto"/>
              <w:left w:val="single" w:sz="4" w:space="0" w:color="auto"/>
              <w:bottom w:val="single" w:sz="4" w:space="0" w:color="auto"/>
              <w:right w:val="single" w:sz="4" w:space="0" w:color="auto"/>
            </w:tcBorders>
          </w:tcPr>
          <w:p w14:paraId="5035353D" w14:textId="77777777" w:rsidR="0090375B" w:rsidRPr="00252425" w:rsidRDefault="0090375B" w:rsidP="00BD17AF">
            <w:pPr>
              <w:pStyle w:val="TableText0"/>
              <w:rPr>
                <w:i/>
                <w:iCs/>
              </w:rPr>
            </w:pPr>
            <w:r w:rsidRPr="00252425">
              <w:rPr>
                <w:i/>
                <w:iCs/>
              </w:rPr>
              <w:t>n=4</w:t>
            </w:r>
          </w:p>
          <w:p w14:paraId="24483FE6" w14:textId="77777777" w:rsidR="0090375B" w:rsidRPr="00252425" w:rsidRDefault="0090375B" w:rsidP="00BD17AF">
            <w:pPr>
              <w:pStyle w:val="TableText0"/>
              <w:rPr>
                <w:rFonts w:cs="Calibri"/>
                <w:i/>
                <w:iCs/>
                <w:szCs w:val="20"/>
              </w:rPr>
            </w:pPr>
            <w:r w:rsidRPr="00252425">
              <w:rPr>
                <w:i/>
                <w:iCs/>
              </w:rPr>
              <w:t>0.6% (95% CI 0.0 to 2.3)</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02C83320" w14:textId="77777777" w:rsidR="0090375B" w:rsidRPr="00252425" w:rsidRDefault="0090375B" w:rsidP="00BD17AF">
            <w:pPr>
              <w:pStyle w:val="TableText0"/>
              <w:rPr>
                <w:b/>
                <w:bCs/>
                <w:i/>
                <w:iCs/>
              </w:rPr>
            </w:pPr>
            <w:r w:rsidRPr="00252425">
              <w:rPr>
                <w:b/>
                <w:bCs/>
                <w:i/>
                <w:iCs/>
              </w:rPr>
              <w:t>25.7 (95% CI 6.4 to 223.3)</w:t>
            </w:r>
          </w:p>
          <w:p w14:paraId="555DFA90" w14:textId="77777777" w:rsidR="0090375B" w:rsidRPr="00252425" w:rsidRDefault="0090375B" w:rsidP="00BD17AF">
            <w:pPr>
              <w:pStyle w:val="TableText0"/>
              <w:rPr>
                <w:rFonts w:cs="Times New Roman"/>
                <w:i/>
                <w:iCs/>
                <w:szCs w:val="20"/>
              </w:rPr>
            </w:pPr>
            <w:r w:rsidRPr="00252425">
              <w:rPr>
                <w:b/>
                <w:bCs/>
                <w:i/>
                <w:iCs/>
              </w:rPr>
              <w:t>P&lt;0.0001</w:t>
            </w:r>
          </w:p>
        </w:tc>
      </w:tr>
    </w:tbl>
    <w:p w14:paraId="0032ED22" w14:textId="77777777" w:rsidR="0090375B" w:rsidRPr="00252425" w:rsidRDefault="0090375B" w:rsidP="00B432A2">
      <w:pPr>
        <w:pStyle w:val="Tablenotes"/>
        <w:rPr>
          <w:szCs w:val="18"/>
        </w:rPr>
      </w:pPr>
      <w:r w:rsidRPr="00252425">
        <w:t>n, number of patients experiencing event; N, total number of patients in treatment arm;</w:t>
      </w:r>
      <w:r w:rsidRPr="00252425">
        <w:rPr>
          <w:szCs w:val="18"/>
        </w:rPr>
        <w:t xml:space="preserve"> OR, odds ratio; </w:t>
      </w:r>
      <w:r w:rsidRPr="00252425">
        <w:t>PSF, posterior spinal fusion;</w:t>
      </w:r>
      <w:r w:rsidRPr="00252425">
        <w:rPr>
          <w:szCs w:val="18"/>
        </w:rPr>
        <w:t xml:space="preserve"> </w:t>
      </w:r>
      <w:r w:rsidRPr="00252425">
        <w:t>VBT, vertebral body tethering</w:t>
      </w:r>
    </w:p>
    <w:p w14:paraId="3CBFE32E" w14:textId="77777777" w:rsidR="0090375B" w:rsidRPr="00252425" w:rsidRDefault="0090375B" w:rsidP="00B432A2">
      <w:pPr>
        <w:pStyle w:val="Tablenotes"/>
      </w:pPr>
      <w:r w:rsidRPr="00252425">
        <w:rPr>
          <w:szCs w:val="18"/>
        </w:rPr>
        <w:t>Notes:</w:t>
      </w:r>
      <w:r w:rsidRPr="00252425">
        <w:rPr>
          <w:b/>
          <w:szCs w:val="18"/>
        </w:rPr>
        <w:t xml:space="preserve"> </w:t>
      </w:r>
      <w:r w:rsidRPr="00252425">
        <w:t xml:space="preserve">Odds ratio calculated using Excel, applying correction to account for zero cells (0.5)*.  This is standard statistical practice and is recommended by Cochrane in their handbook.  Commentary added figures are in </w:t>
      </w:r>
      <w:r w:rsidRPr="00252425">
        <w:rPr>
          <w:i/>
          <w:iCs/>
        </w:rPr>
        <w:t>italics</w:t>
      </w:r>
      <w:r w:rsidRPr="00252425">
        <w:t xml:space="preserve"> and statistically significant figures are in </w:t>
      </w:r>
      <w:r w:rsidRPr="00252425">
        <w:rPr>
          <w:b/>
          <w:bCs/>
        </w:rPr>
        <w:t>bold</w:t>
      </w:r>
      <w:r w:rsidRPr="00252425">
        <w:t xml:space="preserve"> text. </w:t>
      </w:r>
    </w:p>
    <w:p w14:paraId="0B859980" w14:textId="62D440C7" w:rsidR="0090375B" w:rsidRPr="00252425" w:rsidRDefault="0090375B" w:rsidP="00BD17AF">
      <w:pPr>
        <w:pStyle w:val="Tablenotes0"/>
        <w:jc w:val="left"/>
      </w:pPr>
      <w:r w:rsidRPr="00252425">
        <w:rPr>
          <w:snapToGrid w:val="0"/>
          <w:szCs w:val="20"/>
          <w:lang w:eastAsia="en-US"/>
        </w:rPr>
        <w:t xml:space="preserve">Source: </w:t>
      </w:r>
      <w:r>
        <w:t>Table 39, p60 of the commentary</w:t>
      </w:r>
    </w:p>
    <w:bookmarkEnd w:id="10"/>
    <w:p w14:paraId="7B454417" w14:textId="68E81F4A" w:rsidR="002A451E" w:rsidRDefault="000A50B9" w:rsidP="00BD17AF">
      <w:r>
        <w:t>Overall adverse event rates were not reported in the ADAR. The meta-analysis by Shin (2021)</w:t>
      </w:r>
      <w:r w:rsidR="008268CA" w:rsidRPr="00252425">
        <w:t xml:space="preserve"> reported a statistically significant difference between VBT and PSF in terms of overall adverse events, favouring PSF (</w:t>
      </w:r>
      <w:r w:rsidR="008268CA" w:rsidRPr="000C2E27">
        <w:t xml:space="preserve">Table </w:t>
      </w:r>
      <w:r w:rsidR="00CE4225">
        <w:t>7</w:t>
      </w:r>
      <w:r w:rsidR="008268CA" w:rsidRPr="00252425">
        <w:t xml:space="preserve">). </w:t>
      </w:r>
      <w:r w:rsidR="00301374" w:rsidRPr="00301374">
        <w:t>The most common complications for VBT were tether breakage (n= 17; 7.5%), overcorrection (n = 17; 7.5%), and pulmonary complications (n = 11; 4.8%). The pooled complication rate excluding tether breakages for the VBT group was 17.4% (95% CI: 8.0% to 26.7%). The most common complications for PSF were neurological complications (n = 6; 0.5%), screw pull-out/loosening (n = 6; 0.5%), and infection (n= 4; 0.3%)</w:t>
      </w:r>
      <w:r w:rsidR="00301374">
        <w:t xml:space="preserve"> (see Table </w:t>
      </w:r>
      <w:r w:rsidR="00CE4225">
        <w:t>7</w:t>
      </w:r>
      <w:r w:rsidR="00301374">
        <w:t>)</w:t>
      </w:r>
      <w:r w:rsidR="00301374" w:rsidRPr="00301374">
        <w:t>.</w:t>
      </w:r>
      <w:r w:rsidR="00301374">
        <w:t xml:space="preserve"> However, t</w:t>
      </w:r>
      <w:r w:rsidR="000C746F">
        <w:t xml:space="preserve">he </w:t>
      </w:r>
      <w:r w:rsidR="000C2E27">
        <w:t>c</w:t>
      </w:r>
      <w:r w:rsidR="000C746F">
        <w:t>ommentary noted that availability of adverse event data for PSF was not available for all patients</w:t>
      </w:r>
      <w:r w:rsidR="0088703B">
        <w:t>, increasing uncertainty</w:t>
      </w:r>
      <w:r w:rsidR="008268CA" w:rsidRPr="00252425">
        <w:t xml:space="preserve"> </w:t>
      </w:r>
      <w:r w:rsidR="0088703B">
        <w:t>in interpreting difference in risk between VBT and PSF.</w:t>
      </w:r>
    </w:p>
    <w:p w14:paraId="484FA717" w14:textId="48B8387A" w:rsidR="009F12CE" w:rsidRPr="00252425" w:rsidRDefault="009F12CE" w:rsidP="002448B4">
      <w:pPr>
        <w:spacing w:before="240"/>
      </w:pPr>
      <w:r w:rsidRPr="00252425">
        <w:t>Serious adverse events were not distinguished from overall adverse events in any of the included studies.</w:t>
      </w:r>
      <w:r>
        <w:t xml:space="preserve"> In the FDA (2019) study, </w:t>
      </w:r>
      <w:r w:rsidR="00A7451A">
        <w:t xml:space="preserve">serious adverse events were reported in 8/57 </w:t>
      </w:r>
      <w:r w:rsidR="00A7451A">
        <w:lastRenderedPageBreak/>
        <w:t xml:space="preserve">(14%) patients, including </w:t>
      </w:r>
      <w:r w:rsidR="00A7451A" w:rsidRPr="00A7451A">
        <w:t>overcorrection of instrumented curve (n=5, 8.8%), definite cord break (n=1, 1.8%), development of new curve (n=1, 1.8%), and spondylolisthesis (n=1, 1.8%).</w:t>
      </w:r>
    </w:p>
    <w:p w14:paraId="66DFB582" w14:textId="44D2169D" w:rsidR="00D96E95" w:rsidRDefault="00D96E95" w:rsidP="002448B4">
      <w:pPr>
        <w:pStyle w:val="Caption"/>
        <w:spacing w:before="240"/>
        <w:jc w:val="left"/>
      </w:pPr>
      <w:r>
        <w:t xml:space="preserve">Table </w:t>
      </w:r>
      <w:r w:rsidR="0084255E">
        <w:t>7</w:t>
      </w:r>
      <w:r>
        <w:t xml:space="preserve"> Complications</w:t>
      </w:r>
    </w:p>
    <w:tbl>
      <w:tblPr>
        <w:tblStyle w:val="TableGrid2"/>
        <w:tblW w:w="4824" w:type="pct"/>
        <w:tblInd w:w="-5" w:type="dxa"/>
        <w:tblCellMar>
          <w:left w:w="28" w:type="dxa"/>
          <w:right w:w="28" w:type="dxa"/>
        </w:tblCellMar>
        <w:tblLook w:val="04A0" w:firstRow="1" w:lastRow="0" w:firstColumn="1" w:lastColumn="0" w:noHBand="0" w:noVBand="1"/>
        <w:tblDescription w:val="Summary table of complications from evidence presented"/>
      </w:tblPr>
      <w:tblGrid>
        <w:gridCol w:w="1500"/>
        <w:gridCol w:w="1225"/>
        <w:gridCol w:w="679"/>
        <w:gridCol w:w="2037"/>
        <w:gridCol w:w="741"/>
        <w:gridCol w:w="2517"/>
      </w:tblGrid>
      <w:tr w:rsidR="00276FF4" w:rsidRPr="007A1756" w14:paraId="184CAD83" w14:textId="77777777" w:rsidTr="000943A6">
        <w:trPr>
          <w:cnfStyle w:val="100000000000" w:firstRow="1" w:lastRow="0" w:firstColumn="0" w:lastColumn="0" w:oddVBand="0" w:evenVBand="0" w:oddHBand="0" w:evenHBand="0" w:firstRowFirstColumn="0" w:firstRowLastColumn="0" w:lastRowFirstColumn="0" w:lastRowLastColumn="0"/>
        </w:trPr>
        <w:tc>
          <w:tcPr>
            <w:tcW w:w="1566" w:type="pct"/>
            <w:gridSpan w:val="2"/>
            <w:vMerge w:val="restart"/>
            <w:shd w:val="clear" w:color="auto" w:fill="auto"/>
          </w:tcPr>
          <w:p w14:paraId="6A93E1EF" w14:textId="77777777" w:rsidR="00276FF4" w:rsidRPr="007A1756" w:rsidRDefault="00276FF4" w:rsidP="00BD17AF">
            <w:pPr>
              <w:pStyle w:val="TableHeading0"/>
              <w:rPr>
                <w:rFonts w:ascii="Arial Narrow" w:hAnsi="Arial Narrow"/>
                <w:sz w:val="20"/>
                <w:szCs w:val="20"/>
                <w:lang w:val="en-AU"/>
              </w:rPr>
            </w:pPr>
            <w:bookmarkStart w:id="14" w:name="_Hlk85024725"/>
            <w:r w:rsidRPr="007A1756">
              <w:rPr>
                <w:rFonts w:ascii="Arial Narrow" w:hAnsi="Arial Narrow"/>
                <w:sz w:val="20"/>
                <w:szCs w:val="20"/>
                <w:lang w:val="en-AU"/>
              </w:rPr>
              <w:t>Study ID</w:t>
            </w:r>
          </w:p>
        </w:tc>
        <w:tc>
          <w:tcPr>
            <w:tcW w:w="1561" w:type="pct"/>
            <w:gridSpan w:val="2"/>
            <w:shd w:val="clear" w:color="auto" w:fill="auto"/>
          </w:tcPr>
          <w:p w14:paraId="464F6E68" w14:textId="77777777" w:rsidR="00276FF4" w:rsidRPr="007A1756" w:rsidRDefault="00276FF4" w:rsidP="00BD17AF">
            <w:pPr>
              <w:pStyle w:val="TableHeading0"/>
              <w:rPr>
                <w:rFonts w:ascii="Arial Narrow" w:hAnsi="Arial Narrow"/>
                <w:sz w:val="20"/>
                <w:szCs w:val="20"/>
                <w:lang w:val="en-AU"/>
              </w:rPr>
            </w:pPr>
            <w:r w:rsidRPr="007A1756">
              <w:rPr>
                <w:rFonts w:ascii="Arial Narrow" w:hAnsi="Arial Narrow"/>
                <w:sz w:val="20"/>
                <w:szCs w:val="20"/>
                <w:lang w:val="en-AU"/>
              </w:rPr>
              <w:t>VBT</w:t>
            </w:r>
          </w:p>
        </w:tc>
        <w:tc>
          <w:tcPr>
            <w:tcW w:w="1873" w:type="pct"/>
            <w:gridSpan w:val="2"/>
            <w:shd w:val="clear" w:color="auto" w:fill="auto"/>
          </w:tcPr>
          <w:p w14:paraId="704B6ACA" w14:textId="77777777" w:rsidR="00276FF4" w:rsidRPr="007A1756" w:rsidRDefault="00276FF4" w:rsidP="00BD17AF">
            <w:pPr>
              <w:pStyle w:val="TableHeading0"/>
              <w:rPr>
                <w:rFonts w:ascii="Arial Narrow" w:hAnsi="Arial Narrow"/>
                <w:sz w:val="20"/>
                <w:szCs w:val="20"/>
                <w:lang w:val="en-AU"/>
              </w:rPr>
            </w:pPr>
            <w:r w:rsidRPr="007A1756">
              <w:rPr>
                <w:rFonts w:ascii="Arial Narrow" w:hAnsi="Arial Narrow"/>
                <w:sz w:val="20"/>
                <w:szCs w:val="20"/>
                <w:lang w:val="en-AU"/>
              </w:rPr>
              <w:t>PSF</w:t>
            </w:r>
          </w:p>
        </w:tc>
      </w:tr>
      <w:tr w:rsidR="00276FF4" w:rsidRPr="007A1756" w14:paraId="1E9B730D" w14:textId="77777777" w:rsidTr="000943A6">
        <w:tc>
          <w:tcPr>
            <w:tcW w:w="1566" w:type="pct"/>
            <w:gridSpan w:val="2"/>
            <w:vMerge/>
            <w:shd w:val="clear" w:color="auto" w:fill="auto"/>
          </w:tcPr>
          <w:p w14:paraId="50A9443E" w14:textId="77777777" w:rsidR="00276FF4" w:rsidRPr="007A1756" w:rsidRDefault="00276FF4" w:rsidP="00BD17AF">
            <w:pPr>
              <w:pStyle w:val="TableText0"/>
              <w:rPr>
                <w:szCs w:val="20"/>
              </w:rPr>
            </w:pPr>
          </w:p>
        </w:tc>
        <w:tc>
          <w:tcPr>
            <w:tcW w:w="390" w:type="pct"/>
            <w:shd w:val="clear" w:color="auto" w:fill="auto"/>
          </w:tcPr>
          <w:p w14:paraId="08ABED92" w14:textId="77777777" w:rsidR="00276FF4" w:rsidRPr="000C2E27" w:rsidRDefault="00276FF4" w:rsidP="00BD17AF">
            <w:pPr>
              <w:pStyle w:val="TableText0"/>
              <w:rPr>
                <w:b/>
                <w:bCs/>
                <w:szCs w:val="20"/>
              </w:rPr>
            </w:pPr>
            <w:r w:rsidRPr="000C2E27">
              <w:rPr>
                <w:b/>
                <w:bCs/>
                <w:szCs w:val="20"/>
              </w:rPr>
              <w:t>N</w:t>
            </w:r>
          </w:p>
        </w:tc>
        <w:tc>
          <w:tcPr>
            <w:tcW w:w="1171" w:type="pct"/>
          </w:tcPr>
          <w:p w14:paraId="46C5B4DC" w14:textId="77777777" w:rsidR="00276FF4" w:rsidRPr="000C2E27" w:rsidRDefault="00276FF4" w:rsidP="00BD17AF">
            <w:pPr>
              <w:pStyle w:val="TableText0"/>
              <w:rPr>
                <w:b/>
                <w:bCs/>
                <w:szCs w:val="20"/>
              </w:rPr>
            </w:pPr>
            <w:r w:rsidRPr="000C2E27">
              <w:rPr>
                <w:b/>
                <w:bCs/>
                <w:szCs w:val="20"/>
              </w:rPr>
              <w:t>%, (95% CI)</w:t>
            </w:r>
          </w:p>
        </w:tc>
        <w:tc>
          <w:tcPr>
            <w:tcW w:w="426" w:type="pct"/>
          </w:tcPr>
          <w:p w14:paraId="29B825F4" w14:textId="77777777" w:rsidR="00276FF4" w:rsidRPr="000C2E27" w:rsidRDefault="00276FF4" w:rsidP="00BD17AF">
            <w:pPr>
              <w:pStyle w:val="TableText0"/>
              <w:rPr>
                <w:b/>
                <w:bCs/>
                <w:szCs w:val="20"/>
              </w:rPr>
            </w:pPr>
            <w:r w:rsidRPr="000C2E27">
              <w:rPr>
                <w:b/>
                <w:bCs/>
                <w:szCs w:val="20"/>
              </w:rPr>
              <w:t>N</w:t>
            </w:r>
          </w:p>
        </w:tc>
        <w:tc>
          <w:tcPr>
            <w:tcW w:w="1447" w:type="pct"/>
          </w:tcPr>
          <w:p w14:paraId="1894C6CD" w14:textId="77777777" w:rsidR="00276FF4" w:rsidRPr="000C2E27" w:rsidRDefault="00276FF4" w:rsidP="00BD17AF">
            <w:pPr>
              <w:pStyle w:val="TableText0"/>
              <w:rPr>
                <w:b/>
                <w:bCs/>
                <w:szCs w:val="20"/>
              </w:rPr>
            </w:pPr>
            <w:r w:rsidRPr="000C2E27">
              <w:rPr>
                <w:b/>
                <w:bCs/>
                <w:szCs w:val="20"/>
              </w:rPr>
              <w:t>%, (95% CI)</w:t>
            </w:r>
          </w:p>
        </w:tc>
      </w:tr>
      <w:tr w:rsidR="00276FF4" w:rsidRPr="007A1756" w14:paraId="38A8250A" w14:textId="77777777" w:rsidTr="000943A6">
        <w:tc>
          <w:tcPr>
            <w:tcW w:w="5000" w:type="pct"/>
            <w:gridSpan w:val="6"/>
            <w:tcBorders>
              <w:top w:val="single" w:sz="4" w:space="0" w:color="auto"/>
              <w:left w:val="single" w:sz="4" w:space="0" w:color="auto"/>
              <w:right w:val="single" w:sz="4" w:space="0" w:color="auto"/>
            </w:tcBorders>
            <w:shd w:val="clear" w:color="auto" w:fill="D9D9D9" w:themeFill="background1" w:themeFillShade="D9"/>
          </w:tcPr>
          <w:p w14:paraId="4C9985A0" w14:textId="77777777" w:rsidR="00276FF4" w:rsidRPr="007A1756" w:rsidRDefault="00276FF4" w:rsidP="00BD17AF">
            <w:pPr>
              <w:pStyle w:val="TableText0"/>
              <w:rPr>
                <w:b/>
                <w:bCs/>
                <w:i/>
                <w:iCs/>
                <w:szCs w:val="20"/>
              </w:rPr>
            </w:pPr>
            <w:r w:rsidRPr="007A1756">
              <w:rPr>
                <w:b/>
                <w:bCs/>
                <w:i/>
                <w:iCs/>
                <w:szCs w:val="20"/>
              </w:rPr>
              <w:t>Overall Adverse Event Rate</w:t>
            </w:r>
          </w:p>
        </w:tc>
      </w:tr>
      <w:tr w:rsidR="00276FF4" w:rsidRPr="007A1756" w14:paraId="38B31BBE" w14:textId="77777777" w:rsidTr="000943A6">
        <w:tc>
          <w:tcPr>
            <w:tcW w:w="862" w:type="pct"/>
            <w:vMerge w:val="restart"/>
            <w:tcBorders>
              <w:top w:val="single" w:sz="4" w:space="0" w:color="auto"/>
              <w:left w:val="single" w:sz="4" w:space="0" w:color="auto"/>
              <w:right w:val="single" w:sz="4" w:space="0" w:color="auto"/>
            </w:tcBorders>
            <w:shd w:val="clear" w:color="auto" w:fill="auto"/>
          </w:tcPr>
          <w:p w14:paraId="25A1C946" w14:textId="77777777" w:rsidR="00276FF4" w:rsidRPr="007A1756" w:rsidRDefault="00276FF4" w:rsidP="00BD17AF">
            <w:pPr>
              <w:pStyle w:val="TableText0"/>
              <w:rPr>
                <w:i/>
                <w:iCs/>
                <w:szCs w:val="20"/>
              </w:rPr>
            </w:pPr>
            <w:r w:rsidRPr="007A1756">
              <w:rPr>
                <w:i/>
                <w:iCs/>
                <w:szCs w:val="20"/>
              </w:rPr>
              <w:t>Shin (2021)</w:t>
            </w:r>
          </w:p>
        </w:tc>
        <w:tc>
          <w:tcPr>
            <w:tcW w:w="704" w:type="pct"/>
            <w:tcBorders>
              <w:top w:val="single" w:sz="4" w:space="0" w:color="auto"/>
              <w:left w:val="single" w:sz="4" w:space="0" w:color="auto"/>
              <w:bottom w:val="single" w:sz="4" w:space="0" w:color="auto"/>
              <w:right w:val="single" w:sz="4" w:space="0" w:color="auto"/>
            </w:tcBorders>
          </w:tcPr>
          <w:p w14:paraId="4AB357B3" w14:textId="77777777" w:rsidR="00276FF4" w:rsidRPr="007A1756" w:rsidRDefault="00276FF4" w:rsidP="00BD17AF">
            <w:pPr>
              <w:pStyle w:val="TableText0"/>
              <w:rPr>
                <w:i/>
                <w:iCs/>
                <w:szCs w:val="20"/>
              </w:rPr>
            </w:pPr>
            <w:r w:rsidRPr="007A1756">
              <w:rPr>
                <w:i/>
                <w:iCs/>
                <w:szCs w:val="20"/>
              </w:rPr>
              <w:t>&lt; 36 months</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D383CA0" w14:textId="77777777" w:rsidR="00276FF4" w:rsidRPr="007A1756" w:rsidRDefault="00276FF4" w:rsidP="00BD17AF">
            <w:pPr>
              <w:pStyle w:val="TableText0"/>
              <w:rPr>
                <w:i/>
                <w:iCs/>
                <w:szCs w:val="20"/>
              </w:rPr>
            </w:pPr>
            <w:r w:rsidRPr="007A1756">
              <w:rPr>
                <w:i/>
                <w:iCs/>
                <w:szCs w:val="20"/>
              </w:rPr>
              <w:t>211</w:t>
            </w:r>
          </w:p>
        </w:tc>
        <w:tc>
          <w:tcPr>
            <w:tcW w:w="1171" w:type="pct"/>
            <w:tcBorders>
              <w:top w:val="single" w:sz="4" w:space="0" w:color="auto"/>
              <w:left w:val="single" w:sz="4" w:space="0" w:color="auto"/>
              <w:bottom w:val="single" w:sz="4" w:space="0" w:color="auto"/>
              <w:right w:val="single" w:sz="4" w:space="0" w:color="auto"/>
            </w:tcBorders>
          </w:tcPr>
          <w:p w14:paraId="517AB4B8" w14:textId="77777777" w:rsidR="00276FF4" w:rsidRPr="007A1756" w:rsidRDefault="00276FF4" w:rsidP="00BD17AF">
            <w:pPr>
              <w:pStyle w:val="TableText0"/>
              <w:rPr>
                <w:i/>
                <w:iCs/>
                <w:szCs w:val="20"/>
              </w:rPr>
            </w:pPr>
            <w:r w:rsidRPr="007A1756">
              <w:rPr>
                <w:i/>
                <w:iCs/>
                <w:szCs w:val="20"/>
              </w:rPr>
              <w:t>11.8 (95%CI 4.4 to 18.6)</w:t>
            </w:r>
          </w:p>
        </w:tc>
        <w:tc>
          <w:tcPr>
            <w:tcW w:w="426" w:type="pct"/>
            <w:tcBorders>
              <w:top w:val="single" w:sz="4" w:space="0" w:color="auto"/>
              <w:left w:val="single" w:sz="4" w:space="0" w:color="auto"/>
              <w:bottom w:val="single" w:sz="4" w:space="0" w:color="auto"/>
              <w:right w:val="single" w:sz="4" w:space="0" w:color="auto"/>
            </w:tcBorders>
          </w:tcPr>
          <w:p w14:paraId="6B73D494" w14:textId="77777777" w:rsidR="00276FF4" w:rsidRPr="007A1756" w:rsidRDefault="00276FF4" w:rsidP="00BD17AF">
            <w:pPr>
              <w:pStyle w:val="TableText0"/>
              <w:rPr>
                <w:i/>
                <w:iCs/>
                <w:szCs w:val="20"/>
              </w:rPr>
            </w:pPr>
            <w:r w:rsidRPr="007A1756">
              <w:rPr>
                <w:i/>
                <w:iCs/>
                <w:szCs w:val="20"/>
              </w:rPr>
              <w:t>610</w:t>
            </w:r>
          </w:p>
        </w:tc>
        <w:tc>
          <w:tcPr>
            <w:tcW w:w="1447" w:type="pct"/>
            <w:tcBorders>
              <w:top w:val="single" w:sz="4" w:space="0" w:color="auto"/>
              <w:left w:val="single" w:sz="4" w:space="0" w:color="auto"/>
              <w:bottom w:val="single" w:sz="4" w:space="0" w:color="auto"/>
              <w:right w:val="single" w:sz="4" w:space="0" w:color="auto"/>
            </w:tcBorders>
          </w:tcPr>
          <w:p w14:paraId="55AF1485" w14:textId="77777777" w:rsidR="00276FF4" w:rsidRPr="007A1756" w:rsidRDefault="00276FF4" w:rsidP="00BD17AF">
            <w:pPr>
              <w:pStyle w:val="TableText0"/>
              <w:rPr>
                <w:i/>
                <w:iCs/>
                <w:szCs w:val="20"/>
              </w:rPr>
            </w:pPr>
            <w:r w:rsidRPr="007A1756">
              <w:rPr>
                <w:i/>
                <w:iCs/>
                <w:szCs w:val="20"/>
              </w:rPr>
              <w:t>1.0 (95%CI 0.0 to 2.4)</w:t>
            </w:r>
          </w:p>
        </w:tc>
      </w:tr>
      <w:tr w:rsidR="00276FF4" w:rsidRPr="007A1756" w14:paraId="3A1D04B1" w14:textId="77777777" w:rsidTr="000943A6">
        <w:tc>
          <w:tcPr>
            <w:tcW w:w="862" w:type="pct"/>
            <w:vMerge/>
            <w:tcBorders>
              <w:left w:val="single" w:sz="4" w:space="0" w:color="auto"/>
              <w:right w:val="single" w:sz="4" w:space="0" w:color="auto"/>
            </w:tcBorders>
            <w:shd w:val="clear" w:color="auto" w:fill="auto"/>
          </w:tcPr>
          <w:p w14:paraId="4A3C114E" w14:textId="77777777" w:rsidR="00276FF4" w:rsidRPr="007A1756" w:rsidRDefault="00276FF4" w:rsidP="00BD17AF">
            <w:pPr>
              <w:pStyle w:val="TableText0"/>
              <w:rPr>
                <w:i/>
                <w:iCs/>
                <w:szCs w:val="20"/>
              </w:rPr>
            </w:pPr>
          </w:p>
        </w:tc>
        <w:tc>
          <w:tcPr>
            <w:tcW w:w="704" w:type="pct"/>
            <w:tcBorders>
              <w:top w:val="single" w:sz="4" w:space="0" w:color="auto"/>
              <w:left w:val="single" w:sz="4" w:space="0" w:color="auto"/>
              <w:bottom w:val="single" w:sz="4" w:space="0" w:color="auto"/>
              <w:right w:val="single" w:sz="4" w:space="0" w:color="auto"/>
            </w:tcBorders>
          </w:tcPr>
          <w:p w14:paraId="7D70A989" w14:textId="77777777" w:rsidR="00276FF4" w:rsidRPr="007A1756" w:rsidRDefault="00276FF4" w:rsidP="00BD17AF">
            <w:pPr>
              <w:pStyle w:val="TableText0"/>
              <w:rPr>
                <w:i/>
                <w:iCs/>
                <w:szCs w:val="20"/>
              </w:rPr>
            </w:pPr>
            <w:r w:rsidRPr="007A1756">
              <w:rPr>
                <w:i/>
                <w:iCs/>
                <w:szCs w:val="20"/>
              </w:rPr>
              <w:t>≥ 36 months</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624E28E" w14:textId="77777777" w:rsidR="00276FF4" w:rsidRPr="007A1756" w:rsidRDefault="00276FF4" w:rsidP="00BD17AF">
            <w:pPr>
              <w:pStyle w:val="TableText0"/>
              <w:rPr>
                <w:i/>
                <w:iCs/>
                <w:szCs w:val="20"/>
              </w:rPr>
            </w:pPr>
            <w:r w:rsidRPr="007A1756">
              <w:rPr>
                <w:i/>
                <w:iCs/>
                <w:szCs w:val="20"/>
              </w:rPr>
              <w:t>211</w:t>
            </w:r>
          </w:p>
        </w:tc>
        <w:tc>
          <w:tcPr>
            <w:tcW w:w="1171" w:type="pct"/>
            <w:tcBorders>
              <w:top w:val="single" w:sz="4" w:space="0" w:color="auto"/>
              <w:left w:val="single" w:sz="4" w:space="0" w:color="auto"/>
              <w:bottom w:val="single" w:sz="4" w:space="0" w:color="auto"/>
              <w:right w:val="single" w:sz="4" w:space="0" w:color="auto"/>
            </w:tcBorders>
          </w:tcPr>
          <w:p w14:paraId="3014501B" w14:textId="77777777" w:rsidR="00276FF4" w:rsidRPr="007A1756" w:rsidRDefault="00276FF4" w:rsidP="00BD17AF">
            <w:pPr>
              <w:pStyle w:val="TableText0"/>
              <w:rPr>
                <w:i/>
                <w:iCs/>
                <w:szCs w:val="20"/>
              </w:rPr>
            </w:pPr>
            <w:r w:rsidRPr="007A1756">
              <w:rPr>
                <w:i/>
                <w:iCs/>
                <w:szCs w:val="20"/>
              </w:rPr>
              <w:t>25.2 (95%CI 19.1 to 31.7)</w:t>
            </w:r>
          </w:p>
        </w:tc>
        <w:tc>
          <w:tcPr>
            <w:tcW w:w="426" w:type="pct"/>
            <w:tcBorders>
              <w:top w:val="single" w:sz="4" w:space="0" w:color="auto"/>
              <w:left w:val="single" w:sz="4" w:space="0" w:color="auto"/>
              <w:bottom w:val="single" w:sz="4" w:space="0" w:color="auto"/>
              <w:right w:val="single" w:sz="4" w:space="0" w:color="auto"/>
            </w:tcBorders>
          </w:tcPr>
          <w:p w14:paraId="1651F294" w14:textId="77777777" w:rsidR="00276FF4" w:rsidRPr="007A1756" w:rsidRDefault="00276FF4" w:rsidP="00BD17AF">
            <w:pPr>
              <w:pStyle w:val="TableText0"/>
              <w:rPr>
                <w:i/>
                <w:iCs/>
                <w:szCs w:val="20"/>
              </w:rPr>
            </w:pPr>
            <w:r w:rsidRPr="007A1756">
              <w:rPr>
                <w:i/>
                <w:iCs/>
                <w:szCs w:val="20"/>
              </w:rPr>
              <w:t>610</w:t>
            </w:r>
          </w:p>
        </w:tc>
        <w:tc>
          <w:tcPr>
            <w:tcW w:w="1447" w:type="pct"/>
            <w:tcBorders>
              <w:top w:val="single" w:sz="4" w:space="0" w:color="auto"/>
              <w:left w:val="single" w:sz="4" w:space="0" w:color="auto"/>
              <w:bottom w:val="single" w:sz="4" w:space="0" w:color="auto"/>
              <w:right w:val="single" w:sz="4" w:space="0" w:color="auto"/>
            </w:tcBorders>
          </w:tcPr>
          <w:p w14:paraId="60D3D847" w14:textId="77777777" w:rsidR="00276FF4" w:rsidRPr="007A1756" w:rsidRDefault="00276FF4" w:rsidP="00BD17AF">
            <w:pPr>
              <w:pStyle w:val="TableText0"/>
              <w:rPr>
                <w:i/>
                <w:iCs/>
                <w:szCs w:val="20"/>
              </w:rPr>
            </w:pPr>
            <w:r w:rsidRPr="007A1756">
              <w:rPr>
                <w:i/>
                <w:iCs/>
                <w:szCs w:val="20"/>
              </w:rPr>
              <w:t>2.9 (95%CI 0.5 to 5.3)</w:t>
            </w:r>
          </w:p>
        </w:tc>
      </w:tr>
      <w:tr w:rsidR="00276FF4" w:rsidRPr="007A1756" w14:paraId="406C173D" w14:textId="77777777" w:rsidTr="000943A6">
        <w:tc>
          <w:tcPr>
            <w:tcW w:w="862" w:type="pct"/>
            <w:vMerge/>
            <w:tcBorders>
              <w:left w:val="single" w:sz="4" w:space="0" w:color="auto"/>
              <w:right w:val="single" w:sz="4" w:space="0" w:color="auto"/>
            </w:tcBorders>
            <w:shd w:val="clear" w:color="auto" w:fill="auto"/>
          </w:tcPr>
          <w:p w14:paraId="0649DF88" w14:textId="77777777" w:rsidR="00276FF4" w:rsidRPr="007A1756" w:rsidRDefault="00276FF4" w:rsidP="00BD17AF">
            <w:pPr>
              <w:pStyle w:val="TableText0"/>
              <w:rPr>
                <w:i/>
                <w:iCs/>
                <w:szCs w:val="20"/>
              </w:rPr>
            </w:pPr>
          </w:p>
        </w:tc>
        <w:tc>
          <w:tcPr>
            <w:tcW w:w="704" w:type="pct"/>
            <w:tcBorders>
              <w:top w:val="single" w:sz="4" w:space="0" w:color="auto"/>
              <w:left w:val="single" w:sz="4" w:space="0" w:color="auto"/>
              <w:right w:val="single" w:sz="4" w:space="0" w:color="auto"/>
            </w:tcBorders>
          </w:tcPr>
          <w:p w14:paraId="5B112717" w14:textId="77777777" w:rsidR="00276FF4" w:rsidRPr="007A1756" w:rsidRDefault="00276FF4" w:rsidP="00BD17AF">
            <w:pPr>
              <w:pStyle w:val="TableText0"/>
              <w:rPr>
                <w:i/>
                <w:iCs/>
                <w:szCs w:val="20"/>
              </w:rPr>
            </w:pPr>
            <w:r w:rsidRPr="007A1756">
              <w:rPr>
                <w:i/>
                <w:iCs/>
                <w:szCs w:val="20"/>
              </w:rPr>
              <w:t>Overall</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3C159085" w14:textId="77777777" w:rsidR="00276FF4" w:rsidRPr="007A1756" w:rsidRDefault="00276FF4" w:rsidP="00BD17AF">
            <w:pPr>
              <w:pStyle w:val="TableText0"/>
              <w:rPr>
                <w:i/>
                <w:iCs/>
                <w:szCs w:val="20"/>
              </w:rPr>
            </w:pPr>
            <w:r w:rsidRPr="007A1756">
              <w:rPr>
                <w:i/>
                <w:iCs/>
                <w:szCs w:val="20"/>
              </w:rPr>
              <w:t>211</w:t>
            </w:r>
          </w:p>
        </w:tc>
        <w:tc>
          <w:tcPr>
            <w:tcW w:w="1171" w:type="pct"/>
            <w:tcBorders>
              <w:top w:val="single" w:sz="4" w:space="0" w:color="auto"/>
              <w:left w:val="single" w:sz="4" w:space="0" w:color="auto"/>
              <w:bottom w:val="single" w:sz="4" w:space="0" w:color="auto"/>
              <w:right w:val="single" w:sz="4" w:space="0" w:color="auto"/>
            </w:tcBorders>
          </w:tcPr>
          <w:p w14:paraId="22561F20" w14:textId="77777777" w:rsidR="00276FF4" w:rsidRPr="007A1756" w:rsidRDefault="00276FF4" w:rsidP="00BD17AF">
            <w:pPr>
              <w:pStyle w:val="TableText0"/>
              <w:rPr>
                <w:i/>
                <w:iCs/>
                <w:szCs w:val="20"/>
              </w:rPr>
            </w:pPr>
            <w:r w:rsidRPr="007A1756">
              <w:rPr>
                <w:i/>
                <w:iCs/>
                <w:szCs w:val="20"/>
              </w:rPr>
              <w:t>26.0 (95%CI 12.0 to 40.0)</w:t>
            </w:r>
          </w:p>
        </w:tc>
        <w:tc>
          <w:tcPr>
            <w:tcW w:w="426" w:type="pct"/>
            <w:tcBorders>
              <w:top w:val="single" w:sz="4" w:space="0" w:color="auto"/>
              <w:left w:val="single" w:sz="4" w:space="0" w:color="auto"/>
              <w:bottom w:val="single" w:sz="4" w:space="0" w:color="auto"/>
              <w:right w:val="single" w:sz="4" w:space="0" w:color="auto"/>
            </w:tcBorders>
          </w:tcPr>
          <w:p w14:paraId="5CF4DC2D" w14:textId="77777777" w:rsidR="00276FF4" w:rsidRPr="007A1756" w:rsidRDefault="00276FF4" w:rsidP="00BD17AF">
            <w:pPr>
              <w:pStyle w:val="TableText0"/>
              <w:rPr>
                <w:i/>
                <w:iCs/>
                <w:szCs w:val="20"/>
              </w:rPr>
            </w:pPr>
            <w:r w:rsidRPr="007A1756">
              <w:rPr>
                <w:i/>
                <w:iCs/>
                <w:szCs w:val="20"/>
              </w:rPr>
              <w:t>610</w:t>
            </w:r>
          </w:p>
        </w:tc>
        <w:tc>
          <w:tcPr>
            <w:tcW w:w="1447" w:type="pct"/>
            <w:tcBorders>
              <w:top w:val="single" w:sz="4" w:space="0" w:color="auto"/>
              <w:left w:val="single" w:sz="4" w:space="0" w:color="auto"/>
              <w:bottom w:val="single" w:sz="4" w:space="0" w:color="auto"/>
              <w:right w:val="single" w:sz="4" w:space="0" w:color="auto"/>
            </w:tcBorders>
          </w:tcPr>
          <w:p w14:paraId="38AF841D" w14:textId="77777777" w:rsidR="00276FF4" w:rsidRPr="007A1756" w:rsidRDefault="00276FF4" w:rsidP="00BD17AF">
            <w:pPr>
              <w:pStyle w:val="TableText0"/>
              <w:rPr>
                <w:i/>
                <w:iCs/>
                <w:szCs w:val="20"/>
              </w:rPr>
            </w:pPr>
            <w:r w:rsidRPr="007A1756">
              <w:rPr>
                <w:i/>
                <w:iCs/>
                <w:szCs w:val="20"/>
              </w:rPr>
              <w:t>2.0 (95%CI 0.0 to 4.0)</w:t>
            </w:r>
          </w:p>
        </w:tc>
      </w:tr>
      <w:tr w:rsidR="00276FF4" w:rsidRPr="007A1756" w14:paraId="7D265288" w14:textId="77777777" w:rsidTr="000943A6">
        <w:tc>
          <w:tcPr>
            <w:tcW w:w="3553" w:type="pct"/>
            <w:gridSpan w:val="5"/>
            <w:tcBorders>
              <w:left w:val="single" w:sz="4" w:space="0" w:color="auto"/>
              <w:right w:val="single" w:sz="4" w:space="0" w:color="auto"/>
            </w:tcBorders>
            <w:shd w:val="clear" w:color="auto" w:fill="auto"/>
          </w:tcPr>
          <w:p w14:paraId="0DC45CAD" w14:textId="77777777" w:rsidR="00276FF4" w:rsidRPr="007A1756" w:rsidRDefault="00276FF4" w:rsidP="00BD17AF">
            <w:pPr>
              <w:pStyle w:val="TableText0"/>
              <w:rPr>
                <w:b/>
                <w:bCs/>
                <w:i/>
                <w:iCs/>
                <w:szCs w:val="20"/>
              </w:rPr>
            </w:pPr>
            <w:r w:rsidRPr="007A1756">
              <w:rPr>
                <w:b/>
                <w:bCs/>
                <w:i/>
                <w:iCs/>
                <w:szCs w:val="20"/>
              </w:rPr>
              <w:t>Risk difference PFS-VBT from Shin (2021)</w:t>
            </w:r>
          </w:p>
        </w:tc>
        <w:tc>
          <w:tcPr>
            <w:tcW w:w="1447" w:type="pct"/>
            <w:tcBorders>
              <w:top w:val="single" w:sz="4" w:space="0" w:color="auto"/>
              <w:left w:val="single" w:sz="4" w:space="0" w:color="auto"/>
              <w:bottom w:val="single" w:sz="4" w:space="0" w:color="auto"/>
              <w:right w:val="single" w:sz="4" w:space="0" w:color="auto"/>
            </w:tcBorders>
          </w:tcPr>
          <w:p w14:paraId="41240056" w14:textId="77777777" w:rsidR="00276FF4" w:rsidRPr="007A1756" w:rsidRDefault="00276FF4" w:rsidP="00BD17AF">
            <w:pPr>
              <w:pStyle w:val="TableText0"/>
              <w:rPr>
                <w:b/>
                <w:bCs/>
                <w:i/>
                <w:iCs/>
                <w:szCs w:val="20"/>
              </w:rPr>
            </w:pPr>
            <w:r w:rsidRPr="007A1756">
              <w:rPr>
                <w:b/>
                <w:bCs/>
                <w:i/>
                <w:iCs/>
                <w:szCs w:val="20"/>
              </w:rPr>
              <w:t>24.0% (95% CI 18.1% to 30.1%)</w:t>
            </w:r>
          </w:p>
          <w:p w14:paraId="1D2DB285" w14:textId="77777777" w:rsidR="00276FF4" w:rsidRPr="007A1756" w:rsidRDefault="00276FF4" w:rsidP="00BD17AF">
            <w:pPr>
              <w:pStyle w:val="TableText0"/>
              <w:rPr>
                <w:b/>
                <w:bCs/>
                <w:i/>
                <w:iCs/>
                <w:szCs w:val="20"/>
              </w:rPr>
            </w:pPr>
            <w:r w:rsidRPr="007A1756">
              <w:rPr>
                <w:b/>
                <w:bCs/>
                <w:i/>
                <w:iCs/>
                <w:szCs w:val="20"/>
              </w:rPr>
              <w:t>p&lt;0.0001</w:t>
            </w:r>
          </w:p>
        </w:tc>
      </w:tr>
      <w:tr w:rsidR="00276FF4" w:rsidRPr="007A1756" w14:paraId="3B7AD523" w14:textId="77777777" w:rsidTr="000943A6">
        <w:tc>
          <w:tcPr>
            <w:tcW w:w="862" w:type="pct"/>
            <w:vMerge w:val="restart"/>
            <w:tcBorders>
              <w:left w:val="single" w:sz="4" w:space="0" w:color="auto"/>
              <w:right w:val="single" w:sz="4" w:space="0" w:color="auto"/>
            </w:tcBorders>
            <w:shd w:val="clear" w:color="auto" w:fill="auto"/>
          </w:tcPr>
          <w:p w14:paraId="423930C7" w14:textId="77777777" w:rsidR="00276FF4" w:rsidRPr="007A1756" w:rsidRDefault="00276FF4" w:rsidP="00BD17AF">
            <w:pPr>
              <w:pStyle w:val="TableText0"/>
              <w:rPr>
                <w:i/>
                <w:iCs/>
                <w:szCs w:val="20"/>
              </w:rPr>
            </w:pPr>
            <w:r w:rsidRPr="007A1756">
              <w:rPr>
                <w:i/>
                <w:iCs/>
                <w:szCs w:val="20"/>
              </w:rPr>
              <w:t>Shin (2021)</w:t>
            </w:r>
          </w:p>
        </w:tc>
        <w:tc>
          <w:tcPr>
            <w:tcW w:w="704" w:type="pct"/>
            <w:vMerge w:val="restart"/>
            <w:tcBorders>
              <w:left w:val="single" w:sz="4" w:space="0" w:color="auto"/>
              <w:right w:val="single" w:sz="4" w:space="0" w:color="auto"/>
            </w:tcBorders>
          </w:tcPr>
          <w:p w14:paraId="2711286C" w14:textId="77777777" w:rsidR="00276FF4" w:rsidRPr="007A1756" w:rsidRDefault="00276FF4" w:rsidP="00BD17AF">
            <w:pPr>
              <w:pStyle w:val="TableText0"/>
              <w:rPr>
                <w:i/>
                <w:iCs/>
                <w:szCs w:val="20"/>
              </w:rPr>
            </w:pPr>
            <w:r w:rsidRPr="007A1756">
              <w:rPr>
                <w:i/>
                <w:iCs/>
                <w:szCs w:val="20"/>
              </w:rPr>
              <w:t>Overall</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84880D0" w14:textId="77777777" w:rsidR="00276FF4" w:rsidRPr="007A1756" w:rsidRDefault="00276FF4" w:rsidP="00BD17AF">
            <w:pPr>
              <w:pStyle w:val="TableText0"/>
              <w:rPr>
                <w:i/>
                <w:iCs/>
                <w:szCs w:val="20"/>
              </w:rPr>
            </w:pPr>
            <w:r w:rsidRPr="007A1756">
              <w:rPr>
                <w:i/>
                <w:iCs/>
                <w:szCs w:val="20"/>
              </w:rPr>
              <w:t>N</w:t>
            </w:r>
          </w:p>
        </w:tc>
        <w:tc>
          <w:tcPr>
            <w:tcW w:w="1171" w:type="pct"/>
            <w:tcBorders>
              <w:top w:val="single" w:sz="4" w:space="0" w:color="auto"/>
              <w:left w:val="single" w:sz="4" w:space="0" w:color="auto"/>
              <w:bottom w:val="single" w:sz="4" w:space="0" w:color="auto"/>
              <w:right w:val="single" w:sz="4" w:space="0" w:color="auto"/>
            </w:tcBorders>
          </w:tcPr>
          <w:p w14:paraId="708293A3" w14:textId="77777777" w:rsidR="00276FF4" w:rsidRPr="007A1756" w:rsidRDefault="00276FF4" w:rsidP="00BD17AF">
            <w:pPr>
              <w:pStyle w:val="TableText0"/>
              <w:rPr>
                <w:i/>
                <w:iCs/>
                <w:szCs w:val="20"/>
              </w:rPr>
            </w:pPr>
            <w:r w:rsidRPr="007A1756">
              <w:rPr>
                <w:i/>
                <w:iCs/>
                <w:szCs w:val="20"/>
              </w:rPr>
              <w:t>n (%)</w:t>
            </w:r>
          </w:p>
        </w:tc>
        <w:tc>
          <w:tcPr>
            <w:tcW w:w="426" w:type="pct"/>
            <w:tcBorders>
              <w:top w:val="single" w:sz="4" w:space="0" w:color="auto"/>
              <w:left w:val="single" w:sz="4" w:space="0" w:color="auto"/>
              <w:bottom w:val="single" w:sz="4" w:space="0" w:color="auto"/>
              <w:right w:val="single" w:sz="4" w:space="0" w:color="auto"/>
            </w:tcBorders>
          </w:tcPr>
          <w:p w14:paraId="5C66B984" w14:textId="77777777" w:rsidR="00276FF4" w:rsidRPr="007A1756" w:rsidRDefault="00276FF4" w:rsidP="00BD17AF">
            <w:pPr>
              <w:pStyle w:val="TableText0"/>
              <w:rPr>
                <w:i/>
                <w:iCs/>
                <w:szCs w:val="20"/>
              </w:rPr>
            </w:pPr>
            <w:r w:rsidRPr="007A1756">
              <w:rPr>
                <w:i/>
                <w:iCs/>
                <w:szCs w:val="20"/>
              </w:rPr>
              <w:t>N</w:t>
            </w:r>
          </w:p>
        </w:tc>
        <w:tc>
          <w:tcPr>
            <w:tcW w:w="1447" w:type="pct"/>
            <w:tcBorders>
              <w:top w:val="single" w:sz="4" w:space="0" w:color="auto"/>
              <w:left w:val="single" w:sz="4" w:space="0" w:color="auto"/>
              <w:bottom w:val="single" w:sz="4" w:space="0" w:color="auto"/>
              <w:right w:val="single" w:sz="4" w:space="0" w:color="auto"/>
            </w:tcBorders>
          </w:tcPr>
          <w:p w14:paraId="6BE7ECF8" w14:textId="77777777" w:rsidR="00276FF4" w:rsidRPr="007A1756" w:rsidRDefault="00276FF4" w:rsidP="00BD17AF">
            <w:pPr>
              <w:pStyle w:val="TableText0"/>
              <w:rPr>
                <w:i/>
                <w:iCs/>
                <w:szCs w:val="20"/>
              </w:rPr>
            </w:pPr>
            <w:r w:rsidRPr="007A1756">
              <w:rPr>
                <w:i/>
                <w:iCs/>
                <w:szCs w:val="20"/>
              </w:rPr>
              <w:t>n (%)</w:t>
            </w:r>
          </w:p>
        </w:tc>
      </w:tr>
      <w:tr w:rsidR="00276FF4" w:rsidRPr="007A1756" w14:paraId="5BC8557F" w14:textId="77777777" w:rsidTr="000943A6">
        <w:tc>
          <w:tcPr>
            <w:tcW w:w="862" w:type="pct"/>
            <w:vMerge/>
            <w:tcBorders>
              <w:left w:val="single" w:sz="4" w:space="0" w:color="auto"/>
              <w:bottom w:val="single" w:sz="4" w:space="0" w:color="auto"/>
              <w:right w:val="single" w:sz="4" w:space="0" w:color="auto"/>
            </w:tcBorders>
            <w:shd w:val="clear" w:color="auto" w:fill="auto"/>
          </w:tcPr>
          <w:p w14:paraId="724F810B" w14:textId="77777777" w:rsidR="00276FF4" w:rsidRPr="007A1756" w:rsidRDefault="00276FF4" w:rsidP="00BD17AF">
            <w:pPr>
              <w:pStyle w:val="TableText0"/>
              <w:rPr>
                <w:i/>
                <w:iCs/>
                <w:szCs w:val="20"/>
              </w:rPr>
            </w:pPr>
          </w:p>
        </w:tc>
        <w:tc>
          <w:tcPr>
            <w:tcW w:w="704" w:type="pct"/>
            <w:vMerge/>
            <w:tcBorders>
              <w:left w:val="single" w:sz="4" w:space="0" w:color="auto"/>
              <w:bottom w:val="single" w:sz="4" w:space="0" w:color="auto"/>
              <w:right w:val="single" w:sz="4" w:space="0" w:color="auto"/>
            </w:tcBorders>
          </w:tcPr>
          <w:p w14:paraId="6F168153" w14:textId="77777777" w:rsidR="00276FF4" w:rsidRPr="007A1756" w:rsidRDefault="00276FF4" w:rsidP="00BD17AF">
            <w:pPr>
              <w:pStyle w:val="TableText0"/>
              <w:rPr>
                <w:i/>
                <w:iCs/>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4D6C3095" w14:textId="77777777" w:rsidR="00276FF4" w:rsidRPr="007A1756" w:rsidRDefault="00276FF4" w:rsidP="00BD17AF">
            <w:pPr>
              <w:pStyle w:val="TableText0"/>
              <w:rPr>
                <w:i/>
                <w:iCs/>
                <w:szCs w:val="20"/>
              </w:rPr>
            </w:pPr>
            <w:r w:rsidRPr="007A1756">
              <w:rPr>
                <w:i/>
                <w:iCs/>
                <w:szCs w:val="20"/>
              </w:rPr>
              <w:t>211</w:t>
            </w:r>
          </w:p>
        </w:tc>
        <w:tc>
          <w:tcPr>
            <w:tcW w:w="1171" w:type="pct"/>
            <w:tcBorders>
              <w:top w:val="single" w:sz="4" w:space="0" w:color="auto"/>
              <w:left w:val="single" w:sz="4" w:space="0" w:color="auto"/>
              <w:bottom w:val="single" w:sz="4" w:space="0" w:color="auto"/>
              <w:right w:val="single" w:sz="4" w:space="0" w:color="auto"/>
            </w:tcBorders>
          </w:tcPr>
          <w:p w14:paraId="4A909F77" w14:textId="77777777" w:rsidR="00276FF4" w:rsidRPr="007A1756" w:rsidRDefault="00276FF4" w:rsidP="00BD17AF">
            <w:pPr>
              <w:pStyle w:val="TableText0"/>
              <w:rPr>
                <w:i/>
                <w:iCs/>
                <w:szCs w:val="20"/>
              </w:rPr>
            </w:pPr>
            <w:r w:rsidRPr="007A1756">
              <w:rPr>
                <w:i/>
                <w:iCs/>
                <w:szCs w:val="20"/>
              </w:rPr>
              <w:t>55 (26)</w:t>
            </w:r>
          </w:p>
        </w:tc>
        <w:tc>
          <w:tcPr>
            <w:tcW w:w="426" w:type="pct"/>
            <w:tcBorders>
              <w:top w:val="single" w:sz="4" w:space="0" w:color="auto"/>
              <w:left w:val="single" w:sz="4" w:space="0" w:color="auto"/>
              <w:bottom w:val="single" w:sz="4" w:space="0" w:color="auto"/>
              <w:right w:val="single" w:sz="4" w:space="0" w:color="auto"/>
            </w:tcBorders>
          </w:tcPr>
          <w:p w14:paraId="2942822E" w14:textId="77777777" w:rsidR="00276FF4" w:rsidRPr="007A1756" w:rsidRDefault="00276FF4" w:rsidP="00BD17AF">
            <w:pPr>
              <w:pStyle w:val="TableText0"/>
              <w:rPr>
                <w:i/>
                <w:iCs/>
                <w:szCs w:val="20"/>
              </w:rPr>
            </w:pPr>
            <w:r w:rsidRPr="007A1756">
              <w:rPr>
                <w:i/>
                <w:iCs/>
                <w:szCs w:val="20"/>
              </w:rPr>
              <w:t>610</w:t>
            </w:r>
          </w:p>
        </w:tc>
        <w:tc>
          <w:tcPr>
            <w:tcW w:w="1447" w:type="pct"/>
            <w:tcBorders>
              <w:top w:val="single" w:sz="4" w:space="0" w:color="auto"/>
              <w:left w:val="single" w:sz="4" w:space="0" w:color="auto"/>
              <w:bottom w:val="single" w:sz="4" w:space="0" w:color="auto"/>
              <w:right w:val="single" w:sz="4" w:space="0" w:color="auto"/>
            </w:tcBorders>
          </w:tcPr>
          <w:p w14:paraId="7788F267" w14:textId="77777777" w:rsidR="00276FF4" w:rsidRPr="007A1756" w:rsidRDefault="00276FF4" w:rsidP="00BD17AF">
            <w:pPr>
              <w:pStyle w:val="TableText0"/>
              <w:rPr>
                <w:i/>
                <w:iCs/>
                <w:szCs w:val="20"/>
              </w:rPr>
            </w:pPr>
            <w:r w:rsidRPr="007A1756">
              <w:rPr>
                <w:i/>
                <w:iCs/>
                <w:szCs w:val="20"/>
              </w:rPr>
              <w:t>12 (2)</w:t>
            </w:r>
          </w:p>
        </w:tc>
      </w:tr>
      <w:tr w:rsidR="00276FF4" w:rsidRPr="007A1756" w14:paraId="29C62D37" w14:textId="77777777" w:rsidTr="000943A6">
        <w:tc>
          <w:tcPr>
            <w:tcW w:w="3553" w:type="pct"/>
            <w:gridSpan w:val="5"/>
            <w:tcBorders>
              <w:left w:val="single" w:sz="4" w:space="0" w:color="auto"/>
              <w:right w:val="single" w:sz="4" w:space="0" w:color="auto"/>
            </w:tcBorders>
            <w:shd w:val="clear" w:color="auto" w:fill="auto"/>
          </w:tcPr>
          <w:p w14:paraId="2F84E18C" w14:textId="77777777" w:rsidR="00276FF4" w:rsidRPr="007A1756" w:rsidRDefault="00276FF4" w:rsidP="00BD17AF">
            <w:pPr>
              <w:pStyle w:val="TableText0"/>
              <w:rPr>
                <w:b/>
                <w:bCs/>
                <w:i/>
                <w:iCs/>
                <w:szCs w:val="20"/>
              </w:rPr>
            </w:pPr>
            <w:r w:rsidRPr="007A1756">
              <w:rPr>
                <w:b/>
                <w:bCs/>
                <w:i/>
                <w:iCs/>
                <w:szCs w:val="20"/>
              </w:rPr>
              <w:t>Overall pooled OR (95% CI) for Shin (2021)</w:t>
            </w:r>
          </w:p>
        </w:tc>
        <w:tc>
          <w:tcPr>
            <w:tcW w:w="1447" w:type="pct"/>
            <w:tcBorders>
              <w:top w:val="single" w:sz="4" w:space="0" w:color="auto"/>
              <w:left w:val="single" w:sz="4" w:space="0" w:color="auto"/>
              <w:bottom w:val="single" w:sz="4" w:space="0" w:color="auto"/>
              <w:right w:val="single" w:sz="4" w:space="0" w:color="auto"/>
            </w:tcBorders>
          </w:tcPr>
          <w:p w14:paraId="17CD8DBB" w14:textId="77777777" w:rsidR="00276FF4" w:rsidRPr="007A1756" w:rsidRDefault="00276FF4" w:rsidP="00BD17AF">
            <w:pPr>
              <w:pStyle w:val="TableText0"/>
              <w:rPr>
                <w:b/>
                <w:bCs/>
                <w:i/>
                <w:iCs/>
                <w:szCs w:val="20"/>
              </w:rPr>
            </w:pPr>
            <w:r w:rsidRPr="007A1756">
              <w:rPr>
                <w:b/>
                <w:bCs/>
                <w:i/>
                <w:iCs/>
                <w:szCs w:val="20"/>
              </w:rPr>
              <w:t>17.60 (95% CI 8.98 to 36.80)</w:t>
            </w:r>
          </w:p>
          <w:p w14:paraId="43C2F88E" w14:textId="77777777" w:rsidR="00276FF4" w:rsidRPr="007A1756" w:rsidRDefault="00276FF4" w:rsidP="00BD17AF">
            <w:pPr>
              <w:pStyle w:val="TableText0"/>
              <w:rPr>
                <w:b/>
                <w:bCs/>
                <w:i/>
                <w:iCs/>
                <w:szCs w:val="20"/>
              </w:rPr>
            </w:pPr>
            <w:r w:rsidRPr="007A1756">
              <w:rPr>
                <w:b/>
                <w:bCs/>
                <w:i/>
                <w:iCs/>
                <w:szCs w:val="20"/>
              </w:rPr>
              <w:t>p&lt;0.0001</w:t>
            </w:r>
          </w:p>
        </w:tc>
      </w:tr>
      <w:tr w:rsidR="00276FF4" w:rsidRPr="007A1756" w14:paraId="3D5AB047" w14:textId="77777777" w:rsidTr="000943A6">
        <w:tc>
          <w:tcPr>
            <w:tcW w:w="5000" w:type="pct"/>
            <w:gridSpan w:val="6"/>
            <w:tcBorders>
              <w:left w:val="single" w:sz="4" w:space="0" w:color="auto"/>
              <w:right w:val="single" w:sz="4" w:space="0" w:color="auto"/>
            </w:tcBorders>
            <w:shd w:val="clear" w:color="auto" w:fill="D9D9D9" w:themeFill="background1" w:themeFillShade="D9"/>
          </w:tcPr>
          <w:p w14:paraId="32C1515A" w14:textId="77777777" w:rsidR="00276FF4" w:rsidRPr="007A1756" w:rsidRDefault="00276FF4" w:rsidP="00BD17AF">
            <w:pPr>
              <w:pStyle w:val="TableText0"/>
              <w:rPr>
                <w:b/>
                <w:bCs/>
                <w:i/>
                <w:iCs/>
                <w:szCs w:val="20"/>
              </w:rPr>
            </w:pPr>
            <w:r w:rsidRPr="007A1756">
              <w:rPr>
                <w:b/>
                <w:bCs/>
                <w:i/>
                <w:iCs/>
                <w:szCs w:val="20"/>
              </w:rPr>
              <w:t>Infection Rate</w:t>
            </w:r>
          </w:p>
        </w:tc>
      </w:tr>
      <w:tr w:rsidR="00276FF4" w:rsidRPr="007A1756" w14:paraId="3F7CE568" w14:textId="77777777" w:rsidTr="000943A6">
        <w:tc>
          <w:tcPr>
            <w:tcW w:w="862" w:type="pct"/>
            <w:vMerge w:val="restart"/>
            <w:tcBorders>
              <w:left w:val="single" w:sz="4" w:space="0" w:color="auto"/>
              <w:right w:val="single" w:sz="4" w:space="0" w:color="auto"/>
            </w:tcBorders>
            <w:shd w:val="clear" w:color="auto" w:fill="auto"/>
            <w:vAlign w:val="bottom"/>
          </w:tcPr>
          <w:p w14:paraId="5B2971AD" w14:textId="77777777" w:rsidR="00276FF4" w:rsidRPr="007A1756" w:rsidRDefault="00276FF4" w:rsidP="00BD17AF">
            <w:pPr>
              <w:pStyle w:val="TableText0"/>
              <w:rPr>
                <w:b/>
                <w:bCs/>
                <w:i/>
                <w:iCs/>
                <w:szCs w:val="20"/>
              </w:rPr>
            </w:pPr>
            <w:r w:rsidRPr="007A1756">
              <w:rPr>
                <w:i/>
                <w:iCs/>
                <w:szCs w:val="20"/>
              </w:rPr>
              <w:t>Shin (2021)</w:t>
            </w:r>
          </w:p>
        </w:tc>
        <w:tc>
          <w:tcPr>
            <w:tcW w:w="704" w:type="pct"/>
            <w:vMerge w:val="restart"/>
            <w:tcBorders>
              <w:left w:val="single" w:sz="4" w:space="0" w:color="auto"/>
              <w:right w:val="single" w:sz="4" w:space="0" w:color="auto"/>
            </w:tcBorders>
            <w:shd w:val="clear" w:color="auto" w:fill="auto"/>
            <w:vAlign w:val="bottom"/>
          </w:tcPr>
          <w:p w14:paraId="5FFAEA8A" w14:textId="77777777" w:rsidR="00276FF4" w:rsidRPr="007A1756" w:rsidRDefault="00276FF4" w:rsidP="00BD17AF">
            <w:pPr>
              <w:pStyle w:val="TableText0"/>
              <w:rPr>
                <w:b/>
                <w:bCs/>
                <w:i/>
                <w:iCs/>
                <w:szCs w:val="20"/>
              </w:rPr>
            </w:pPr>
            <w:r w:rsidRPr="007A1756">
              <w:rPr>
                <w:i/>
                <w:iCs/>
                <w:szCs w:val="20"/>
              </w:rPr>
              <w:t>Overall</w:t>
            </w:r>
          </w:p>
        </w:tc>
        <w:tc>
          <w:tcPr>
            <w:tcW w:w="390" w:type="pct"/>
            <w:tcBorders>
              <w:left w:val="single" w:sz="4" w:space="0" w:color="auto"/>
              <w:right w:val="single" w:sz="4" w:space="0" w:color="auto"/>
            </w:tcBorders>
            <w:shd w:val="clear" w:color="auto" w:fill="auto"/>
          </w:tcPr>
          <w:p w14:paraId="3804912A" w14:textId="77777777" w:rsidR="00276FF4" w:rsidRPr="007A1756" w:rsidRDefault="00276FF4" w:rsidP="00BD17AF">
            <w:pPr>
              <w:pStyle w:val="TableText0"/>
              <w:rPr>
                <w:i/>
                <w:iCs/>
                <w:szCs w:val="20"/>
              </w:rPr>
            </w:pPr>
            <w:r w:rsidRPr="007A1756">
              <w:rPr>
                <w:i/>
                <w:iCs/>
                <w:szCs w:val="20"/>
              </w:rPr>
              <w:t>N</w:t>
            </w:r>
          </w:p>
        </w:tc>
        <w:tc>
          <w:tcPr>
            <w:tcW w:w="1171" w:type="pct"/>
            <w:tcBorders>
              <w:left w:val="single" w:sz="4" w:space="0" w:color="auto"/>
              <w:right w:val="single" w:sz="4" w:space="0" w:color="auto"/>
            </w:tcBorders>
            <w:shd w:val="clear" w:color="auto" w:fill="auto"/>
          </w:tcPr>
          <w:p w14:paraId="2241DAB7" w14:textId="77777777" w:rsidR="00276FF4" w:rsidRPr="007A1756" w:rsidRDefault="00276FF4" w:rsidP="004F0996">
            <w:pPr>
              <w:pStyle w:val="TableText0"/>
              <w:ind w:left="176" w:hanging="176"/>
              <w:rPr>
                <w:i/>
                <w:iCs/>
                <w:szCs w:val="20"/>
              </w:rPr>
            </w:pPr>
            <w:r w:rsidRPr="007A1756">
              <w:rPr>
                <w:i/>
                <w:iCs/>
                <w:szCs w:val="20"/>
              </w:rPr>
              <w:t>n (%)</w:t>
            </w:r>
          </w:p>
        </w:tc>
        <w:tc>
          <w:tcPr>
            <w:tcW w:w="426" w:type="pct"/>
            <w:tcBorders>
              <w:left w:val="single" w:sz="4" w:space="0" w:color="auto"/>
              <w:right w:val="single" w:sz="4" w:space="0" w:color="auto"/>
            </w:tcBorders>
            <w:shd w:val="clear" w:color="auto" w:fill="auto"/>
          </w:tcPr>
          <w:p w14:paraId="53706BE1" w14:textId="77777777" w:rsidR="00276FF4" w:rsidRPr="007A1756" w:rsidRDefault="00276FF4" w:rsidP="00BD17AF">
            <w:pPr>
              <w:pStyle w:val="TableText0"/>
              <w:rPr>
                <w:i/>
                <w:iCs/>
                <w:szCs w:val="20"/>
              </w:rPr>
            </w:pPr>
            <w:r w:rsidRPr="007A1756">
              <w:rPr>
                <w:i/>
                <w:iCs/>
                <w:szCs w:val="20"/>
              </w:rPr>
              <w:t>N</w:t>
            </w:r>
          </w:p>
        </w:tc>
        <w:tc>
          <w:tcPr>
            <w:tcW w:w="1447" w:type="pct"/>
            <w:tcBorders>
              <w:top w:val="single" w:sz="4" w:space="0" w:color="auto"/>
              <w:left w:val="single" w:sz="4" w:space="0" w:color="auto"/>
              <w:bottom w:val="single" w:sz="4" w:space="0" w:color="auto"/>
              <w:right w:val="single" w:sz="4" w:space="0" w:color="auto"/>
            </w:tcBorders>
          </w:tcPr>
          <w:p w14:paraId="1AE788EE" w14:textId="77777777" w:rsidR="00276FF4" w:rsidRPr="007A1756" w:rsidRDefault="00276FF4" w:rsidP="00BD17AF">
            <w:pPr>
              <w:pStyle w:val="TableText0"/>
              <w:rPr>
                <w:i/>
                <w:iCs/>
                <w:szCs w:val="20"/>
              </w:rPr>
            </w:pPr>
            <w:r w:rsidRPr="007A1756">
              <w:rPr>
                <w:i/>
                <w:iCs/>
                <w:szCs w:val="20"/>
              </w:rPr>
              <w:t>n (%)</w:t>
            </w:r>
          </w:p>
        </w:tc>
      </w:tr>
      <w:tr w:rsidR="00276FF4" w:rsidRPr="007A1756" w14:paraId="1DF92DCD" w14:textId="77777777" w:rsidTr="000943A6">
        <w:tc>
          <w:tcPr>
            <w:tcW w:w="862" w:type="pct"/>
            <w:vMerge/>
            <w:tcBorders>
              <w:left w:val="single" w:sz="4" w:space="0" w:color="auto"/>
              <w:right w:val="single" w:sz="4" w:space="0" w:color="auto"/>
            </w:tcBorders>
            <w:shd w:val="clear" w:color="auto" w:fill="auto"/>
          </w:tcPr>
          <w:p w14:paraId="3579A38B" w14:textId="77777777" w:rsidR="00276FF4" w:rsidRPr="007A1756" w:rsidRDefault="00276FF4" w:rsidP="00BD17AF">
            <w:pPr>
              <w:pStyle w:val="TableText0"/>
              <w:rPr>
                <w:i/>
                <w:iCs/>
                <w:szCs w:val="20"/>
              </w:rPr>
            </w:pPr>
          </w:p>
        </w:tc>
        <w:tc>
          <w:tcPr>
            <w:tcW w:w="704" w:type="pct"/>
            <w:vMerge/>
            <w:tcBorders>
              <w:left w:val="single" w:sz="4" w:space="0" w:color="auto"/>
              <w:right w:val="single" w:sz="4" w:space="0" w:color="auto"/>
            </w:tcBorders>
            <w:shd w:val="clear" w:color="auto" w:fill="auto"/>
          </w:tcPr>
          <w:p w14:paraId="1683E065" w14:textId="77777777" w:rsidR="00276FF4" w:rsidRPr="007A1756" w:rsidRDefault="00276FF4" w:rsidP="00BD17AF">
            <w:pPr>
              <w:pStyle w:val="TableText0"/>
              <w:rPr>
                <w:i/>
                <w:iCs/>
                <w:szCs w:val="20"/>
              </w:rPr>
            </w:pPr>
          </w:p>
        </w:tc>
        <w:tc>
          <w:tcPr>
            <w:tcW w:w="390" w:type="pct"/>
            <w:tcBorders>
              <w:left w:val="single" w:sz="4" w:space="0" w:color="auto"/>
              <w:right w:val="single" w:sz="4" w:space="0" w:color="auto"/>
            </w:tcBorders>
            <w:shd w:val="clear" w:color="auto" w:fill="auto"/>
          </w:tcPr>
          <w:p w14:paraId="5C442E73" w14:textId="77777777" w:rsidR="00276FF4" w:rsidRPr="007A1756" w:rsidRDefault="00276FF4" w:rsidP="00BD17AF">
            <w:pPr>
              <w:pStyle w:val="TableText0"/>
              <w:rPr>
                <w:i/>
                <w:iCs/>
                <w:szCs w:val="20"/>
              </w:rPr>
            </w:pPr>
            <w:r w:rsidRPr="007A1756">
              <w:rPr>
                <w:i/>
                <w:iCs/>
                <w:szCs w:val="20"/>
              </w:rPr>
              <w:t>211</w:t>
            </w:r>
          </w:p>
        </w:tc>
        <w:tc>
          <w:tcPr>
            <w:tcW w:w="1171" w:type="pct"/>
            <w:tcBorders>
              <w:left w:val="single" w:sz="4" w:space="0" w:color="auto"/>
              <w:right w:val="single" w:sz="4" w:space="0" w:color="auto"/>
            </w:tcBorders>
            <w:shd w:val="clear" w:color="auto" w:fill="auto"/>
          </w:tcPr>
          <w:p w14:paraId="3EB6CE9D" w14:textId="77777777" w:rsidR="00276FF4" w:rsidRPr="007A1756" w:rsidRDefault="00276FF4" w:rsidP="004F0996">
            <w:pPr>
              <w:pStyle w:val="TableText0"/>
              <w:ind w:left="176" w:hanging="176"/>
              <w:rPr>
                <w:i/>
                <w:iCs/>
                <w:szCs w:val="20"/>
              </w:rPr>
            </w:pPr>
            <w:r w:rsidRPr="007A1756">
              <w:rPr>
                <w:i/>
                <w:iCs/>
                <w:szCs w:val="20"/>
              </w:rPr>
              <w:t>1 (0.44)</w:t>
            </w:r>
          </w:p>
        </w:tc>
        <w:tc>
          <w:tcPr>
            <w:tcW w:w="426" w:type="pct"/>
            <w:tcBorders>
              <w:left w:val="single" w:sz="4" w:space="0" w:color="auto"/>
              <w:right w:val="single" w:sz="4" w:space="0" w:color="auto"/>
            </w:tcBorders>
            <w:shd w:val="clear" w:color="auto" w:fill="auto"/>
          </w:tcPr>
          <w:p w14:paraId="062138E7" w14:textId="77777777" w:rsidR="00276FF4" w:rsidRPr="007A1756" w:rsidRDefault="00276FF4" w:rsidP="00BD17AF">
            <w:pPr>
              <w:pStyle w:val="TableText0"/>
              <w:rPr>
                <w:i/>
                <w:iCs/>
                <w:szCs w:val="20"/>
              </w:rPr>
            </w:pPr>
            <w:r w:rsidRPr="007A1756">
              <w:rPr>
                <w:i/>
                <w:iCs/>
                <w:szCs w:val="20"/>
              </w:rPr>
              <w:t>610</w:t>
            </w:r>
          </w:p>
        </w:tc>
        <w:tc>
          <w:tcPr>
            <w:tcW w:w="1447" w:type="pct"/>
            <w:tcBorders>
              <w:top w:val="single" w:sz="4" w:space="0" w:color="auto"/>
              <w:left w:val="single" w:sz="4" w:space="0" w:color="auto"/>
              <w:bottom w:val="single" w:sz="4" w:space="0" w:color="auto"/>
              <w:right w:val="single" w:sz="4" w:space="0" w:color="auto"/>
            </w:tcBorders>
          </w:tcPr>
          <w:p w14:paraId="43909D8E" w14:textId="77777777" w:rsidR="00276FF4" w:rsidRPr="007A1756" w:rsidRDefault="00276FF4" w:rsidP="00BD17AF">
            <w:pPr>
              <w:pStyle w:val="TableText0"/>
              <w:rPr>
                <w:i/>
                <w:iCs/>
                <w:szCs w:val="20"/>
              </w:rPr>
            </w:pPr>
            <w:r w:rsidRPr="007A1756">
              <w:rPr>
                <w:i/>
                <w:iCs/>
                <w:szCs w:val="20"/>
              </w:rPr>
              <w:t>4 (0.31)</w:t>
            </w:r>
          </w:p>
        </w:tc>
      </w:tr>
      <w:tr w:rsidR="00276FF4" w:rsidRPr="007A1756" w14:paraId="3F3D681C" w14:textId="77777777" w:rsidTr="000943A6">
        <w:tc>
          <w:tcPr>
            <w:tcW w:w="3553" w:type="pct"/>
            <w:gridSpan w:val="5"/>
            <w:tcBorders>
              <w:left w:val="single" w:sz="4" w:space="0" w:color="auto"/>
              <w:right w:val="single" w:sz="4" w:space="0" w:color="auto"/>
            </w:tcBorders>
            <w:shd w:val="clear" w:color="auto" w:fill="auto"/>
          </w:tcPr>
          <w:p w14:paraId="7B5EC372" w14:textId="77777777" w:rsidR="00276FF4" w:rsidRPr="007A1756" w:rsidRDefault="00276FF4" w:rsidP="00BD17AF">
            <w:pPr>
              <w:pStyle w:val="TableText0"/>
              <w:rPr>
                <w:i/>
                <w:iCs/>
                <w:szCs w:val="20"/>
              </w:rPr>
            </w:pPr>
            <w:r w:rsidRPr="007A1756">
              <w:rPr>
                <w:b/>
                <w:bCs/>
                <w:i/>
                <w:iCs/>
                <w:szCs w:val="20"/>
              </w:rPr>
              <w:t>Overall pooled OR (95% CI) for Shin (2021)</w:t>
            </w:r>
          </w:p>
        </w:tc>
        <w:tc>
          <w:tcPr>
            <w:tcW w:w="1447" w:type="pct"/>
            <w:tcBorders>
              <w:top w:val="single" w:sz="4" w:space="0" w:color="auto"/>
              <w:left w:val="single" w:sz="4" w:space="0" w:color="auto"/>
              <w:bottom w:val="single" w:sz="4" w:space="0" w:color="auto"/>
              <w:right w:val="single" w:sz="4" w:space="0" w:color="auto"/>
            </w:tcBorders>
          </w:tcPr>
          <w:p w14:paraId="7D7CF288" w14:textId="77777777" w:rsidR="00276FF4" w:rsidRPr="007A1756" w:rsidRDefault="00276FF4" w:rsidP="00BD17AF">
            <w:pPr>
              <w:pStyle w:val="TableText0"/>
              <w:rPr>
                <w:i/>
                <w:iCs/>
                <w:szCs w:val="20"/>
              </w:rPr>
            </w:pPr>
            <w:r w:rsidRPr="007A1756">
              <w:rPr>
                <w:i/>
                <w:iCs/>
                <w:szCs w:val="20"/>
              </w:rPr>
              <w:t>0.72 (0.01 to 7.34)</w:t>
            </w:r>
          </w:p>
          <w:p w14:paraId="3D715101" w14:textId="77777777" w:rsidR="00276FF4" w:rsidRPr="007A1756" w:rsidRDefault="00276FF4" w:rsidP="00BD17AF">
            <w:pPr>
              <w:pStyle w:val="TableText0"/>
              <w:rPr>
                <w:i/>
                <w:iCs/>
                <w:szCs w:val="20"/>
              </w:rPr>
            </w:pPr>
            <w:r w:rsidRPr="007A1756">
              <w:rPr>
                <w:i/>
                <w:iCs/>
                <w:szCs w:val="20"/>
              </w:rPr>
              <w:t>p=0.77</w:t>
            </w:r>
          </w:p>
        </w:tc>
      </w:tr>
      <w:bookmarkEnd w:id="14"/>
      <w:tr w:rsidR="002A451E" w:rsidRPr="007A1756" w14:paraId="36960144" w14:textId="77777777" w:rsidTr="008603D6">
        <w:tc>
          <w:tcPr>
            <w:tcW w:w="5000" w:type="pct"/>
            <w:gridSpan w:val="6"/>
            <w:tcBorders>
              <w:left w:val="single" w:sz="4" w:space="0" w:color="auto"/>
              <w:right w:val="single" w:sz="4" w:space="0" w:color="auto"/>
            </w:tcBorders>
            <w:shd w:val="clear" w:color="auto" w:fill="D9D9D9" w:themeFill="background1" w:themeFillShade="D9"/>
          </w:tcPr>
          <w:p w14:paraId="380BC51F" w14:textId="77777777" w:rsidR="002A451E" w:rsidRPr="007A1756" w:rsidRDefault="002A451E" w:rsidP="00BD17AF">
            <w:pPr>
              <w:pStyle w:val="TableText0"/>
              <w:rPr>
                <w:b/>
                <w:bCs/>
                <w:i/>
                <w:iCs/>
                <w:szCs w:val="20"/>
              </w:rPr>
            </w:pPr>
            <w:r w:rsidRPr="007A1756">
              <w:rPr>
                <w:b/>
                <w:bCs/>
                <w:i/>
                <w:iCs/>
                <w:szCs w:val="20"/>
              </w:rPr>
              <w:t>Neurological Complications</w:t>
            </w:r>
          </w:p>
        </w:tc>
      </w:tr>
      <w:tr w:rsidR="002A451E" w:rsidRPr="007A1756" w14:paraId="4C17C6C4" w14:textId="77777777" w:rsidTr="008603D6">
        <w:tc>
          <w:tcPr>
            <w:tcW w:w="862" w:type="pct"/>
            <w:vMerge w:val="restart"/>
            <w:tcBorders>
              <w:left w:val="single" w:sz="4" w:space="0" w:color="auto"/>
              <w:right w:val="single" w:sz="4" w:space="0" w:color="auto"/>
            </w:tcBorders>
            <w:shd w:val="clear" w:color="auto" w:fill="auto"/>
            <w:vAlign w:val="bottom"/>
          </w:tcPr>
          <w:p w14:paraId="33BB60BA" w14:textId="77777777" w:rsidR="002A451E" w:rsidRPr="007A1756" w:rsidRDefault="002A451E" w:rsidP="00BD17AF">
            <w:pPr>
              <w:pStyle w:val="TableText0"/>
              <w:rPr>
                <w:i/>
                <w:iCs/>
                <w:szCs w:val="20"/>
              </w:rPr>
            </w:pPr>
            <w:r w:rsidRPr="007A1756">
              <w:rPr>
                <w:i/>
                <w:iCs/>
                <w:szCs w:val="20"/>
              </w:rPr>
              <w:t>Shin (2021)</w:t>
            </w:r>
          </w:p>
        </w:tc>
        <w:tc>
          <w:tcPr>
            <w:tcW w:w="704" w:type="pct"/>
            <w:vMerge w:val="restart"/>
            <w:tcBorders>
              <w:left w:val="single" w:sz="4" w:space="0" w:color="auto"/>
              <w:right w:val="single" w:sz="4" w:space="0" w:color="auto"/>
            </w:tcBorders>
            <w:shd w:val="clear" w:color="auto" w:fill="auto"/>
            <w:vAlign w:val="bottom"/>
          </w:tcPr>
          <w:p w14:paraId="367A7CF0" w14:textId="77777777" w:rsidR="002A451E" w:rsidRPr="007A1756" w:rsidRDefault="002A451E" w:rsidP="00BD17AF">
            <w:pPr>
              <w:pStyle w:val="TableText0"/>
              <w:rPr>
                <w:i/>
                <w:iCs/>
                <w:szCs w:val="20"/>
              </w:rPr>
            </w:pPr>
            <w:r w:rsidRPr="007A1756">
              <w:rPr>
                <w:i/>
                <w:iCs/>
                <w:szCs w:val="20"/>
              </w:rPr>
              <w:t>Overall</w:t>
            </w:r>
          </w:p>
        </w:tc>
        <w:tc>
          <w:tcPr>
            <w:tcW w:w="390" w:type="pct"/>
            <w:tcBorders>
              <w:left w:val="single" w:sz="4" w:space="0" w:color="auto"/>
              <w:right w:val="single" w:sz="4" w:space="0" w:color="auto"/>
            </w:tcBorders>
            <w:shd w:val="clear" w:color="auto" w:fill="auto"/>
          </w:tcPr>
          <w:p w14:paraId="1417D3F7" w14:textId="77777777" w:rsidR="002A451E" w:rsidRPr="007A1756" w:rsidRDefault="002A451E" w:rsidP="00BD17AF">
            <w:pPr>
              <w:pStyle w:val="TableText0"/>
              <w:rPr>
                <w:i/>
                <w:iCs/>
                <w:szCs w:val="20"/>
              </w:rPr>
            </w:pPr>
            <w:r w:rsidRPr="007A1756">
              <w:rPr>
                <w:i/>
                <w:iCs/>
                <w:szCs w:val="20"/>
              </w:rPr>
              <w:t>N</w:t>
            </w:r>
          </w:p>
        </w:tc>
        <w:tc>
          <w:tcPr>
            <w:tcW w:w="1171" w:type="pct"/>
            <w:tcBorders>
              <w:left w:val="single" w:sz="4" w:space="0" w:color="auto"/>
              <w:right w:val="single" w:sz="4" w:space="0" w:color="auto"/>
            </w:tcBorders>
            <w:shd w:val="clear" w:color="auto" w:fill="auto"/>
          </w:tcPr>
          <w:p w14:paraId="712B56DC" w14:textId="77777777" w:rsidR="002A451E" w:rsidRPr="007A1756" w:rsidRDefault="002A451E" w:rsidP="004F0996">
            <w:pPr>
              <w:pStyle w:val="TableText0"/>
              <w:ind w:left="176" w:hanging="176"/>
              <w:rPr>
                <w:i/>
                <w:iCs/>
                <w:szCs w:val="20"/>
              </w:rPr>
            </w:pPr>
            <w:r w:rsidRPr="007A1756">
              <w:rPr>
                <w:i/>
                <w:iCs/>
                <w:szCs w:val="20"/>
              </w:rPr>
              <w:t>n (%)</w:t>
            </w:r>
          </w:p>
        </w:tc>
        <w:tc>
          <w:tcPr>
            <w:tcW w:w="426" w:type="pct"/>
            <w:tcBorders>
              <w:left w:val="single" w:sz="4" w:space="0" w:color="auto"/>
              <w:right w:val="single" w:sz="4" w:space="0" w:color="auto"/>
            </w:tcBorders>
            <w:shd w:val="clear" w:color="auto" w:fill="auto"/>
          </w:tcPr>
          <w:p w14:paraId="26B0359A" w14:textId="77777777" w:rsidR="002A451E" w:rsidRPr="007A1756" w:rsidRDefault="002A451E" w:rsidP="00BD17AF">
            <w:pPr>
              <w:pStyle w:val="TableText0"/>
              <w:rPr>
                <w:i/>
                <w:iCs/>
                <w:szCs w:val="20"/>
              </w:rPr>
            </w:pPr>
            <w:r w:rsidRPr="007A1756">
              <w:rPr>
                <w:i/>
                <w:iCs/>
                <w:szCs w:val="20"/>
              </w:rPr>
              <w:t>N</w:t>
            </w:r>
          </w:p>
        </w:tc>
        <w:tc>
          <w:tcPr>
            <w:tcW w:w="1447" w:type="pct"/>
            <w:tcBorders>
              <w:top w:val="single" w:sz="4" w:space="0" w:color="auto"/>
              <w:left w:val="single" w:sz="4" w:space="0" w:color="auto"/>
              <w:bottom w:val="single" w:sz="4" w:space="0" w:color="auto"/>
              <w:right w:val="single" w:sz="4" w:space="0" w:color="auto"/>
            </w:tcBorders>
          </w:tcPr>
          <w:p w14:paraId="51051C34" w14:textId="77777777" w:rsidR="002A451E" w:rsidRPr="007A1756" w:rsidRDefault="002A451E" w:rsidP="00BD17AF">
            <w:pPr>
              <w:pStyle w:val="TableText0"/>
              <w:rPr>
                <w:i/>
                <w:iCs/>
                <w:szCs w:val="20"/>
              </w:rPr>
            </w:pPr>
            <w:r w:rsidRPr="007A1756">
              <w:rPr>
                <w:i/>
                <w:iCs/>
                <w:szCs w:val="20"/>
              </w:rPr>
              <w:t>n (%)</w:t>
            </w:r>
          </w:p>
        </w:tc>
      </w:tr>
      <w:tr w:rsidR="002A451E" w:rsidRPr="007A1756" w14:paraId="42A92AF9" w14:textId="77777777" w:rsidTr="008603D6">
        <w:tc>
          <w:tcPr>
            <w:tcW w:w="862" w:type="pct"/>
            <w:vMerge/>
            <w:tcBorders>
              <w:left w:val="single" w:sz="4" w:space="0" w:color="auto"/>
              <w:right w:val="single" w:sz="4" w:space="0" w:color="auto"/>
            </w:tcBorders>
            <w:shd w:val="clear" w:color="auto" w:fill="auto"/>
          </w:tcPr>
          <w:p w14:paraId="473118CE" w14:textId="77777777" w:rsidR="002A451E" w:rsidRPr="007A1756" w:rsidRDefault="002A451E" w:rsidP="00BD17AF">
            <w:pPr>
              <w:pStyle w:val="TableText0"/>
              <w:rPr>
                <w:i/>
                <w:iCs/>
                <w:szCs w:val="20"/>
              </w:rPr>
            </w:pPr>
          </w:p>
        </w:tc>
        <w:tc>
          <w:tcPr>
            <w:tcW w:w="704" w:type="pct"/>
            <w:vMerge/>
            <w:tcBorders>
              <w:left w:val="single" w:sz="4" w:space="0" w:color="auto"/>
              <w:right w:val="single" w:sz="4" w:space="0" w:color="auto"/>
            </w:tcBorders>
            <w:shd w:val="clear" w:color="auto" w:fill="auto"/>
          </w:tcPr>
          <w:p w14:paraId="41917B3D" w14:textId="77777777" w:rsidR="002A451E" w:rsidRPr="007A1756" w:rsidRDefault="002A451E" w:rsidP="00BD17AF">
            <w:pPr>
              <w:pStyle w:val="TableText0"/>
              <w:rPr>
                <w:i/>
                <w:iCs/>
                <w:szCs w:val="20"/>
              </w:rPr>
            </w:pPr>
          </w:p>
        </w:tc>
        <w:tc>
          <w:tcPr>
            <w:tcW w:w="390" w:type="pct"/>
            <w:tcBorders>
              <w:left w:val="single" w:sz="4" w:space="0" w:color="auto"/>
              <w:right w:val="single" w:sz="4" w:space="0" w:color="auto"/>
            </w:tcBorders>
            <w:shd w:val="clear" w:color="auto" w:fill="auto"/>
          </w:tcPr>
          <w:p w14:paraId="0531BC4A" w14:textId="77777777" w:rsidR="002A451E" w:rsidRPr="007A1756" w:rsidRDefault="002A451E" w:rsidP="00BD17AF">
            <w:pPr>
              <w:pStyle w:val="TableText0"/>
              <w:rPr>
                <w:i/>
                <w:iCs/>
                <w:szCs w:val="20"/>
              </w:rPr>
            </w:pPr>
            <w:r w:rsidRPr="007A1756">
              <w:rPr>
                <w:i/>
                <w:iCs/>
                <w:szCs w:val="20"/>
              </w:rPr>
              <w:t>211</w:t>
            </w:r>
          </w:p>
        </w:tc>
        <w:tc>
          <w:tcPr>
            <w:tcW w:w="1171" w:type="pct"/>
            <w:tcBorders>
              <w:left w:val="single" w:sz="4" w:space="0" w:color="auto"/>
              <w:right w:val="single" w:sz="4" w:space="0" w:color="auto"/>
            </w:tcBorders>
            <w:shd w:val="clear" w:color="auto" w:fill="auto"/>
          </w:tcPr>
          <w:p w14:paraId="6011104A" w14:textId="77777777" w:rsidR="002A451E" w:rsidRPr="007A1756" w:rsidRDefault="002A451E" w:rsidP="004F0996">
            <w:pPr>
              <w:pStyle w:val="TableText0"/>
              <w:ind w:left="176" w:hanging="176"/>
              <w:rPr>
                <w:i/>
                <w:iCs/>
                <w:szCs w:val="20"/>
              </w:rPr>
            </w:pPr>
            <w:r w:rsidRPr="007A1756">
              <w:rPr>
                <w:i/>
                <w:iCs/>
                <w:szCs w:val="20"/>
              </w:rPr>
              <w:t>2 (0.88)</w:t>
            </w:r>
          </w:p>
        </w:tc>
        <w:tc>
          <w:tcPr>
            <w:tcW w:w="426" w:type="pct"/>
            <w:tcBorders>
              <w:left w:val="single" w:sz="4" w:space="0" w:color="auto"/>
              <w:right w:val="single" w:sz="4" w:space="0" w:color="auto"/>
            </w:tcBorders>
            <w:shd w:val="clear" w:color="auto" w:fill="auto"/>
          </w:tcPr>
          <w:p w14:paraId="09AAC393" w14:textId="77777777" w:rsidR="002A451E" w:rsidRPr="007A1756" w:rsidRDefault="002A451E" w:rsidP="00BD17AF">
            <w:pPr>
              <w:pStyle w:val="TableText0"/>
              <w:rPr>
                <w:i/>
                <w:iCs/>
                <w:szCs w:val="20"/>
              </w:rPr>
            </w:pPr>
            <w:r w:rsidRPr="007A1756">
              <w:rPr>
                <w:i/>
                <w:iCs/>
                <w:szCs w:val="20"/>
              </w:rPr>
              <w:t>610</w:t>
            </w:r>
          </w:p>
        </w:tc>
        <w:tc>
          <w:tcPr>
            <w:tcW w:w="1447" w:type="pct"/>
            <w:tcBorders>
              <w:top w:val="single" w:sz="4" w:space="0" w:color="auto"/>
              <w:left w:val="single" w:sz="4" w:space="0" w:color="auto"/>
              <w:bottom w:val="single" w:sz="4" w:space="0" w:color="auto"/>
              <w:right w:val="single" w:sz="4" w:space="0" w:color="auto"/>
            </w:tcBorders>
          </w:tcPr>
          <w:p w14:paraId="771D85F6" w14:textId="77777777" w:rsidR="002A451E" w:rsidRPr="007A1756" w:rsidRDefault="002A451E" w:rsidP="00BD17AF">
            <w:pPr>
              <w:pStyle w:val="TableText0"/>
              <w:rPr>
                <w:i/>
                <w:iCs/>
                <w:szCs w:val="20"/>
              </w:rPr>
            </w:pPr>
            <w:r w:rsidRPr="007A1756">
              <w:rPr>
                <w:i/>
                <w:iCs/>
                <w:szCs w:val="20"/>
              </w:rPr>
              <w:t>6 (0.46)*</w:t>
            </w:r>
          </w:p>
        </w:tc>
      </w:tr>
      <w:tr w:rsidR="002A451E" w:rsidRPr="007A1756" w14:paraId="2E99C034" w14:textId="77777777" w:rsidTr="008603D6">
        <w:tc>
          <w:tcPr>
            <w:tcW w:w="3553" w:type="pct"/>
            <w:gridSpan w:val="5"/>
            <w:tcBorders>
              <w:left w:val="single" w:sz="4" w:space="0" w:color="auto"/>
              <w:right w:val="single" w:sz="4" w:space="0" w:color="auto"/>
            </w:tcBorders>
            <w:shd w:val="clear" w:color="auto" w:fill="auto"/>
          </w:tcPr>
          <w:p w14:paraId="6EE26EFE" w14:textId="77777777" w:rsidR="002A451E" w:rsidRPr="007A1756" w:rsidRDefault="002A451E" w:rsidP="00BD17AF">
            <w:pPr>
              <w:pStyle w:val="TableText0"/>
              <w:rPr>
                <w:i/>
                <w:iCs/>
                <w:szCs w:val="20"/>
              </w:rPr>
            </w:pPr>
            <w:r w:rsidRPr="007A1756">
              <w:rPr>
                <w:b/>
                <w:bCs/>
                <w:i/>
                <w:iCs/>
                <w:szCs w:val="20"/>
              </w:rPr>
              <w:t>Overall pooled OR (95% CI) for Shin (2021)</w:t>
            </w:r>
          </w:p>
        </w:tc>
        <w:tc>
          <w:tcPr>
            <w:tcW w:w="1447" w:type="pct"/>
            <w:tcBorders>
              <w:top w:val="single" w:sz="4" w:space="0" w:color="auto"/>
              <w:left w:val="single" w:sz="4" w:space="0" w:color="auto"/>
              <w:bottom w:val="single" w:sz="4" w:space="0" w:color="auto"/>
              <w:right w:val="single" w:sz="4" w:space="0" w:color="auto"/>
            </w:tcBorders>
          </w:tcPr>
          <w:p w14:paraId="7FC8EC9F" w14:textId="77777777" w:rsidR="002A451E" w:rsidRPr="007A1756" w:rsidRDefault="002A451E" w:rsidP="00BD17AF">
            <w:pPr>
              <w:pStyle w:val="TableText0"/>
              <w:rPr>
                <w:i/>
                <w:iCs/>
                <w:szCs w:val="20"/>
              </w:rPr>
            </w:pPr>
            <w:r w:rsidRPr="007A1756">
              <w:rPr>
                <w:i/>
                <w:iCs/>
                <w:szCs w:val="20"/>
              </w:rPr>
              <w:t>0.96 (95% CI 0.09 to 5.44)</w:t>
            </w:r>
          </w:p>
          <w:p w14:paraId="5A2A94C2" w14:textId="77777777" w:rsidR="002A451E" w:rsidRPr="007A1756" w:rsidRDefault="002A451E" w:rsidP="00BD17AF">
            <w:pPr>
              <w:pStyle w:val="TableText0"/>
              <w:rPr>
                <w:i/>
                <w:iCs/>
                <w:szCs w:val="20"/>
              </w:rPr>
            </w:pPr>
            <w:r w:rsidRPr="007A1756">
              <w:rPr>
                <w:i/>
                <w:iCs/>
                <w:szCs w:val="20"/>
              </w:rPr>
              <w:t>p=0.96</w:t>
            </w:r>
          </w:p>
        </w:tc>
      </w:tr>
      <w:tr w:rsidR="002A451E" w:rsidRPr="007A1756" w14:paraId="576A7A4A" w14:textId="77777777" w:rsidTr="008603D6">
        <w:tc>
          <w:tcPr>
            <w:tcW w:w="5000" w:type="pct"/>
            <w:gridSpan w:val="6"/>
            <w:tcBorders>
              <w:left w:val="single" w:sz="4" w:space="0" w:color="auto"/>
              <w:right w:val="single" w:sz="4" w:space="0" w:color="auto"/>
            </w:tcBorders>
            <w:shd w:val="clear" w:color="auto" w:fill="D9D9D9" w:themeFill="background1" w:themeFillShade="D9"/>
            <w:vAlign w:val="bottom"/>
          </w:tcPr>
          <w:p w14:paraId="5B6F49AE" w14:textId="77777777" w:rsidR="002A451E" w:rsidRPr="007A1756" w:rsidRDefault="002A451E" w:rsidP="00BD17AF">
            <w:pPr>
              <w:pStyle w:val="TableText0"/>
              <w:rPr>
                <w:b/>
                <w:bCs/>
                <w:i/>
                <w:iCs/>
                <w:szCs w:val="20"/>
              </w:rPr>
            </w:pPr>
            <w:r w:rsidRPr="007A1756">
              <w:rPr>
                <w:b/>
                <w:bCs/>
                <w:i/>
                <w:iCs/>
                <w:szCs w:val="20"/>
              </w:rPr>
              <w:t>Device Related Event, including tether breakage or screw pull-out/loosening</w:t>
            </w:r>
          </w:p>
        </w:tc>
      </w:tr>
      <w:tr w:rsidR="002A451E" w:rsidRPr="007A1756" w14:paraId="3B19D904" w14:textId="77777777" w:rsidTr="008603D6">
        <w:tc>
          <w:tcPr>
            <w:tcW w:w="862" w:type="pct"/>
            <w:vMerge w:val="restart"/>
            <w:tcBorders>
              <w:left w:val="single" w:sz="4" w:space="0" w:color="auto"/>
              <w:right w:val="single" w:sz="4" w:space="0" w:color="auto"/>
            </w:tcBorders>
            <w:shd w:val="clear" w:color="auto" w:fill="auto"/>
            <w:vAlign w:val="bottom"/>
          </w:tcPr>
          <w:p w14:paraId="2AE2602C" w14:textId="77777777" w:rsidR="002A451E" w:rsidRPr="007A1756" w:rsidRDefault="002A451E" w:rsidP="00BD17AF">
            <w:pPr>
              <w:pStyle w:val="TableText0"/>
              <w:rPr>
                <w:szCs w:val="20"/>
              </w:rPr>
            </w:pPr>
            <w:r w:rsidRPr="007A1756">
              <w:rPr>
                <w:szCs w:val="20"/>
              </w:rPr>
              <w:t>Newton (2020)</w:t>
            </w:r>
          </w:p>
        </w:tc>
        <w:tc>
          <w:tcPr>
            <w:tcW w:w="704" w:type="pct"/>
            <w:vMerge w:val="restart"/>
            <w:tcBorders>
              <w:left w:val="single" w:sz="4" w:space="0" w:color="auto"/>
              <w:right w:val="single" w:sz="4" w:space="0" w:color="auto"/>
            </w:tcBorders>
            <w:shd w:val="clear" w:color="auto" w:fill="auto"/>
            <w:vAlign w:val="bottom"/>
          </w:tcPr>
          <w:p w14:paraId="4990320E" w14:textId="77777777" w:rsidR="002A451E" w:rsidRPr="007A1756" w:rsidRDefault="002A451E" w:rsidP="00BD17AF">
            <w:pPr>
              <w:pStyle w:val="TableText0"/>
              <w:rPr>
                <w:szCs w:val="20"/>
              </w:rPr>
            </w:pPr>
          </w:p>
        </w:tc>
        <w:tc>
          <w:tcPr>
            <w:tcW w:w="390" w:type="pct"/>
            <w:tcBorders>
              <w:left w:val="single" w:sz="4" w:space="0" w:color="auto"/>
              <w:right w:val="single" w:sz="4" w:space="0" w:color="auto"/>
            </w:tcBorders>
            <w:shd w:val="clear" w:color="auto" w:fill="auto"/>
          </w:tcPr>
          <w:p w14:paraId="3BDD1429" w14:textId="77777777" w:rsidR="002A451E" w:rsidRPr="007A1756" w:rsidRDefault="002A451E" w:rsidP="00BD17AF">
            <w:pPr>
              <w:pStyle w:val="TableText0"/>
              <w:rPr>
                <w:szCs w:val="20"/>
              </w:rPr>
            </w:pPr>
            <w:r w:rsidRPr="007A1756">
              <w:rPr>
                <w:szCs w:val="20"/>
              </w:rPr>
              <w:t>N</w:t>
            </w:r>
          </w:p>
        </w:tc>
        <w:tc>
          <w:tcPr>
            <w:tcW w:w="1171" w:type="pct"/>
            <w:tcBorders>
              <w:left w:val="single" w:sz="4" w:space="0" w:color="auto"/>
              <w:right w:val="single" w:sz="4" w:space="0" w:color="auto"/>
            </w:tcBorders>
            <w:shd w:val="clear" w:color="auto" w:fill="auto"/>
          </w:tcPr>
          <w:p w14:paraId="2B5B30E7" w14:textId="77777777" w:rsidR="002A451E" w:rsidRPr="007A1756" w:rsidRDefault="002A451E" w:rsidP="004F0996">
            <w:pPr>
              <w:pStyle w:val="TableText0"/>
              <w:ind w:left="176" w:hanging="176"/>
              <w:rPr>
                <w:szCs w:val="20"/>
              </w:rPr>
            </w:pPr>
            <w:r w:rsidRPr="007A1756">
              <w:rPr>
                <w:szCs w:val="20"/>
              </w:rPr>
              <w:t>n (%)</w:t>
            </w:r>
          </w:p>
        </w:tc>
        <w:tc>
          <w:tcPr>
            <w:tcW w:w="426" w:type="pct"/>
            <w:tcBorders>
              <w:left w:val="single" w:sz="4" w:space="0" w:color="auto"/>
              <w:right w:val="single" w:sz="4" w:space="0" w:color="auto"/>
            </w:tcBorders>
            <w:shd w:val="clear" w:color="auto" w:fill="auto"/>
          </w:tcPr>
          <w:p w14:paraId="646FD6BF" w14:textId="77777777" w:rsidR="002A451E" w:rsidRPr="007A1756" w:rsidRDefault="002A451E" w:rsidP="00BD17AF">
            <w:pPr>
              <w:pStyle w:val="TableText0"/>
              <w:rPr>
                <w:szCs w:val="20"/>
              </w:rPr>
            </w:pPr>
            <w:r w:rsidRPr="007A1756">
              <w:rPr>
                <w:szCs w:val="20"/>
              </w:rPr>
              <w:t>N</w:t>
            </w:r>
          </w:p>
        </w:tc>
        <w:tc>
          <w:tcPr>
            <w:tcW w:w="1447" w:type="pct"/>
            <w:tcBorders>
              <w:top w:val="single" w:sz="4" w:space="0" w:color="auto"/>
              <w:left w:val="single" w:sz="4" w:space="0" w:color="auto"/>
              <w:bottom w:val="single" w:sz="4" w:space="0" w:color="auto"/>
              <w:right w:val="single" w:sz="4" w:space="0" w:color="auto"/>
            </w:tcBorders>
          </w:tcPr>
          <w:p w14:paraId="318E4C82" w14:textId="77777777" w:rsidR="002A451E" w:rsidRPr="007A1756" w:rsidRDefault="002A451E" w:rsidP="00BD17AF">
            <w:pPr>
              <w:pStyle w:val="TableText0"/>
              <w:rPr>
                <w:szCs w:val="20"/>
              </w:rPr>
            </w:pPr>
            <w:r w:rsidRPr="007A1756">
              <w:rPr>
                <w:szCs w:val="20"/>
              </w:rPr>
              <w:t>n (%)</w:t>
            </w:r>
          </w:p>
        </w:tc>
      </w:tr>
      <w:tr w:rsidR="002A451E" w:rsidRPr="007A1756" w14:paraId="574D5E7C" w14:textId="77777777" w:rsidTr="008603D6">
        <w:tc>
          <w:tcPr>
            <w:tcW w:w="862" w:type="pct"/>
            <w:vMerge/>
            <w:tcBorders>
              <w:left w:val="single" w:sz="4" w:space="0" w:color="auto"/>
              <w:right w:val="single" w:sz="4" w:space="0" w:color="auto"/>
            </w:tcBorders>
            <w:shd w:val="clear" w:color="auto" w:fill="auto"/>
          </w:tcPr>
          <w:p w14:paraId="69A7345C" w14:textId="77777777" w:rsidR="002A451E" w:rsidRPr="007A1756" w:rsidRDefault="002A451E" w:rsidP="00BD17AF">
            <w:pPr>
              <w:pStyle w:val="TableText0"/>
              <w:rPr>
                <w:szCs w:val="20"/>
              </w:rPr>
            </w:pPr>
          </w:p>
        </w:tc>
        <w:tc>
          <w:tcPr>
            <w:tcW w:w="704" w:type="pct"/>
            <w:vMerge/>
            <w:tcBorders>
              <w:left w:val="single" w:sz="4" w:space="0" w:color="auto"/>
              <w:right w:val="single" w:sz="4" w:space="0" w:color="auto"/>
            </w:tcBorders>
            <w:shd w:val="clear" w:color="auto" w:fill="auto"/>
          </w:tcPr>
          <w:p w14:paraId="4E909951" w14:textId="77777777" w:rsidR="002A451E" w:rsidRPr="007A1756" w:rsidRDefault="002A451E" w:rsidP="00BD17AF">
            <w:pPr>
              <w:pStyle w:val="TableText0"/>
              <w:rPr>
                <w:szCs w:val="20"/>
              </w:rPr>
            </w:pPr>
          </w:p>
        </w:tc>
        <w:tc>
          <w:tcPr>
            <w:tcW w:w="390" w:type="pct"/>
            <w:tcBorders>
              <w:left w:val="single" w:sz="4" w:space="0" w:color="auto"/>
              <w:right w:val="single" w:sz="4" w:space="0" w:color="auto"/>
            </w:tcBorders>
            <w:shd w:val="clear" w:color="auto" w:fill="auto"/>
          </w:tcPr>
          <w:p w14:paraId="1C56A7D9" w14:textId="77777777" w:rsidR="002A451E" w:rsidRPr="007A1756" w:rsidRDefault="002A451E" w:rsidP="00BD17AF">
            <w:pPr>
              <w:pStyle w:val="TableText0"/>
              <w:rPr>
                <w:szCs w:val="20"/>
              </w:rPr>
            </w:pPr>
            <w:r w:rsidRPr="007A1756">
              <w:rPr>
                <w:szCs w:val="20"/>
              </w:rPr>
              <w:t>23</w:t>
            </w:r>
          </w:p>
        </w:tc>
        <w:tc>
          <w:tcPr>
            <w:tcW w:w="1171" w:type="pct"/>
            <w:tcBorders>
              <w:left w:val="single" w:sz="4" w:space="0" w:color="auto"/>
              <w:right w:val="single" w:sz="4" w:space="0" w:color="auto"/>
            </w:tcBorders>
            <w:shd w:val="clear" w:color="auto" w:fill="auto"/>
          </w:tcPr>
          <w:p w14:paraId="4371E721" w14:textId="77777777" w:rsidR="002A451E" w:rsidRPr="007A1756" w:rsidRDefault="002A451E" w:rsidP="004F0996">
            <w:pPr>
              <w:pStyle w:val="TableText0"/>
              <w:ind w:left="176" w:hanging="176"/>
              <w:rPr>
                <w:szCs w:val="20"/>
              </w:rPr>
            </w:pPr>
            <w:r w:rsidRPr="007A1756">
              <w:rPr>
                <w:szCs w:val="20"/>
              </w:rPr>
              <w:t>12 (52)</w:t>
            </w:r>
          </w:p>
        </w:tc>
        <w:tc>
          <w:tcPr>
            <w:tcW w:w="426" w:type="pct"/>
            <w:tcBorders>
              <w:left w:val="single" w:sz="4" w:space="0" w:color="auto"/>
              <w:right w:val="single" w:sz="4" w:space="0" w:color="auto"/>
            </w:tcBorders>
            <w:shd w:val="clear" w:color="auto" w:fill="auto"/>
          </w:tcPr>
          <w:p w14:paraId="03BCB8C8" w14:textId="77777777" w:rsidR="002A451E" w:rsidRPr="007A1756" w:rsidRDefault="002A451E" w:rsidP="00BD17AF">
            <w:pPr>
              <w:pStyle w:val="TableText0"/>
              <w:rPr>
                <w:szCs w:val="20"/>
              </w:rPr>
            </w:pPr>
            <w:r w:rsidRPr="007A1756">
              <w:rPr>
                <w:szCs w:val="20"/>
              </w:rPr>
              <w:t>26</w:t>
            </w:r>
          </w:p>
        </w:tc>
        <w:tc>
          <w:tcPr>
            <w:tcW w:w="1447" w:type="pct"/>
            <w:tcBorders>
              <w:top w:val="single" w:sz="4" w:space="0" w:color="auto"/>
              <w:left w:val="single" w:sz="4" w:space="0" w:color="auto"/>
              <w:bottom w:val="single" w:sz="4" w:space="0" w:color="auto"/>
              <w:right w:val="single" w:sz="4" w:space="0" w:color="auto"/>
            </w:tcBorders>
          </w:tcPr>
          <w:p w14:paraId="7A097152" w14:textId="77777777" w:rsidR="002A451E" w:rsidRPr="007A1756" w:rsidRDefault="002A451E" w:rsidP="00BD17AF">
            <w:pPr>
              <w:pStyle w:val="TableText0"/>
              <w:rPr>
                <w:szCs w:val="20"/>
              </w:rPr>
            </w:pPr>
            <w:r w:rsidRPr="007A1756">
              <w:rPr>
                <w:szCs w:val="20"/>
              </w:rPr>
              <w:t>NR</w:t>
            </w:r>
          </w:p>
        </w:tc>
      </w:tr>
      <w:tr w:rsidR="002A451E" w:rsidRPr="007A1756" w14:paraId="5EA14EE8" w14:textId="77777777" w:rsidTr="008603D6">
        <w:tc>
          <w:tcPr>
            <w:tcW w:w="862" w:type="pct"/>
            <w:tcBorders>
              <w:left w:val="single" w:sz="4" w:space="0" w:color="auto"/>
              <w:bottom w:val="single" w:sz="4" w:space="0" w:color="auto"/>
              <w:right w:val="single" w:sz="4" w:space="0" w:color="auto"/>
            </w:tcBorders>
            <w:shd w:val="clear" w:color="auto" w:fill="auto"/>
          </w:tcPr>
          <w:p w14:paraId="4E2E9316" w14:textId="77777777" w:rsidR="002A451E" w:rsidRPr="007A1756" w:rsidRDefault="002A451E" w:rsidP="00BD17AF">
            <w:pPr>
              <w:pStyle w:val="TableText0"/>
              <w:rPr>
                <w:i/>
                <w:iCs/>
                <w:szCs w:val="20"/>
              </w:rPr>
            </w:pPr>
            <w:r w:rsidRPr="007A1756">
              <w:rPr>
                <w:i/>
                <w:iCs/>
                <w:szCs w:val="20"/>
              </w:rPr>
              <w:t>Shin (2021)</w:t>
            </w:r>
          </w:p>
        </w:tc>
        <w:tc>
          <w:tcPr>
            <w:tcW w:w="704" w:type="pct"/>
            <w:tcBorders>
              <w:left w:val="single" w:sz="4" w:space="0" w:color="auto"/>
              <w:bottom w:val="single" w:sz="4" w:space="0" w:color="auto"/>
              <w:right w:val="single" w:sz="4" w:space="0" w:color="auto"/>
            </w:tcBorders>
            <w:shd w:val="clear" w:color="auto" w:fill="auto"/>
          </w:tcPr>
          <w:p w14:paraId="6BCD9D3D" w14:textId="77777777" w:rsidR="002A451E" w:rsidRPr="007A1756" w:rsidRDefault="002A451E" w:rsidP="00BD17AF">
            <w:pPr>
              <w:pStyle w:val="TableText0"/>
              <w:rPr>
                <w:i/>
                <w:iCs/>
                <w:szCs w:val="20"/>
              </w:rPr>
            </w:pPr>
            <w:r w:rsidRPr="007A1756">
              <w:rPr>
                <w:i/>
                <w:iCs/>
                <w:szCs w:val="20"/>
              </w:rPr>
              <w:t>Overall</w:t>
            </w:r>
          </w:p>
        </w:tc>
        <w:tc>
          <w:tcPr>
            <w:tcW w:w="390" w:type="pct"/>
            <w:tcBorders>
              <w:left w:val="single" w:sz="4" w:space="0" w:color="auto"/>
              <w:bottom w:val="single" w:sz="4" w:space="0" w:color="auto"/>
              <w:right w:val="single" w:sz="4" w:space="0" w:color="auto"/>
            </w:tcBorders>
            <w:shd w:val="clear" w:color="auto" w:fill="auto"/>
          </w:tcPr>
          <w:p w14:paraId="4A161CBA" w14:textId="77777777" w:rsidR="002A451E" w:rsidRPr="007A1756" w:rsidRDefault="002A451E" w:rsidP="00BD17AF">
            <w:pPr>
              <w:pStyle w:val="TableText0"/>
              <w:rPr>
                <w:i/>
                <w:iCs/>
                <w:szCs w:val="20"/>
              </w:rPr>
            </w:pPr>
            <w:r w:rsidRPr="007A1756">
              <w:rPr>
                <w:i/>
                <w:iCs/>
                <w:szCs w:val="20"/>
              </w:rPr>
              <w:t>211</w:t>
            </w:r>
          </w:p>
        </w:tc>
        <w:tc>
          <w:tcPr>
            <w:tcW w:w="1171" w:type="pct"/>
            <w:tcBorders>
              <w:left w:val="single" w:sz="4" w:space="0" w:color="auto"/>
              <w:bottom w:val="single" w:sz="4" w:space="0" w:color="auto"/>
              <w:right w:val="single" w:sz="4" w:space="0" w:color="auto"/>
            </w:tcBorders>
            <w:shd w:val="clear" w:color="auto" w:fill="auto"/>
          </w:tcPr>
          <w:p w14:paraId="4D58F73E" w14:textId="77777777" w:rsidR="002A451E" w:rsidRPr="007A1756" w:rsidRDefault="002A451E" w:rsidP="004F0996">
            <w:pPr>
              <w:pStyle w:val="TableText0"/>
              <w:ind w:left="176" w:hanging="176"/>
              <w:rPr>
                <w:i/>
                <w:iCs/>
                <w:szCs w:val="20"/>
              </w:rPr>
            </w:pPr>
            <w:r w:rsidRPr="007A1756">
              <w:rPr>
                <w:i/>
                <w:iCs/>
                <w:szCs w:val="20"/>
              </w:rPr>
              <w:t>18 (7.9)</w:t>
            </w:r>
          </w:p>
        </w:tc>
        <w:tc>
          <w:tcPr>
            <w:tcW w:w="426" w:type="pct"/>
            <w:tcBorders>
              <w:left w:val="single" w:sz="4" w:space="0" w:color="auto"/>
              <w:bottom w:val="single" w:sz="4" w:space="0" w:color="auto"/>
              <w:right w:val="single" w:sz="4" w:space="0" w:color="auto"/>
            </w:tcBorders>
            <w:shd w:val="clear" w:color="auto" w:fill="auto"/>
          </w:tcPr>
          <w:p w14:paraId="6911E009" w14:textId="77777777" w:rsidR="002A451E" w:rsidRPr="007A1756" w:rsidRDefault="002A451E" w:rsidP="00BD17AF">
            <w:pPr>
              <w:pStyle w:val="TableText0"/>
              <w:rPr>
                <w:i/>
                <w:iCs/>
                <w:szCs w:val="20"/>
              </w:rPr>
            </w:pPr>
            <w:r w:rsidRPr="007A1756">
              <w:rPr>
                <w:i/>
                <w:iCs/>
                <w:szCs w:val="20"/>
              </w:rPr>
              <w:t>610</w:t>
            </w:r>
          </w:p>
        </w:tc>
        <w:tc>
          <w:tcPr>
            <w:tcW w:w="1447" w:type="pct"/>
            <w:tcBorders>
              <w:top w:val="single" w:sz="4" w:space="0" w:color="auto"/>
              <w:left w:val="single" w:sz="4" w:space="0" w:color="auto"/>
              <w:bottom w:val="single" w:sz="4" w:space="0" w:color="auto"/>
              <w:right w:val="single" w:sz="4" w:space="0" w:color="auto"/>
            </w:tcBorders>
          </w:tcPr>
          <w:p w14:paraId="6DCCA34A" w14:textId="77777777" w:rsidR="002A451E" w:rsidRPr="007A1756" w:rsidRDefault="002A451E" w:rsidP="00BD17AF">
            <w:pPr>
              <w:pStyle w:val="TableText0"/>
              <w:rPr>
                <w:i/>
                <w:iCs/>
                <w:szCs w:val="20"/>
              </w:rPr>
            </w:pPr>
            <w:r w:rsidRPr="007A1756">
              <w:rPr>
                <w:i/>
                <w:iCs/>
                <w:szCs w:val="20"/>
              </w:rPr>
              <w:t>6 (0.46)*</w:t>
            </w:r>
          </w:p>
        </w:tc>
      </w:tr>
      <w:tr w:rsidR="002A451E" w:rsidRPr="007A1756" w14:paraId="75B789DD" w14:textId="77777777" w:rsidTr="008603D6">
        <w:tc>
          <w:tcPr>
            <w:tcW w:w="3553" w:type="pct"/>
            <w:gridSpan w:val="5"/>
            <w:tcBorders>
              <w:left w:val="single" w:sz="4" w:space="0" w:color="auto"/>
              <w:right w:val="single" w:sz="4" w:space="0" w:color="auto"/>
            </w:tcBorders>
            <w:shd w:val="clear" w:color="auto" w:fill="auto"/>
          </w:tcPr>
          <w:p w14:paraId="6D5D1264" w14:textId="6B9DD4C6" w:rsidR="002A451E" w:rsidRPr="007A1756" w:rsidRDefault="002A451E" w:rsidP="00BD17AF">
            <w:pPr>
              <w:pStyle w:val="TableText0"/>
              <w:rPr>
                <w:b/>
                <w:bCs/>
                <w:i/>
                <w:iCs/>
                <w:szCs w:val="20"/>
              </w:rPr>
            </w:pPr>
            <w:r w:rsidRPr="007A1756">
              <w:rPr>
                <w:b/>
                <w:bCs/>
                <w:i/>
                <w:iCs/>
                <w:szCs w:val="20"/>
              </w:rPr>
              <w:t>Risk difference PSF-VBT from Shin (202</w:t>
            </w:r>
            <w:r>
              <w:rPr>
                <w:b/>
                <w:bCs/>
                <w:i/>
                <w:iCs/>
                <w:szCs w:val="20"/>
              </w:rPr>
              <w:t>1</w:t>
            </w:r>
            <w:r w:rsidRPr="007A1756">
              <w:rPr>
                <w:b/>
                <w:bCs/>
                <w:i/>
                <w:iCs/>
                <w:szCs w:val="20"/>
              </w:rPr>
              <w:t>)</w:t>
            </w:r>
          </w:p>
        </w:tc>
        <w:tc>
          <w:tcPr>
            <w:tcW w:w="1447" w:type="pct"/>
            <w:tcBorders>
              <w:top w:val="single" w:sz="4" w:space="0" w:color="auto"/>
              <w:left w:val="single" w:sz="4" w:space="0" w:color="auto"/>
              <w:bottom w:val="single" w:sz="4" w:space="0" w:color="auto"/>
              <w:right w:val="single" w:sz="4" w:space="0" w:color="auto"/>
            </w:tcBorders>
          </w:tcPr>
          <w:p w14:paraId="269766B0" w14:textId="77777777" w:rsidR="002A451E" w:rsidRPr="007A1756" w:rsidRDefault="002A451E" w:rsidP="00BD17AF">
            <w:pPr>
              <w:pStyle w:val="TableText0"/>
              <w:rPr>
                <w:b/>
                <w:bCs/>
                <w:i/>
                <w:iCs/>
                <w:szCs w:val="20"/>
              </w:rPr>
            </w:pPr>
            <w:r w:rsidRPr="007A1756">
              <w:rPr>
                <w:b/>
                <w:bCs/>
                <w:i/>
                <w:iCs/>
                <w:szCs w:val="20"/>
              </w:rPr>
              <w:t>7.5% (95% CI 3.7% to 11.4%)</w:t>
            </w:r>
          </w:p>
          <w:p w14:paraId="194B3832" w14:textId="77777777" w:rsidR="002A451E" w:rsidRPr="007A1756" w:rsidRDefault="002A451E" w:rsidP="00BD17AF">
            <w:pPr>
              <w:pStyle w:val="TableText0"/>
              <w:rPr>
                <w:b/>
                <w:bCs/>
                <w:i/>
                <w:iCs/>
                <w:szCs w:val="20"/>
              </w:rPr>
            </w:pPr>
            <w:r w:rsidRPr="007A1756">
              <w:rPr>
                <w:b/>
                <w:bCs/>
                <w:i/>
                <w:iCs/>
                <w:szCs w:val="20"/>
              </w:rPr>
              <w:t>p=0.0338</w:t>
            </w:r>
          </w:p>
        </w:tc>
      </w:tr>
      <w:tr w:rsidR="002A451E" w:rsidRPr="007A1756" w14:paraId="7C359995" w14:textId="77777777" w:rsidTr="008603D6">
        <w:tc>
          <w:tcPr>
            <w:tcW w:w="3553" w:type="pct"/>
            <w:gridSpan w:val="5"/>
            <w:tcBorders>
              <w:left w:val="single" w:sz="4" w:space="0" w:color="auto"/>
              <w:bottom w:val="single" w:sz="4" w:space="0" w:color="auto"/>
              <w:right w:val="single" w:sz="4" w:space="0" w:color="auto"/>
            </w:tcBorders>
            <w:shd w:val="clear" w:color="auto" w:fill="auto"/>
          </w:tcPr>
          <w:p w14:paraId="1D30C9DD" w14:textId="77777777" w:rsidR="002A451E" w:rsidRPr="007A1756" w:rsidRDefault="002A451E" w:rsidP="00BD17AF">
            <w:pPr>
              <w:pStyle w:val="TableText0"/>
              <w:rPr>
                <w:szCs w:val="20"/>
              </w:rPr>
            </w:pPr>
            <w:r w:rsidRPr="007A1756">
              <w:rPr>
                <w:b/>
                <w:bCs/>
                <w:i/>
                <w:iCs/>
                <w:szCs w:val="20"/>
              </w:rPr>
              <w:t>Overall pooled OR (95% CI) for Shin (2021)</w:t>
            </w:r>
          </w:p>
        </w:tc>
        <w:tc>
          <w:tcPr>
            <w:tcW w:w="1447" w:type="pct"/>
            <w:tcBorders>
              <w:top w:val="single" w:sz="4" w:space="0" w:color="auto"/>
              <w:left w:val="single" w:sz="4" w:space="0" w:color="auto"/>
              <w:bottom w:val="single" w:sz="4" w:space="0" w:color="auto"/>
              <w:right w:val="single" w:sz="4" w:space="0" w:color="auto"/>
            </w:tcBorders>
          </w:tcPr>
          <w:p w14:paraId="73BCF062" w14:textId="77777777" w:rsidR="002A451E" w:rsidRPr="007A1756" w:rsidRDefault="002A451E" w:rsidP="00BD17AF">
            <w:pPr>
              <w:pStyle w:val="TableText0"/>
              <w:rPr>
                <w:b/>
                <w:bCs/>
                <w:i/>
                <w:iCs/>
                <w:szCs w:val="20"/>
              </w:rPr>
            </w:pPr>
            <w:r w:rsidRPr="007A1756">
              <w:rPr>
                <w:b/>
                <w:bCs/>
                <w:i/>
                <w:iCs/>
                <w:szCs w:val="20"/>
              </w:rPr>
              <w:t>9.39 (95% 3.50 to 29.21)</w:t>
            </w:r>
          </w:p>
          <w:p w14:paraId="325EDC49" w14:textId="77777777" w:rsidR="002A451E" w:rsidRPr="007A1756" w:rsidRDefault="002A451E" w:rsidP="00BD17AF">
            <w:pPr>
              <w:pStyle w:val="TableText0"/>
              <w:rPr>
                <w:szCs w:val="20"/>
              </w:rPr>
            </w:pPr>
            <w:r w:rsidRPr="007A1756">
              <w:rPr>
                <w:b/>
                <w:bCs/>
                <w:i/>
                <w:iCs/>
                <w:szCs w:val="20"/>
              </w:rPr>
              <w:t>P&lt;0.0001</w:t>
            </w:r>
          </w:p>
        </w:tc>
      </w:tr>
    </w:tbl>
    <w:p w14:paraId="3B3DBAF5" w14:textId="77777777" w:rsidR="00276FF4" w:rsidRPr="00252425" w:rsidRDefault="00276FF4" w:rsidP="00BD17AF">
      <w:pPr>
        <w:pStyle w:val="Tablenotes0"/>
        <w:jc w:val="left"/>
      </w:pPr>
      <w:r w:rsidRPr="00252425">
        <w:t xml:space="preserve">n, number of patients experiencing event; N, total number of patients in treatment arm; OR, odds ratio; PSF, posterior spinal fusion; VBT, vertebral body tethering; </w:t>
      </w:r>
      <w:r w:rsidRPr="00252425">
        <w:rPr>
          <w:b/>
          <w:bCs/>
          <w:i/>
          <w:iCs/>
        </w:rPr>
        <w:t>bold italics</w:t>
      </w:r>
      <w:r w:rsidRPr="00252425">
        <w:t>, statistically significant.</w:t>
      </w:r>
    </w:p>
    <w:p w14:paraId="4A3A0DA3" w14:textId="77777777" w:rsidR="00276FF4" w:rsidRPr="00252425" w:rsidRDefault="00276FF4" w:rsidP="00BD17AF">
      <w:pPr>
        <w:pStyle w:val="Tablenotes0"/>
        <w:jc w:val="left"/>
      </w:pPr>
      <w:r w:rsidRPr="00252425">
        <w:t>*Note this is the percentage reported in the paper, however, it appears incorrect if the denominator is 610 as per Supplementary Table 2 in the paper.</w:t>
      </w:r>
    </w:p>
    <w:p w14:paraId="046EE90C" w14:textId="73718A2C" w:rsidR="0066429E" w:rsidRDefault="00276FF4" w:rsidP="00BD17AF">
      <w:pPr>
        <w:pStyle w:val="Tablenotes0"/>
        <w:jc w:val="left"/>
      </w:pPr>
      <w:r w:rsidRPr="00252425">
        <w:t xml:space="preserve">Overall pooled OR for Shin (2021) were calculated using the methods of Rothman (1979), Rothman (1986) and Rothman, Greenland and Lash (2008) as implemented in the cci command in Stata MP v16 for Mac. Significant results given in </w:t>
      </w:r>
      <w:r w:rsidRPr="00252425">
        <w:rPr>
          <w:b/>
          <w:bCs/>
        </w:rPr>
        <w:t>bold</w:t>
      </w:r>
      <w:r w:rsidRPr="00252425">
        <w:t>.  Note Shin (2021) includes Newton (2020), so Newton was excluded from calculations.</w:t>
      </w:r>
      <w:r w:rsidR="00A643FB">
        <w:t xml:space="preserve"> </w:t>
      </w:r>
      <w:r w:rsidRPr="00252425">
        <w:t xml:space="preserve">Source: </w:t>
      </w:r>
      <w:r w:rsidR="00D20847" w:rsidRPr="00D20847">
        <w:t xml:space="preserve">Table </w:t>
      </w:r>
      <w:r w:rsidR="00D20847">
        <w:t>27</w:t>
      </w:r>
      <w:r w:rsidR="00D20847" w:rsidRPr="00D20847">
        <w:t>, p</w:t>
      </w:r>
      <w:r w:rsidR="00D20847">
        <w:t xml:space="preserve">p38-39 of the </w:t>
      </w:r>
      <w:r w:rsidR="000C2E27">
        <w:t>commentary</w:t>
      </w:r>
    </w:p>
    <w:p w14:paraId="53758FE2" w14:textId="1B392D02" w:rsidR="00597403" w:rsidRPr="002448B4" w:rsidRDefault="00065623" w:rsidP="002448B4">
      <w:pPr>
        <w:pStyle w:val="Heading1"/>
        <w:numPr>
          <w:ilvl w:val="0"/>
          <w:numId w:val="13"/>
        </w:numPr>
        <w:spacing w:before="240" w:after="240"/>
        <w:ind w:hanging="720"/>
        <w:rPr>
          <w:rFonts w:ascii="Arial" w:hAnsi="Arial" w:cs="Arial"/>
        </w:rPr>
      </w:pPr>
      <w:r w:rsidRPr="002448B4">
        <w:rPr>
          <w:rFonts w:ascii="Arial" w:hAnsi="Arial" w:cs="Arial"/>
        </w:rPr>
        <w:lastRenderedPageBreak/>
        <w:t>Comparative effectiveness</w:t>
      </w:r>
    </w:p>
    <w:p w14:paraId="11607954" w14:textId="7A70C654" w:rsidR="00E6321D" w:rsidRDefault="005176E7" w:rsidP="00BD17AF">
      <w:pPr>
        <w:pStyle w:val="Heading2"/>
        <w:keepLines w:val="0"/>
      </w:pPr>
      <w:r>
        <w:t>Health Related Quality of Life</w:t>
      </w:r>
    </w:p>
    <w:p w14:paraId="62E24B1F" w14:textId="6A9FBC91" w:rsidR="0084255E" w:rsidRDefault="005176E7" w:rsidP="00BD17AF">
      <w:pPr>
        <w:pStyle w:val="Heading2"/>
        <w:rPr>
          <w:i w:val="0"/>
          <w:iCs/>
        </w:rPr>
      </w:pPr>
      <w:r>
        <w:rPr>
          <w:i w:val="0"/>
          <w:iCs/>
        </w:rPr>
        <w:t>Patient</w:t>
      </w:r>
      <w:r w:rsidR="00177F0E">
        <w:rPr>
          <w:i w:val="0"/>
          <w:iCs/>
        </w:rPr>
        <w:t>-</w:t>
      </w:r>
      <w:r>
        <w:rPr>
          <w:i w:val="0"/>
          <w:iCs/>
        </w:rPr>
        <w:t>reported HRQoL was measured using the disease specific SRS-22</w:t>
      </w:r>
      <w:r w:rsidR="00C72AD0">
        <w:rPr>
          <w:i w:val="0"/>
          <w:iCs/>
        </w:rPr>
        <w:t>.</w:t>
      </w:r>
      <w:r w:rsidR="009A14EA">
        <w:rPr>
          <w:i w:val="0"/>
          <w:iCs/>
        </w:rPr>
        <w:t xml:space="preserve"> </w:t>
      </w:r>
      <w:r w:rsidR="008F0E98" w:rsidRPr="00E70EE6">
        <w:rPr>
          <w:i w:val="0"/>
          <w:iCs/>
        </w:rPr>
        <w:t>The MCID</w:t>
      </w:r>
      <w:r w:rsidR="004F7AD1">
        <w:rPr>
          <w:i w:val="0"/>
          <w:iCs/>
        </w:rPr>
        <w:t>s</w:t>
      </w:r>
      <w:r w:rsidR="008F0E98" w:rsidRPr="00E70EE6">
        <w:rPr>
          <w:i w:val="0"/>
          <w:iCs/>
        </w:rPr>
        <w:t xml:space="preserve"> in </w:t>
      </w:r>
      <w:r w:rsidR="004F7AD1">
        <w:rPr>
          <w:i w:val="0"/>
          <w:iCs/>
        </w:rPr>
        <w:t xml:space="preserve">the </w:t>
      </w:r>
      <w:r w:rsidR="008F0E98" w:rsidRPr="00E70EE6">
        <w:rPr>
          <w:i w:val="0"/>
          <w:iCs/>
        </w:rPr>
        <w:t>SRS-22 are &gt; 0.2 for pain, &gt; 0.08 for function, &gt; 0.98 for self-image, and &gt; 0.4 for other subcategories</w:t>
      </w:r>
      <w:r w:rsidR="008F0E98">
        <w:rPr>
          <w:rStyle w:val="FootnoteReference"/>
          <w:i w:val="0"/>
          <w:iCs/>
        </w:rPr>
        <w:footnoteReference w:id="17"/>
      </w:r>
      <w:r w:rsidR="008F0E98" w:rsidRPr="007069E3">
        <w:rPr>
          <w:i w:val="0"/>
          <w:iCs/>
          <w:vertAlign w:val="superscript"/>
        </w:rPr>
        <w:t>,</w:t>
      </w:r>
      <w:r w:rsidR="008F0E98">
        <w:rPr>
          <w:rStyle w:val="FootnoteReference"/>
          <w:i w:val="0"/>
          <w:iCs/>
        </w:rPr>
        <w:footnoteReference w:id="18"/>
      </w:r>
      <w:r w:rsidR="008F0E98">
        <w:rPr>
          <w:i w:val="0"/>
          <w:iCs/>
        </w:rPr>
        <w:t xml:space="preserve">. </w:t>
      </w:r>
      <w:r w:rsidR="001F22FA">
        <w:rPr>
          <w:i w:val="0"/>
          <w:iCs/>
        </w:rPr>
        <w:t>The ADAR</w:t>
      </w:r>
      <w:r w:rsidR="001F22FA" w:rsidRPr="00455B43">
        <w:rPr>
          <w:i w:val="0"/>
          <w:iCs/>
        </w:rPr>
        <w:t xml:space="preserve"> random-effects meta-analyses of the post-operative SRS-22 scores reported by Newton (2020) and Pehlivanoglu (2021) showed no statistically significant differences between the VBT and PSF groups (</w:t>
      </w:r>
      <w:r w:rsidR="00CE4225">
        <w:rPr>
          <w:i w:val="0"/>
          <w:iCs/>
        </w:rPr>
        <w:t>Table 8</w:t>
      </w:r>
      <w:r w:rsidR="00CE4225" w:rsidRPr="00455B43">
        <w:rPr>
          <w:i w:val="0"/>
          <w:iCs/>
        </w:rPr>
        <w:t>) but</w:t>
      </w:r>
      <w:r w:rsidR="001F22FA" w:rsidRPr="00455B43">
        <w:rPr>
          <w:i w:val="0"/>
          <w:iCs/>
        </w:rPr>
        <w:t xml:space="preserve"> claimed trends towards VBT in all domains.</w:t>
      </w:r>
      <w:r w:rsidR="008F0E98">
        <w:rPr>
          <w:i w:val="0"/>
          <w:iCs/>
        </w:rPr>
        <w:t xml:space="preserve"> C</w:t>
      </w:r>
      <w:r w:rsidR="008F0E98" w:rsidRPr="00506727">
        <w:rPr>
          <w:i w:val="0"/>
          <w:iCs/>
        </w:rPr>
        <w:t>linical significance could not be demonstrated as only post-operative scores were available in meta-analysis.</w:t>
      </w:r>
    </w:p>
    <w:p w14:paraId="0FAF02E7" w14:textId="26F55ACC" w:rsidR="0084255E" w:rsidRDefault="0084255E" w:rsidP="002448B4">
      <w:pPr>
        <w:pStyle w:val="Caption"/>
        <w:spacing w:before="240"/>
        <w:jc w:val="left"/>
      </w:pPr>
      <w:r>
        <w:t>Table 8 HRQoL – SRS-22 scores</w:t>
      </w:r>
    </w:p>
    <w:tbl>
      <w:tblPr>
        <w:tblStyle w:val="TableGrid"/>
        <w:tblW w:w="5012" w:type="pct"/>
        <w:tblLook w:val="04A0" w:firstRow="1" w:lastRow="0" w:firstColumn="1" w:lastColumn="0" w:noHBand="0" w:noVBand="1"/>
        <w:tblCaption w:val="&quot;&quot;"/>
      </w:tblPr>
      <w:tblGrid>
        <w:gridCol w:w="2108"/>
        <w:gridCol w:w="595"/>
        <w:gridCol w:w="1502"/>
        <w:gridCol w:w="613"/>
        <w:gridCol w:w="1417"/>
        <w:gridCol w:w="1605"/>
        <w:gridCol w:w="1198"/>
      </w:tblGrid>
      <w:tr w:rsidR="00F87CC9" w:rsidRPr="00252425" w14:paraId="2D190AB9" w14:textId="77777777" w:rsidTr="000943A6">
        <w:trPr>
          <w:tblHeader/>
        </w:trPr>
        <w:tc>
          <w:tcPr>
            <w:tcW w:w="1166" w:type="pct"/>
            <w:vMerge w:val="restart"/>
            <w:tcBorders>
              <w:top w:val="single" w:sz="4" w:space="0" w:color="auto"/>
              <w:left w:val="single" w:sz="4" w:space="0" w:color="auto"/>
              <w:bottom w:val="single" w:sz="4" w:space="0" w:color="auto"/>
              <w:right w:val="single" w:sz="4" w:space="0" w:color="auto"/>
            </w:tcBorders>
            <w:hideMark/>
          </w:tcPr>
          <w:p w14:paraId="5CFD3DCF" w14:textId="77777777" w:rsidR="00F87CC9" w:rsidRPr="00252425" w:rsidRDefault="00F87CC9" w:rsidP="00BD17AF">
            <w:pPr>
              <w:pStyle w:val="Tabletext"/>
              <w:keepNext/>
              <w:spacing w:before="0" w:after="0"/>
              <w:rPr>
                <w:b/>
              </w:rPr>
            </w:pPr>
            <w:r w:rsidRPr="00252425">
              <w:rPr>
                <w:b/>
              </w:rPr>
              <w:t>Study ID</w:t>
            </w:r>
          </w:p>
        </w:tc>
        <w:tc>
          <w:tcPr>
            <w:tcW w:w="1160" w:type="pct"/>
            <w:gridSpan w:val="2"/>
            <w:tcBorders>
              <w:top w:val="single" w:sz="4" w:space="0" w:color="auto"/>
              <w:left w:val="single" w:sz="4" w:space="0" w:color="auto"/>
              <w:bottom w:val="single" w:sz="4" w:space="0" w:color="auto"/>
              <w:right w:val="single" w:sz="4" w:space="0" w:color="auto"/>
            </w:tcBorders>
            <w:hideMark/>
          </w:tcPr>
          <w:p w14:paraId="7A3914D9" w14:textId="77777777" w:rsidR="00F87CC9" w:rsidRPr="00252425" w:rsidRDefault="00F87CC9" w:rsidP="00BD17AF">
            <w:pPr>
              <w:pStyle w:val="Tabletext"/>
              <w:keepNext/>
              <w:spacing w:before="0" w:after="0"/>
              <w:rPr>
                <w:b/>
              </w:rPr>
            </w:pPr>
            <w:r w:rsidRPr="00252425">
              <w:rPr>
                <w:b/>
              </w:rPr>
              <w:t>VBT</w:t>
            </w:r>
          </w:p>
        </w:tc>
        <w:tc>
          <w:tcPr>
            <w:tcW w:w="1123" w:type="pct"/>
            <w:gridSpan w:val="2"/>
            <w:tcBorders>
              <w:top w:val="single" w:sz="4" w:space="0" w:color="auto"/>
              <w:left w:val="single" w:sz="4" w:space="0" w:color="auto"/>
              <w:bottom w:val="single" w:sz="4" w:space="0" w:color="auto"/>
              <w:right w:val="single" w:sz="4" w:space="0" w:color="auto"/>
            </w:tcBorders>
            <w:hideMark/>
          </w:tcPr>
          <w:p w14:paraId="7AE1C330" w14:textId="77777777" w:rsidR="00F87CC9" w:rsidRPr="00252425" w:rsidRDefault="00F87CC9" w:rsidP="00BD17AF">
            <w:pPr>
              <w:pStyle w:val="Tabletext"/>
              <w:keepNext/>
              <w:spacing w:before="0" w:after="0"/>
              <w:rPr>
                <w:b/>
              </w:rPr>
            </w:pPr>
            <w:r w:rsidRPr="00252425">
              <w:rPr>
                <w:b/>
              </w:rPr>
              <w:t>PSF</w:t>
            </w:r>
          </w:p>
        </w:tc>
        <w:tc>
          <w:tcPr>
            <w:tcW w:w="888" w:type="pct"/>
            <w:vMerge w:val="restart"/>
            <w:tcBorders>
              <w:top w:val="single" w:sz="4" w:space="0" w:color="auto"/>
              <w:left w:val="single" w:sz="4" w:space="0" w:color="auto"/>
              <w:bottom w:val="single" w:sz="4" w:space="0" w:color="auto"/>
              <w:right w:val="single" w:sz="4" w:space="0" w:color="auto"/>
            </w:tcBorders>
            <w:hideMark/>
          </w:tcPr>
          <w:p w14:paraId="4209FA1B" w14:textId="77777777" w:rsidR="00F87CC9" w:rsidRPr="00252425" w:rsidRDefault="00F87CC9" w:rsidP="00BD17AF">
            <w:pPr>
              <w:pStyle w:val="Tabletext"/>
              <w:keepNext/>
              <w:spacing w:before="0" w:after="0"/>
            </w:pPr>
            <w:r w:rsidRPr="00252425">
              <w:rPr>
                <w:b/>
              </w:rPr>
              <w:t>Mean difference</w:t>
            </w:r>
            <w:r w:rsidRPr="00252425">
              <w:rPr>
                <w:b/>
              </w:rPr>
              <w:br/>
              <w:t>(95% CI)</w:t>
            </w:r>
          </w:p>
        </w:tc>
        <w:tc>
          <w:tcPr>
            <w:tcW w:w="663" w:type="pct"/>
            <w:vMerge w:val="restart"/>
            <w:tcBorders>
              <w:top w:val="single" w:sz="4" w:space="0" w:color="auto"/>
              <w:left w:val="single" w:sz="4" w:space="0" w:color="auto"/>
              <w:bottom w:val="single" w:sz="4" w:space="0" w:color="auto"/>
              <w:right w:val="single" w:sz="4" w:space="0" w:color="auto"/>
            </w:tcBorders>
            <w:hideMark/>
          </w:tcPr>
          <w:p w14:paraId="13CCA66B" w14:textId="77777777" w:rsidR="00F87CC9" w:rsidRPr="00252425" w:rsidRDefault="00F87CC9" w:rsidP="00BD17AF">
            <w:pPr>
              <w:pStyle w:val="Tabletext"/>
              <w:keepNext/>
              <w:spacing w:before="0" w:after="0"/>
              <w:rPr>
                <w:b/>
                <w:vertAlign w:val="superscript"/>
              </w:rPr>
            </w:pPr>
            <w:r w:rsidRPr="00252425">
              <w:rPr>
                <w:b/>
              </w:rPr>
              <w:t>p-value</w:t>
            </w:r>
            <w:r w:rsidRPr="00252425">
              <w:rPr>
                <w:b/>
                <w:vertAlign w:val="superscript"/>
              </w:rPr>
              <w:t>a</w:t>
            </w:r>
          </w:p>
        </w:tc>
      </w:tr>
      <w:tr w:rsidR="00F87CC9" w:rsidRPr="00252425" w14:paraId="2F3498BE" w14:textId="77777777" w:rsidTr="000943A6">
        <w:trPr>
          <w:tblHeader/>
        </w:trPr>
        <w:tc>
          <w:tcPr>
            <w:tcW w:w="1166" w:type="pct"/>
            <w:vMerge/>
            <w:tcBorders>
              <w:top w:val="single" w:sz="4" w:space="0" w:color="auto"/>
              <w:left w:val="single" w:sz="4" w:space="0" w:color="auto"/>
              <w:bottom w:val="single" w:sz="4" w:space="0" w:color="auto"/>
              <w:right w:val="single" w:sz="4" w:space="0" w:color="auto"/>
            </w:tcBorders>
            <w:vAlign w:val="center"/>
            <w:hideMark/>
          </w:tcPr>
          <w:p w14:paraId="34BD295C" w14:textId="77777777" w:rsidR="00F87CC9" w:rsidRPr="00252425" w:rsidRDefault="00F87CC9" w:rsidP="00BD17AF">
            <w:pPr>
              <w:keepNext/>
              <w:rPr>
                <w:rFonts w:ascii="Arial Narrow" w:hAnsi="Arial Narrow"/>
                <w:b/>
              </w:rPr>
            </w:pPr>
          </w:p>
        </w:tc>
        <w:tc>
          <w:tcPr>
            <w:tcW w:w="329" w:type="pct"/>
            <w:tcBorders>
              <w:top w:val="single" w:sz="4" w:space="0" w:color="auto"/>
              <w:left w:val="single" w:sz="4" w:space="0" w:color="auto"/>
              <w:bottom w:val="single" w:sz="4" w:space="0" w:color="auto"/>
              <w:right w:val="single" w:sz="4" w:space="0" w:color="auto"/>
            </w:tcBorders>
            <w:hideMark/>
          </w:tcPr>
          <w:p w14:paraId="57E87334" w14:textId="77777777" w:rsidR="00F87CC9" w:rsidRPr="00252425" w:rsidRDefault="00F87CC9" w:rsidP="00BD17AF">
            <w:pPr>
              <w:pStyle w:val="Tabletext"/>
              <w:keepNext/>
              <w:spacing w:before="0" w:after="0"/>
              <w:rPr>
                <w:b/>
              </w:rPr>
            </w:pPr>
            <w:r w:rsidRPr="00252425">
              <w:rPr>
                <w:b/>
              </w:rPr>
              <w:t>N</w:t>
            </w:r>
          </w:p>
        </w:tc>
        <w:tc>
          <w:tcPr>
            <w:tcW w:w="831" w:type="pct"/>
            <w:tcBorders>
              <w:top w:val="single" w:sz="4" w:space="0" w:color="auto"/>
              <w:left w:val="single" w:sz="4" w:space="0" w:color="auto"/>
              <w:bottom w:val="single" w:sz="4" w:space="0" w:color="auto"/>
              <w:right w:val="single" w:sz="4" w:space="0" w:color="auto"/>
            </w:tcBorders>
            <w:hideMark/>
          </w:tcPr>
          <w:p w14:paraId="0B98885B" w14:textId="77777777" w:rsidR="00F87CC9" w:rsidRPr="00252425" w:rsidRDefault="00F87CC9" w:rsidP="00BD17AF">
            <w:pPr>
              <w:pStyle w:val="Tabletext"/>
              <w:keepNext/>
              <w:spacing w:before="0" w:after="0"/>
              <w:rPr>
                <w:b/>
              </w:rPr>
            </w:pPr>
            <w:r w:rsidRPr="00252425">
              <w:rPr>
                <w:b/>
              </w:rPr>
              <w:t>SRS-22 scores at final follow-up</w:t>
            </w:r>
          </w:p>
          <w:p w14:paraId="75B3C533" w14:textId="77777777" w:rsidR="00F87CC9" w:rsidRPr="00252425" w:rsidRDefault="00F87CC9" w:rsidP="00BD17AF">
            <w:pPr>
              <w:pStyle w:val="Tabletext"/>
              <w:keepNext/>
              <w:spacing w:before="0" w:after="0"/>
              <w:rPr>
                <w:b/>
              </w:rPr>
            </w:pPr>
            <w:r w:rsidRPr="00252425">
              <w:rPr>
                <w:b/>
              </w:rPr>
              <w:t>Mean (SD)</w:t>
            </w:r>
          </w:p>
        </w:tc>
        <w:tc>
          <w:tcPr>
            <w:tcW w:w="339" w:type="pct"/>
            <w:tcBorders>
              <w:top w:val="single" w:sz="4" w:space="0" w:color="auto"/>
              <w:left w:val="single" w:sz="4" w:space="0" w:color="auto"/>
              <w:bottom w:val="single" w:sz="4" w:space="0" w:color="auto"/>
              <w:right w:val="single" w:sz="4" w:space="0" w:color="auto"/>
            </w:tcBorders>
            <w:hideMark/>
          </w:tcPr>
          <w:p w14:paraId="0CA133EF" w14:textId="77777777" w:rsidR="00F87CC9" w:rsidRPr="00252425" w:rsidRDefault="00F87CC9" w:rsidP="00BD17AF">
            <w:pPr>
              <w:pStyle w:val="Tabletext"/>
              <w:keepNext/>
              <w:spacing w:before="0" w:after="0"/>
              <w:rPr>
                <w:b/>
              </w:rPr>
            </w:pPr>
            <w:r w:rsidRPr="00252425">
              <w:rPr>
                <w:b/>
              </w:rPr>
              <w:t>N</w:t>
            </w:r>
          </w:p>
        </w:tc>
        <w:tc>
          <w:tcPr>
            <w:tcW w:w="784" w:type="pct"/>
            <w:tcBorders>
              <w:top w:val="single" w:sz="4" w:space="0" w:color="auto"/>
              <w:left w:val="single" w:sz="4" w:space="0" w:color="auto"/>
              <w:bottom w:val="single" w:sz="4" w:space="0" w:color="auto"/>
              <w:right w:val="single" w:sz="4" w:space="0" w:color="auto"/>
            </w:tcBorders>
            <w:hideMark/>
          </w:tcPr>
          <w:p w14:paraId="1F521BC9" w14:textId="77777777" w:rsidR="00F87CC9" w:rsidRPr="00252425" w:rsidRDefault="00F87CC9" w:rsidP="00BD17AF">
            <w:pPr>
              <w:pStyle w:val="Tabletext"/>
              <w:keepNext/>
              <w:spacing w:before="0" w:after="0"/>
              <w:rPr>
                <w:b/>
              </w:rPr>
            </w:pPr>
            <w:r w:rsidRPr="00252425">
              <w:rPr>
                <w:b/>
              </w:rPr>
              <w:t>SRS-22 scores at final follow-up</w:t>
            </w:r>
          </w:p>
          <w:p w14:paraId="2C00BE32" w14:textId="77777777" w:rsidR="00F87CC9" w:rsidRPr="00252425" w:rsidRDefault="00F87CC9" w:rsidP="00BD17AF">
            <w:pPr>
              <w:pStyle w:val="Tabletext"/>
              <w:keepNext/>
              <w:spacing w:before="0" w:after="0"/>
              <w:rPr>
                <w:b/>
              </w:rPr>
            </w:pPr>
            <w:r w:rsidRPr="00252425">
              <w:rPr>
                <w:b/>
              </w:rPr>
              <w:t>Mean (SD)</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338D4547" w14:textId="77777777" w:rsidR="00F87CC9" w:rsidRPr="00252425" w:rsidRDefault="00F87CC9" w:rsidP="00BD17AF">
            <w:pPr>
              <w:keepNext/>
              <w:rPr>
                <w:rFonts w:ascii="Arial Narrow" w:hAnsi="Arial Narrow"/>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4DA788B6" w14:textId="77777777" w:rsidR="00F87CC9" w:rsidRPr="00252425" w:rsidRDefault="00F87CC9" w:rsidP="00BD17AF">
            <w:pPr>
              <w:keepNext/>
              <w:rPr>
                <w:rFonts w:ascii="Arial Narrow" w:hAnsi="Arial Narrow"/>
                <w:b/>
                <w:vertAlign w:val="superscript"/>
              </w:rPr>
            </w:pPr>
          </w:p>
        </w:tc>
      </w:tr>
      <w:tr w:rsidR="00F87CC9" w:rsidRPr="00252425" w14:paraId="64DAD4BE" w14:textId="77777777" w:rsidTr="000943A6">
        <w:tc>
          <w:tcPr>
            <w:tcW w:w="5000" w:type="pct"/>
            <w:gridSpan w:val="7"/>
            <w:tcBorders>
              <w:top w:val="single" w:sz="4" w:space="0" w:color="auto"/>
              <w:left w:val="single" w:sz="4" w:space="0" w:color="auto"/>
              <w:bottom w:val="single" w:sz="4" w:space="0" w:color="auto"/>
              <w:right w:val="single" w:sz="4" w:space="0" w:color="auto"/>
            </w:tcBorders>
            <w:hideMark/>
          </w:tcPr>
          <w:p w14:paraId="0FD476B6" w14:textId="77777777" w:rsidR="00F87CC9" w:rsidRPr="00252425" w:rsidRDefault="00F87CC9" w:rsidP="00BD17AF">
            <w:pPr>
              <w:pStyle w:val="Tabletext"/>
              <w:keepNext/>
              <w:spacing w:before="0" w:after="0"/>
              <w:ind w:hanging="720"/>
              <w:rPr>
                <w:b/>
              </w:rPr>
            </w:pPr>
            <w:r w:rsidRPr="00252425">
              <w:rPr>
                <w:b/>
              </w:rPr>
              <w:t>Function</w:t>
            </w:r>
          </w:p>
        </w:tc>
      </w:tr>
      <w:tr w:rsidR="00F87CC9" w:rsidRPr="00252425" w14:paraId="3FA27EB3" w14:textId="77777777" w:rsidTr="000943A6">
        <w:tc>
          <w:tcPr>
            <w:tcW w:w="1166" w:type="pct"/>
            <w:tcBorders>
              <w:top w:val="single" w:sz="4" w:space="0" w:color="auto"/>
              <w:left w:val="single" w:sz="4" w:space="0" w:color="auto"/>
              <w:bottom w:val="single" w:sz="4" w:space="0" w:color="auto"/>
              <w:right w:val="single" w:sz="4" w:space="0" w:color="auto"/>
            </w:tcBorders>
            <w:hideMark/>
          </w:tcPr>
          <w:p w14:paraId="3A2078CE" w14:textId="77777777" w:rsidR="00F87CC9" w:rsidRPr="00252425" w:rsidRDefault="00F87CC9" w:rsidP="00BD17AF">
            <w:pPr>
              <w:pStyle w:val="Tabletext"/>
              <w:keepNext/>
              <w:spacing w:before="0" w:after="0"/>
              <w:rPr>
                <w:vertAlign w:val="superscript"/>
              </w:rPr>
            </w:pPr>
            <w:r w:rsidRPr="00252425">
              <w:t>Newton (2020)</w:t>
            </w:r>
          </w:p>
        </w:tc>
        <w:tc>
          <w:tcPr>
            <w:tcW w:w="329" w:type="pct"/>
            <w:tcBorders>
              <w:top w:val="single" w:sz="4" w:space="0" w:color="auto"/>
              <w:left w:val="single" w:sz="4" w:space="0" w:color="auto"/>
              <w:bottom w:val="single" w:sz="4" w:space="0" w:color="auto"/>
              <w:right w:val="single" w:sz="4" w:space="0" w:color="auto"/>
            </w:tcBorders>
            <w:hideMark/>
          </w:tcPr>
          <w:p w14:paraId="0AC75360" w14:textId="77777777" w:rsidR="00F87CC9" w:rsidRPr="00252425" w:rsidRDefault="00F87CC9" w:rsidP="00BD17AF">
            <w:pPr>
              <w:pStyle w:val="Tabletext"/>
              <w:keepNext/>
              <w:spacing w:before="0" w:after="0"/>
            </w:pPr>
            <w:r w:rsidRPr="00252425">
              <w:t>12</w:t>
            </w:r>
          </w:p>
        </w:tc>
        <w:tc>
          <w:tcPr>
            <w:tcW w:w="831" w:type="pct"/>
            <w:tcBorders>
              <w:top w:val="single" w:sz="4" w:space="0" w:color="auto"/>
              <w:left w:val="single" w:sz="4" w:space="0" w:color="auto"/>
              <w:bottom w:val="single" w:sz="4" w:space="0" w:color="auto"/>
              <w:right w:val="single" w:sz="4" w:space="0" w:color="auto"/>
            </w:tcBorders>
            <w:hideMark/>
          </w:tcPr>
          <w:p w14:paraId="1BD649DE" w14:textId="77777777" w:rsidR="00F87CC9" w:rsidRPr="00252425" w:rsidRDefault="00F87CC9" w:rsidP="00BD17AF">
            <w:pPr>
              <w:pStyle w:val="Tabletext"/>
              <w:keepNext/>
              <w:spacing w:before="0" w:after="0"/>
            </w:pPr>
            <w:r w:rsidRPr="00252425">
              <w:t>4.3 (0.4)</w:t>
            </w:r>
          </w:p>
        </w:tc>
        <w:tc>
          <w:tcPr>
            <w:tcW w:w="339" w:type="pct"/>
            <w:tcBorders>
              <w:top w:val="single" w:sz="4" w:space="0" w:color="auto"/>
              <w:left w:val="single" w:sz="4" w:space="0" w:color="auto"/>
              <w:bottom w:val="single" w:sz="4" w:space="0" w:color="auto"/>
              <w:right w:val="single" w:sz="4" w:space="0" w:color="auto"/>
            </w:tcBorders>
            <w:hideMark/>
          </w:tcPr>
          <w:p w14:paraId="06DC81C6" w14:textId="77777777" w:rsidR="00F87CC9" w:rsidRPr="00252425" w:rsidRDefault="00F87CC9" w:rsidP="00BD17AF">
            <w:pPr>
              <w:pStyle w:val="Tabletext"/>
              <w:keepNext/>
              <w:spacing w:before="0" w:after="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546B3E47" w14:textId="77777777" w:rsidR="00F87CC9" w:rsidRPr="00252425" w:rsidRDefault="00F87CC9" w:rsidP="00BD17AF">
            <w:pPr>
              <w:pStyle w:val="Tabletext"/>
              <w:keepNext/>
              <w:spacing w:before="0" w:after="0"/>
            </w:pPr>
            <w:r w:rsidRPr="00252425">
              <w:t>4.3 (0.4)</w:t>
            </w:r>
          </w:p>
        </w:tc>
        <w:tc>
          <w:tcPr>
            <w:tcW w:w="888" w:type="pct"/>
            <w:tcBorders>
              <w:top w:val="single" w:sz="4" w:space="0" w:color="auto"/>
              <w:left w:val="single" w:sz="4" w:space="0" w:color="auto"/>
              <w:bottom w:val="single" w:sz="4" w:space="0" w:color="auto"/>
              <w:right w:val="single" w:sz="4" w:space="0" w:color="auto"/>
            </w:tcBorders>
            <w:vAlign w:val="center"/>
            <w:hideMark/>
          </w:tcPr>
          <w:p w14:paraId="31411039" w14:textId="77777777" w:rsidR="00F87CC9" w:rsidRPr="00252425" w:rsidRDefault="00F87CC9" w:rsidP="00BD17AF">
            <w:pPr>
              <w:pStyle w:val="Tabletext"/>
              <w:keepNext/>
              <w:spacing w:before="0" w:after="0"/>
              <w:rPr>
                <w:i/>
              </w:rPr>
            </w:pPr>
            <w:r w:rsidRPr="00252425">
              <w:rPr>
                <w:i/>
              </w:rPr>
              <w:t>0.00 (-0.28, 0.28)</w:t>
            </w:r>
          </w:p>
        </w:tc>
        <w:tc>
          <w:tcPr>
            <w:tcW w:w="663" w:type="pct"/>
            <w:tcBorders>
              <w:top w:val="single" w:sz="4" w:space="0" w:color="auto"/>
              <w:left w:val="single" w:sz="4" w:space="0" w:color="auto"/>
              <w:bottom w:val="single" w:sz="4" w:space="0" w:color="auto"/>
              <w:right w:val="single" w:sz="4" w:space="0" w:color="auto"/>
            </w:tcBorders>
            <w:hideMark/>
          </w:tcPr>
          <w:p w14:paraId="281819CC" w14:textId="77777777" w:rsidR="00F87CC9" w:rsidRPr="00252425" w:rsidRDefault="00F87CC9" w:rsidP="00BD17AF">
            <w:pPr>
              <w:pStyle w:val="Tabletext"/>
              <w:keepNext/>
              <w:spacing w:before="0" w:after="0"/>
              <w:rPr>
                <w:vertAlign w:val="superscript"/>
              </w:rPr>
            </w:pPr>
            <w:r w:rsidRPr="00252425">
              <w:t>0.748</w:t>
            </w:r>
          </w:p>
        </w:tc>
      </w:tr>
      <w:tr w:rsidR="00F87CC9" w:rsidRPr="00252425" w14:paraId="76A5D72E"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57E37FD4" w14:textId="77777777" w:rsidR="00F87CC9" w:rsidRPr="00252425" w:rsidRDefault="00F87CC9" w:rsidP="00BD17AF">
            <w:pPr>
              <w:pStyle w:val="Tabletext"/>
              <w:keepNext/>
              <w:spacing w:before="0" w:after="0"/>
            </w:pPr>
            <w:r w:rsidRPr="00252425">
              <w:t>Pehlivanoglu (2021)</w:t>
            </w:r>
          </w:p>
        </w:tc>
        <w:tc>
          <w:tcPr>
            <w:tcW w:w="329" w:type="pct"/>
            <w:tcBorders>
              <w:top w:val="single" w:sz="4" w:space="0" w:color="auto"/>
              <w:left w:val="single" w:sz="4" w:space="0" w:color="auto"/>
              <w:bottom w:val="single" w:sz="4" w:space="0" w:color="auto"/>
              <w:right w:val="single" w:sz="4" w:space="0" w:color="auto"/>
            </w:tcBorders>
            <w:hideMark/>
          </w:tcPr>
          <w:p w14:paraId="4DABC9F2" w14:textId="77777777" w:rsidR="00F87CC9" w:rsidRPr="00252425" w:rsidRDefault="00F87CC9" w:rsidP="00BD17AF">
            <w:pPr>
              <w:pStyle w:val="Tabletext"/>
              <w:keepNext/>
              <w:spacing w:before="0" w:after="0"/>
              <w:ind w:left="61"/>
            </w:pPr>
            <w:r w:rsidRPr="00252425">
              <w:t>21</w:t>
            </w:r>
          </w:p>
        </w:tc>
        <w:tc>
          <w:tcPr>
            <w:tcW w:w="831" w:type="pct"/>
            <w:tcBorders>
              <w:top w:val="single" w:sz="4" w:space="0" w:color="auto"/>
              <w:left w:val="single" w:sz="4" w:space="0" w:color="auto"/>
              <w:bottom w:val="single" w:sz="4" w:space="0" w:color="auto"/>
              <w:right w:val="single" w:sz="4" w:space="0" w:color="auto"/>
            </w:tcBorders>
            <w:hideMark/>
          </w:tcPr>
          <w:p w14:paraId="526F3243" w14:textId="77777777" w:rsidR="00F87CC9" w:rsidRPr="00252425" w:rsidRDefault="00F87CC9" w:rsidP="00BD17AF">
            <w:pPr>
              <w:pStyle w:val="Tabletext"/>
              <w:keepNext/>
              <w:spacing w:before="0" w:after="0"/>
            </w:pPr>
            <w:r w:rsidRPr="00252425">
              <w:t>4.8 (1</w:t>
            </w:r>
            <w:r w:rsidRPr="00252425">
              <w:rPr>
                <w:vertAlign w:val="superscript"/>
              </w:rPr>
              <w:t>b</w:t>
            </w:r>
            <w:r w:rsidRPr="00252425">
              <w:t>)</w:t>
            </w:r>
          </w:p>
        </w:tc>
        <w:tc>
          <w:tcPr>
            <w:tcW w:w="339" w:type="pct"/>
            <w:tcBorders>
              <w:top w:val="single" w:sz="4" w:space="0" w:color="auto"/>
              <w:left w:val="single" w:sz="4" w:space="0" w:color="auto"/>
              <w:bottom w:val="single" w:sz="4" w:space="0" w:color="auto"/>
              <w:right w:val="single" w:sz="4" w:space="0" w:color="auto"/>
            </w:tcBorders>
            <w:hideMark/>
          </w:tcPr>
          <w:p w14:paraId="0EE81D05" w14:textId="77777777" w:rsidR="00F87CC9" w:rsidRPr="00252425" w:rsidRDefault="00F87CC9" w:rsidP="00BD17AF">
            <w:pPr>
              <w:pStyle w:val="Tabletext"/>
              <w:keepNext/>
              <w:spacing w:before="0" w:after="0"/>
              <w:ind w:hanging="72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79ADF2C6" w14:textId="77777777" w:rsidR="00F87CC9" w:rsidRPr="00252425" w:rsidRDefault="00F87CC9" w:rsidP="00BD17AF">
            <w:pPr>
              <w:pStyle w:val="Tabletext"/>
              <w:keepNext/>
              <w:spacing w:before="0" w:after="0"/>
            </w:pPr>
            <w:r w:rsidRPr="00252425">
              <w:t>4.1 (1</w:t>
            </w:r>
            <w:r w:rsidRPr="00252425">
              <w:rPr>
                <w:vertAlign w:val="superscript"/>
              </w:rPr>
              <w:t>b</w:t>
            </w:r>
            <w:r w:rsidRPr="00252425">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21478B58" w14:textId="77777777" w:rsidR="00F87CC9" w:rsidRPr="00252425" w:rsidRDefault="00F87CC9" w:rsidP="00BD17AF">
            <w:pPr>
              <w:pStyle w:val="Tabletext"/>
              <w:keepNext/>
              <w:spacing w:before="0" w:after="0"/>
              <w:ind w:left="1"/>
              <w:rPr>
                <w:b/>
                <w:i/>
              </w:rPr>
            </w:pPr>
            <w:r w:rsidRPr="00252425">
              <w:rPr>
                <w:i/>
              </w:rPr>
              <w:t>0.70 (0.10, 1.30)</w:t>
            </w:r>
          </w:p>
        </w:tc>
        <w:tc>
          <w:tcPr>
            <w:tcW w:w="663" w:type="pct"/>
            <w:tcBorders>
              <w:top w:val="single" w:sz="4" w:space="0" w:color="auto"/>
              <w:left w:val="single" w:sz="4" w:space="0" w:color="auto"/>
              <w:bottom w:val="single" w:sz="4" w:space="0" w:color="auto"/>
              <w:right w:val="single" w:sz="4" w:space="0" w:color="auto"/>
            </w:tcBorders>
            <w:hideMark/>
          </w:tcPr>
          <w:p w14:paraId="50B97AB8" w14:textId="77777777" w:rsidR="00F87CC9" w:rsidRPr="00252425" w:rsidRDefault="00F87CC9" w:rsidP="00BD17AF">
            <w:pPr>
              <w:pStyle w:val="Tabletext"/>
              <w:keepNext/>
              <w:spacing w:before="0" w:after="0"/>
            </w:pPr>
            <w:r w:rsidRPr="00252425">
              <w:t>NR</w:t>
            </w:r>
          </w:p>
        </w:tc>
      </w:tr>
      <w:tr w:rsidR="00F87CC9" w:rsidRPr="00252425" w14:paraId="7AC38065"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533D06F5" w14:textId="77777777" w:rsidR="00F87CC9" w:rsidRPr="00252425" w:rsidRDefault="00F87CC9" w:rsidP="00BD17AF">
            <w:pPr>
              <w:pStyle w:val="Tabletext"/>
              <w:keepNext/>
              <w:spacing w:before="0" w:after="0"/>
              <w:rPr>
                <w:b/>
              </w:rPr>
            </w:pPr>
            <w:r w:rsidRPr="00252425">
              <w:rPr>
                <w:b/>
              </w:rPr>
              <w:t>Pooled result</w:t>
            </w:r>
          </w:p>
        </w:tc>
        <w:tc>
          <w:tcPr>
            <w:tcW w:w="329" w:type="pct"/>
            <w:tcBorders>
              <w:top w:val="single" w:sz="4" w:space="0" w:color="auto"/>
              <w:left w:val="single" w:sz="4" w:space="0" w:color="auto"/>
              <w:bottom w:val="single" w:sz="4" w:space="0" w:color="auto"/>
              <w:right w:val="single" w:sz="4" w:space="0" w:color="auto"/>
            </w:tcBorders>
            <w:vAlign w:val="center"/>
            <w:hideMark/>
          </w:tcPr>
          <w:p w14:paraId="6740B999" w14:textId="77777777" w:rsidR="00F87CC9" w:rsidRPr="00252425" w:rsidRDefault="00F87CC9" w:rsidP="00BD17AF">
            <w:pPr>
              <w:pStyle w:val="Tabletext"/>
              <w:keepNext/>
              <w:spacing w:before="0" w:after="0"/>
              <w:rPr>
                <w:b/>
              </w:rPr>
            </w:pPr>
            <w:r w:rsidRPr="00252425">
              <w:rPr>
                <w:b/>
              </w:rPr>
              <w:t>33</w:t>
            </w:r>
          </w:p>
        </w:tc>
        <w:tc>
          <w:tcPr>
            <w:tcW w:w="831" w:type="pct"/>
            <w:tcBorders>
              <w:top w:val="single" w:sz="4" w:space="0" w:color="auto"/>
              <w:left w:val="single" w:sz="4" w:space="0" w:color="auto"/>
              <w:bottom w:val="single" w:sz="4" w:space="0" w:color="auto"/>
              <w:right w:val="single" w:sz="4" w:space="0" w:color="auto"/>
            </w:tcBorders>
            <w:vAlign w:val="center"/>
            <w:hideMark/>
          </w:tcPr>
          <w:p w14:paraId="391CFF32" w14:textId="77777777" w:rsidR="00F87CC9" w:rsidRPr="00252425" w:rsidRDefault="00F87CC9" w:rsidP="00BD17AF">
            <w:pPr>
              <w:pStyle w:val="Tabletext"/>
              <w:keepNext/>
              <w:spacing w:before="0" w:after="0"/>
              <w:rPr>
                <w:b/>
              </w:rPr>
            </w:pPr>
            <w:r w:rsidRPr="00252425">
              <w:rPr>
                <w:b/>
              </w:rPr>
              <w:t>4.52</w:t>
            </w:r>
          </w:p>
        </w:tc>
        <w:tc>
          <w:tcPr>
            <w:tcW w:w="339" w:type="pct"/>
            <w:tcBorders>
              <w:top w:val="single" w:sz="4" w:space="0" w:color="auto"/>
              <w:left w:val="single" w:sz="4" w:space="0" w:color="auto"/>
              <w:bottom w:val="single" w:sz="4" w:space="0" w:color="auto"/>
              <w:right w:val="single" w:sz="4" w:space="0" w:color="auto"/>
            </w:tcBorders>
            <w:vAlign w:val="center"/>
            <w:hideMark/>
          </w:tcPr>
          <w:p w14:paraId="2876E81F" w14:textId="77777777" w:rsidR="00F87CC9" w:rsidRPr="00252425" w:rsidRDefault="00F87CC9" w:rsidP="00BD17AF">
            <w:pPr>
              <w:pStyle w:val="Tabletext"/>
              <w:keepNext/>
              <w:spacing w:before="0" w:after="0"/>
              <w:rPr>
                <w:b/>
              </w:rPr>
            </w:pPr>
            <w:r w:rsidRPr="00252425">
              <w:rPr>
                <w:b/>
              </w:rPr>
              <w:t>44</w:t>
            </w:r>
          </w:p>
        </w:tc>
        <w:tc>
          <w:tcPr>
            <w:tcW w:w="784" w:type="pct"/>
            <w:tcBorders>
              <w:top w:val="single" w:sz="4" w:space="0" w:color="auto"/>
              <w:left w:val="single" w:sz="4" w:space="0" w:color="auto"/>
              <w:bottom w:val="single" w:sz="4" w:space="0" w:color="auto"/>
              <w:right w:val="single" w:sz="4" w:space="0" w:color="auto"/>
            </w:tcBorders>
            <w:vAlign w:val="center"/>
            <w:hideMark/>
          </w:tcPr>
          <w:p w14:paraId="74B3C79F" w14:textId="77777777" w:rsidR="00F87CC9" w:rsidRPr="00252425" w:rsidRDefault="00F87CC9" w:rsidP="00BD17AF">
            <w:pPr>
              <w:pStyle w:val="Tabletext"/>
              <w:keepNext/>
              <w:spacing w:before="0" w:after="0"/>
              <w:rPr>
                <w:b/>
              </w:rPr>
            </w:pPr>
            <w:r w:rsidRPr="00252425">
              <w:rPr>
                <w:b/>
              </w:rPr>
              <w:t>4.27</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2FFE2137" w14:textId="77777777" w:rsidR="00F87CC9" w:rsidRPr="00252425" w:rsidRDefault="00F87CC9" w:rsidP="00BD17AF">
            <w:pPr>
              <w:pStyle w:val="Tabletext"/>
              <w:keepNext/>
              <w:spacing w:before="0" w:after="0"/>
              <w:rPr>
                <w:i/>
                <w:vertAlign w:val="superscript"/>
              </w:rPr>
            </w:pPr>
            <w:r w:rsidRPr="00252425">
              <w:rPr>
                <w:i/>
              </w:rPr>
              <w:t>0.30 (-0.38 0.98)</w:t>
            </w:r>
            <w:r w:rsidRPr="00252425">
              <w:rPr>
                <w:i/>
                <w:vertAlign w:val="superscript"/>
              </w:rPr>
              <w:t>c</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434CF799" w14:textId="77777777" w:rsidR="00F87CC9" w:rsidRPr="00252425" w:rsidRDefault="00F87CC9" w:rsidP="00BD17AF">
            <w:pPr>
              <w:pStyle w:val="Tabletext"/>
              <w:keepNext/>
              <w:spacing w:before="0" w:after="0"/>
              <w:rPr>
                <w:i/>
              </w:rPr>
            </w:pPr>
            <w:r w:rsidRPr="00252425">
              <w:rPr>
                <w:i/>
              </w:rPr>
              <w:t>0.39</w:t>
            </w:r>
          </w:p>
        </w:tc>
      </w:tr>
      <w:tr w:rsidR="00F87CC9" w:rsidRPr="00252425" w14:paraId="0A0E44B9" w14:textId="77777777" w:rsidTr="000943A6">
        <w:tc>
          <w:tcPr>
            <w:tcW w:w="3449" w:type="pct"/>
            <w:gridSpan w:val="5"/>
            <w:tcBorders>
              <w:top w:val="single" w:sz="4" w:space="0" w:color="auto"/>
              <w:left w:val="single" w:sz="4" w:space="0" w:color="auto"/>
              <w:bottom w:val="single" w:sz="4" w:space="0" w:color="auto"/>
              <w:right w:val="single" w:sz="4" w:space="0" w:color="auto"/>
            </w:tcBorders>
            <w:vAlign w:val="center"/>
            <w:hideMark/>
          </w:tcPr>
          <w:p w14:paraId="39219E66" w14:textId="77777777" w:rsidR="00F87CC9" w:rsidRPr="00252425" w:rsidRDefault="00F87CC9" w:rsidP="00BD17AF">
            <w:pPr>
              <w:pStyle w:val="TableText0"/>
              <w:spacing w:before="0" w:after="0"/>
              <w:ind w:right="117"/>
              <w:rPr>
                <w:snapToGrid w:val="0"/>
              </w:rPr>
            </w:pPr>
            <w:r w:rsidRPr="00252425">
              <w:rPr>
                <w:snapToGrid w:val="0"/>
              </w:rPr>
              <w:t xml:space="preserve">Pooled result from random effects model: </w:t>
            </w:r>
          </w:p>
          <w:p w14:paraId="59C684B2" w14:textId="77777777" w:rsidR="00F87CC9" w:rsidRPr="00252425" w:rsidRDefault="00F87CC9" w:rsidP="00BD17AF">
            <w:pPr>
              <w:pStyle w:val="TableText0"/>
              <w:spacing w:before="0" w:after="0"/>
              <w:ind w:right="117"/>
            </w:pPr>
            <w:r w:rsidRPr="00252425">
              <w:rPr>
                <w:rFonts w:cs="Calibri"/>
              </w:rPr>
              <w:t>Chi-square for heterogeneity: p = 0.04, I</w:t>
            </w:r>
            <w:r w:rsidRPr="00252425">
              <w:rPr>
                <w:rFonts w:cs="Calibri"/>
                <w:vertAlign w:val="superscript"/>
              </w:rPr>
              <w:t>2</w:t>
            </w:r>
            <w:r w:rsidRPr="00252425">
              <w:rPr>
                <w:rFonts w:cs="Calibri"/>
              </w:rPr>
              <w:t xml:space="preserve"> statistic = 76.80%</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2FDD921B" w14:textId="77777777" w:rsidR="00F87CC9" w:rsidRPr="00252425" w:rsidRDefault="00F87CC9" w:rsidP="00BD17AF">
            <w:pPr>
              <w:keepNext/>
              <w:rPr>
                <w:rFonts w:ascii="Arial Narrow" w:hAnsi="Arial Narrow"/>
                <w:i/>
                <w:vertAlign w:val="superscript"/>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623AEFCC" w14:textId="77777777" w:rsidR="00F87CC9" w:rsidRPr="00252425" w:rsidRDefault="00F87CC9" w:rsidP="00BD17AF">
            <w:pPr>
              <w:keepNext/>
              <w:rPr>
                <w:rFonts w:ascii="Arial Narrow" w:hAnsi="Arial Narrow"/>
                <w:i/>
              </w:rPr>
            </w:pPr>
          </w:p>
        </w:tc>
      </w:tr>
      <w:tr w:rsidR="00F87CC9" w:rsidRPr="00252425" w14:paraId="20F83A40" w14:textId="77777777" w:rsidTr="000943A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06F17FD" w14:textId="77777777" w:rsidR="00F87CC9" w:rsidRPr="00252425" w:rsidRDefault="00F87CC9" w:rsidP="00BD17AF">
            <w:pPr>
              <w:pStyle w:val="Tabletext"/>
              <w:keepNext/>
              <w:spacing w:before="0" w:after="0"/>
              <w:rPr>
                <w:b/>
              </w:rPr>
            </w:pPr>
            <w:r w:rsidRPr="00252425">
              <w:rPr>
                <w:b/>
              </w:rPr>
              <w:t>Mental Health</w:t>
            </w:r>
          </w:p>
        </w:tc>
      </w:tr>
      <w:tr w:rsidR="00F87CC9" w:rsidRPr="00252425" w14:paraId="61F58AFA" w14:textId="77777777" w:rsidTr="000943A6">
        <w:tc>
          <w:tcPr>
            <w:tcW w:w="1166" w:type="pct"/>
            <w:tcBorders>
              <w:top w:val="single" w:sz="4" w:space="0" w:color="auto"/>
              <w:left w:val="single" w:sz="4" w:space="0" w:color="auto"/>
              <w:bottom w:val="single" w:sz="4" w:space="0" w:color="auto"/>
              <w:right w:val="single" w:sz="4" w:space="0" w:color="auto"/>
            </w:tcBorders>
            <w:hideMark/>
          </w:tcPr>
          <w:p w14:paraId="6DDF6DF5" w14:textId="77777777" w:rsidR="00F87CC9" w:rsidRPr="00252425" w:rsidRDefault="00F87CC9" w:rsidP="00BD17AF">
            <w:pPr>
              <w:pStyle w:val="Tabletext"/>
              <w:keepNext/>
              <w:spacing w:before="0" w:after="0"/>
              <w:rPr>
                <w:vertAlign w:val="superscript"/>
              </w:rPr>
            </w:pPr>
            <w:r w:rsidRPr="00252425">
              <w:t>Newton (2020)</w:t>
            </w:r>
          </w:p>
        </w:tc>
        <w:tc>
          <w:tcPr>
            <w:tcW w:w="329" w:type="pct"/>
            <w:tcBorders>
              <w:top w:val="single" w:sz="4" w:space="0" w:color="auto"/>
              <w:left w:val="single" w:sz="4" w:space="0" w:color="auto"/>
              <w:bottom w:val="single" w:sz="4" w:space="0" w:color="auto"/>
              <w:right w:val="single" w:sz="4" w:space="0" w:color="auto"/>
            </w:tcBorders>
            <w:hideMark/>
          </w:tcPr>
          <w:p w14:paraId="2F8A3F80" w14:textId="77777777" w:rsidR="00F87CC9" w:rsidRPr="00252425" w:rsidRDefault="00F87CC9" w:rsidP="00BD17AF">
            <w:pPr>
              <w:pStyle w:val="Tabletext"/>
              <w:keepNext/>
              <w:spacing w:before="0" w:after="0"/>
            </w:pPr>
            <w:r w:rsidRPr="00252425">
              <w:t>12</w:t>
            </w:r>
          </w:p>
        </w:tc>
        <w:tc>
          <w:tcPr>
            <w:tcW w:w="831" w:type="pct"/>
            <w:tcBorders>
              <w:top w:val="single" w:sz="4" w:space="0" w:color="auto"/>
              <w:left w:val="single" w:sz="4" w:space="0" w:color="auto"/>
              <w:bottom w:val="single" w:sz="4" w:space="0" w:color="auto"/>
              <w:right w:val="single" w:sz="4" w:space="0" w:color="auto"/>
            </w:tcBorders>
            <w:hideMark/>
          </w:tcPr>
          <w:p w14:paraId="65B2CFC3" w14:textId="77777777" w:rsidR="00F87CC9" w:rsidRPr="00252425" w:rsidRDefault="00F87CC9" w:rsidP="00BD17AF">
            <w:pPr>
              <w:pStyle w:val="Tabletext"/>
              <w:keepNext/>
              <w:spacing w:before="0" w:after="0"/>
            </w:pPr>
            <w:r w:rsidRPr="00252425">
              <w:t>4.3 (0.6)</w:t>
            </w:r>
          </w:p>
        </w:tc>
        <w:tc>
          <w:tcPr>
            <w:tcW w:w="339" w:type="pct"/>
            <w:tcBorders>
              <w:top w:val="single" w:sz="4" w:space="0" w:color="auto"/>
              <w:left w:val="single" w:sz="4" w:space="0" w:color="auto"/>
              <w:bottom w:val="single" w:sz="4" w:space="0" w:color="auto"/>
              <w:right w:val="single" w:sz="4" w:space="0" w:color="auto"/>
            </w:tcBorders>
            <w:hideMark/>
          </w:tcPr>
          <w:p w14:paraId="17D969DF" w14:textId="77777777" w:rsidR="00F87CC9" w:rsidRPr="00252425" w:rsidRDefault="00F87CC9" w:rsidP="00BD17AF">
            <w:pPr>
              <w:pStyle w:val="Tabletext"/>
              <w:keepNext/>
              <w:spacing w:before="0" w:after="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0ABF576C" w14:textId="77777777" w:rsidR="00F87CC9" w:rsidRPr="00252425" w:rsidRDefault="00F87CC9" w:rsidP="00BD17AF">
            <w:pPr>
              <w:pStyle w:val="Tabletext"/>
              <w:keepNext/>
              <w:spacing w:before="0" w:after="0"/>
            </w:pPr>
            <w:r w:rsidRPr="00252425">
              <w:t>4.0 (0.6)</w:t>
            </w:r>
          </w:p>
        </w:tc>
        <w:tc>
          <w:tcPr>
            <w:tcW w:w="888" w:type="pct"/>
            <w:tcBorders>
              <w:top w:val="single" w:sz="4" w:space="0" w:color="auto"/>
              <w:left w:val="single" w:sz="4" w:space="0" w:color="auto"/>
              <w:bottom w:val="single" w:sz="4" w:space="0" w:color="auto"/>
              <w:right w:val="single" w:sz="4" w:space="0" w:color="auto"/>
            </w:tcBorders>
            <w:vAlign w:val="center"/>
            <w:hideMark/>
          </w:tcPr>
          <w:p w14:paraId="698981AE" w14:textId="77777777" w:rsidR="00F87CC9" w:rsidRPr="00252425" w:rsidRDefault="00F87CC9" w:rsidP="00BD17AF">
            <w:pPr>
              <w:pStyle w:val="Tabletext"/>
              <w:keepNext/>
              <w:spacing w:before="0" w:after="0"/>
              <w:rPr>
                <w:i/>
              </w:rPr>
            </w:pPr>
            <w:r w:rsidRPr="00252425">
              <w:rPr>
                <w:i/>
              </w:rPr>
              <w:t>0.30 (-0.12, 0.72)</w:t>
            </w:r>
          </w:p>
        </w:tc>
        <w:tc>
          <w:tcPr>
            <w:tcW w:w="663" w:type="pct"/>
            <w:tcBorders>
              <w:top w:val="single" w:sz="4" w:space="0" w:color="auto"/>
              <w:left w:val="single" w:sz="4" w:space="0" w:color="auto"/>
              <w:bottom w:val="single" w:sz="4" w:space="0" w:color="auto"/>
              <w:right w:val="single" w:sz="4" w:space="0" w:color="auto"/>
            </w:tcBorders>
            <w:hideMark/>
          </w:tcPr>
          <w:p w14:paraId="5B40D9EF" w14:textId="77777777" w:rsidR="00F87CC9" w:rsidRPr="00252425" w:rsidRDefault="00F87CC9" w:rsidP="00BD17AF">
            <w:pPr>
              <w:pStyle w:val="Tabletext"/>
              <w:keepNext/>
              <w:spacing w:before="0" w:after="0"/>
              <w:rPr>
                <w:vertAlign w:val="superscript"/>
              </w:rPr>
            </w:pPr>
            <w:r w:rsidRPr="00252425">
              <w:t>0.748</w:t>
            </w:r>
          </w:p>
        </w:tc>
      </w:tr>
      <w:tr w:rsidR="00F87CC9" w:rsidRPr="00252425" w14:paraId="078261FB"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23E17AE7" w14:textId="77777777" w:rsidR="00F87CC9" w:rsidRPr="00252425" w:rsidRDefault="00F87CC9" w:rsidP="00BD17AF">
            <w:pPr>
              <w:pStyle w:val="Tabletext"/>
              <w:keepNext/>
              <w:spacing w:before="0" w:after="0"/>
            </w:pPr>
            <w:r w:rsidRPr="00252425">
              <w:t>Pehlivanoglu (2021)</w:t>
            </w:r>
          </w:p>
        </w:tc>
        <w:tc>
          <w:tcPr>
            <w:tcW w:w="329" w:type="pct"/>
            <w:tcBorders>
              <w:top w:val="single" w:sz="4" w:space="0" w:color="auto"/>
              <w:left w:val="single" w:sz="4" w:space="0" w:color="auto"/>
              <w:bottom w:val="single" w:sz="4" w:space="0" w:color="auto"/>
              <w:right w:val="single" w:sz="4" w:space="0" w:color="auto"/>
            </w:tcBorders>
            <w:hideMark/>
          </w:tcPr>
          <w:p w14:paraId="1C34C0D8" w14:textId="77777777" w:rsidR="00F87CC9" w:rsidRPr="00252425" w:rsidRDefault="00F87CC9" w:rsidP="00BD17AF">
            <w:pPr>
              <w:pStyle w:val="Tabletext"/>
              <w:keepNext/>
              <w:spacing w:before="0" w:after="0"/>
              <w:ind w:left="61"/>
            </w:pPr>
            <w:r w:rsidRPr="00252425">
              <w:t>21</w:t>
            </w:r>
          </w:p>
        </w:tc>
        <w:tc>
          <w:tcPr>
            <w:tcW w:w="831" w:type="pct"/>
            <w:tcBorders>
              <w:top w:val="single" w:sz="4" w:space="0" w:color="auto"/>
              <w:left w:val="single" w:sz="4" w:space="0" w:color="auto"/>
              <w:bottom w:val="single" w:sz="4" w:space="0" w:color="auto"/>
              <w:right w:val="single" w:sz="4" w:space="0" w:color="auto"/>
            </w:tcBorders>
            <w:hideMark/>
          </w:tcPr>
          <w:p w14:paraId="2ED6D88A" w14:textId="77777777" w:rsidR="00F87CC9" w:rsidRPr="00252425" w:rsidRDefault="00F87CC9" w:rsidP="00BD17AF">
            <w:pPr>
              <w:pStyle w:val="Tabletext"/>
              <w:keepNext/>
              <w:spacing w:before="0" w:after="0"/>
            </w:pPr>
            <w:r w:rsidRPr="00252425">
              <w:t>4.9 (1</w:t>
            </w:r>
            <w:r w:rsidRPr="00252425">
              <w:rPr>
                <w:vertAlign w:val="superscript"/>
              </w:rPr>
              <w:t>b</w:t>
            </w:r>
            <w:r w:rsidRPr="00252425">
              <w:t>)</w:t>
            </w:r>
          </w:p>
        </w:tc>
        <w:tc>
          <w:tcPr>
            <w:tcW w:w="339" w:type="pct"/>
            <w:tcBorders>
              <w:top w:val="single" w:sz="4" w:space="0" w:color="auto"/>
              <w:left w:val="single" w:sz="4" w:space="0" w:color="auto"/>
              <w:bottom w:val="single" w:sz="4" w:space="0" w:color="auto"/>
              <w:right w:val="single" w:sz="4" w:space="0" w:color="auto"/>
            </w:tcBorders>
            <w:hideMark/>
          </w:tcPr>
          <w:p w14:paraId="033DF736" w14:textId="77777777" w:rsidR="00F87CC9" w:rsidRPr="00252425" w:rsidRDefault="00F87CC9" w:rsidP="00BD17AF">
            <w:pPr>
              <w:pStyle w:val="Tabletext"/>
              <w:keepNext/>
              <w:spacing w:before="0" w:after="0"/>
              <w:ind w:hanging="72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7B417442" w14:textId="77777777" w:rsidR="00F87CC9" w:rsidRPr="00252425" w:rsidRDefault="00F87CC9" w:rsidP="00BD17AF">
            <w:pPr>
              <w:pStyle w:val="Tabletext"/>
              <w:keepNext/>
              <w:spacing w:before="0" w:after="0"/>
            </w:pPr>
            <w:r w:rsidRPr="00252425">
              <w:t>3.9 (1</w:t>
            </w:r>
            <w:r w:rsidRPr="00252425">
              <w:rPr>
                <w:vertAlign w:val="superscript"/>
              </w:rPr>
              <w:t>b</w:t>
            </w:r>
            <w:r w:rsidRPr="00252425">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1915F72D" w14:textId="77777777" w:rsidR="00F87CC9" w:rsidRPr="00252425" w:rsidRDefault="00F87CC9" w:rsidP="00BD17AF">
            <w:pPr>
              <w:pStyle w:val="Tabletext"/>
              <w:keepNext/>
              <w:spacing w:before="0" w:after="0"/>
              <w:ind w:left="1"/>
              <w:rPr>
                <w:b/>
                <w:i/>
              </w:rPr>
            </w:pPr>
            <w:r w:rsidRPr="00252425">
              <w:rPr>
                <w:i/>
              </w:rPr>
              <w:t>1.00 (0.40, 1.60)</w:t>
            </w:r>
          </w:p>
        </w:tc>
        <w:tc>
          <w:tcPr>
            <w:tcW w:w="663" w:type="pct"/>
            <w:tcBorders>
              <w:top w:val="single" w:sz="4" w:space="0" w:color="auto"/>
              <w:left w:val="single" w:sz="4" w:space="0" w:color="auto"/>
              <w:bottom w:val="single" w:sz="4" w:space="0" w:color="auto"/>
              <w:right w:val="single" w:sz="4" w:space="0" w:color="auto"/>
            </w:tcBorders>
            <w:hideMark/>
          </w:tcPr>
          <w:p w14:paraId="7AB832D0" w14:textId="77777777" w:rsidR="00F87CC9" w:rsidRPr="00252425" w:rsidRDefault="00F87CC9" w:rsidP="00BD17AF">
            <w:pPr>
              <w:pStyle w:val="Tabletext"/>
              <w:keepNext/>
              <w:spacing w:before="0" w:after="0"/>
            </w:pPr>
            <w:r w:rsidRPr="00252425">
              <w:t>NR</w:t>
            </w:r>
          </w:p>
        </w:tc>
      </w:tr>
      <w:tr w:rsidR="00F87CC9" w:rsidRPr="00252425" w14:paraId="4C6A96F3"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2FF59CF2" w14:textId="77777777" w:rsidR="00F87CC9" w:rsidRPr="00252425" w:rsidRDefault="00F87CC9" w:rsidP="00BD17AF">
            <w:pPr>
              <w:pStyle w:val="Tabletext"/>
              <w:keepNext/>
              <w:spacing w:before="0" w:after="0"/>
              <w:rPr>
                <w:b/>
              </w:rPr>
            </w:pPr>
            <w:r w:rsidRPr="00252425">
              <w:rPr>
                <w:b/>
              </w:rPr>
              <w:t>Pooled result</w:t>
            </w:r>
          </w:p>
        </w:tc>
        <w:tc>
          <w:tcPr>
            <w:tcW w:w="329" w:type="pct"/>
            <w:tcBorders>
              <w:top w:val="single" w:sz="4" w:space="0" w:color="auto"/>
              <w:left w:val="single" w:sz="4" w:space="0" w:color="auto"/>
              <w:bottom w:val="single" w:sz="4" w:space="0" w:color="auto"/>
              <w:right w:val="single" w:sz="4" w:space="0" w:color="auto"/>
            </w:tcBorders>
            <w:vAlign w:val="center"/>
            <w:hideMark/>
          </w:tcPr>
          <w:p w14:paraId="7C92C3AE" w14:textId="77777777" w:rsidR="00F87CC9" w:rsidRPr="00252425" w:rsidRDefault="00F87CC9" w:rsidP="00BD17AF">
            <w:pPr>
              <w:pStyle w:val="Tabletext"/>
              <w:keepNext/>
              <w:spacing w:before="0" w:after="0"/>
              <w:rPr>
                <w:b/>
              </w:rPr>
            </w:pPr>
            <w:r w:rsidRPr="00252425">
              <w:rPr>
                <w:b/>
              </w:rPr>
              <w:t>33</w:t>
            </w:r>
          </w:p>
        </w:tc>
        <w:tc>
          <w:tcPr>
            <w:tcW w:w="831" w:type="pct"/>
            <w:tcBorders>
              <w:top w:val="single" w:sz="4" w:space="0" w:color="auto"/>
              <w:left w:val="single" w:sz="4" w:space="0" w:color="auto"/>
              <w:bottom w:val="single" w:sz="4" w:space="0" w:color="auto"/>
              <w:right w:val="single" w:sz="4" w:space="0" w:color="auto"/>
            </w:tcBorders>
            <w:vAlign w:val="center"/>
            <w:hideMark/>
          </w:tcPr>
          <w:p w14:paraId="2569ED43" w14:textId="77777777" w:rsidR="00F87CC9" w:rsidRPr="00252425" w:rsidRDefault="00F87CC9" w:rsidP="00BD17AF">
            <w:pPr>
              <w:pStyle w:val="Tabletext"/>
              <w:keepNext/>
              <w:spacing w:before="0" w:after="0"/>
              <w:rPr>
                <w:b/>
              </w:rPr>
            </w:pPr>
            <w:r w:rsidRPr="00252425">
              <w:rPr>
                <w:b/>
              </w:rPr>
              <w:t>4.59</w:t>
            </w:r>
          </w:p>
        </w:tc>
        <w:tc>
          <w:tcPr>
            <w:tcW w:w="339" w:type="pct"/>
            <w:tcBorders>
              <w:top w:val="single" w:sz="4" w:space="0" w:color="auto"/>
              <w:left w:val="single" w:sz="4" w:space="0" w:color="auto"/>
              <w:bottom w:val="single" w:sz="4" w:space="0" w:color="auto"/>
              <w:right w:val="single" w:sz="4" w:space="0" w:color="auto"/>
            </w:tcBorders>
            <w:vAlign w:val="center"/>
            <w:hideMark/>
          </w:tcPr>
          <w:p w14:paraId="6BBFF156" w14:textId="77777777" w:rsidR="00F87CC9" w:rsidRPr="00252425" w:rsidRDefault="00F87CC9" w:rsidP="00BD17AF">
            <w:pPr>
              <w:pStyle w:val="Tabletext"/>
              <w:keepNext/>
              <w:spacing w:before="0" w:after="0"/>
              <w:rPr>
                <w:b/>
              </w:rPr>
            </w:pPr>
            <w:r w:rsidRPr="00252425">
              <w:rPr>
                <w:b/>
              </w:rPr>
              <w:t>44</w:t>
            </w:r>
          </w:p>
        </w:tc>
        <w:tc>
          <w:tcPr>
            <w:tcW w:w="784" w:type="pct"/>
            <w:tcBorders>
              <w:top w:val="single" w:sz="4" w:space="0" w:color="auto"/>
              <w:left w:val="single" w:sz="4" w:space="0" w:color="auto"/>
              <w:bottom w:val="single" w:sz="4" w:space="0" w:color="auto"/>
              <w:right w:val="single" w:sz="4" w:space="0" w:color="auto"/>
            </w:tcBorders>
            <w:vAlign w:val="center"/>
            <w:hideMark/>
          </w:tcPr>
          <w:p w14:paraId="3D9A73D1" w14:textId="77777777" w:rsidR="00F87CC9" w:rsidRPr="00252425" w:rsidRDefault="00F87CC9" w:rsidP="00BD17AF">
            <w:pPr>
              <w:pStyle w:val="Tabletext"/>
              <w:keepNext/>
              <w:spacing w:before="0" w:after="0"/>
              <w:rPr>
                <w:b/>
              </w:rPr>
            </w:pPr>
            <w:r w:rsidRPr="00252425">
              <w:rPr>
                <w:b/>
              </w:rPr>
              <w:t>3.97</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6959F144" w14:textId="77777777" w:rsidR="00F87CC9" w:rsidRPr="00252425" w:rsidRDefault="00F87CC9" w:rsidP="00BD17AF">
            <w:pPr>
              <w:pStyle w:val="Tabletext"/>
              <w:keepNext/>
              <w:spacing w:before="0" w:after="0"/>
              <w:rPr>
                <w:i/>
                <w:vertAlign w:val="superscript"/>
              </w:rPr>
            </w:pPr>
            <w:r w:rsidRPr="00252425">
              <w:rPr>
                <w:i/>
              </w:rPr>
              <w:t>0.62 (-0.07, 1.30)</w:t>
            </w:r>
            <w:r w:rsidRPr="00252425">
              <w:rPr>
                <w:i/>
                <w:vertAlign w:val="superscript"/>
              </w:rPr>
              <w:t>c</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3A899D76" w14:textId="77777777" w:rsidR="00F87CC9" w:rsidRPr="00252425" w:rsidRDefault="00F87CC9" w:rsidP="00BD17AF">
            <w:pPr>
              <w:pStyle w:val="Tabletext"/>
              <w:keepNext/>
              <w:spacing w:before="0" w:after="0"/>
              <w:rPr>
                <w:i/>
              </w:rPr>
            </w:pPr>
            <w:r w:rsidRPr="00252425">
              <w:rPr>
                <w:i/>
              </w:rPr>
              <w:t>0.08</w:t>
            </w:r>
          </w:p>
        </w:tc>
      </w:tr>
      <w:tr w:rsidR="00F87CC9" w:rsidRPr="00252425" w14:paraId="29021106" w14:textId="77777777" w:rsidTr="000943A6">
        <w:tc>
          <w:tcPr>
            <w:tcW w:w="3449" w:type="pct"/>
            <w:gridSpan w:val="5"/>
            <w:tcBorders>
              <w:top w:val="single" w:sz="4" w:space="0" w:color="auto"/>
              <w:left w:val="single" w:sz="4" w:space="0" w:color="auto"/>
              <w:bottom w:val="single" w:sz="4" w:space="0" w:color="auto"/>
              <w:right w:val="single" w:sz="4" w:space="0" w:color="auto"/>
            </w:tcBorders>
            <w:vAlign w:val="center"/>
            <w:hideMark/>
          </w:tcPr>
          <w:p w14:paraId="302DD560" w14:textId="77777777" w:rsidR="00F87CC9" w:rsidRPr="00252425" w:rsidRDefault="00F87CC9" w:rsidP="00BD17AF">
            <w:pPr>
              <w:pStyle w:val="TableText0"/>
              <w:spacing w:before="0" w:after="0"/>
              <w:ind w:right="117"/>
              <w:rPr>
                <w:snapToGrid w:val="0"/>
              </w:rPr>
            </w:pPr>
            <w:r w:rsidRPr="00252425">
              <w:rPr>
                <w:snapToGrid w:val="0"/>
              </w:rPr>
              <w:t xml:space="preserve">Pooled result from random effects model: </w:t>
            </w:r>
          </w:p>
          <w:p w14:paraId="695F8955" w14:textId="77777777" w:rsidR="00F87CC9" w:rsidRPr="00252425" w:rsidRDefault="00F87CC9" w:rsidP="00BD17AF">
            <w:pPr>
              <w:pStyle w:val="TableText0"/>
              <w:spacing w:before="0" w:after="0"/>
              <w:ind w:right="117"/>
              <w:rPr>
                <w:snapToGrid w:val="0"/>
              </w:rPr>
            </w:pPr>
            <w:r w:rsidRPr="00252425">
              <w:rPr>
                <w:rFonts w:cs="Calibri"/>
              </w:rPr>
              <w:t>Chi-square for heterogeneity: p = 0.06, I</w:t>
            </w:r>
            <w:r w:rsidRPr="00252425">
              <w:rPr>
                <w:rFonts w:cs="Calibri"/>
                <w:vertAlign w:val="superscript"/>
              </w:rPr>
              <w:t>2</w:t>
            </w:r>
            <w:r w:rsidRPr="00252425">
              <w:rPr>
                <w:rFonts w:cs="Calibri"/>
              </w:rPr>
              <w:t xml:space="preserve"> statistic = 71.54%</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11246A55" w14:textId="77777777" w:rsidR="00F87CC9" w:rsidRPr="00252425" w:rsidRDefault="00F87CC9" w:rsidP="00BD17AF">
            <w:pPr>
              <w:keepNext/>
              <w:rPr>
                <w:rFonts w:ascii="Arial Narrow" w:hAnsi="Arial Narrow"/>
                <w:i/>
                <w:vertAlign w:val="superscript"/>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3D0FFA4C" w14:textId="77777777" w:rsidR="00F87CC9" w:rsidRPr="00252425" w:rsidRDefault="00F87CC9" w:rsidP="00BD17AF">
            <w:pPr>
              <w:keepNext/>
              <w:rPr>
                <w:rFonts w:ascii="Arial Narrow" w:hAnsi="Arial Narrow"/>
                <w:i/>
              </w:rPr>
            </w:pPr>
          </w:p>
        </w:tc>
      </w:tr>
      <w:tr w:rsidR="00F87CC9" w:rsidRPr="00252425" w14:paraId="5F6E44DE" w14:textId="77777777" w:rsidTr="000943A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F53DDBC" w14:textId="77777777" w:rsidR="00F87CC9" w:rsidRPr="00252425" w:rsidRDefault="00F87CC9" w:rsidP="00BD17AF">
            <w:pPr>
              <w:pStyle w:val="Tabletext"/>
              <w:keepNext/>
              <w:spacing w:before="0" w:after="0"/>
            </w:pPr>
            <w:r w:rsidRPr="00252425">
              <w:rPr>
                <w:b/>
                <w:snapToGrid w:val="0"/>
              </w:rPr>
              <w:t>Pain</w:t>
            </w:r>
          </w:p>
        </w:tc>
      </w:tr>
      <w:tr w:rsidR="00F87CC9" w:rsidRPr="00252425" w14:paraId="423CB78A" w14:textId="77777777" w:rsidTr="000943A6">
        <w:tc>
          <w:tcPr>
            <w:tcW w:w="1166" w:type="pct"/>
            <w:tcBorders>
              <w:top w:val="single" w:sz="4" w:space="0" w:color="auto"/>
              <w:left w:val="single" w:sz="4" w:space="0" w:color="auto"/>
              <w:bottom w:val="single" w:sz="4" w:space="0" w:color="auto"/>
              <w:right w:val="single" w:sz="4" w:space="0" w:color="auto"/>
            </w:tcBorders>
            <w:hideMark/>
          </w:tcPr>
          <w:p w14:paraId="2454F51B" w14:textId="77777777" w:rsidR="00F87CC9" w:rsidRPr="00252425" w:rsidRDefault="00F87CC9" w:rsidP="00BD17AF">
            <w:pPr>
              <w:pStyle w:val="Tabletext"/>
              <w:keepNext/>
              <w:spacing w:before="0" w:after="0"/>
              <w:rPr>
                <w:vertAlign w:val="superscript"/>
              </w:rPr>
            </w:pPr>
            <w:r w:rsidRPr="00252425">
              <w:t>Newton (2020)</w:t>
            </w:r>
          </w:p>
        </w:tc>
        <w:tc>
          <w:tcPr>
            <w:tcW w:w="329" w:type="pct"/>
            <w:tcBorders>
              <w:top w:val="single" w:sz="4" w:space="0" w:color="auto"/>
              <w:left w:val="single" w:sz="4" w:space="0" w:color="auto"/>
              <w:bottom w:val="single" w:sz="4" w:space="0" w:color="auto"/>
              <w:right w:val="single" w:sz="4" w:space="0" w:color="auto"/>
            </w:tcBorders>
            <w:hideMark/>
          </w:tcPr>
          <w:p w14:paraId="6A4BDB55" w14:textId="77777777" w:rsidR="00F87CC9" w:rsidRPr="00252425" w:rsidRDefault="00F87CC9" w:rsidP="00BD17AF">
            <w:pPr>
              <w:pStyle w:val="Tabletext"/>
              <w:keepNext/>
              <w:spacing w:before="0" w:after="0"/>
            </w:pPr>
            <w:r w:rsidRPr="00252425">
              <w:t>12</w:t>
            </w:r>
          </w:p>
        </w:tc>
        <w:tc>
          <w:tcPr>
            <w:tcW w:w="831" w:type="pct"/>
            <w:tcBorders>
              <w:top w:val="single" w:sz="4" w:space="0" w:color="auto"/>
              <w:left w:val="single" w:sz="4" w:space="0" w:color="auto"/>
              <w:bottom w:val="single" w:sz="4" w:space="0" w:color="auto"/>
              <w:right w:val="single" w:sz="4" w:space="0" w:color="auto"/>
            </w:tcBorders>
            <w:hideMark/>
          </w:tcPr>
          <w:p w14:paraId="7B2A3380" w14:textId="77777777" w:rsidR="00F87CC9" w:rsidRPr="00252425" w:rsidRDefault="00F87CC9" w:rsidP="00BD17AF">
            <w:pPr>
              <w:pStyle w:val="Tabletext"/>
              <w:keepNext/>
              <w:spacing w:before="0" w:after="0"/>
            </w:pPr>
            <w:r w:rsidRPr="00252425">
              <w:t>4.4 (0.6)</w:t>
            </w:r>
          </w:p>
        </w:tc>
        <w:tc>
          <w:tcPr>
            <w:tcW w:w="339" w:type="pct"/>
            <w:tcBorders>
              <w:top w:val="single" w:sz="4" w:space="0" w:color="auto"/>
              <w:left w:val="single" w:sz="4" w:space="0" w:color="auto"/>
              <w:bottom w:val="single" w:sz="4" w:space="0" w:color="auto"/>
              <w:right w:val="single" w:sz="4" w:space="0" w:color="auto"/>
            </w:tcBorders>
            <w:hideMark/>
          </w:tcPr>
          <w:p w14:paraId="1D06BDB9" w14:textId="77777777" w:rsidR="00F87CC9" w:rsidRPr="00252425" w:rsidRDefault="00F87CC9" w:rsidP="00BD17AF">
            <w:pPr>
              <w:pStyle w:val="Tabletext"/>
              <w:keepNext/>
              <w:spacing w:before="0" w:after="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26A91E60" w14:textId="77777777" w:rsidR="00F87CC9" w:rsidRPr="00252425" w:rsidRDefault="00F87CC9" w:rsidP="00BD17AF">
            <w:pPr>
              <w:pStyle w:val="Tabletext"/>
              <w:keepNext/>
              <w:spacing w:before="0" w:after="0"/>
            </w:pPr>
            <w:r w:rsidRPr="00252425">
              <w:t>4.4 (0.6)</w:t>
            </w:r>
          </w:p>
        </w:tc>
        <w:tc>
          <w:tcPr>
            <w:tcW w:w="888" w:type="pct"/>
            <w:tcBorders>
              <w:top w:val="single" w:sz="4" w:space="0" w:color="auto"/>
              <w:left w:val="single" w:sz="4" w:space="0" w:color="auto"/>
              <w:bottom w:val="single" w:sz="4" w:space="0" w:color="auto"/>
              <w:right w:val="single" w:sz="4" w:space="0" w:color="auto"/>
            </w:tcBorders>
            <w:vAlign w:val="center"/>
            <w:hideMark/>
          </w:tcPr>
          <w:p w14:paraId="40FF1D3F" w14:textId="77777777" w:rsidR="00F87CC9" w:rsidRPr="00252425" w:rsidRDefault="00F87CC9" w:rsidP="00BD17AF">
            <w:pPr>
              <w:pStyle w:val="Tabletext"/>
              <w:keepNext/>
              <w:spacing w:before="0" w:after="0"/>
              <w:rPr>
                <w:i/>
              </w:rPr>
            </w:pPr>
            <w:r w:rsidRPr="00252425">
              <w:rPr>
                <w:i/>
              </w:rPr>
              <w:t>0.00 (-0.42, 0.42)</w:t>
            </w:r>
          </w:p>
        </w:tc>
        <w:tc>
          <w:tcPr>
            <w:tcW w:w="663" w:type="pct"/>
            <w:tcBorders>
              <w:top w:val="single" w:sz="4" w:space="0" w:color="auto"/>
              <w:left w:val="single" w:sz="4" w:space="0" w:color="auto"/>
              <w:bottom w:val="single" w:sz="4" w:space="0" w:color="auto"/>
              <w:right w:val="single" w:sz="4" w:space="0" w:color="auto"/>
            </w:tcBorders>
            <w:hideMark/>
          </w:tcPr>
          <w:p w14:paraId="1611C199" w14:textId="77777777" w:rsidR="00F87CC9" w:rsidRPr="00252425" w:rsidRDefault="00F87CC9" w:rsidP="00BD17AF">
            <w:pPr>
              <w:pStyle w:val="Tabletext"/>
              <w:keepNext/>
              <w:spacing w:before="0" w:after="0"/>
              <w:rPr>
                <w:vertAlign w:val="superscript"/>
              </w:rPr>
            </w:pPr>
            <w:r w:rsidRPr="00252425">
              <w:t>0.903</w:t>
            </w:r>
          </w:p>
        </w:tc>
      </w:tr>
      <w:tr w:rsidR="00F87CC9" w:rsidRPr="00252425" w14:paraId="733FDB72"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2E5A0260" w14:textId="77777777" w:rsidR="00F87CC9" w:rsidRPr="00252425" w:rsidRDefault="00F87CC9" w:rsidP="00BD17AF">
            <w:pPr>
              <w:pStyle w:val="Tabletext"/>
              <w:keepNext/>
              <w:spacing w:before="0" w:after="0"/>
            </w:pPr>
            <w:r w:rsidRPr="00252425">
              <w:t>Pehlivanoglu (2021)</w:t>
            </w:r>
          </w:p>
        </w:tc>
        <w:tc>
          <w:tcPr>
            <w:tcW w:w="329" w:type="pct"/>
            <w:tcBorders>
              <w:top w:val="single" w:sz="4" w:space="0" w:color="auto"/>
              <w:left w:val="single" w:sz="4" w:space="0" w:color="auto"/>
              <w:bottom w:val="single" w:sz="4" w:space="0" w:color="auto"/>
              <w:right w:val="single" w:sz="4" w:space="0" w:color="auto"/>
            </w:tcBorders>
            <w:hideMark/>
          </w:tcPr>
          <w:p w14:paraId="4E19DD2A" w14:textId="77777777" w:rsidR="00F87CC9" w:rsidRPr="00252425" w:rsidRDefault="00F87CC9" w:rsidP="00BD17AF">
            <w:pPr>
              <w:pStyle w:val="Tabletext"/>
              <w:keepNext/>
              <w:spacing w:before="0" w:after="0"/>
              <w:ind w:left="61"/>
            </w:pPr>
            <w:r w:rsidRPr="00252425">
              <w:t>21</w:t>
            </w:r>
          </w:p>
        </w:tc>
        <w:tc>
          <w:tcPr>
            <w:tcW w:w="831" w:type="pct"/>
            <w:tcBorders>
              <w:top w:val="single" w:sz="4" w:space="0" w:color="auto"/>
              <w:left w:val="single" w:sz="4" w:space="0" w:color="auto"/>
              <w:bottom w:val="single" w:sz="4" w:space="0" w:color="auto"/>
              <w:right w:val="single" w:sz="4" w:space="0" w:color="auto"/>
            </w:tcBorders>
            <w:hideMark/>
          </w:tcPr>
          <w:p w14:paraId="51466840" w14:textId="77777777" w:rsidR="00F87CC9" w:rsidRPr="00252425" w:rsidRDefault="00F87CC9" w:rsidP="00BD17AF">
            <w:pPr>
              <w:pStyle w:val="Tabletext"/>
              <w:keepNext/>
              <w:spacing w:before="0" w:after="0"/>
            </w:pPr>
            <w:r w:rsidRPr="00252425">
              <w:t>4.9 (1</w:t>
            </w:r>
            <w:r w:rsidRPr="00252425">
              <w:rPr>
                <w:vertAlign w:val="superscript"/>
              </w:rPr>
              <w:t>b</w:t>
            </w:r>
            <w:r w:rsidRPr="00252425">
              <w:t>)</w:t>
            </w:r>
          </w:p>
        </w:tc>
        <w:tc>
          <w:tcPr>
            <w:tcW w:w="339" w:type="pct"/>
            <w:tcBorders>
              <w:top w:val="single" w:sz="4" w:space="0" w:color="auto"/>
              <w:left w:val="single" w:sz="4" w:space="0" w:color="auto"/>
              <w:bottom w:val="single" w:sz="4" w:space="0" w:color="auto"/>
              <w:right w:val="single" w:sz="4" w:space="0" w:color="auto"/>
            </w:tcBorders>
            <w:hideMark/>
          </w:tcPr>
          <w:p w14:paraId="151A50D8" w14:textId="77777777" w:rsidR="00F87CC9" w:rsidRPr="00252425" w:rsidRDefault="00F87CC9" w:rsidP="00BD17AF">
            <w:pPr>
              <w:pStyle w:val="Tabletext"/>
              <w:keepNext/>
              <w:spacing w:before="0" w:after="0"/>
              <w:ind w:hanging="72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2D9C3008" w14:textId="77777777" w:rsidR="00F87CC9" w:rsidRPr="00252425" w:rsidRDefault="00F87CC9" w:rsidP="00BD17AF">
            <w:pPr>
              <w:pStyle w:val="Tabletext"/>
              <w:keepNext/>
              <w:spacing w:before="0" w:after="0"/>
            </w:pPr>
            <w:r w:rsidRPr="00252425">
              <w:t>4.1 (1</w:t>
            </w:r>
            <w:r w:rsidRPr="00252425">
              <w:rPr>
                <w:vertAlign w:val="superscript"/>
              </w:rPr>
              <w:t>b</w:t>
            </w:r>
            <w:r w:rsidRPr="00252425">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5BEB7A45" w14:textId="77777777" w:rsidR="00F87CC9" w:rsidRPr="00252425" w:rsidRDefault="00F87CC9" w:rsidP="00BD17AF">
            <w:pPr>
              <w:pStyle w:val="Tabletext"/>
              <w:keepNext/>
              <w:spacing w:before="0" w:after="0"/>
              <w:ind w:left="1"/>
              <w:rPr>
                <w:b/>
                <w:i/>
              </w:rPr>
            </w:pPr>
            <w:r w:rsidRPr="00252425">
              <w:rPr>
                <w:i/>
              </w:rPr>
              <w:t>0.80 (0.20, 1.40)</w:t>
            </w:r>
          </w:p>
        </w:tc>
        <w:tc>
          <w:tcPr>
            <w:tcW w:w="663" w:type="pct"/>
            <w:tcBorders>
              <w:top w:val="single" w:sz="4" w:space="0" w:color="auto"/>
              <w:left w:val="single" w:sz="4" w:space="0" w:color="auto"/>
              <w:bottom w:val="single" w:sz="4" w:space="0" w:color="auto"/>
              <w:right w:val="single" w:sz="4" w:space="0" w:color="auto"/>
            </w:tcBorders>
            <w:hideMark/>
          </w:tcPr>
          <w:p w14:paraId="73BEA153" w14:textId="77777777" w:rsidR="00F87CC9" w:rsidRPr="00252425" w:rsidRDefault="00F87CC9" w:rsidP="00BD17AF">
            <w:pPr>
              <w:pStyle w:val="Tabletext"/>
              <w:keepNext/>
              <w:spacing w:before="0" w:after="0"/>
            </w:pPr>
            <w:r w:rsidRPr="00252425">
              <w:t>NR</w:t>
            </w:r>
          </w:p>
        </w:tc>
      </w:tr>
      <w:tr w:rsidR="00F87CC9" w:rsidRPr="00252425" w14:paraId="6E882367"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73D28CA3" w14:textId="77777777" w:rsidR="00F87CC9" w:rsidRPr="00252425" w:rsidRDefault="00F87CC9" w:rsidP="00BD17AF">
            <w:pPr>
              <w:pStyle w:val="Tabletext"/>
              <w:keepNext/>
              <w:spacing w:before="0" w:after="0"/>
              <w:rPr>
                <w:b/>
              </w:rPr>
            </w:pPr>
            <w:r w:rsidRPr="00252425">
              <w:rPr>
                <w:b/>
              </w:rPr>
              <w:t>Pooled result</w:t>
            </w:r>
          </w:p>
        </w:tc>
        <w:tc>
          <w:tcPr>
            <w:tcW w:w="329" w:type="pct"/>
            <w:tcBorders>
              <w:top w:val="single" w:sz="4" w:space="0" w:color="auto"/>
              <w:left w:val="single" w:sz="4" w:space="0" w:color="auto"/>
              <w:bottom w:val="single" w:sz="4" w:space="0" w:color="auto"/>
              <w:right w:val="single" w:sz="4" w:space="0" w:color="auto"/>
            </w:tcBorders>
            <w:vAlign w:val="center"/>
            <w:hideMark/>
          </w:tcPr>
          <w:p w14:paraId="6F6A3C87" w14:textId="77777777" w:rsidR="00F87CC9" w:rsidRPr="00252425" w:rsidRDefault="00F87CC9" w:rsidP="00BD17AF">
            <w:pPr>
              <w:pStyle w:val="Tabletext"/>
              <w:keepNext/>
              <w:spacing w:before="0" w:after="0"/>
              <w:rPr>
                <w:b/>
              </w:rPr>
            </w:pPr>
            <w:r w:rsidRPr="00252425">
              <w:rPr>
                <w:b/>
              </w:rPr>
              <w:t>33</w:t>
            </w:r>
          </w:p>
        </w:tc>
        <w:tc>
          <w:tcPr>
            <w:tcW w:w="831" w:type="pct"/>
            <w:tcBorders>
              <w:top w:val="single" w:sz="4" w:space="0" w:color="auto"/>
              <w:left w:val="single" w:sz="4" w:space="0" w:color="auto"/>
              <w:bottom w:val="single" w:sz="4" w:space="0" w:color="auto"/>
              <w:right w:val="single" w:sz="4" w:space="0" w:color="auto"/>
            </w:tcBorders>
            <w:vAlign w:val="center"/>
            <w:hideMark/>
          </w:tcPr>
          <w:p w14:paraId="59A0F5DC" w14:textId="77777777" w:rsidR="00F87CC9" w:rsidRPr="00252425" w:rsidRDefault="00F87CC9" w:rsidP="00BD17AF">
            <w:pPr>
              <w:pStyle w:val="Tabletext"/>
              <w:keepNext/>
              <w:spacing w:before="0" w:after="0"/>
              <w:rPr>
                <w:b/>
              </w:rPr>
            </w:pPr>
            <w:r w:rsidRPr="00252425">
              <w:rPr>
                <w:b/>
              </w:rPr>
              <w:t>4.63</w:t>
            </w:r>
          </w:p>
        </w:tc>
        <w:tc>
          <w:tcPr>
            <w:tcW w:w="339" w:type="pct"/>
            <w:tcBorders>
              <w:top w:val="single" w:sz="4" w:space="0" w:color="auto"/>
              <w:left w:val="single" w:sz="4" w:space="0" w:color="auto"/>
              <w:bottom w:val="single" w:sz="4" w:space="0" w:color="auto"/>
              <w:right w:val="single" w:sz="4" w:space="0" w:color="auto"/>
            </w:tcBorders>
            <w:vAlign w:val="center"/>
            <w:hideMark/>
          </w:tcPr>
          <w:p w14:paraId="0F04EBA4" w14:textId="77777777" w:rsidR="00F87CC9" w:rsidRPr="00252425" w:rsidRDefault="00F87CC9" w:rsidP="00BD17AF">
            <w:pPr>
              <w:pStyle w:val="Tabletext"/>
              <w:keepNext/>
              <w:spacing w:before="0" w:after="0"/>
              <w:rPr>
                <w:b/>
              </w:rPr>
            </w:pPr>
            <w:r w:rsidRPr="00252425">
              <w:rPr>
                <w:b/>
              </w:rPr>
              <w:t>44</w:t>
            </w:r>
          </w:p>
        </w:tc>
        <w:tc>
          <w:tcPr>
            <w:tcW w:w="784" w:type="pct"/>
            <w:tcBorders>
              <w:top w:val="single" w:sz="4" w:space="0" w:color="auto"/>
              <w:left w:val="single" w:sz="4" w:space="0" w:color="auto"/>
              <w:bottom w:val="single" w:sz="4" w:space="0" w:color="auto"/>
              <w:right w:val="single" w:sz="4" w:space="0" w:color="auto"/>
            </w:tcBorders>
            <w:vAlign w:val="center"/>
            <w:hideMark/>
          </w:tcPr>
          <w:p w14:paraId="4AD0A993" w14:textId="77777777" w:rsidR="00F87CC9" w:rsidRPr="00252425" w:rsidRDefault="00F87CC9" w:rsidP="00BD17AF">
            <w:pPr>
              <w:pStyle w:val="Tabletext"/>
              <w:keepNext/>
              <w:spacing w:before="0" w:after="0"/>
              <w:rPr>
                <w:b/>
              </w:rPr>
            </w:pPr>
            <w:r w:rsidRPr="00252425">
              <w:rPr>
                <w:b/>
              </w:rPr>
              <w:t>4.31</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420652AE" w14:textId="77777777" w:rsidR="00F87CC9" w:rsidRPr="00252425" w:rsidRDefault="00F87CC9" w:rsidP="00BD17AF">
            <w:pPr>
              <w:pStyle w:val="Tabletext"/>
              <w:keepNext/>
              <w:spacing w:before="0" w:after="0"/>
              <w:rPr>
                <w:i/>
                <w:vertAlign w:val="superscript"/>
              </w:rPr>
            </w:pPr>
            <w:r w:rsidRPr="00252425">
              <w:rPr>
                <w:i/>
              </w:rPr>
              <w:t>0.36 (-0.42, 1.14)</w:t>
            </w:r>
            <w:r w:rsidRPr="00252425">
              <w:rPr>
                <w:i/>
                <w:vertAlign w:val="superscript"/>
              </w:rPr>
              <w:t>c</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079EB4BB" w14:textId="77777777" w:rsidR="00F87CC9" w:rsidRPr="00252425" w:rsidRDefault="00F87CC9" w:rsidP="00BD17AF">
            <w:pPr>
              <w:pStyle w:val="Tabletext"/>
              <w:keepNext/>
              <w:spacing w:before="0" w:after="0"/>
              <w:rPr>
                <w:i/>
              </w:rPr>
            </w:pPr>
            <w:r w:rsidRPr="00252425">
              <w:rPr>
                <w:i/>
              </w:rPr>
              <w:t>0.37</w:t>
            </w:r>
          </w:p>
        </w:tc>
      </w:tr>
      <w:tr w:rsidR="00F87CC9" w:rsidRPr="00252425" w14:paraId="622A3E05" w14:textId="77777777" w:rsidTr="000943A6">
        <w:tc>
          <w:tcPr>
            <w:tcW w:w="3449" w:type="pct"/>
            <w:gridSpan w:val="5"/>
            <w:tcBorders>
              <w:top w:val="single" w:sz="4" w:space="0" w:color="auto"/>
              <w:left w:val="single" w:sz="4" w:space="0" w:color="auto"/>
              <w:bottom w:val="single" w:sz="4" w:space="0" w:color="auto"/>
              <w:right w:val="single" w:sz="4" w:space="0" w:color="auto"/>
            </w:tcBorders>
            <w:vAlign w:val="center"/>
            <w:hideMark/>
          </w:tcPr>
          <w:p w14:paraId="77C30C78" w14:textId="77777777" w:rsidR="00F87CC9" w:rsidRPr="00252425" w:rsidRDefault="00F87CC9" w:rsidP="00BD17AF">
            <w:pPr>
              <w:pStyle w:val="TableText0"/>
              <w:spacing w:before="0" w:after="0"/>
              <w:ind w:right="117"/>
              <w:rPr>
                <w:snapToGrid w:val="0"/>
              </w:rPr>
            </w:pPr>
            <w:r w:rsidRPr="00252425">
              <w:rPr>
                <w:snapToGrid w:val="0"/>
              </w:rPr>
              <w:t xml:space="preserve">Pooled result from random effects model: </w:t>
            </w:r>
          </w:p>
          <w:p w14:paraId="10C240B9" w14:textId="77777777" w:rsidR="00F87CC9" w:rsidRPr="00252425" w:rsidRDefault="00F87CC9" w:rsidP="00BD17AF">
            <w:pPr>
              <w:pStyle w:val="TableText0"/>
              <w:spacing w:before="0" w:after="0"/>
              <w:ind w:right="117"/>
              <w:rPr>
                <w:snapToGrid w:val="0"/>
              </w:rPr>
            </w:pPr>
            <w:r w:rsidRPr="00252425">
              <w:rPr>
                <w:rFonts w:cs="Calibri"/>
              </w:rPr>
              <w:t>Chi-square for heterogeneity: p = 0.02, I</w:t>
            </w:r>
            <w:r w:rsidRPr="00252425">
              <w:rPr>
                <w:rFonts w:cs="Calibri"/>
                <w:vertAlign w:val="superscript"/>
              </w:rPr>
              <w:t>2</w:t>
            </w:r>
            <w:r w:rsidRPr="00252425">
              <w:rPr>
                <w:rFonts w:cs="Calibri"/>
              </w:rPr>
              <w:t xml:space="preserve"> statistic = 80.85%</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0739A6B1" w14:textId="77777777" w:rsidR="00F87CC9" w:rsidRPr="00252425" w:rsidRDefault="00F87CC9" w:rsidP="00BD17AF">
            <w:pPr>
              <w:keepNext/>
              <w:rPr>
                <w:rFonts w:ascii="Arial Narrow" w:hAnsi="Arial Narrow"/>
                <w:i/>
                <w:vertAlign w:val="superscript"/>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49BC9198" w14:textId="77777777" w:rsidR="00F87CC9" w:rsidRPr="00252425" w:rsidRDefault="00F87CC9" w:rsidP="00BD17AF">
            <w:pPr>
              <w:keepNext/>
              <w:rPr>
                <w:rFonts w:ascii="Arial Narrow" w:hAnsi="Arial Narrow"/>
                <w:i/>
              </w:rPr>
            </w:pPr>
          </w:p>
        </w:tc>
      </w:tr>
      <w:tr w:rsidR="00F87CC9" w:rsidRPr="00252425" w14:paraId="7E01650C" w14:textId="77777777" w:rsidTr="000943A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99A42CD" w14:textId="77777777" w:rsidR="00F87CC9" w:rsidRPr="00252425" w:rsidRDefault="00F87CC9" w:rsidP="00BD17AF">
            <w:pPr>
              <w:pStyle w:val="Tabletext"/>
              <w:keepNext/>
              <w:spacing w:before="0" w:after="0"/>
            </w:pPr>
            <w:r w:rsidRPr="00252425">
              <w:rPr>
                <w:b/>
                <w:snapToGrid w:val="0"/>
              </w:rPr>
              <w:t>Satisfaction</w:t>
            </w:r>
          </w:p>
        </w:tc>
      </w:tr>
      <w:tr w:rsidR="00F87CC9" w:rsidRPr="00252425" w14:paraId="187C53B9" w14:textId="77777777" w:rsidTr="000943A6">
        <w:tc>
          <w:tcPr>
            <w:tcW w:w="1166" w:type="pct"/>
            <w:tcBorders>
              <w:top w:val="single" w:sz="4" w:space="0" w:color="auto"/>
              <w:left w:val="single" w:sz="4" w:space="0" w:color="auto"/>
              <w:bottom w:val="single" w:sz="4" w:space="0" w:color="auto"/>
              <w:right w:val="single" w:sz="4" w:space="0" w:color="auto"/>
            </w:tcBorders>
            <w:hideMark/>
          </w:tcPr>
          <w:p w14:paraId="168E6E81" w14:textId="77777777" w:rsidR="00F87CC9" w:rsidRPr="00252425" w:rsidRDefault="00F87CC9" w:rsidP="00BD17AF">
            <w:pPr>
              <w:pStyle w:val="Tabletext"/>
              <w:keepNext/>
              <w:spacing w:before="0" w:after="0"/>
              <w:rPr>
                <w:vertAlign w:val="superscript"/>
              </w:rPr>
            </w:pPr>
            <w:r w:rsidRPr="00252425">
              <w:t>Newton (2020)</w:t>
            </w:r>
          </w:p>
        </w:tc>
        <w:tc>
          <w:tcPr>
            <w:tcW w:w="329" w:type="pct"/>
            <w:tcBorders>
              <w:top w:val="single" w:sz="4" w:space="0" w:color="auto"/>
              <w:left w:val="single" w:sz="4" w:space="0" w:color="auto"/>
              <w:bottom w:val="single" w:sz="4" w:space="0" w:color="auto"/>
              <w:right w:val="single" w:sz="4" w:space="0" w:color="auto"/>
            </w:tcBorders>
            <w:hideMark/>
          </w:tcPr>
          <w:p w14:paraId="71320920" w14:textId="77777777" w:rsidR="00F87CC9" w:rsidRPr="00252425" w:rsidRDefault="00F87CC9" w:rsidP="00BD17AF">
            <w:pPr>
              <w:pStyle w:val="Tabletext"/>
              <w:keepNext/>
              <w:spacing w:before="0" w:after="0"/>
            </w:pPr>
            <w:r w:rsidRPr="00252425">
              <w:t>12</w:t>
            </w:r>
          </w:p>
        </w:tc>
        <w:tc>
          <w:tcPr>
            <w:tcW w:w="831" w:type="pct"/>
            <w:tcBorders>
              <w:top w:val="single" w:sz="4" w:space="0" w:color="auto"/>
              <w:left w:val="single" w:sz="4" w:space="0" w:color="auto"/>
              <w:bottom w:val="single" w:sz="4" w:space="0" w:color="auto"/>
              <w:right w:val="single" w:sz="4" w:space="0" w:color="auto"/>
            </w:tcBorders>
            <w:hideMark/>
          </w:tcPr>
          <w:p w14:paraId="27950EA8" w14:textId="77777777" w:rsidR="00F87CC9" w:rsidRPr="00252425" w:rsidRDefault="00F87CC9" w:rsidP="00BD17AF">
            <w:pPr>
              <w:pStyle w:val="Tabletext"/>
              <w:keepNext/>
              <w:spacing w:before="0" w:after="0"/>
            </w:pPr>
            <w:r w:rsidRPr="00252425">
              <w:t>4.3 (0.7)</w:t>
            </w:r>
          </w:p>
        </w:tc>
        <w:tc>
          <w:tcPr>
            <w:tcW w:w="339" w:type="pct"/>
            <w:tcBorders>
              <w:top w:val="single" w:sz="4" w:space="0" w:color="auto"/>
              <w:left w:val="single" w:sz="4" w:space="0" w:color="auto"/>
              <w:bottom w:val="single" w:sz="4" w:space="0" w:color="auto"/>
              <w:right w:val="single" w:sz="4" w:space="0" w:color="auto"/>
            </w:tcBorders>
            <w:hideMark/>
          </w:tcPr>
          <w:p w14:paraId="1C600A97" w14:textId="77777777" w:rsidR="00F87CC9" w:rsidRPr="00252425" w:rsidRDefault="00F87CC9" w:rsidP="00BD17AF">
            <w:pPr>
              <w:pStyle w:val="Tabletext"/>
              <w:keepNext/>
              <w:spacing w:before="0" w:after="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2B83083E" w14:textId="77777777" w:rsidR="00F87CC9" w:rsidRPr="00252425" w:rsidRDefault="00F87CC9" w:rsidP="00BD17AF">
            <w:pPr>
              <w:pStyle w:val="Tabletext"/>
              <w:keepNext/>
              <w:spacing w:before="0" w:after="0"/>
            </w:pPr>
            <w:r w:rsidRPr="00252425">
              <w:t>4.7 (0.7)</w:t>
            </w:r>
          </w:p>
        </w:tc>
        <w:tc>
          <w:tcPr>
            <w:tcW w:w="888" w:type="pct"/>
            <w:tcBorders>
              <w:top w:val="single" w:sz="4" w:space="0" w:color="auto"/>
              <w:left w:val="single" w:sz="4" w:space="0" w:color="auto"/>
              <w:bottom w:val="single" w:sz="4" w:space="0" w:color="auto"/>
              <w:right w:val="single" w:sz="4" w:space="0" w:color="auto"/>
            </w:tcBorders>
            <w:vAlign w:val="center"/>
            <w:hideMark/>
          </w:tcPr>
          <w:p w14:paraId="5CDFEDA4" w14:textId="77777777" w:rsidR="00F87CC9" w:rsidRPr="00252425" w:rsidRDefault="00F87CC9" w:rsidP="00BD17AF">
            <w:pPr>
              <w:pStyle w:val="Tabletext"/>
              <w:keepNext/>
              <w:spacing w:before="0" w:after="0"/>
              <w:rPr>
                <w:i/>
              </w:rPr>
            </w:pPr>
            <w:r w:rsidRPr="00252425">
              <w:rPr>
                <w:i/>
              </w:rPr>
              <w:t>-0.40 (-0.89, 0.09)</w:t>
            </w:r>
          </w:p>
        </w:tc>
        <w:tc>
          <w:tcPr>
            <w:tcW w:w="663" w:type="pct"/>
            <w:tcBorders>
              <w:top w:val="single" w:sz="4" w:space="0" w:color="auto"/>
              <w:left w:val="single" w:sz="4" w:space="0" w:color="auto"/>
              <w:bottom w:val="single" w:sz="4" w:space="0" w:color="auto"/>
              <w:right w:val="single" w:sz="4" w:space="0" w:color="auto"/>
            </w:tcBorders>
            <w:hideMark/>
          </w:tcPr>
          <w:p w14:paraId="15AC927C" w14:textId="77777777" w:rsidR="00F87CC9" w:rsidRPr="00252425" w:rsidRDefault="00F87CC9" w:rsidP="00BD17AF">
            <w:pPr>
              <w:pStyle w:val="Tabletext"/>
              <w:keepNext/>
              <w:spacing w:before="0" w:after="0"/>
              <w:rPr>
                <w:vertAlign w:val="superscript"/>
              </w:rPr>
            </w:pPr>
            <w:r w:rsidRPr="00252425">
              <w:t>0.053</w:t>
            </w:r>
          </w:p>
        </w:tc>
      </w:tr>
      <w:tr w:rsidR="00F87CC9" w:rsidRPr="00252425" w14:paraId="7C9381F0"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74A4AE48" w14:textId="77777777" w:rsidR="00F87CC9" w:rsidRPr="00252425" w:rsidRDefault="00F87CC9" w:rsidP="00BD17AF">
            <w:pPr>
              <w:pStyle w:val="Tabletext"/>
              <w:keepNext/>
              <w:spacing w:before="0" w:after="0"/>
            </w:pPr>
            <w:r w:rsidRPr="00252425">
              <w:t>Pehlivanoglu (2021)</w:t>
            </w:r>
          </w:p>
        </w:tc>
        <w:tc>
          <w:tcPr>
            <w:tcW w:w="329" w:type="pct"/>
            <w:tcBorders>
              <w:top w:val="single" w:sz="4" w:space="0" w:color="auto"/>
              <w:left w:val="single" w:sz="4" w:space="0" w:color="auto"/>
              <w:bottom w:val="single" w:sz="4" w:space="0" w:color="auto"/>
              <w:right w:val="single" w:sz="4" w:space="0" w:color="auto"/>
            </w:tcBorders>
            <w:hideMark/>
          </w:tcPr>
          <w:p w14:paraId="6CBEE455" w14:textId="77777777" w:rsidR="00F87CC9" w:rsidRPr="00252425" w:rsidRDefault="00F87CC9" w:rsidP="00BD17AF">
            <w:pPr>
              <w:pStyle w:val="Tabletext"/>
              <w:keepNext/>
              <w:spacing w:before="0" w:after="0"/>
              <w:ind w:left="61"/>
            </w:pPr>
            <w:r w:rsidRPr="00252425">
              <w:t>21</w:t>
            </w:r>
          </w:p>
        </w:tc>
        <w:tc>
          <w:tcPr>
            <w:tcW w:w="831" w:type="pct"/>
            <w:tcBorders>
              <w:top w:val="single" w:sz="4" w:space="0" w:color="auto"/>
              <w:left w:val="single" w:sz="4" w:space="0" w:color="auto"/>
              <w:bottom w:val="single" w:sz="4" w:space="0" w:color="auto"/>
              <w:right w:val="single" w:sz="4" w:space="0" w:color="auto"/>
            </w:tcBorders>
            <w:hideMark/>
          </w:tcPr>
          <w:p w14:paraId="724A8B89" w14:textId="77777777" w:rsidR="00F87CC9" w:rsidRPr="00252425" w:rsidRDefault="00F87CC9" w:rsidP="00BD17AF">
            <w:pPr>
              <w:pStyle w:val="Tabletext"/>
              <w:keepNext/>
              <w:spacing w:before="0" w:after="0"/>
            </w:pPr>
            <w:r w:rsidRPr="00252425">
              <w:t>4.9 (1</w:t>
            </w:r>
            <w:r w:rsidRPr="00252425">
              <w:rPr>
                <w:vertAlign w:val="superscript"/>
              </w:rPr>
              <w:t>b</w:t>
            </w:r>
            <w:r w:rsidRPr="00252425">
              <w:t>)</w:t>
            </w:r>
          </w:p>
        </w:tc>
        <w:tc>
          <w:tcPr>
            <w:tcW w:w="339" w:type="pct"/>
            <w:tcBorders>
              <w:top w:val="single" w:sz="4" w:space="0" w:color="auto"/>
              <w:left w:val="single" w:sz="4" w:space="0" w:color="auto"/>
              <w:bottom w:val="single" w:sz="4" w:space="0" w:color="auto"/>
              <w:right w:val="single" w:sz="4" w:space="0" w:color="auto"/>
            </w:tcBorders>
            <w:hideMark/>
          </w:tcPr>
          <w:p w14:paraId="30D7EDF2" w14:textId="77777777" w:rsidR="00F87CC9" w:rsidRPr="00252425" w:rsidRDefault="00F87CC9" w:rsidP="00BD17AF">
            <w:pPr>
              <w:pStyle w:val="Tabletext"/>
              <w:keepNext/>
              <w:spacing w:before="0" w:after="0"/>
              <w:ind w:hanging="72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66D03B66" w14:textId="77777777" w:rsidR="00F87CC9" w:rsidRPr="00252425" w:rsidRDefault="00F87CC9" w:rsidP="00BD17AF">
            <w:pPr>
              <w:pStyle w:val="Tabletext"/>
              <w:keepNext/>
              <w:spacing w:before="0" w:after="0"/>
            </w:pPr>
            <w:r w:rsidRPr="00252425">
              <w:t>3.6 (1</w:t>
            </w:r>
            <w:r w:rsidRPr="00252425">
              <w:rPr>
                <w:vertAlign w:val="superscript"/>
              </w:rPr>
              <w:t>b</w:t>
            </w:r>
            <w:r w:rsidRPr="00252425">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5D8393C4" w14:textId="77777777" w:rsidR="00F87CC9" w:rsidRPr="00252425" w:rsidRDefault="00F87CC9" w:rsidP="00BD17AF">
            <w:pPr>
              <w:pStyle w:val="Tabletext"/>
              <w:keepNext/>
              <w:spacing w:before="0" w:after="0"/>
              <w:ind w:left="1"/>
              <w:rPr>
                <w:b/>
                <w:i/>
              </w:rPr>
            </w:pPr>
            <w:r w:rsidRPr="00252425">
              <w:rPr>
                <w:i/>
              </w:rPr>
              <w:t>1.30 (0.70, 1.90)</w:t>
            </w:r>
          </w:p>
        </w:tc>
        <w:tc>
          <w:tcPr>
            <w:tcW w:w="663" w:type="pct"/>
            <w:tcBorders>
              <w:top w:val="single" w:sz="4" w:space="0" w:color="auto"/>
              <w:left w:val="single" w:sz="4" w:space="0" w:color="auto"/>
              <w:bottom w:val="single" w:sz="4" w:space="0" w:color="auto"/>
              <w:right w:val="single" w:sz="4" w:space="0" w:color="auto"/>
            </w:tcBorders>
            <w:hideMark/>
          </w:tcPr>
          <w:p w14:paraId="1BC8ACA2" w14:textId="77777777" w:rsidR="00F87CC9" w:rsidRPr="00252425" w:rsidRDefault="00F87CC9" w:rsidP="00BD17AF">
            <w:pPr>
              <w:pStyle w:val="Tabletext"/>
              <w:keepNext/>
              <w:spacing w:before="0" w:after="0"/>
            </w:pPr>
            <w:r w:rsidRPr="00252425">
              <w:t>NR</w:t>
            </w:r>
          </w:p>
        </w:tc>
      </w:tr>
      <w:tr w:rsidR="00F87CC9" w:rsidRPr="00252425" w14:paraId="2EB9AC2A"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41ECD224" w14:textId="77777777" w:rsidR="00F87CC9" w:rsidRPr="00252425" w:rsidRDefault="00F87CC9" w:rsidP="00BD17AF">
            <w:pPr>
              <w:pStyle w:val="Tabletext"/>
              <w:keepNext/>
              <w:spacing w:before="0" w:after="0"/>
              <w:rPr>
                <w:b/>
              </w:rPr>
            </w:pPr>
            <w:r w:rsidRPr="00252425">
              <w:rPr>
                <w:b/>
              </w:rPr>
              <w:t>Pooled result</w:t>
            </w:r>
          </w:p>
        </w:tc>
        <w:tc>
          <w:tcPr>
            <w:tcW w:w="329" w:type="pct"/>
            <w:tcBorders>
              <w:top w:val="single" w:sz="4" w:space="0" w:color="auto"/>
              <w:left w:val="single" w:sz="4" w:space="0" w:color="auto"/>
              <w:bottom w:val="single" w:sz="4" w:space="0" w:color="auto"/>
              <w:right w:val="single" w:sz="4" w:space="0" w:color="auto"/>
            </w:tcBorders>
            <w:vAlign w:val="center"/>
            <w:hideMark/>
          </w:tcPr>
          <w:p w14:paraId="354695F5" w14:textId="77777777" w:rsidR="00F87CC9" w:rsidRPr="00252425" w:rsidRDefault="00F87CC9" w:rsidP="00BD17AF">
            <w:pPr>
              <w:pStyle w:val="Tabletext"/>
              <w:keepNext/>
              <w:spacing w:before="0" w:after="0"/>
              <w:rPr>
                <w:b/>
              </w:rPr>
            </w:pPr>
            <w:r w:rsidRPr="00252425">
              <w:rPr>
                <w:b/>
              </w:rPr>
              <w:t>33</w:t>
            </w:r>
          </w:p>
        </w:tc>
        <w:tc>
          <w:tcPr>
            <w:tcW w:w="831" w:type="pct"/>
            <w:tcBorders>
              <w:top w:val="single" w:sz="4" w:space="0" w:color="auto"/>
              <w:left w:val="single" w:sz="4" w:space="0" w:color="auto"/>
              <w:bottom w:val="single" w:sz="4" w:space="0" w:color="auto"/>
              <w:right w:val="single" w:sz="4" w:space="0" w:color="auto"/>
            </w:tcBorders>
            <w:vAlign w:val="center"/>
            <w:hideMark/>
          </w:tcPr>
          <w:p w14:paraId="6FF39A8A" w14:textId="77777777" w:rsidR="00F87CC9" w:rsidRPr="00252425" w:rsidRDefault="00F87CC9" w:rsidP="00BD17AF">
            <w:pPr>
              <w:pStyle w:val="Tabletext"/>
              <w:keepNext/>
              <w:spacing w:before="0" w:after="0"/>
              <w:rPr>
                <w:b/>
              </w:rPr>
            </w:pPr>
            <w:r w:rsidRPr="00252425">
              <w:rPr>
                <w:b/>
              </w:rPr>
              <w:t>4.59</w:t>
            </w:r>
          </w:p>
        </w:tc>
        <w:tc>
          <w:tcPr>
            <w:tcW w:w="339" w:type="pct"/>
            <w:tcBorders>
              <w:top w:val="single" w:sz="4" w:space="0" w:color="auto"/>
              <w:left w:val="single" w:sz="4" w:space="0" w:color="auto"/>
              <w:bottom w:val="single" w:sz="4" w:space="0" w:color="auto"/>
              <w:right w:val="single" w:sz="4" w:space="0" w:color="auto"/>
            </w:tcBorders>
            <w:vAlign w:val="center"/>
            <w:hideMark/>
          </w:tcPr>
          <w:p w14:paraId="6F7C855C" w14:textId="77777777" w:rsidR="00F87CC9" w:rsidRPr="00252425" w:rsidRDefault="00F87CC9" w:rsidP="00BD17AF">
            <w:pPr>
              <w:pStyle w:val="Tabletext"/>
              <w:keepNext/>
              <w:spacing w:before="0" w:after="0"/>
              <w:rPr>
                <w:b/>
              </w:rPr>
            </w:pPr>
            <w:r w:rsidRPr="00252425">
              <w:rPr>
                <w:b/>
              </w:rPr>
              <w:t>44</w:t>
            </w:r>
          </w:p>
        </w:tc>
        <w:tc>
          <w:tcPr>
            <w:tcW w:w="784" w:type="pct"/>
            <w:tcBorders>
              <w:top w:val="single" w:sz="4" w:space="0" w:color="auto"/>
              <w:left w:val="single" w:sz="4" w:space="0" w:color="auto"/>
              <w:bottom w:val="single" w:sz="4" w:space="0" w:color="auto"/>
              <w:right w:val="single" w:sz="4" w:space="0" w:color="auto"/>
            </w:tcBorders>
            <w:vAlign w:val="center"/>
            <w:hideMark/>
          </w:tcPr>
          <w:p w14:paraId="1715038D" w14:textId="77777777" w:rsidR="00F87CC9" w:rsidRPr="00252425" w:rsidRDefault="00F87CC9" w:rsidP="00BD17AF">
            <w:pPr>
              <w:pStyle w:val="Tabletext"/>
              <w:keepNext/>
              <w:spacing w:before="0" w:after="0"/>
              <w:rPr>
                <w:b/>
              </w:rPr>
            </w:pPr>
            <w:r w:rsidRPr="00252425">
              <w:rPr>
                <w:b/>
              </w:rPr>
              <w:t>4.17</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1C35E5B5" w14:textId="77777777" w:rsidR="00F87CC9" w:rsidRPr="00252425" w:rsidRDefault="00F87CC9" w:rsidP="00BD17AF">
            <w:pPr>
              <w:pStyle w:val="Tabletext"/>
              <w:keepNext/>
              <w:spacing w:before="0" w:after="0"/>
              <w:rPr>
                <w:i/>
                <w:vertAlign w:val="superscript"/>
              </w:rPr>
            </w:pPr>
            <w:r w:rsidRPr="00252425">
              <w:rPr>
                <w:i/>
              </w:rPr>
              <w:t>0.44 (-1.23, 2.10)</w:t>
            </w:r>
            <w:r w:rsidRPr="00252425">
              <w:rPr>
                <w:i/>
                <w:vertAlign w:val="superscript"/>
              </w:rPr>
              <w:t>c</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5ABA0E0B" w14:textId="77777777" w:rsidR="00F87CC9" w:rsidRPr="00252425" w:rsidRDefault="00F87CC9" w:rsidP="00BD17AF">
            <w:pPr>
              <w:pStyle w:val="Tabletext"/>
              <w:keepNext/>
              <w:spacing w:before="0" w:after="0"/>
              <w:rPr>
                <w:i/>
              </w:rPr>
            </w:pPr>
            <w:r w:rsidRPr="00252425">
              <w:rPr>
                <w:i/>
              </w:rPr>
              <w:t>0.61</w:t>
            </w:r>
          </w:p>
        </w:tc>
      </w:tr>
      <w:tr w:rsidR="00F87CC9" w:rsidRPr="00252425" w14:paraId="5DB2B63D" w14:textId="77777777" w:rsidTr="000943A6">
        <w:tc>
          <w:tcPr>
            <w:tcW w:w="3449" w:type="pct"/>
            <w:gridSpan w:val="5"/>
            <w:tcBorders>
              <w:top w:val="single" w:sz="4" w:space="0" w:color="auto"/>
              <w:left w:val="single" w:sz="4" w:space="0" w:color="auto"/>
              <w:bottom w:val="single" w:sz="4" w:space="0" w:color="auto"/>
              <w:right w:val="single" w:sz="4" w:space="0" w:color="auto"/>
            </w:tcBorders>
            <w:vAlign w:val="center"/>
            <w:hideMark/>
          </w:tcPr>
          <w:p w14:paraId="240E9DE0" w14:textId="77777777" w:rsidR="00F87CC9" w:rsidRPr="00252425" w:rsidRDefault="00F87CC9" w:rsidP="00BD17AF">
            <w:pPr>
              <w:pStyle w:val="TableText0"/>
              <w:spacing w:before="0" w:after="0"/>
              <w:ind w:right="117"/>
              <w:rPr>
                <w:snapToGrid w:val="0"/>
              </w:rPr>
            </w:pPr>
            <w:r w:rsidRPr="00252425">
              <w:rPr>
                <w:snapToGrid w:val="0"/>
              </w:rPr>
              <w:t xml:space="preserve">Pooled result from random effects model: </w:t>
            </w:r>
          </w:p>
          <w:p w14:paraId="5FCB7350" w14:textId="77777777" w:rsidR="00F87CC9" w:rsidRPr="00252425" w:rsidRDefault="00F87CC9" w:rsidP="00BD17AF">
            <w:pPr>
              <w:pStyle w:val="TableText0"/>
              <w:spacing w:before="0" w:after="0"/>
              <w:ind w:right="117"/>
              <w:rPr>
                <w:snapToGrid w:val="0"/>
              </w:rPr>
            </w:pPr>
            <w:r w:rsidRPr="00252425">
              <w:rPr>
                <w:rFonts w:cs="Calibri"/>
              </w:rPr>
              <w:t>Chi-square for heterogeneity: p = 0.00, I</w:t>
            </w:r>
            <w:r w:rsidRPr="00252425">
              <w:rPr>
                <w:rFonts w:cs="Calibri"/>
                <w:vertAlign w:val="superscript"/>
              </w:rPr>
              <w:t>2</w:t>
            </w:r>
            <w:r w:rsidRPr="00252425">
              <w:rPr>
                <w:rFonts w:cs="Calibri"/>
              </w:rPr>
              <w:t xml:space="preserve"> statistic = 95.30%</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1B13B535" w14:textId="77777777" w:rsidR="00F87CC9" w:rsidRPr="00252425" w:rsidRDefault="00F87CC9" w:rsidP="00BD17AF">
            <w:pPr>
              <w:keepNext/>
              <w:rPr>
                <w:rFonts w:ascii="Arial Narrow" w:hAnsi="Arial Narrow"/>
                <w:i/>
                <w:vertAlign w:val="superscript"/>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5E1B705E" w14:textId="77777777" w:rsidR="00F87CC9" w:rsidRPr="00252425" w:rsidRDefault="00F87CC9" w:rsidP="00BD17AF">
            <w:pPr>
              <w:keepNext/>
              <w:rPr>
                <w:rFonts w:ascii="Arial Narrow" w:hAnsi="Arial Narrow"/>
                <w:i/>
              </w:rPr>
            </w:pPr>
          </w:p>
        </w:tc>
      </w:tr>
      <w:tr w:rsidR="00F87CC9" w:rsidRPr="00252425" w14:paraId="05A5CD0D" w14:textId="77777777" w:rsidTr="000943A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C06382C" w14:textId="77777777" w:rsidR="00F87CC9" w:rsidRPr="00252425" w:rsidRDefault="00F87CC9" w:rsidP="00BD17AF">
            <w:pPr>
              <w:pStyle w:val="Tabletext"/>
              <w:keepNext/>
              <w:spacing w:before="0" w:after="0"/>
            </w:pPr>
            <w:r w:rsidRPr="00252425">
              <w:rPr>
                <w:b/>
                <w:snapToGrid w:val="0"/>
              </w:rPr>
              <w:t>Self Image</w:t>
            </w:r>
          </w:p>
        </w:tc>
      </w:tr>
      <w:tr w:rsidR="00F87CC9" w:rsidRPr="00252425" w14:paraId="1AD4BD53" w14:textId="77777777" w:rsidTr="000943A6">
        <w:tc>
          <w:tcPr>
            <w:tcW w:w="1166" w:type="pct"/>
            <w:tcBorders>
              <w:top w:val="single" w:sz="4" w:space="0" w:color="auto"/>
              <w:left w:val="single" w:sz="4" w:space="0" w:color="auto"/>
              <w:bottom w:val="single" w:sz="4" w:space="0" w:color="auto"/>
              <w:right w:val="single" w:sz="4" w:space="0" w:color="auto"/>
            </w:tcBorders>
            <w:hideMark/>
          </w:tcPr>
          <w:p w14:paraId="44B80FC3" w14:textId="77777777" w:rsidR="00F87CC9" w:rsidRPr="00252425" w:rsidRDefault="00F87CC9" w:rsidP="00BD17AF">
            <w:pPr>
              <w:pStyle w:val="Tabletext"/>
              <w:keepNext/>
              <w:spacing w:before="0" w:after="0"/>
              <w:rPr>
                <w:vertAlign w:val="superscript"/>
              </w:rPr>
            </w:pPr>
            <w:r w:rsidRPr="00252425">
              <w:t>Newton (2020)</w:t>
            </w:r>
          </w:p>
        </w:tc>
        <w:tc>
          <w:tcPr>
            <w:tcW w:w="329" w:type="pct"/>
            <w:tcBorders>
              <w:top w:val="single" w:sz="4" w:space="0" w:color="auto"/>
              <w:left w:val="single" w:sz="4" w:space="0" w:color="auto"/>
              <w:bottom w:val="single" w:sz="4" w:space="0" w:color="auto"/>
              <w:right w:val="single" w:sz="4" w:space="0" w:color="auto"/>
            </w:tcBorders>
            <w:hideMark/>
          </w:tcPr>
          <w:p w14:paraId="644193D7" w14:textId="77777777" w:rsidR="00F87CC9" w:rsidRPr="00252425" w:rsidRDefault="00F87CC9" w:rsidP="00BD17AF">
            <w:pPr>
              <w:pStyle w:val="Tabletext"/>
              <w:keepNext/>
              <w:spacing w:before="0" w:after="0"/>
            </w:pPr>
            <w:r w:rsidRPr="00252425">
              <w:t>12</w:t>
            </w:r>
          </w:p>
        </w:tc>
        <w:tc>
          <w:tcPr>
            <w:tcW w:w="831" w:type="pct"/>
            <w:tcBorders>
              <w:top w:val="single" w:sz="4" w:space="0" w:color="auto"/>
              <w:left w:val="single" w:sz="4" w:space="0" w:color="auto"/>
              <w:bottom w:val="single" w:sz="4" w:space="0" w:color="auto"/>
              <w:right w:val="single" w:sz="4" w:space="0" w:color="auto"/>
            </w:tcBorders>
            <w:hideMark/>
          </w:tcPr>
          <w:p w14:paraId="42D17D71" w14:textId="77777777" w:rsidR="00F87CC9" w:rsidRPr="00252425" w:rsidRDefault="00F87CC9" w:rsidP="00BD17AF">
            <w:pPr>
              <w:pStyle w:val="Tabletext"/>
              <w:keepNext/>
              <w:spacing w:before="0" w:after="0"/>
            </w:pPr>
            <w:r w:rsidRPr="00252425">
              <w:t>4.2 (0.4)</w:t>
            </w:r>
          </w:p>
        </w:tc>
        <w:tc>
          <w:tcPr>
            <w:tcW w:w="339" w:type="pct"/>
            <w:tcBorders>
              <w:top w:val="single" w:sz="4" w:space="0" w:color="auto"/>
              <w:left w:val="single" w:sz="4" w:space="0" w:color="auto"/>
              <w:bottom w:val="single" w:sz="4" w:space="0" w:color="auto"/>
              <w:right w:val="single" w:sz="4" w:space="0" w:color="auto"/>
            </w:tcBorders>
            <w:hideMark/>
          </w:tcPr>
          <w:p w14:paraId="79C625D3" w14:textId="77777777" w:rsidR="00F87CC9" w:rsidRPr="00252425" w:rsidRDefault="00F87CC9" w:rsidP="00BD17AF">
            <w:pPr>
              <w:pStyle w:val="Tabletext"/>
              <w:keepNext/>
              <w:spacing w:before="0" w:after="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41A5FE52" w14:textId="77777777" w:rsidR="00F87CC9" w:rsidRPr="00252425" w:rsidRDefault="00F87CC9" w:rsidP="00BD17AF">
            <w:pPr>
              <w:pStyle w:val="Tabletext"/>
              <w:keepNext/>
              <w:spacing w:before="0" w:after="0"/>
            </w:pPr>
            <w:r w:rsidRPr="00252425">
              <w:t>4.4 (0.4)</w:t>
            </w:r>
          </w:p>
        </w:tc>
        <w:tc>
          <w:tcPr>
            <w:tcW w:w="888" w:type="pct"/>
            <w:tcBorders>
              <w:top w:val="single" w:sz="4" w:space="0" w:color="auto"/>
              <w:left w:val="single" w:sz="4" w:space="0" w:color="auto"/>
              <w:bottom w:val="single" w:sz="4" w:space="0" w:color="auto"/>
              <w:right w:val="single" w:sz="4" w:space="0" w:color="auto"/>
            </w:tcBorders>
            <w:vAlign w:val="center"/>
            <w:hideMark/>
          </w:tcPr>
          <w:p w14:paraId="181A7492" w14:textId="77777777" w:rsidR="00F87CC9" w:rsidRPr="00252425" w:rsidRDefault="00F87CC9" w:rsidP="00BD17AF">
            <w:pPr>
              <w:pStyle w:val="Tabletext"/>
              <w:keepNext/>
              <w:spacing w:before="0" w:after="0"/>
              <w:rPr>
                <w:i/>
              </w:rPr>
            </w:pPr>
            <w:r w:rsidRPr="00252425">
              <w:rPr>
                <w:i/>
              </w:rPr>
              <w:t>-0.30 (-0.79, 0.19)</w:t>
            </w:r>
          </w:p>
        </w:tc>
        <w:tc>
          <w:tcPr>
            <w:tcW w:w="663" w:type="pct"/>
            <w:tcBorders>
              <w:top w:val="single" w:sz="4" w:space="0" w:color="auto"/>
              <w:left w:val="single" w:sz="4" w:space="0" w:color="auto"/>
              <w:bottom w:val="single" w:sz="4" w:space="0" w:color="auto"/>
              <w:right w:val="single" w:sz="4" w:space="0" w:color="auto"/>
            </w:tcBorders>
            <w:hideMark/>
          </w:tcPr>
          <w:p w14:paraId="49F6C447" w14:textId="77777777" w:rsidR="00F87CC9" w:rsidRPr="00252425" w:rsidRDefault="00F87CC9" w:rsidP="00BD17AF">
            <w:pPr>
              <w:pStyle w:val="Tabletext"/>
              <w:keepNext/>
              <w:spacing w:before="0" w:after="0"/>
              <w:rPr>
                <w:vertAlign w:val="superscript"/>
              </w:rPr>
            </w:pPr>
            <w:r w:rsidRPr="00252425">
              <w:t>0.29</w:t>
            </w:r>
          </w:p>
        </w:tc>
      </w:tr>
      <w:tr w:rsidR="00F87CC9" w:rsidRPr="00252425" w14:paraId="440376AD"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6E6FD159" w14:textId="77777777" w:rsidR="00F87CC9" w:rsidRPr="00252425" w:rsidRDefault="00F87CC9" w:rsidP="00BD17AF">
            <w:pPr>
              <w:pStyle w:val="Tabletext"/>
              <w:keepNext/>
              <w:spacing w:before="0" w:after="0"/>
            </w:pPr>
            <w:r w:rsidRPr="00252425">
              <w:t>Pehlivanoglu (2021)</w:t>
            </w:r>
          </w:p>
        </w:tc>
        <w:tc>
          <w:tcPr>
            <w:tcW w:w="329" w:type="pct"/>
            <w:tcBorders>
              <w:top w:val="single" w:sz="4" w:space="0" w:color="auto"/>
              <w:left w:val="single" w:sz="4" w:space="0" w:color="auto"/>
              <w:bottom w:val="single" w:sz="4" w:space="0" w:color="auto"/>
              <w:right w:val="single" w:sz="4" w:space="0" w:color="auto"/>
            </w:tcBorders>
            <w:hideMark/>
          </w:tcPr>
          <w:p w14:paraId="52BF2603" w14:textId="77777777" w:rsidR="00F87CC9" w:rsidRPr="00252425" w:rsidRDefault="00F87CC9" w:rsidP="00BD17AF">
            <w:pPr>
              <w:pStyle w:val="Tabletext"/>
              <w:keepNext/>
              <w:spacing w:before="0" w:after="0"/>
              <w:ind w:left="61"/>
            </w:pPr>
            <w:r w:rsidRPr="00252425">
              <w:t>21</w:t>
            </w:r>
          </w:p>
        </w:tc>
        <w:tc>
          <w:tcPr>
            <w:tcW w:w="831" w:type="pct"/>
            <w:tcBorders>
              <w:top w:val="single" w:sz="4" w:space="0" w:color="auto"/>
              <w:left w:val="single" w:sz="4" w:space="0" w:color="auto"/>
              <w:bottom w:val="single" w:sz="4" w:space="0" w:color="auto"/>
              <w:right w:val="single" w:sz="4" w:space="0" w:color="auto"/>
            </w:tcBorders>
            <w:hideMark/>
          </w:tcPr>
          <w:p w14:paraId="0A222379" w14:textId="77777777" w:rsidR="00F87CC9" w:rsidRPr="00252425" w:rsidRDefault="00F87CC9" w:rsidP="00BD17AF">
            <w:pPr>
              <w:pStyle w:val="Tabletext"/>
              <w:keepNext/>
              <w:spacing w:before="0" w:after="0"/>
            </w:pPr>
            <w:r w:rsidRPr="00252425">
              <w:t>4.8 (1</w:t>
            </w:r>
            <w:r w:rsidRPr="00252425">
              <w:rPr>
                <w:vertAlign w:val="superscript"/>
              </w:rPr>
              <w:t>b</w:t>
            </w:r>
            <w:r w:rsidRPr="00252425">
              <w:t>)</w:t>
            </w:r>
          </w:p>
        </w:tc>
        <w:tc>
          <w:tcPr>
            <w:tcW w:w="339" w:type="pct"/>
            <w:tcBorders>
              <w:top w:val="single" w:sz="4" w:space="0" w:color="auto"/>
              <w:left w:val="single" w:sz="4" w:space="0" w:color="auto"/>
              <w:bottom w:val="single" w:sz="4" w:space="0" w:color="auto"/>
              <w:right w:val="single" w:sz="4" w:space="0" w:color="auto"/>
            </w:tcBorders>
            <w:hideMark/>
          </w:tcPr>
          <w:p w14:paraId="5AB79F63" w14:textId="77777777" w:rsidR="00F87CC9" w:rsidRPr="00252425" w:rsidRDefault="00F87CC9" w:rsidP="00BD17AF">
            <w:pPr>
              <w:pStyle w:val="Tabletext"/>
              <w:keepNext/>
              <w:spacing w:before="0" w:after="0"/>
              <w:ind w:hanging="72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516A8F47" w14:textId="77777777" w:rsidR="00F87CC9" w:rsidRPr="00252425" w:rsidRDefault="00F87CC9" w:rsidP="00BD17AF">
            <w:pPr>
              <w:pStyle w:val="Tabletext"/>
              <w:keepNext/>
              <w:spacing w:before="0" w:after="0"/>
            </w:pPr>
            <w:r w:rsidRPr="00252425">
              <w:t>3.3 (1</w:t>
            </w:r>
            <w:r w:rsidRPr="00252425">
              <w:rPr>
                <w:vertAlign w:val="superscript"/>
              </w:rPr>
              <w:t>b</w:t>
            </w:r>
            <w:r w:rsidRPr="00252425">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0007695E" w14:textId="77777777" w:rsidR="00F87CC9" w:rsidRPr="009B7EA4" w:rsidRDefault="00F87CC9" w:rsidP="00BD17AF">
            <w:pPr>
              <w:pStyle w:val="Tabletext"/>
              <w:keepNext/>
              <w:spacing w:before="0" w:after="0"/>
              <w:ind w:left="1"/>
              <w:rPr>
                <w:b/>
                <w:bCs/>
                <w:i/>
              </w:rPr>
            </w:pPr>
            <w:r w:rsidRPr="00453063">
              <w:rPr>
                <w:i/>
              </w:rPr>
              <w:t>1.50 (0.90, 2.10)</w:t>
            </w:r>
          </w:p>
        </w:tc>
        <w:tc>
          <w:tcPr>
            <w:tcW w:w="663" w:type="pct"/>
            <w:tcBorders>
              <w:top w:val="single" w:sz="4" w:space="0" w:color="auto"/>
              <w:left w:val="single" w:sz="4" w:space="0" w:color="auto"/>
              <w:bottom w:val="single" w:sz="4" w:space="0" w:color="auto"/>
              <w:right w:val="single" w:sz="4" w:space="0" w:color="auto"/>
            </w:tcBorders>
            <w:hideMark/>
          </w:tcPr>
          <w:p w14:paraId="3761F512" w14:textId="77777777" w:rsidR="00F87CC9" w:rsidRPr="00252425" w:rsidRDefault="00F87CC9" w:rsidP="00BD17AF">
            <w:pPr>
              <w:pStyle w:val="Tabletext"/>
              <w:keepNext/>
              <w:spacing w:before="0" w:after="0"/>
            </w:pPr>
            <w:r w:rsidRPr="00252425">
              <w:t>NR</w:t>
            </w:r>
          </w:p>
        </w:tc>
      </w:tr>
      <w:tr w:rsidR="00F87CC9" w:rsidRPr="00252425" w14:paraId="512304E9"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53ECA8BB" w14:textId="77777777" w:rsidR="00F87CC9" w:rsidRPr="00252425" w:rsidRDefault="00F87CC9" w:rsidP="00BD17AF">
            <w:pPr>
              <w:pStyle w:val="Tabletext"/>
              <w:keepNext/>
              <w:spacing w:before="0" w:after="0"/>
              <w:rPr>
                <w:b/>
              </w:rPr>
            </w:pPr>
            <w:r w:rsidRPr="00252425">
              <w:rPr>
                <w:b/>
              </w:rPr>
              <w:t>Pooled result</w:t>
            </w:r>
          </w:p>
        </w:tc>
        <w:tc>
          <w:tcPr>
            <w:tcW w:w="329" w:type="pct"/>
            <w:tcBorders>
              <w:top w:val="single" w:sz="4" w:space="0" w:color="auto"/>
              <w:left w:val="single" w:sz="4" w:space="0" w:color="auto"/>
              <w:bottom w:val="single" w:sz="4" w:space="0" w:color="auto"/>
              <w:right w:val="single" w:sz="4" w:space="0" w:color="auto"/>
            </w:tcBorders>
            <w:vAlign w:val="center"/>
            <w:hideMark/>
          </w:tcPr>
          <w:p w14:paraId="3911FEA0" w14:textId="77777777" w:rsidR="00F87CC9" w:rsidRPr="00252425" w:rsidRDefault="00F87CC9" w:rsidP="00BD17AF">
            <w:pPr>
              <w:pStyle w:val="Tabletext"/>
              <w:keepNext/>
              <w:spacing w:before="0" w:after="0"/>
              <w:rPr>
                <w:b/>
              </w:rPr>
            </w:pPr>
            <w:r w:rsidRPr="00252425">
              <w:rPr>
                <w:b/>
              </w:rPr>
              <w:t>33</w:t>
            </w:r>
          </w:p>
        </w:tc>
        <w:tc>
          <w:tcPr>
            <w:tcW w:w="831" w:type="pct"/>
            <w:tcBorders>
              <w:top w:val="single" w:sz="4" w:space="0" w:color="auto"/>
              <w:left w:val="single" w:sz="4" w:space="0" w:color="auto"/>
              <w:bottom w:val="single" w:sz="4" w:space="0" w:color="auto"/>
              <w:right w:val="single" w:sz="4" w:space="0" w:color="auto"/>
            </w:tcBorders>
            <w:vAlign w:val="center"/>
            <w:hideMark/>
          </w:tcPr>
          <w:p w14:paraId="02622129" w14:textId="77777777" w:rsidR="00F87CC9" w:rsidRPr="00252425" w:rsidRDefault="00F87CC9" w:rsidP="00BD17AF">
            <w:pPr>
              <w:pStyle w:val="Tabletext"/>
              <w:keepNext/>
              <w:spacing w:before="0" w:after="0"/>
              <w:rPr>
                <w:b/>
              </w:rPr>
            </w:pPr>
            <w:r w:rsidRPr="00252425">
              <w:rPr>
                <w:b/>
              </w:rPr>
              <w:t>4.45</w:t>
            </w:r>
          </w:p>
        </w:tc>
        <w:tc>
          <w:tcPr>
            <w:tcW w:w="339" w:type="pct"/>
            <w:tcBorders>
              <w:top w:val="single" w:sz="4" w:space="0" w:color="auto"/>
              <w:left w:val="single" w:sz="4" w:space="0" w:color="auto"/>
              <w:bottom w:val="single" w:sz="4" w:space="0" w:color="auto"/>
              <w:right w:val="single" w:sz="4" w:space="0" w:color="auto"/>
            </w:tcBorders>
            <w:vAlign w:val="center"/>
            <w:hideMark/>
          </w:tcPr>
          <w:p w14:paraId="099EDDFE" w14:textId="77777777" w:rsidR="00F87CC9" w:rsidRPr="00252425" w:rsidRDefault="00F87CC9" w:rsidP="00BD17AF">
            <w:pPr>
              <w:pStyle w:val="Tabletext"/>
              <w:keepNext/>
              <w:spacing w:before="0" w:after="0"/>
              <w:rPr>
                <w:b/>
              </w:rPr>
            </w:pPr>
            <w:r w:rsidRPr="00252425">
              <w:rPr>
                <w:b/>
              </w:rPr>
              <w:t>44</w:t>
            </w:r>
          </w:p>
        </w:tc>
        <w:tc>
          <w:tcPr>
            <w:tcW w:w="784" w:type="pct"/>
            <w:tcBorders>
              <w:top w:val="single" w:sz="4" w:space="0" w:color="auto"/>
              <w:left w:val="single" w:sz="4" w:space="0" w:color="auto"/>
              <w:bottom w:val="single" w:sz="4" w:space="0" w:color="auto"/>
              <w:right w:val="single" w:sz="4" w:space="0" w:color="auto"/>
            </w:tcBorders>
            <w:vAlign w:val="center"/>
            <w:hideMark/>
          </w:tcPr>
          <w:p w14:paraId="2EB70051" w14:textId="77777777" w:rsidR="00F87CC9" w:rsidRPr="00252425" w:rsidRDefault="00F87CC9" w:rsidP="00BD17AF">
            <w:pPr>
              <w:pStyle w:val="Tabletext"/>
              <w:keepNext/>
              <w:spacing w:before="0" w:after="0"/>
              <w:rPr>
                <w:b/>
              </w:rPr>
            </w:pPr>
            <w:r w:rsidRPr="00252425">
              <w:rPr>
                <w:b/>
              </w:rPr>
              <w:t>3.86</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3D93DFE2" w14:textId="77777777" w:rsidR="00F87CC9" w:rsidRPr="00252425" w:rsidRDefault="00F87CC9" w:rsidP="00BD17AF">
            <w:pPr>
              <w:pStyle w:val="Tabletext"/>
              <w:keepNext/>
              <w:spacing w:before="0" w:after="0"/>
              <w:rPr>
                <w:i/>
                <w:vertAlign w:val="superscript"/>
              </w:rPr>
            </w:pPr>
            <w:r w:rsidRPr="00252425">
              <w:rPr>
                <w:i/>
              </w:rPr>
              <w:t>0.59 (-1.18, 2.35)</w:t>
            </w:r>
            <w:r w:rsidRPr="00252425">
              <w:rPr>
                <w:i/>
                <w:vertAlign w:val="superscript"/>
              </w:rPr>
              <w:t>c</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6D00C218" w14:textId="77777777" w:rsidR="00F87CC9" w:rsidRPr="00252425" w:rsidRDefault="00F87CC9" w:rsidP="00BD17AF">
            <w:pPr>
              <w:pStyle w:val="Tabletext"/>
              <w:keepNext/>
              <w:spacing w:before="0" w:after="0"/>
              <w:rPr>
                <w:i/>
              </w:rPr>
            </w:pPr>
            <w:r w:rsidRPr="00252425">
              <w:rPr>
                <w:i/>
              </w:rPr>
              <w:t>0.51</w:t>
            </w:r>
          </w:p>
        </w:tc>
      </w:tr>
      <w:tr w:rsidR="00F87CC9" w:rsidRPr="00252425" w14:paraId="226EE9FD" w14:textId="77777777" w:rsidTr="000943A6">
        <w:tc>
          <w:tcPr>
            <w:tcW w:w="3449" w:type="pct"/>
            <w:gridSpan w:val="5"/>
            <w:tcBorders>
              <w:top w:val="single" w:sz="4" w:space="0" w:color="auto"/>
              <w:left w:val="single" w:sz="4" w:space="0" w:color="auto"/>
              <w:bottom w:val="single" w:sz="4" w:space="0" w:color="auto"/>
              <w:right w:val="single" w:sz="4" w:space="0" w:color="auto"/>
            </w:tcBorders>
            <w:vAlign w:val="center"/>
            <w:hideMark/>
          </w:tcPr>
          <w:p w14:paraId="47803197" w14:textId="77777777" w:rsidR="00F87CC9" w:rsidRPr="00252425" w:rsidRDefault="00F87CC9" w:rsidP="00BD17AF">
            <w:pPr>
              <w:pStyle w:val="TableText0"/>
              <w:spacing w:before="0" w:after="0"/>
              <w:ind w:right="117"/>
              <w:rPr>
                <w:snapToGrid w:val="0"/>
              </w:rPr>
            </w:pPr>
            <w:r w:rsidRPr="00252425">
              <w:rPr>
                <w:snapToGrid w:val="0"/>
              </w:rPr>
              <w:t xml:space="preserve">Pooled result from random effects model: </w:t>
            </w:r>
          </w:p>
          <w:p w14:paraId="1BFB4A9F" w14:textId="77777777" w:rsidR="00F87CC9" w:rsidRPr="00252425" w:rsidRDefault="00F87CC9" w:rsidP="00BD17AF">
            <w:pPr>
              <w:pStyle w:val="TableText0"/>
              <w:spacing w:before="0" w:after="0"/>
              <w:ind w:right="117"/>
              <w:rPr>
                <w:snapToGrid w:val="0"/>
              </w:rPr>
            </w:pPr>
            <w:r w:rsidRPr="00252425">
              <w:rPr>
                <w:rFonts w:cs="Calibri"/>
              </w:rPr>
              <w:t>Chi-square for heterogeneity: p = 0.00, I</w:t>
            </w:r>
            <w:r w:rsidRPr="00252425">
              <w:rPr>
                <w:rFonts w:cs="Calibri"/>
                <w:vertAlign w:val="superscript"/>
              </w:rPr>
              <w:t>2</w:t>
            </w:r>
            <w:r w:rsidRPr="00252425">
              <w:rPr>
                <w:rFonts w:cs="Calibri"/>
              </w:rPr>
              <w:t xml:space="preserve"> statistic = 95.52%</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126A644C" w14:textId="77777777" w:rsidR="00F87CC9" w:rsidRPr="00252425" w:rsidRDefault="00F87CC9" w:rsidP="00BD17AF">
            <w:pPr>
              <w:keepNext/>
              <w:rPr>
                <w:rFonts w:ascii="Arial Narrow" w:hAnsi="Arial Narrow"/>
                <w:i/>
                <w:vertAlign w:val="superscript"/>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1696635F" w14:textId="77777777" w:rsidR="00F87CC9" w:rsidRPr="00252425" w:rsidRDefault="00F87CC9" w:rsidP="00BD17AF">
            <w:pPr>
              <w:keepNext/>
              <w:rPr>
                <w:rFonts w:ascii="Arial Narrow" w:hAnsi="Arial Narrow"/>
                <w:i/>
              </w:rPr>
            </w:pPr>
          </w:p>
        </w:tc>
      </w:tr>
      <w:tr w:rsidR="00F87CC9" w:rsidRPr="00252425" w14:paraId="42343E25" w14:textId="77777777" w:rsidTr="000943A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4134469" w14:textId="77777777" w:rsidR="00F87CC9" w:rsidRPr="00252425" w:rsidRDefault="00F87CC9" w:rsidP="00BD17AF">
            <w:pPr>
              <w:pStyle w:val="Tabletext"/>
              <w:keepNext/>
              <w:spacing w:before="0" w:after="0"/>
            </w:pPr>
            <w:r w:rsidRPr="00252425">
              <w:rPr>
                <w:b/>
                <w:snapToGrid w:val="0"/>
              </w:rPr>
              <w:t>Total</w:t>
            </w:r>
          </w:p>
        </w:tc>
      </w:tr>
      <w:tr w:rsidR="00F87CC9" w:rsidRPr="00252425" w14:paraId="4C6E9A5F" w14:textId="77777777" w:rsidTr="000943A6">
        <w:tc>
          <w:tcPr>
            <w:tcW w:w="1166" w:type="pct"/>
            <w:tcBorders>
              <w:top w:val="single" w:sz="4" w:space="0" w:color="auto"/>
              <w:left w:val="single" w:sz="4" w:space="0" w:color="auto"/>
              <w:bottom w:val="single" w:sz="4" w:space="0" w:color="auto"/>
              <w:right w:val="single" w:sz="4" w:space="0" w:color="auto"/>
            </w:tcBorders>
            <w:hideMark/>
          </w:tcPr>
          <w:p w14:paraId="6940EEA6" w14:textId="77777777" w:rsidR="00F87CC9" w:rsidRPr="00252425" w:rsidRDefault="00F87CC9" w:rsidP="00BD17AF">
            <w:pPr>
              <w:pStyle w:val="Tabletext"/>
              <w:keepNext/>
              <w:spacing w:before="0" w:after="0"/>
              <w:rPr>
                <w:vertAlign w:val="superscript"/>
              </w:rPr>
            </w:pPr>
            <w:r w:rsidRPr="00252425">
              <w:t>Newton (2020)</w:t>
            </w:r>
          </w:p>
        </w:tc>
        <w:tc>
          <w:tcPr>
            <w:tcW w:w="329" w:type="pct"/>
            <w:tcBorders>
              <w:top w:val="single" w:sz="4" w:space="0" w:color="auto"/>
              <w:left w:val="single" w:sz="4" w:space="0" w:color="auto"/>
              <w:bottom w:val="single" w:sz="4" w:space="0" w:color="auto"/>
              <w:right w:val="single" w:sz="4" w:space="0" w:color="auto"/>
            </w:tcBorders>
            <w:hideMark/>
          </w:tcPr>
          <w:p w14:paraId="7B105501" w14:textId="77777777" w:rsidR="00F87CC9" w:rsidRPr="00252425" w:rsidRDefault="00F87CC9" w:rsidP="00BD17AF">
            <w:pPr>
              <w:pStyle w:val="Tabletext"/>
              <w:keepNext/>
              <w:spacing w:before="0" w:after="0"/>
            </w:pPr>
            <w:r w:rsidRPr="00252425">
              <w:t>12</w:t>
            </w:r>
          </w:p>
        </w:tc>
        <w:tc>
          <w:tcPr>
            <w:tcW w:w="831" w:type="pct"/>
            <w:tcBorders>
              <w:top w:val="single" w:sz="4" w:space="0" w:color="auto"/>
              <w:left w:val="single" w:sz="4" w:space="0" w:color="auto"/>
              <w:bottom w:val="single" w:sz="4" w:space="0" w:color="auto"/>
              <w:right w:val="single" w:sz="4" w:space="0" w:color="auto"/>
            </w:tcBorders>
            <w:hideMark/>
          </w:tcPr>
          <w:p w14:paraId="3C9A0D7C" w14:textId="77777777" w:rsidR="00F87CC9" w:rsidRPr="00252425" w:rsidRDefault="00F87CC9" w:rsidP="00BD17AF">
            <w:pPr>
              <w:pStyle w:val="Tabletext"/>
              <w:keepNext/>
              <w:spacing w:before="0" w:after="0"/>
            </w:pPr>
            <w:r w:rsidRPr="00252425">
              <w:t>4.2 (0.4)</w:t>
            </w:r>
          </w:p>
        </w:tc>
        <w:tc>
          <w:tcPr>
            <w:tcW w:w="339" w:type="pct"/>
            <w:tcBorders>
              <w:top w:val="single" w:sz="4" w:space="0" w:color="auto"/>
              <w:left w:val="single" w:sz="4" w:space="0" w:color="auto"/>
              <w:bottom w:val="single" w:sz="4" w:space="0" w:color="auto"/>
              <w:right w:val="single" w:sz="4" w:space="0" w:color="auto"/>
            </w:tcBorders>
            <w:hideMark/>
          </w:tcPr>
          <w:p w14:paraId="7D042D47" w14:textId="77777777" w:rsidR="00F87CC9" w:rsidRPr="00252425" w:rsidRDefault="00F87CC9" w:rsidP="00BD17AF">
            <w:pPr>
              <w:pStyle w:val="Tabletext"/>
              <w:keepNext/>
              <w:spacing w:before="0" w:after="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2449F7D4" w14:textId="77777777" w:rsidR="00F87CC9" w:rsidRPr="00252425" w:rsidRDefault="00F87CC9" w:rsidP="00BD17AF">
            <w:pPr>
              <w:pStyle w:val="Tabletext"/>
              <w:keepNext/>
              <w:spacing w:before="0" w:after="0"/>
            </w:pPr>
            <w:r w:rsidRPr="00252425">
              <w:t>4.4 (0.4)</w:t>
            </w:r>
          </w:p>
        </w:tc>
        <w:tc>
          <w:tcPr>
            <w:tcW w:w="888" w:type="pct"/>
            <w:tcBorders>
              <w:top w:val="single" w:sz="4" w:space="0" w:color="auto"/>
              <w:left w:val="single" w:sz="4" w:space="0" w:color="auto"/>
              <w:bottom w:val="single" w:sz="4" w:space="0" w:color="auto"/>
              <w:right w:val="single" w:sz="4" w:space="0" w:color="auto"/>
            </w:tcBorders>
            <w:vAlign w:val="center"/>
            <w:hideMark/>
          </w:tcPr>
          <w:p w14:paraId="44B53D62" w14:textId="77777777" w:rsidR="00F87CC9" w:rsidRPr="00252425" w:rsidRDefault="00F87CC9" w:rsidP="00BD17AF">
            <w:pPr>
              <w:pStyle w:val="Tabletext"/>
              <w:keepNext/>
              <w:spacing w:before="0" w:after="0"/>
              <w:rPr>
                <w:i/>
              </w:rPr>
            </w:pPr>
            <w:r w:rsidRPr="00252425">
              <w:rPr>
                <w:i/>
              </w:rPr>
              <w:t>-0.20 (-0.48, 0.08)</w:t>
            </w:r>
          </w:p>
        </w:tc>
        <w:tc>
          <w:tcPr>
            <w:tcW w:w="663" w:type="pct"/>
            <w:tcBorders>
              <w:top w:val="single" w:sz="4" w:space="0" w:color="auto"/>
              <w:left w:val="single" w:sz="4" w:space="0" w:color="auto"/>
              <w:bottom w:val="single" w:sz="4" w:space="0" w:color="auto"/>
              <w:right w:val="single" w:sz="4" w:space="0" w:color="auto"/>
            </w:tcBorders>
            <w:hideMark/>
          </w:tcPr>
          <w:p w14:paraId="7800A95F" w14:textId="77777777" w:rsidR="00F87CC9" w:rsidRPr="00252425" w:rsidRDefault="00F87CC9" w:rsidP="00BD17AF">
            <w:pPr>
              <w:pStyle w:val="Tabletext"/>
              <w:keepNext/>
              <w:spacing w:before="0" w:after="0"/>
              <w:rPr>
                <w:vertAlign w:val="superscript"/>
              </w:rPr>
            </w:pPr>
            <w:r w:rsidRPr="00252425">
              <w:t>0.748</w:t>
            </w:r>
          </w:p>
        </w:tc>
      </w:tr>
      <w:tr w:rsidR="00F87CC9" w:rsidRPr="00252425" w14:paraId="312F9540"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4A2507E7" w14:textId="77777777" w:rsidR="00F87CC9" w:rsidRPr="00252425" w:rsidRDefault="00F87CC9" w:rsidP="00BD17AF">
            <w:pPr>
              <w:pStyle w:val="Tabletext"/>
              <w:keepNext/>
              <w:spacing w:before="0" w:after="0"/>
            </w:pPr>
            <w:r w:rsidRPr="00252425">
              <w:t>Pehlivanoglu (2021)</w:t>
            </w:r>
          </w:p>
        </w:tc>
        <w:tc>
          <w:tcPr>
            <w:tcW w:w="329" w:type="pct"/>
            <w:tcBorders>
              <w:top w:val="single" w:sz="4" w:space="0" w:color="auto"/>
              <w:left w:val="single" w:sz="4" w:space="0" w:color="auto"/>
              <w:bottom w:val="single" w:sz="4" w:space="0" w:color="auto"/>
              <w:right w:val="single" w:sz="4" w:space="0" w:color="auto"/>
            </w:tcBorders>
            <w:hideMark/>
          </w:tcPr>
          <w:p w14:paraId="09ACF726" w14:textId="77777777" w:rsidR="00F87CC9" w:rsidRPr="00252425" w:rsidRDefault="00F87CC9" w:rsidP="00BD17AF">
            <w:pPr>
              <w:pStyle w:val="Tabletext"/>
              <w:keepNext/>
              <w:spacing w:before="0" w:after="0"/>
              <w:ind w:left="61"/>
            </w:pPr>
            <w:r w:rsidRPr="00252425">
              <w:t>21</w:t>
            </w:r>
          </w:p>
        </w:tc>
        <w:tc>
          <w:tcPr>
            <w:tcW w:w="831" w:type="pct"/>
            <w:tcBorders>
              <w:top w:val="single" w:sz="4" w:space="0" w:color="auto"/>
              <w:left w:val="single" w:sz="4" w:space="0" w:color="auto"/>
              <w:bottom w:val="single" w:sz="4" w:space="0" w:color="auto"/>
              <w:right w:val="single" w:sz="4" w:space="0" w:color="auto"/>
            </w:tcBorders>
            <w:hideMark/>
          </w:tcPr>
          <w:p w14:paraId="4B921232" w14:textId="77777777" w:rsidR="00F87CC9" w:rsidRPr="00252425" w:rsidRDefault="00F87CC9" w:rsidP="00BD17AF">
            <w:pPr>
              <w:pStyle w:val="Tabletext"/>
              <w:keepNext/>
              <w:spacing w:before="0" w:after="0"/>
            </w:pPr>
            <w:r w:rsidRPr="00252425">
              <w:t>4.9 (1</w:t>
            </w:r>
            <w:r w:rsidRPr="00252425">
              <w:rPr>
                <w:vertAlign w:val="superscript"/>
              </w:rPr>
              <w:t>b</w:t>
            </w:r>
            <w:r w:rsidRPr="00252425">
              <w:t>)</w:t>
            </w:r>
          </w:p>
        </w:tc>
        <w:tc>
          <w:tcPr>
            <w:tcW w:w="339" w:type="pct"/>
            <w:tcBorders>
              <w:top w:val="single" w:sz="4" w:space="0" w:color="auto"/>
              <w:left w:val="single" w:sz="4" w:space="0" w:color="auto"/>
              <w:bottom w:val="single" w:sz="4" w:space="0" w:color="auto"/>
              <w:right w:val="single" w:sz="4" w:space="0" w:color="auto"/>
            </w:tcBorders>
            <w:hideMark/>
          </w:tcPr>
          <w:p w14:paraId="3DD0D424" w14:textId="77777777" w:rsidR="00F87CC9" w:rsidRPr="00252425" w:rsidRDefault="00F87CC9" w:rsidP="00BD17AF">
            <w:pPr>
              <w:pStyle w:val="Tabletext"/>
              <w:keepNext/>
              <w:spacing w:before="0" w:after="0"/>
              <w:ind w:hanging="720"/>
            </w:pPr>
            <w:r w:rsidRPr="00252425">
              <w:t>22</w:t>
            </w:r>
          </w:p>
        </w:tc>
        <w:tc>
          <w:tcPr>
            <w:tcW w:w="784" w:type="pct"/>
            <w:tcBorders>
              <w:top w:val="single" w:sz="4" w:space="0" w:color="auto"/>
              <w:left w:val="single" w:sz="4" w:space="0" w:color="auto"/>
              <w:bottom w:val="single" w:sz="4" w:space="0" w:color="auto"/>
              <w:right w:val="single" w:sz="4" w:space="0" w:color="auto"/>
            </w:tcBorders>
            <w:hideMark/>
          </w:tcPr>
          <w:p w14:paraId="0F6749F7" w14:textId="77777777" w:rsidR="00F87CC9" w:rsidRPr="00252425" w:rsidRDefault="00F87CC9" w:rsidP="00BD17AF">
            <w:pPr>
              <w:pStyle w:val="Tabletext"/>
              <w:keepNext/>
              <w:spacing w:before="0" w:after="0"/>
            </w:pPr>
            <w:r w:rsidRPr="00252425">
              <w:t>3.8 (1</w:t>
            </w:r>
            <w:r w:rsidRPr="00252425">
              <w:rPr>
                <w:vertAlign w:val="superscript"/>
              </w:rPr>
              <w:t>b</w:t>
            </w:r>
            <w:r w:rsidRPr="00252425">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088D36E4" w14:textId="77777777" w:rsidR="00F87CC9" w:rsidRPr="009B7EA4" w:rsidRDefault="00F87CC9" w:rsidP="00BD17AF">
            <w:pPr>
              <w:pStyle w:val="Tabletext"/>
              <w:keepNext/>
              <w:spacing w:before="0" w:after="0"/>
              <w:ind w:left="1"/>
              <w:rPr>
                <w:b/>
                <w:bCs/>
                <w:i/>
              </w:rPr>
            </w:pPr>
            <w:r w:rsidRPr="00453063">
              <w:rPr>
                <w:i/>
              </w:rPr>
              <w:t>1.10 (0.50, 1.70)</w:t>
            </w:r>
          </w:p>
        </w:tc>
        <w:tc>
          <w:tcPr>
            <w:tcW w:w="663" w:type="pct"/>
            <w:tcBorders>
              <w:top w:val="single" w:sz="4" w:space="0" w:color="auto"/>
              <w:left w:val="single" w:sz="4" w:space="0" w:color="auto"/>
              <w:bottom w:val="single" w:sz="4" w:space="0" w:color="auto"/>
              <w:right w:val="single" w:sz="4" w:space="0" w:color="auto"/>
            </w:tcBorders>
            <w:hideMark/>
          </w:tcPr>
          <w:p w14:paraId="2C7F781C" w14:textId="77777777" w:rsidR="00F87CC9" w:rsidRPr="00252425" w:rsidRDefault="00F87CC9" w:rsidP="00BD17AF">
            <w:pPr>
              <w:pStyle w:val="Tabletext"/>
              <w:keepNext/>
              <w:spacing w:before="0" w:after="0"/>
            </w:pPr>
            <w:r w:rsidRPr="00252425">
              <w:t>&lt;0.001</w:t>
            </w:r>
          </w:p>
        </w:tc>
      </w:tr>
      <w:tr w:rsidR="00F87CC9" w:rsidRPr="00252425" w14:paraId="31F19C24" w14:textId="77777777" w:rsidTr="000943A6">
        <w:tc>
          <w:tcPr>
            <w:tcW w:w="1166" w:type="pct"/>
            <w:tcBorders>
              <w:top w:val="single" w:sz="4" w:space="0" w:color="auto"/>
              <w:left w:val="single" w:sz="4" w:space="0" w:color="auto"/>
              <w:bottom w:val="single" w:sz="4" w:space="0" w:color="auto"/>
              <w:right w:val="single" w:sz="4" w:space="0" w:color="auto"/>
            </w:tcBorders>
            <w:vAlign w:val="center"/>
            <w:hideMark/>
          </w:tcPr>
          <w:p w14:paraId="097D923E" w14:textId="77777777" w:rsidR="00F87CC9" w:rsidRPr="00252425" w:rsidRDefault="00F87CC9" w:rsidP="00BD17AF">
            <w:pPr>
              <w:pStyle w:val="Tabletext"/>
              <w:keepNext/>
              <w:spacing w:before="0" w:after="0"/>
              <w:rPr>
                <w:b/>
              </w:rPr>
            </w:pPr>
            <w:r w:rsidRPr="00252425">
              <w:rPr>
                <w:b/>
              </w:rPr>
              <w:t>Pooled result</w:t>
            </w:r>
          </w:p>
        </w:tc>
        <w:tc>
          <w:tcPr>
            <w:tcW w:w="329" w:type="pct"/>
            <w:tcBorders>
              <w:top w:val="single" w:sz="4" w:space="0" w:color="auto"/>
              <w:left w:val="single" w:sz="4" w:space="0" w:color="auto"/>
              <w:bottom w:val="single" w:sz="4" w:space="0" w:color="auto"/>
              <w:right w:val="single" w:sz="4" w:space="0" w:color="auto"/>
            </w:tcBorders>
            <w:vAlign w:val="center"/>
            <w:hideMark/>
          </w:tcPr>
          <w:p w14:paraId="31600DC5" w14:textId="77777777" w:rsidR="00F87CC9" w:rsidRPr="00252425" w:rsidRDefault="00F87CC9" w:rsidP="00BD17AF">
            <w:pPr>
              <w:pStyle w:val="Tabletext"/>
              <w:keepNext/>
              <w:spacing w:before="0" w:after="0"/>
              <w:rPr>
                <w:b/>
              </w:rPr>
            </w:pPr>
            <w:r w:rsidRPr="00252425">
              <w:rPr>
                <w:b/>
              </w:rPr>
              <w:t>33</w:t>
            </w:r>
          </w:p>
        </w:tc>
        <w:tc>
          <w:tcPr>
            <w:tcW w:w="831" w:type="pct"/>
            <w:tcBorders>
              <w:top w:val="single" w:sz="4" w:space="0" w:color="auto"/>
              <w:left w:val="single" w:sz="4" w:space="0" w:color="auto"/>
              <w:bottom w:val="single" w:sz="4" w:space="0" w:color="auto"/>
              <w:right w:val="single" w:sz="4" w:space="0" w:color="auto"/>
            </w:tcBorders>
            <w:vAlign w:val="center"/>
            <w:hideMark/>
          </w:tcPr>
          <w:p w14:paraId="4CFD0FB7" w14:textId="77777777" w:rsidR="00F87CC9" w:rsidRPr="00252425" w:rsidRDefault="00F87CC9" w:rsidP="00BD17AF">
            <w:pPr>
              <w:pStyle w:val="Tabletext"/>
              <w:keepNext/>
              <w:spacing w:before="0" w:after="0"/>
              <w:rPr>
                <w:b/>
              </w:rPr>
            </w:pPr>
            <w:r w:rsidRPr="00252425">
              <w:rPr>
                <w:b/>
              </w:rPr>
              <w:t>4.53</w:t>
            </w:r>
          </w:p>
        </w:tc>
        <w:tc>
          <w:tcPr>
            <w:tcW w:w="339" w:type="pct"/>
            <w:tcBorders>
              <w:top w:val="single" w:sz="4" w:space="0" w:color="auto"/>
              <w:left w:val="single" w:sz="4" w:space="0" w:color="auto"/>
              <w:bottom w:val="single" w:sz="4" w:space="0" w:color="auto"/>
              <w:right w:val="single" w:sz="4" w:space="0" w:color="auto"/>
            </w:tcBorders>
            <w:vAlign w:val="center"/>
            <w:hideMark/>
          </w:tcPr>
          <w:p w14:paraId="2350AE75" w14:textId="77777777" w:rsidR="00F87CC9" w:rsidRPr="00252425" w:rsidRDefault="00F87CC9" w:rsidP="00BD17AF">
            <w:pPr>
              <w:pStyle w:val="Tabletext"/>
              <w:keepNext/>
              <w:spacing w:before="0" w:after="0"/>
              <w:rPr>
                <w:b/>
              </w:rPr>
            </w:pPr>
            <w:r w:rsidRPr="00252425">
              <w:rPr>
                <w:b/>
              </w:rPr>
              <w:t>44</w:t>
            </w:r>
          </w:p>
        </w:tc>
        <w:tc>
          <w:tcPr>
            <w:tcW w:w="784" w:type="pct"/>
            <w:tcBorders>
              <w:top w:val="single" w:sz="4" w:space="0" w:color="auto"/>
              <w:left w:val="single" w:sz="4" w:space="0" w:color="auto"/>
              <w:bottom w:val="single" w:sz="4" w:space="0" w:color="auto"/>
              <w:right w:val="single" w:sz="4" w:space="0" w:color="auto"/>
            </w:tcBorders>
            <w:vAlign w:val="center"/>
            <w:hideMark/>
          </w:tcPr>
          <w:p w14:paraId="69418336" w14:textId="77777777" w:rsidR="00F87CC9" w:rsidRPr="00252425" w:rsidRDefault="00F87CC9" w:rsidP="00BD17AF">
            <w:pPr>
              <w:pStyle w:val="Tabletext"/>
              <w:keepNext/>
              <w:spacing w:before="0" w:after="0"/>
              <w:rPr>
                <w:b/>
              </w:rPr>
            </w:pPr>
            <w:r w:rsidRPr="00252425">
              <w:rPr>
                <w:b/>
              </w:rPr>
              <w:t>4.13</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11539E1D" w14:textId="77777777" w:rsidR="00F87CC9" w:rsidRPr="00252425" w:rsidRDefault="00F87CC9" w:rsidP="00BD17AF">
            <w:pPr>
              <w:pStyle w:val="Tabletext"/>
              <w:keepNext/>
              <w:spacing w:before="0" w:after="0"/>
              <w:rPr>
                <w:i/>
                <w:vertAlign w:val="superscript"/>
              </w:rPr>
            </w:pPr>
            <w:r w:rsidRPr="00252425">
              <w:rPr>
                <w:i/>
              </w:rPr>
              <w:t>0.42 (-0.85, 1.69)</w:t>
            </w:r>
            <w:r w:rsidRPr="00252425">
              <w:rPr>
                <w:i/>
                <w:vertAlign w:val="superscript"/>
              </w:rPr>
              <w:t>c</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4FE57CCD" w14:textId="77777777" w:rsidR="00F87CC9" w:rsidRPr="00252425" w:rsidRDefault="00F87CC9" w:rsidP="00BD17AF">
            <w:pPr>
              <w:pStyle w:val="Tabletext"/>
              <w:keepNext/>
              <w:spacing w:before="0" w:after="0"/>
              <w:rPr>
                <w:i/>
              </w:rPr>
            </w:pPr>
            <w:r w:rsidRPr="00252425">
              <w:rPr>
                <w:i/>
              </w:rPr>
              <w:t>0.52</w:t>
            </w:r>
          </w:p>
        </w:tc>
      </w:tr>
      <w:tr w:rsidR="00F87CC9" w:rsidRPr="00252425" w14:paraId="4118B0EE" w14:textId="77777777" w:rsidTr="000943A6">
        <w:tc>
          <w:tcPr>
            <w:tcW w:w="3449" w:type="pct"/>
            <w:gridSpan w:val="5"/>
            <w:tcBorders>
              <w:top w:val="single" w:sz="4" w:space="0" w:color="auto"/>
              <w:left w:val="single" w:sz="4" w:space="0" w:color="auto"/>
              <w:bottom w:val="single" w:sz="4" w:space="0" w:color="auto"/>
              <w:right w:val="single" w:sz="4" w:space="0" w:color="auto"/>
            </w:tcBorders>
            <w:vAlign w:val="center"/>
            <w:hideMark/>
          </w:tcPr>
          <w:p w14:paraId="1CFFD87D" w14:textId="77777777" w:rsidR="00F87CC9" w:rsidRPr="00252425" w:rsidRDefault="00F87CC9" w:rsidP="00BD17AF">
            <w:pPr>
              <w:pStyle w:val="TableText0"/>
              <w:spacing w:before="0" w:after="0"/>
              <w:ind w:right="117"/>
              <w:rPr>
                <w:snapToGrid w:val="0"/>
              </w:rPr>
            </w:pPr>
            <w:r w:rsidRPr="00252425">
              <w:rPr>
                <w:snapToGrid w:val="0"/>
              </w:rPr>
              <w:t xml:space="preserve">Pooled result from random effects model: </w:t>
            </w:r>
          </w:p>
          <w:p w14:paraId="1E20EADC" w14:textId="77777777" w:rsidR="00F87CC9" w:rsidRPr="00252425" w:rsidRDefault="00F87CC9" w:rsidP="00BD17AF">
            <w:pPr>
              <w:pStyle w:val="TableText0"/>
              <w:spacing w:before="0" w:after="0"/>
              <w:ind w:right="117"/>
              <w:rPr>
                <w:snapToGrid w:val="0"/>
              </w:rPr>
            </w:pPr>
            <w:r w:rsidRPr="00252425">
              <w:rPr>
                <w:rFonts w:cs="Calibri"/>
              </w:rPr>
              <w:t>Chi-square for heterogeneity: p = 0.00, I</w:t>
            </w:r>
            <w:r w:rsidRPr="00252425">
              <w:rPr>
                <w:rFonts w:cs="Calibri"/>
                <w:vertAlign w:val="superscript"/>
              </w:rPr>
              <w:t>2</w:t>
            </w:r>
            <w:r w:rsidRPr="00252425">
              <w:rPr>
                <w:rFonts w:cs="Calibri"/>
              </w:rPr>
              <w:t xml:space="preserve"> statistic = 93.27%</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6FDEBD48" w14:textId="77777777" w:rsidR="00F87CC9" w:rsidRPr="00252425" w:rsidRDefault="00F87CC9" w:rsidP="00BD17AF">
            <w:pPr>
              <w:keepNext/>
              <w:rPr>
                <w:rFonts w:ascii="Arial Narrow" w:hAnsi="Arial Narrow"/>
                <w:i/>
                <w:vertAlign w:val="superscript"/>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4F10584F" w14:textId="77777777" w:rsidR="00F87CC9" w:rsidRPr="00252425" w:rsidRDefault="00F87CC9" w:rsidP="00BD17AF">
            <w:pPr>
              <w:keepNext/>
              <w:rPr>
                <w:rFonts w:ascii="Arial Narrow" w:hAnsi="Arial Narrow"/>
                <w:i/>
              </w:rPr>
            </w:pPr>
          </w:p>
        </w:tc>
      </w:tr>
    </w:tbl>
    <w:p w14:paraId="7C3DCAFF" w14:textId="77777777" w:rsidR="00F87CC9" w:rsidRPr="00252425" w:rsidRDefault="00F87CC9" w:rsidP="00B432A2">
      <w:pPr>
        <w:pStyle w:val="Tablenotes"/>
        <w:rPr>
          <w:snapToGrid/>
        </w:rPr>
      </w:pPr>
      <w:r w:rsidRPr="00252425">
        <w:t xml:space="preserve">CI, confidence interval; ID, identification; N, number of patients reporting data; NR, not reported; PSF, posterior spinal fusion; SD, standard deviation; </w:t>
      </w:r>
      <w:r w:rsidRPr="00252425">
        <w:rPr>
          <w:szCs w:val="18"/>
        </w:rPr>
        <w:t xml:space="preserve">SRS-22, Scoliosis Research; Society 22-Item Questionnaire; </w:t>
      </w:r>
      <w:r w:rsidRPr="00252425">
        <w:t xml:space="preserve">VBT, vertebral body tethering. </w:t>
      </w:r>
    </w:p>
    <w:p w14:paraId="69A194CA" w14:textId="77777777" w:rsidR="00F87CC9" w:rsidRPr="00252425" w:rsidRDefault="00F87CC9" w:rsidP="00B432A2">
      <w:pPr>
        <w:pStyle w:val="Tablenotes"/>
      </w:pPr>
      <w:r w:rsidRPr="00252425">
        <w:rPr>
          <w:szCs w:val="18"/>
        </w:rPr>
        <w:t>Notes:</w:t>
      </w:r>
      <w:r w:rsidRPr="00252425">
        <w:rPr>
          <w:b/>
          <w:szCs w:val="18"/>
        </w:rPr>
        <w:t xml:space="preserve"> </w:t>
      </w:r>
      <w:r w:rsidRPr="00252425">
        <w:t xml:space="preserve">Mean differences and pooled analysis calculated with Stata(v16) for the ADAR.  Calculated figures are </w:t>
      </w:r>
      <w:r w:rsidRPr="00190AC3">
        <w:rPr>
          <w:i/>
          <w:iCs/>
        </w:rPr>
        <w:t>in italics</w:t>
      </w:r>
      <w:r w:rsidRPr="00252425">
        <w:t xml:space="preserve"> and statistically significant figures are in </w:t>
      </w:r>
      <w:r w:rsidRPr="00190AC3">
        <w:rPr>
          <w:b/>
          <w:bCs/>
        </w:rPr>
        <w:t>bold text.</w:t>
      </w:r>
      <w:r w:rsidRPr="00252425">
        <w:t xml:space="preserve"> </w:t>
      </w:r>
    </w:p>
    <w:p w14:paraId="76D608D5" w14:textId="77777777" w:rsidR="00F87CC9" w:rsidRPr="00252425" w:rsidRDefault="00F87CC9" w:rsidP="00BD17AF">
      <w:pPr>
        <w:keepNext/>
        <w:rPr>
          <w:rFonts w:ascii="Arial Narrow" w:hAnsi="Arial Narrow"/>
          <w:sz w:val="18"/>
          <w:szCs w:val="18"/>
        </w:rPr>
      </w:pPr>
      <w:r w:rsidRPr="00252425">
        <w:rPr>
          <w:rFonts w:ascii="Arial Narrow" w:hAnsi="Arial Narrow"/>
          <w:sz w:val="18"/>
          <w:szCs w:val="18"/>
          <w:vertAlign w:val="superscript"/>
        </w:rPr>
        <w:t>a</w:t>
      </w:r>
      <w:r w:rsidRPr="00252425">
        <w:rPr>
          <w:rFonts w:ascii="Arial Narrow" w:hAnsi="Arial Narrow"/>
          <w:sz w:val="18"/>
          <w:szCs w:val="18"/>
        </w:rPr>
        <w:t xml:space="preserve"> As reported in publications </w:t>
      </w:r>
    </w:p>
    <w:p w14:paraId="0C1DD276" w14:textId="1D313114" w:rsidR="00F87CC9" w:rsidRDefault="00F87CC9" w:rsidP="00BD17AF">
      <w:pPr>
        <w:pStyle w:val="TableFooter"/>
        <w:keepNext/>
        <w:keepLines w:val="0"/>
        <w:widowControl/>
        <w:jc w:val="left"/>
      </w:pPr>
      <w:r w:rsidRPr="00252425">
        <w:rPr>
          <w:vertAlign w:val="superscript"/>
        </w:rPr>
        <w:t>b</w:t>
      </w:r>
      <w:r w:rsidRPr="00252425">
        <w:t xml:space="preserve"> As SD's were not reported in publication, SD=1 for each field was used in the calculation.</w:t>
      </w:r>
    </w:p>
    <w:p w14:paraId="03349EC4" w14:textId="458C660B" w:rsidR="005E7986" w:rsidRPr="00252425" w:rsidRDefault="005E7986" w:rsidP="00BD17AF">
      <w:pPr>
        <w:pStyle w:val="TableFooter"/>
        <w:keepNext/>
        <w:keepLines w:val="0"/>
        <w:widowControl/>
        <w:jc w:val="left"/>
      </w:pPr>
      <w:r w:rsidRPr="005E7986">
        <w:t>Source: ADAR Table B.6.7</w:t>
      </w:r>
    </w:p>
    <w:p w14:paraId="0A2769EC" w14:textId="0D11FBA4" w:rsidR="008124F1" w:rsidRDefault="00C72AD0">
      <w:r>
        <w:lastRenderedPageBreak/>
        <w:t>The commentary performed an additional meta-analysis including the results of Shin (2021)</w:t>
      </w:r>
      <w:r w:rsidR="008F0E98">
        <w:t xml:space="preserve">. </w:t>
      </w:r>
      <w:r w:rsidR="008F0E98" w:rsidRPr="008F0E98">
        <w:t>The heterogeneity of SRS-22 scores was not reported in Shin (2021</w:t>
      </w:r>
      <w:r w:rsidR="008F0E98">
        <w:t>)</w:t>
      </w:r>
      <w:r w:rsidR="008F0E98" w:rsidRPr="008F0E98">
        <w:t xml:space="preserve">, and only post-operative SRS-22 scores were reported. </w:t>
      </w:r>
      <w:r w:rsidR="008F0E98">
        <w:t>Consistent with the ADARs meta</w:t>
      </w:r>
      <w:r w:rsidR="005E7986">
        <w:t>-</w:t>
      </w:r>
      <w:r w:rsidR="008F0E98">
        <w:t xml:space="preserve">analysis, there were </w:t>
      </w:r>
      <w:r w:rsidR="008F0E98" w:rsidRPr="008F0E98">
        <w:t xml:space="preserve">uncertainties related to the effect estimates of SRS-22, including the consistency of results, and whether any difference observed are clinically significant given the lack of pre-operative data. </w:t>
      </w:r>
      <w:r w:rsidR="009A14EA">
        <w:t xml:space="preserve">Nonetheless, </w:t>
      </w:r>
      <w:r w:rsidR="004F7AD1">
        <w:t xml:space="preserve">only the </w:t>
      </w:r>
      <w:r w:rsidR="009A14EA" w:rsidRPr="00252425">
        <w:t>mental health</w:t>
      </w:r>
      <w:r w:rsidR="004F7AD1">
        <w:t xml:space="preserve"> domain and total score</w:t>
      </w:r>
      <w:r w:rsidR="009A14EA" w:rsidRPr="00252425">
        <w:t xml:space="preserve"> were significantly better in those treated with VBT compared to PSF</w:t>
      </w:r>
      <w:r w:rsidR="002E4919">
        <w:t xml:space="preserve"> </w:t>
      </w:r>
      <w:r w:rsidR="002E4919">
        <w:fldChar w:fldCharType="begin"/>
      </w:r>
      <w:r w:rsidR="002E4919">
        <w:instrText xml:space="preserve"> REF _Ref90385568 \h </w:instrText>
      </w:r>
      <w:r w:rsidR="002E4919">
        <w:fldChar w:fldCharType="separate"/>
      </w:r>
      <w:r w:rsidR="002E4919">
        <w:t xml:space="preserve">Figure </w:t>
      </w:r>
      <w:r w:rsidR="002E4919">
        <w:rPr>
          <w:noProof/>
        </w:rPr>
        <w:t>2</w:t>
      </w:r>
      <w:r w:rsidR="002E4919">
        <w:fldChar w:fldCharType="end"/>
      </w:r>
      <w:r w:rsidR="009A14EA">
        <w:t>.</w:t>
      </w:r>
    </w:p>
    <w:p w14:paraId="256126FB" w14:textId="1881075E" w:rsidR="002E4919" w:rsidRDefault="002E4919" w:rsidP="00B432A2">
      <w:pPr>
        <w:pStyle w:val="Caption"/>
        <w:spacing w:before="240"/>
        <w:jc w:val="left"/>
      </w:pPr>
      <w:bookmarkStart w:id="15" w:name="_Ref90385568"/>
      <w:r>
        <w:t xml:space="preserve">Figure </w:t>
      </w:r>
      <w:fldSimple w:instr=" SEQ Figure \* ARABIC ">
        <w:r w:rsidR="00E2765F">
          <w:rPr>
            <w:noProof/>
          </w:rPr>
          <w:t>2</w:t>
        </w:r>
      </w:fldSimple>
      <w:bookmarkEnd w:id="15"/>
      <w:r>
        <w:t xml:space="preserve"> </w:t>
      </w:r>
      <w:r w:rsidRPr="001508E0">
        <w:t>Random effects meta-analysis of SRS-22 in included studies</w:t>
      </w:r>
    </w:p>
    <w:p w14:paraId="63345D6C" w14:textId="314F37A4" w:rsidR="00103317" w:rsidRDefault="00103317">
      <w:r w:rsidRPr="00252425">
        <w:rPr>
          <w:i/>
          <w:iCs/>
          <w:noProof/>
        </w:rPr>
        <w:drawing>
          <wp:inline distT="0" distB="0" distL="0" distR="0" wp14:anchorId="3621F8C5" wp14:editId="7ED18217">
            <wp:extent cx="5731510" cy="5256530"/>
            <wp:effectExtent l="0" t="0" r="2540" b="1270"/>
            <wp:docPr id="20" name="Picture 20" descr="Random effects meta-analysis of SRS-22 in includ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Random effects meta-analysis of SRS-22 in included studies"/>
                    <pic:cNvPicPr/>
                  </pic:nvPicPr>
                  <pic:blipFill>
                    <a:blip r:embed="rId12"/>
                    <a:stretch>
                      <a:fillRect/>
                    </a:stretch>
                  </pic:blipFill>
                  <pic:spPr>
                    <a:xfrm>
                      <a:off x="0" y="0"/>
                      <a:ext cx="5731510" cy="5256530"/>
                    </a:xfrm>
                    <a:prstGeom prst="rect">
                      <a:avLst/>
                    </a:prstGeom>
                  </pic:spPr>
                </pic:pic>
              </a:graphicData>
            </a:graphic>
          </wp:inline>
        </w:drawing>
      </w:r>
    </w:p>
    <w:p w14:paraId="47165430" w14:textId="2C056432" w:rsidR="002E4919" w:rsidRPr="004F0996" w:rsidRDefault="002E4919" w:rsidP="004F0996">
      <w:pPr>
        <w:rPr>
          <w:rFonts w:ascii="Arial Narrow" w:hAnsi="Arial Narrow" w:cstheme="minorHAnsi"/>
          <w:sz w:val="18"/>
          <w:szCs w:val="18"/>
        </w:rPr>
      </w:pPr>
      <w:r w:rsidRPr="004F0996">
        <w:rPr>
          <w:rFonts w:ascii="Arial Narrow" w:hAnsi="Arial Narrow" w:cstheme="minorHAnsi"/>
          <w:sz w:val="18"/>
          <w:szCs w:val="18"/>
        </w:rPr>
        <w:t>Source: ADAR Commentary p.50, Figure 10.</w:t>
      </w:r>
    </w:p>
    <w:p w14:paraId="70126AE3" w14:textId="64121799" w:rsidR="008124F1" w:rsidRDefault="003A3E18" w:rsidP="006372CC">
      <w:pPr>
        <w:pStyle w:val="NormalBeforeBullet"/>
        <w:spacing w:before="240" w:after="240"/>
      </w:pPr>
      <w:r>
        <w:t xml:space="preserve">The ADAR also included </w:t>
      </w:r>
      <w:r w:rsidRPr="003A3E18">
        <w:t xml:space="preserve">a supplementary analysis of a naïve comparison of single-arm studies which showed there were statistically significant improvements in the </w:t>
      </w:r>
      <w:r>
        <w:t>f</w:t>
      </w:r>
      <w:r w:rsidRPr="003A3E18">
        <w:t xml:space="preserve">unction and </w:t>
      </w:r>
      <w:r>
        <w:t>t</w:t>
      </w:r>
      <w:r w:rsidRPr="003A3E18">
        <w:t xml:space="preserve">otal SRS-22 scores in favour of VBT compared with PSF using the data from Aghdasi (2020) reported at 24 months (n=1,468). A statistically significant improvement in the </w:t>
      </w:r>
      <w:r>
        <w:t>f</w:t>
      </w:r>
      <w:r w:rsidRPr="003A3E18">
        <w:t>unction scores in favour of VBT compared with PSF was also demonstrated using the data from Aghdasi (2020), reported at ≥60 months (n=137).</w:t>
      </w:r>
    </w:p>
    <w:p w14:paraId="1B6BE80B" w14:textId="52B597D6" w:rsidR="009B0A2C" w:rsidRDefault="009B0A2C" w:rsidP="00BD17AF">
      <w:pPr>
        <w:pStyle w:val="Heading2"/>
      </w:pPr>
      <w:r>
        <w:t>Functional outcomes</w:t>
      </w:r>
    </w:p>
    <w:p w14:paraId="7EAA1B0F" w14:textId="18364486" w:rsidR="008124F1" w:rsidRDefault="009B0A2C" w:rsidP="00BD17AF">
      <w:pPr>
        <w:pStyle w:val="NormalBeforeBullet"/>
      </w:pPr>
      <w:r w:rsidRPr="00252425">
        <w:t xml:space="preserve">The ADAR presented additional functional efficacy outcomes based on the Pehlivanoglu (2021) study. Based on a single, small study (Pehlivanoglu 2021), it appears that average </w:t>
      </w:r>
      <w:r w:rsidR="00177F0E" w:rsidRPr="00252425">
        <w:t>lumb</w:t>
      </w:r>
      <w:r w:rsidR="00177F0E">
        <w:t>a</w:t>
      </w:r>
      <w:r w:rsidR="00177F0E" w:rsidRPr="00252425">
        <w:t xml:space="preserve">r </w:t>
      </w:r>
      <w:r w:rsidRPr="00252425">
        <w:t xml:space="preserve">range of movement, average </w:t>
      </w:r>
      <w:r w:rsidR="00177F0E" w:rsidRPr="00252425">
        <w:t>lumb</w:t>
      </w:r>
      <w:r w:rsidR="00177F0E">
        <w:t>a</w:t>
      </w:r>
      <w:r w:rsidR="00177F0E" w:rsidRPr="00252425">
        <w:t xml:space="preserve">r </w:t>
      </w:r>
      <w:r w:rsidRPr="00252425">
        <w:t>bending flexibility, average trunk endurance and average motor strength of trunk muscles are all statistically significant</w:t>
      </w:r>
      <w:r>
        <w:t>ly</w:t>
      </w:r>
      <w:r w:rsidRPr="00252425">
        <w:t xml:space="preserve"> better in those </w:t>
      </w:r>
      <w:r w:rsidRPr="00252425">
        <w:lastRenderedPageBreak/>
        <w:t>undergoing VBT compared with PSF</w:t>
      </w:r>
      <w:r w:rsidR="003A3E18">
        <w:t>.</w:t>
      </w:r>
      <w:r w:rsidRPr="00252425">
        <w:t xml:space="preserve"> </w:t>
      </w:r>
      <w:r w:rsidRPr="005E7986">
        <w:t xml:space="preserve">However, </w:t>
      </w:r>
      <w:r w:rsidR="003A3E18" w:rsidRPr="005E7986">
        <w:t>the commentary considered</w:t>
      </w:r>
      <w:r w:rsidRPr="005E7986">
        <w:t xml:space="preserve"> given the lack of baseline characteristic data presented in this study, it is difficult to know whether the functional outcomes occur as a result of potential differences in the indications of VBT and PSF, an issue that the authors themselves highlight</w:t>
      </w:r>
      <w:r w:rsidR="008124F1">
        <w:t>.</w:t>
      </w:r>
    </w:p>
    <w:p w14:paraId="7FE6C610" w14:textId="608F9092" w:rsidR="009A14EA" w:rsidRDefault="009A14EA" w:rsidP="002448B4">
      <w:pPr>
        <w:pStyle w:val="Heading2"/>
        <w:spacing w:before="240"/>
      </w:pPr>
      <w:r>
        <w:t>Clinical claim</w:t>
      </w:r>
    </w:p>
    <w:p w14:paraId="12F5E680" w14:textId="0E0A2095" w:rsidR="009A14EA" w:rsidRDefault="009A14EA" w:rsidP="00BD17AF">
      <w:r w:rsidRPr="00252425">
        <w:t xml:space="preserve">The clinical claim made in the ADAR is that VBT for the management of AIS is superior in terms of effectiveness as measured by </w:t>
      </w:r>
      <w:r>
        <w:t>HRQoL</w:t>
      </w:r>
      <w:r w:rsidRPr="00252425">
        <w:t xml:space="preserve"> and functional outcomes, and non-inferior in terms of safety (adverse event rates) compared to PSF.</w:t>
      </w:r>
    </w:p>
    <w:p w14:paraId="38853327" w14:textId="77777777" w:rsidR="00D5228F" w:rsidRDefault="00D5228F" w:rsidP="002448B4">
      <w:pPr>
        <w:spacing w:before="240"/>
      </w:pPr>
      <w:r w:rsidRPr="009A14EA">
        <w:t>Consistent with the ratified PICO, the ADAR appropriately focused on the clinical claim for patient-relevant outcomes. For radiographic (surrogate) outcomes, the ADAR appropriately concluded that VBT was inferior to PSF due to statistically significant differences in favour of PSF (absolute change in Cobb angle, correction in Cobb angle, clinical success and other spinal curvature efficacy outcomes).</w:t>
      </w:r>
    </w:p>
    <w:p w14:paraId="72387B81" w14:textId="5D7693E2" w:rsidR="009A14EA" w:rsidRDefault="009A14EA" w:rsidP="002448B4">
      <w:pPr>
        <w:spacing w:before="240"/>
      </w:pPr>
      <w:r>
        <w:t xml:space="preserve">However, the commentary considered </w:t>
      </w:r>
      <w:r w:rsidRPr="00CD7F30">
        <w:t>that VBT has uncertain safety compared to PSF in terms of adverse events, serious adverse events and other complications. The uncertainty is primarily due to low numbers in included studies, and the potential for confounding or missed reporting. For device related events, VBT appears inferior to PSF.</w:t>
      </w:r>
    </w:p>
    <w:p w14:paraId="6F2BE9F3" w14:textId="243E27E7" w:rsidR="009A14EA" w:rsidRDefault="009A14EA" w:rsidP="002448B4">
      <w:pPr>
        <w:spacing w:before="240"/>
      </w:pPr>
      <w:r>
        <w:t xml:space="preserve">The commentary noted the </w:t>
      </w:r>
      <w:r w:rsidRPr="009A14EA">
        <w:t xml:space="preserve">clinical claim for superior efficacy in terms of HRQoL (SRS-22) is not strongly supported by the ADARs comparative studies, which the ADARs meta-analysis showed no statistically significant differences between the VBT and PSF groups (but numerical differences in favour of VBT). Clinical significance could also not be demonstrated either as only post-operative scores were available in meta-analysis. In addition, there was considerable heterogeneity in the ADARs meta-analysis (likely influenced by the small sample sizes in the included studies), the retrospective </w:t>
      </w:r>
      <w:r w:rsidR="00177F0E">
        <w:t xml:space="preserve">matched cohort </w:t>
      </w:r>
      <w:r w:rsidRPr="009A14EA">
        <w:t>studies were at substantial risk of confounding (despite matching), no pre-operative SRS-22 scores were reported for one study (Newton 2020) limiting any assessment against the MCID, and the estimates of variance were imputed for one study (Pehlivanoglu 2021) introducing even further uncertainty. Overall, this represented low</w:t>
      </w:r>
      <w:r w:rsidR="005E7986">
        <w:t xml:space="preserve"> to </w:t>
      </w:r>
      <w:r w:rsidRPr="009A14EA">
        <w:t>very</w:t>
      </w:r>
      <w:r w:rsidR="005E7986">
        <w:t>-</w:t>
      </w:r>
      <w:r w:rsidRPr="009A14EA">
        <w:t xml:space="preserve">low </w:t>
      </w:r>
      <w:r w:rsidR="00177F0E">
        <w:t>certainty</w:t>
      </w:r>
      <w:r w:rsidR="00177F0E" w:rsidRPr="009A14EA">
        <w:t xml:space="preserve"> </w:t>
      </w:r>
      <w:r w:rsidRPr="009A14EA">
        <w:t>evidence.</w:t>
      </w:r>
    </w:p>
    <w:p w14:paraId="5CA653C8" w14:textId="7F8D8130" w:rsidR="00B51ADD" w:rsidRDefault="00B51ADD" w:rsidP="002448B4">
      <w:pPr>
        <w:spacing w:before="240"/>
      </w:pPr>
      <w:r>
        <w:t xml:space="preserve">The commentary also queried whether MSAC will accept the claim of superior efficacy in terms of HRQoL based on a naïve comparison (unadjusted for confounders) of single arm-studies representing very-low quality evidence. In addition, the ADAR included these studies despite its literature search </w:t>
      </w:r>
      <w:r w:rsidR="00177F0E">
        <w:t>being</w:t>
      </w:r>
      <w:r>
        <w:t xml:space="preserve"> limited to comparative studies only, they did not undergo a formal risk of bias assessment and some applicability concerns as the FDA study for VBT included a proportion of patients with Cobb angles &lt; 40 who would be ineligible as per the proposed MBS population.</w:t>
      </w:r>
    </w:p>
    <w:p w14:paraId="7A706AD0" w14:textId="72A1F815" w:rsidR="00B411FE" w:rsidRPr="00B02E35" w:rsidRDefault="00B51ADD" w:rsidP="002448B4">
      <w:pPr>
        <w:spacing w:before="240"/>
      </w:pPr>
      <w:r>
        <w:t xml:space="preserve">Finally, the commentary queried whether MSAC will accept the claim of superior efficacy in terms of patient-relevant functional outcomes (not prespecified in the PICO), which were limited to a single </w:t>
      </w:r>
      <w:r w:rsidR="00177F0E">
        <w:t>matched cohort</w:t>
      </w:r>
      <w:r>
        <w:t xml:space="preserve"> study with small patient numbers (n&lt;30 in each group).</w:t>
      </w:r>
    </w:p>
    <w:p w14:paraId="32CCEB6F" w14:textId="56DC98A4" w:rsidR="00597403" w:rsidRPr="002448B4" w:rsidRDefault="00065623" w:rsidP="00BD17AF">
      <w:pPr>
        <w:pStyle w:val="Heading1"/>
        <w:numPr>
          <w:ilvl w:val="0"/>
          <w:numId w:val="13"/>
        </w:numPr>
        <w:spacing w:before="240" w:after="240"/>
        <w:ind w:hanging="720"/>
        <w:rPr>
          <w:rFonts w:ascii="Arial" w:hAnsi="Arial" w:cs="Arial"/>
        </w:rPr>
      </w:pPr>
      <w:r w:rsidRPr="002448B4">
        <w:rPr>
          <w:rFonts w:ascii="Arial" w:hAnsi="Arial" w:cs="Arial"/>
        </w:rPr>
        <w:t>Economic evaluation</w:t>
      </w:r>
    </w:p>
    <w:p w14:paraId="1542661F" w14:textId="42661D87" w:rsidR="003A1A48" w:rsidRDefault="002048FD" w:rsidP="00BD17AF">
      <w:r w:rsidRPr="002048FD">
        <w:t xml:space="preserve">The economic analysis presented in the ADAR uses a cost-utility analysis (CUA) on the basis </w:t>
      </w:r>
      <w:r>
        <w:t>of the clinical claim of superior effectiveness and non-inferior safety of VBT compared to PSF.</w:t>
      </w:r>
      <w:r w:rsidR="002D1B4E">
        <w:t xml:space="preserve"> The inputs used in the economic model are summarised in</w:t>
      </w:r>
      <w:r w:rsidR="00CE4225">
        <w:t xml:space="preserve"> Table 9.</w:t>
      </w:r>
    </w:p>
    <w:p w14:paraId="4F705F1D" w14:textId="26320163" w:rsidR="002D1B4E" w:rsidRDefault="002D1B4E" w:rsidP="002448B4">
      <w:pPr>
        <w:pStyle w:val="Caption"/>
        <w:spacing w:before="240"/>
        <w:jc w:val="left"/>
      </w:pPr>
      <w:r>
        <w:lastRenderedPageBreak/>
        <w:t xml:space="preserve">Table </w:t>
      </w:r>
      <w:r w:rsidR="0084255E">
        <w:t>9</w:t>
      </w:r>
      <w:r>
        <w:t xml:space="preserve"> Summary of the economic evaluation</w:t>
      </w:r>
    </w:p>
    <w:tbl>
      <w:tblPr>
        <w:tblStyle w:val="TableGrid2"/>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09"/>
        <w:gridCol w:w="5907"/>
      </w:tblGrid>
      <w:tr w:rsidR="002D1B4E" w:rsidRPr="00183E4D" w14:paraId="6E3BAB2C" w14:textId="77777777" w:rsidTr="005E7986">
        <w:trPr>
          <w:cnfStyle w:val="100000000000" w:firstRow="1" w:lastRow="0" w:firstColumn="0" w:lastColumn="0" w:oddVBand="0" w:evenVBand="0" w:oddHBand="0" w:evenHBand="0" w:firstRowFirstColumn="0" w:firstRowLastColumn="0" w:lastRowFirstColumn="0" w:lastRowLastColumn="0"/>
          <w:trHeight w:val="20"/>
          <w:tblHeader/>
        </w:trPr>
        <w:tc>
          <w:tcPr>
            <w:tcW w:w="1724" w:type="pct"/>
            <w:tcBorders>
              <w:top w:val="single" w:sz="4" w:space="0" w:color="auto"/>
              <w:left w:val="single" w:sz="4" w:space="0" w:color="auto"/>
              <w:bottom w:val="single" w:sz="4" w:space="0" w:color="auto"/>
              <w:right w:val="single" w:sz="4" w:space="0" w:color="auto"/>
            </w:tcBorders>
          </w:tcPr>
          <w:p w14:paraId="19C9FAE2" w14:textId="77777777" w:rsidR="002D1B4E" w:rsidRPr="00550CAF" w:rsidRDefault="002D1B4E" w:rsidP="00BD17AF">
            <w:pPr>
              <w:pStyle w:val="Tabletext"/>
              <w:rPr>
                <w:b/>
                <w:bCs/>
              </w:rPr>
            </w:pPr>
            <w:r w:rsidRPr="00550CAF">
              <w:rPr>
                <w:b/>
                <w:bCs/>
              </w:rPr>
              <w:t>Perspective</w:t>
            </w:r>
          </w:p>
        </w:tc>
        <w:tc>
          <w:tcPr>
            <w:tcW w:w="3276" w:type="pct"/>
            <w:tcBorders>
              <w:top w:val="single" w:sz="4" w:space="0" w:color="auto"/>
              <w:left w:val="single" w:sz="4" w:space="0" w:color="auto"/>
              <w:bottom w:val="single" w:sz="4" w:space="0" w:color="auto"/>
              <w:right w:val="single" w:sz="4" w:space="0" w:color="auto"/>
            </w:tcBorders>
          </w:tcPr>
          <w:p w14:paraId="74AA6DD7" w14:textId="77777777" w:rsidR="002D1B4E" w:rsidRDefault="002D1B4E" w:rsidP="00BD17AF">
            <w:pPr>
              <w:pStyle w:val="Tabletext"/>
              <w:keepNext/>
              <w:keepLines/>
              <w:tabs>
                <w:tab w:val="left" w:pos="1307"/>
                <w:tab w:val="left" w:pos="1874"/>
              </w:tabs>
            </w:pPr>
            <w:r w:rsidRPr="00B1169E">
              <w:t>Australian healthcare system</w:t>
            </w:r>
          </w:p>
          <w:p w14:paraId="4944C4B8" w14:textId="77777777" w:rsidR="002D1B4E" w:rsidRPr="00B1169E" w:rsidRDefault="002D1B4E" w:rsidP="00BD17AF">
            <w:pPr>
              <w:pStyle w:val="Tabletext"/>
              <w:keepNext/>
              <w:keepLines/>
              <w:tabs>
                <w:tab w:val="left" w:pos="1307"/>
                <w:tab w:val="left" w:pos="1874"/>
              </w:tabs>
            </w:pPr>
            <w:r>
              <w:t>Including direct healthcare costs to patients, governments, health insurance agencies and any other part of society.</w:t>
            </w:r>
          </w:p>
        </w:tc>
      </w:tr>
      <w:tr w:rsidR="002D1B4E" w:rsidRPr="00183E4D" w14:paraId="04DEB327"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tcPr>
          <w:p w14:paraId="02229925" w14:textId="77777777" w:rsidR="002D1B4E" w:rsidRPr="00550CAF" w:rsidRDefault="002D1B4E" w:rsidP="00BD17AF">
            <w:pPr>
              <w:pStyle w:val="Tabletext"/>
              <w:rPr>
                <w:b/>
                <w:bCs/>
              </w:rPr>
            </w:pPr>
            <w:r w:rsidRPr="00550CAF">
              <w:rPr>
                <w:b/>
                <w:bCs/>
              </w:rPr>
              <w:t>Comparator</w:t>
            </w:r>
          </w:p>
        </w:tc>
        <w:tc>
          <w:tcPr>
            <w:tcW w:w="3276" w:type="pct"/>
            <w:tcBorders>
              <w:top w:val="single" w:sz="4" w:space="0" w:color="auto"/>
              <w:left w:val="single" w:sz="4" w:space="0" w:color="auto"/>
              <w:bottom w:val="single" w:sz="4" w:space="0" w:color="auto"/>
              <w:right w:val="single" w:sz="4" w:space="0" w:color="auto"/>
            </w:tcBorders>
          </w:tcPr>
          <w:p w14:paraId="0459D21F" w14:textId="77777777" w:rsidR="002D1B4E" w:rsidRPr="00B1169E" w:rsidRDefault="002D1B4E" w:rsidP="00BD17AF">
            <w:pPr>
              <w:pStyle w:val="Tabletext"/>
              <w:keepNext/>
              <w:keepLines/>
              <w:tabs>
                <w:tab w:val="left" w:pos="1307"/>
                <w:tab w:val="left" w:pos="1874"/>
              </w:tabs>
            </w:pPr>
            <w:r>
              <w:t>PSF</w:t>
            </w:r>
          </w:p>
        </w:tc>
      </w:tr>
      <w:tr w:rsidR="002D1B4E" w:rsidRPr="00183E4D" w14:paraId="5E61DCE7"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tcPr>
          <w:p w14:paraId="6E8B9900" w14:textId="77777777" w:rsidR="002D1B4E" w:rsidRPr="00550CAF" w:rsidRDefault="002D1B4E" w:rsidP="00BD17AF">
            <w:pPr>
              <w:pStyle w:val="Tabletext"/>
              <w:rPr>
                <w:b/>
                <w:bCs/>
              </w:rPr>
            </w:pPr>
            <w:r w:rsidRPr="00550CAF">
              <w:rPr>
                <w:b/>
                <w:bCs/>
              </w:rPr>
              <w:t>Type of economic evaluation</w:t>
            </w:r>
          </w:p>
        </w:tc>
        <w:tc>
          <w:tcPr>
            <w:tcW w:w="3276" w:type="pct"/>
            <w:tcBorders>
              <w:top w:val="single" w:sz="4" w:space="0" w:color="auto"/>
              <w:left w:val="single" w:sz="4" w:space="0" w:color="auto"/>
              <w:bottom w:val="single" w:sz="4" w:space="0" w:color="auto"/>
              <w:right w:val="single" w:sz="4" w:space="0" w:color="auto"/>
            </w:tcBorders>
          </w:tcPr>
          <w:p w14:paraId="7C798EA2" w14:textId="77777777" w:rsidR="002D1B4E" w:rsidRPr="00B1169E" w:rsidRDefault="002D1B4E" w:rsidP="00BD17AF">
            <w:pPr>
              <w:pStyle w:val="Tabletext"/>
              <w:keepNext/>
              <w:keepLines/>
              <w:tabs>
                <w:tab w:val="left" w:pos="1307"/>
                <w:tab w:val="left" w:pos="1874"/>
              </w:tabs>
            </w:pPr>
            <w:r>
              <w:t>Cost</w:t>
            </w:r>
            <w:r w:rsidRPr="000449D1">
              <w:t xml:space="preserve"> -utility analysis</w:t>
            </w:r>
          </w:p>
        </w:tc>
      </w:tr>
      <w:tr w:rsidR="002D1B4E" w:rsidRPr="00183E4D" w14:paraId="6501465B"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tcPr>
          <w:p w14:paraId="6B647417" w14:textId="77777777" w:rsidR="002D1B4E" w:rsidRPr="00550CAF" w:rsidRDefault="002D1B4E" w:rsidP="00BD17AF">
            <w:pPr>
              <w:pStyle w:val="Tabletext"/>
              <w:rPr>
                <w:b/>
                <w:bCs/>
              </w:rPr>
            </w:pPr>
            <w:r w:rsidRPr="00550CAF">
              <w:rPr>
                <w:b/>
                <w:bCs/>
              </w:rPr>
              <w:t>Sources of evidence</w:t>
            </w:r>
          </w:p>
        </w:tc>
        <w:tc>
          <w:tcPr>
            <w:tcW w:w="3276" w:type="pct"/>
            <w:tcBorders>
              <w:top w:val="single" w:sz="4" w:space="0" w:color="auto"/>
              <w:left w:val="single" w:sz="4" w:space="0" w:color="auto"/>
              <w:bottom w:val="single" w:sz="4" w:space="0" w:color="auto"/>
              <w:right w:val="single" w:sz="4" w:space="0" w:color="auto"/>
            </w:tcBorders>
          </w:tcPr>
          <w:p w14:paraId="07C67EF6" w14:textId="77777777" w:rsidR="002D1B4E" w:rsidRPr="00B1169E" w:rsidRDefault="002D1B4E" w:rsidP="00BD17AF">
            <w:pPr>
              <w:pStyle w:val="Tabletext"/>
              <w:keepNext/>
              <w:keepLines/>
              <w:tabs>
                <w:tab w:val="left" w:pos="1307"/>
                <w:tab w:val="left" w:pos="1874"/>
              </w:tabs>
            </w:pPr>
            <w:r w:rsidRPr="00183E4D">
              <w:t>Systematic review</w:t>
            </w:r>
          </w:p>
        </w:tc>
      </w:tr>
      <w:tr w:rsidR="002D1B4E" w:rsidRPr="00183E4D" w14:paraId="397FC149"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hideMark/>
          </w:tcPr>
          <w:p w14:paraId="7CF50A97" w14:textId="77777777" w:rsidR="002D1B4E" w:rsidRPr="00550CAF" w:rsidRDefault="002D1B4E" w:rsidP="00BD17AF">
            <w:pPr>
              <w:pStyle w:val="Tabletext"/>
              <w:rPr>
                <w:b/>
                <w:bCs/>
              </w:rPr>
            </w:pPr>
            <w:r w:rsidRPr="00550CAF">
              <w:rPr>
                <w:b/>
                <w:bCs/>
              </w:rPr>
              <w:t>Time horizon</w:t>
            </w:r>
          </w:p>
        </w:tc>
        <w:tc>
          <w:tcPr>
            <w:tcW w:w="3276" w:type="pct"/>
            <w:tcBorders>
              <w:top w:val="single" w:sz="4" w:space="0" w:color="auto"/>
              <w:left w:val="single" w:sz="4" w:space="0" w:color="auto"/>
              <w:bottom w:val="single" w:sz="4" w:space="0" w:color="auto"/>
              <w:right w:val="single" w:sz="4" w:space="0" w:color="auto"/>
            </w:tcBorders>
            <w:hideMark/>
          </w:tcPr>
          <w:p w14:paraId="5FA43485" w14:textId="77777777" w:rsidR="002D1B4E" w:rsidRPr="00B1169E" w:rsidRDefault="002D1B4E" w:rsidP="00BD17AF">
            <w:pPr>
              <w:pStyle w:val="Tabletext"/>
              <w:keepNext/>
              <w:keepLines/>
              <w:tabs>
                <w:tab w:val="left" w:pos="1307"/>
                <w:tab w:val="left" w:pos="1874"/>
              </w:tabs>
            </w:pPr>
            <w:r>
              <w:t>6 years (mean age at time of procedure 12 years to skeletal maturity age 18 years)</w:t>
            </w:r>
          </w:p>
        </w:tc>
      </w:tr>
      <w:tr w:rsidR="002D1B4E" w:rsidRPr="00183E4D" w14:paraId="1B3331A4"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hideMark/>
          </w:tcPr>
          <w:p w14:paraId="7526E7BB" w14:textId="77777777" w:rsidR="002D1B4E" w:rsidRPr="00550CAF" w:rsidRDefault="002D1B4E" w:rsidP="00BD17AF">
            <w:pPr>
              <w:pStyle w:val="Tabletext"/>
              <w:rPr>
                <w:b/>
                <w:bCs/>
              </w:rPr>
            </w:pPr>
            <w:r w:rsidRPr="00550CAF">
              <w:rPr>
                <w:b/>
                <w:bCs/>
              </w:rPr>
              <w:t>Outcomes</w:t>
            </w:r>
          </w:p>
        </w:tc>
        <w:tc>
          <w:tcPr>
            <w:tcW w:w="3276" w:type="pct"/>
            <w:tcBorders>
              <w:top w:val="single" w:sz="4" w:space="0" w:color="auto"/>
              <w:left w:val="single" w:sz="4" w:space="0" w:color="auto"/>
              <w:bottom w:val="single" w:sz="4" w:space="0" w:color="auto"/>
              <w:right w:val="single" w:sz="4" w:space="0" w:color="auto"/>
            </w:tcBorders>
          </w:tcPr>
          <w:p w14:paraId="7094E572" w14:textId="77777777" w:rsidR="002D1B4E" w:rsidRPr="00183E4D" w:rsidRDefault="002D1B4E" w:rsidP="00BD17AF">
            <w:pPr>
              <w:pStyle w:val="Tabletext"/>
              <w:keepNext/>
              <w:keepLines/>
              <w:tabs>
                <w:tab w:val="left" w:pos="1307"/>
                <w:tab w:val="left" w:pos="1874"/>
              </w:tabs>
            </w:pPr>
            <w:r>
              <w:t>Costs, and quality-</w:t>
            </w:r>
            <w:r w:rsidRPr="000449D1">
              <w:t>adjusted life years</w:t>
            </w:r>
          </w:p>
        </w:tc>
      </w:tr>
      <w:tr w:rsidR="002D1B4E" w:rsidRPr="00183E4D" w14:paraId="5C61BDCD"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hideMark/>
          </w:tcPr>
          <w:p w14:paraId="1604115C" w14:textId="77777777" w:rsidR="002D1B4E" w:rsidRPr="00550CAF" w:rsidRDefault="002D1B4E" w:rsidP="00BD17AF">
            <w:pPr>
              <w:pStyle w:val="Tabletext"/>
              <w:rPr>
                <w:b/>
                <w:bCs/>
              </w:rPr>
            </w:pPr>
            <w:r w:rsidRPr="00550CAF">
              <w:rPr>
                <w:b/>
                <w:bCs/>
              </w:rPr>
              <w:t>Methods used to generate results</w:t>
            </w:r>
          </w:p>
        </w:tc>
        <w:tc>
          <w:tcPr>
            <w:tcW w:w="3276" w:type="pct"/>
            <w:tcBorders>
              <w:top w:val="single" w:sz="4" w:space="0" w:color="auto"/>
              <w:left w:val="single" w:sz="4" w:space="0" w:color="auto"/>
              <w:bottom w:val="single" w:sz="4" w:space="0" w:color="auto"/>
              <w:right w:val="single" w:sz="4" w:space="0" w:color="auto"/>
            </w:tcBorders>
          </w:tcPr>
          <w:p w14:paraId="351AB36A" w14:textId="77777777" w:rsidR="002D1B4E" w:rsidRPr="00183E4D" w:rsidRDefault="002D1B4E" w:rsidP="00BD17AF">
            <w:pPr>
              <w:pStyle w:val="Tabletext"/>
              <w:keepNext/>
              <w:keepLines/>
              <w:tabs>
                <w:tab w:val="left" w:pos="1307"/>
                <w:tab w:val="left" w:pos="1874"/>
              </w:tabs>
            </w:pPr>
            <w:r>
              <w:t>Markov state-transition model</w:t>
            </w:r>
          </w:p>
        </w:tc>
      </w:tr>
      <w:tr w:rsidR="002D1B4E" w:rsidRPr="00183E4D" w14:paraId="66DF580D"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tcPr>
          <w:p w14:paraId="2CBB4893" w14:textId="77777777" w:rsidR="002D1B4E" w:rsidRPr="00550CAF" w:rsidRDefault="002D1B4E" w:rsidP="00BD17AF">
            <w:pPr>
              <w:pStyle w:val="Tabletext"/>
              <w:rPr>
                <w:b/>
                <w:bCs/>
              </w:rPr>
            </w:pPr>
            <w:r w:rsidRPr="00550CAF">
              <w:rPr>
                <w:b/>
                <w:bCs/>
              </w:rPr>
              <w:t>Health states</w:t>
            </w:r>
          </w:p>
        </w:tc>
        <w:tc>
          <w:tcPr>
            <w:tcW w:w="3276" w:type="pct"/>
            <w:tcBorders>
              <w:top w:val="single" w:sz="4" w:space="0" w:color="auto"/>
              <w:left w:val="single" w:sz="4" w:space="0" w:color="auto"/>
              <w:bottom w:val="single" w:sz="4" w:space="0" w:color="auto"/>
              <w:right w:val="single" w:sz="4" w:space="0" w:color="auto"/>
            </w:tcBorders>
          </w:tcPr>
          <w:p w14:paraId="27DC06D8" w14:textId="77777777" w:rsidR="002D1B4E" w:rsidRDefault="002D1B4E" w:rsidP="00BD17AF">
            <w:pPr>
              <w:pStyle w:val="Tabletext"/>
              <w:keepNext/>
              <w:keepLines/>
              <w:tabs>
                <w:tab w:val="left" w:pos="1307"/>
                <w:tab w:val="left" w:pos="1874"/>
              </w:tabs>
            </w:pPr>
            <w:r>
              <w:t>VBT: VBT index, VBT revision, PSF index procedure, dead</w:t>
            </w:r>
          </w:p>
          <w:p w14:paraId="3EFF6556" w14:textId="77777777" w:rsidR="002D1B4E" w:rsidRPr="00B1169E" w:rsidRDefault="002D1B4E" w:rsidP="00BD17AF">
            <w:pPr>
              <w:pStyle w:val="Tabletext"/>
              <w:keepNext/>
              <w:keepLines/>
              <w:tabs>
                <w:tab w:val="left" w:pos="1307"/>
                <w:tab w:val="left" w:pos="1874"/>
              </w:tabs>
            </w:pPr>
            <w:r>
              <w:t>PSF: PSF index, PSF revision, dead</w:t>
            </w:r>
          </w:p>
        </w:tc>
      </w:tr>
      <w:tr w:rsidR="002D1B4E" w:rsidRPr="00183E4D" w14:paraId="5435AE65"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hideMark/>
          </w:tcPr>
          <w:p w14:paraId="2141D353" w14:textId="77777777" w:rsidR="002D1B4E" w:rsidRPr="00550CAF" w:rsidRDefault="002D1B4E" w:rsidP="00BD17AF">
            <w:pPr>
              <w:pStyle w:val="Tabletext"/>
              <w:rPr>
                <w:b/>
                <w:bCs/>
              </w:rPr>
            </w:pPr>
            <w:r w:rsidRPr="00550CAF">
              <w:rPr>
                <w:b/>
                <w:bCs/>
              </w:rPr>
              <w:t>Cycle length</w:t>
            </w:r>
          </w:p>
        </w:tc>
        <w:tc>
          <w:tcPr>
            <w:tcW w:w="3276" w:type="pct"/>
            <w:tcBorders>
              <w:top w:val="single" w:sz="4" w:space="0" w:color="auto"/>
              <w:left w:val="single" w:sz="4" w:space="0" w:color="auto"/>
              <w:bottom w:val="single" w:sz="4" w:space="0" w:color="auto"/>
              <w:right w:val="single" w:sz="4" w:space="0" w:color="auto"/>
            </w:tcBorders>
          </w:tcPr>
          <w:p w14:paraId="7554E081" w14:textId="77777777" w:rsidR="002D1B4E" w:rsidRPr="00B1169E" w:rsidRDefault="002D1B4E" w:rsidP="00BD17AF">
            <w:pPr>
              <w:pStyle w:val="Tabletext"/>
              <w:keepNext/>
              <w:keepLines/>
              <w:tabs>
                <w:tab w:val="left" w:pos="1307"/>
                <w:tab w:val="left" w:pos="1874"/>
              </w:tabs>
            </w:pPr>
            <w:r>
              <w:t>1 year</w:t>
            </w:r>
          </w:p>
        </w:tc>
      </w:tr>
      <w:tr w:rsidR="002D1B4E" w:rsidRPr="00183E4D" w14:paraId="30B6FEAB"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hideMark/>
          </w:tcPr>
          <w:p w14:paraId="2A704A82" w14:textId="77777777" w:rsidR="002D1B4E" w:rsidRPr="00550CAF" w:rsidRDefault="002D1B4E" w:rsidP="00BD17AF">
            <w:pPr>
              <w:pStyle w:val="Tabletext"/>
              <w:rPr>
                <w:b/>
                <w:bCs/>
              </w:rPr>
            </w:pPr>
            <w:r w:rsidRPr="00550CAF">
              <w:rPr>
                <w:b/>
                <w:bCs/>
              </w:rPr>
              <w:t>Discount rate</w:t>
            </w:r>
          </w:p>
        </w:tc>
        <w:tc>
          <w:tcPr>
            <w:tcW w:w="3276" w:type="pct"/>
            <w:tcBorders>
              <w:top w:val="single" w:sz="4" w:space="0" w:color="auto"/>
              <w:left w:val="single" w:sz="4" w:space="0" w:color="auto"/>
              <w:bottom w:val="single" w:sz="4" w:space="0" w:color="auto"/>
              <w:right w:val="single" w:sz="4" w:space="0" w:color="auto"/>
            </w:tcBorders>
          </w:tcPr>
          <w:p w14:paraId="30E733B2" w14:textId="77777777" w:rsidR="002D1B4E" w:rsidRPr="00183E4D" w:rsidRDefault="002D1B4E" w:rsidP="00BD17AF">
            <w:pPr>
              <w:pStyle w:val="Tabletext"/>
              <w:keepNext/>
              <w:keepLines/>
              <w:tabs>
                <w:tab w:val="left" w:pos="1307"/>
                <w:tab w:val="left" w:pos="1874"/>
              </w:tabs>
            </w:pPr>
            <w:r>
              <w:t>5.0% for costs and health outcomes</w:t>
            </w:r>
          </w:p>
        </w:tc>
      </w:tr>
      <w:tr w:rsidR="002D1B4E" w:rsidRPr="00183E4D" w14:paraId="6C9A3F0B" w14:textId="77777777" w:rsidTr="00715A6E">
        <w:trPr>
          <w:trHeight w:val="20"/>
        </w:trPr>
        <w:tc>
          <w:tcPr>
            <w:tcW w:w="1724" w:type="pct"/>
            <w:tcBorders>
              <w:top w:val="single" w:sz="4" w:space="0" w:color="auto"/>
              <w:left w:val="single" w:sz="4" w:space="0" w:color="auto"/>
              <w:bottom w:val="single" w:sz="4" w:space="0" w:color="auto"/>
              <w:right w:val="single" w:sz="4" w:space="0" w:color="auto"/>
            </w:tcBorders>
            <w:hideMark/>
          </w:tcPr>
          <w:p w14:paraId="7754B923" w14:textId="77777777" w:rsidR="002D1B4E" w:rsidRPr="00550CAF" w:rsidRDefault="002D1B4E" w:rsidP="00BD17AF">
            <w:pPr>
              <w:pStyle w:val="Tabletext"/>
              <w:rPr>
                <w:b/>
                <w:bCs/>
              </w:rPr>
            </w:pPr>
            <w:r w:rsidRPr="00550CAF">
              <w:rPr>
                <w:b/>
                <w:bCs/>
              </w:rPr>
              <w:t>Software packages used</w:t>
            </w:r>
          </w:p>
        </w:tc>
        <w:tc>
          <w:tcPr>
            <w:tcW w:w="3276" w:type="pct"/>
            <w:tcBorders>
              <w:top w:val="single" w:sz="4" w:space="0" w:color="auto"/>
              <w:left w:val="single" w:sz="4" w:space="0" w:color="auto"/>
              <w:bottom w:val="single" w:sz="4" w:space="0" w:color="auto"/>
              <w:right w:val="single" w:sz="4" w:space="0" w:color="auto"/>
            </w:tcBorders>
          </w:tcPr>
          <w:p w14:paraId="084F7DD0" w14:textId="77777777" w:rsidR="002D1B4E" w:rsidRPr="00183E4D" w:rsidRDefault="002D1B4E" w:rsidP="00BD17AF">
            <w:pPr>
              <w:pStyle w:val="Tabletext"/>
              <w:keepNext/>
              <w:keepLines/>
              <w:tabs>
                <w:tab w:val="left" w:pos="1307"/>
                <w:tab w:val="left" w:pos="1874"/>
              </w:tabs>
            </w:pPr>
            <w:r>
              <w:t>Microsoft Excel</w:t>
            </w:r>
          </w:p>
        </w:tc>
      </w:tr>
    </w:tbl>
    <w:p w14:paraId="1767235E" w14:textId="77777777" w:rsidR="00A455AE" w:rsidRPr="00FB17F9" w:rsidRDefault="00A455AE" w:rsidP="00BD17AF">
      <w:pPr>
        <w:pStyle w:val="CaptionFootnote"/>
        <w:jc w:val="left"/>
      </w:pPr>
      <w:r>
        <w:t xml:space="preserve">Source: ADAR </w:t>
      </w:r>
      <w:r w:rsidRPr="00FB17F9">
        <w:t>Table D.3.1</w:t>
      </w:r>
      <w:r w:rsidRPr="00CA3CAC">
        <w:t>.</w:t>
      </w:r>
    </w:p>
    <w:p w14:paraId="1F804A9F" w14:textId="3F49F9A7" w:rsidR="00E771ED" w:rsidRDefault="00E771ED" w:rsidP="00BD17AF">
      <w:r>
        <w:t>Over a six-year time horizon, the base case model for VBT is projected to cost $84,328 and PSF is projected to cost $72,504 including index and revision procedures, resulting in a cost increment of $11,823 with VBT. Over this time horizon, VBT patients are expected to accrue 4.835 QALYs and PSF patients are expected to accrue 4.455 QALYs, representing a gain of 0.380 QALYs with VBT. The resulting incremental cost per QALY gained is $31,104.</w:t>
      </w:r>
    </w:p>
    <w:p w14:paraId="2E2BDAFE" w14:textId="79FF4578" w:rsidR="005E153D" w:rsidRPr="00B432A2" w:rsidRDefault="00D0140B" w:rsidP="00B432A2">
      <w:pPr>
        <w:spacing w:before="240"/>
        <w:rPr>
          <w:b/>
          <w:bCs/>
        </w:rPr>
      </w:pPr>
      <w:r w:rsidRPr="00D0140B">
        <w:t xml:space="preserve">The modelled results were most sensitive to VBT and PSF QALY parameters. Consistent with </w:t>
      </w:r>
      <w:r>
        <w:t>a</w:t>
      </w:r>
      <w:r w:rsidRPr="00D0140B">
        <w:t xml:space="preserve"> published CUA model by Polly (2021)</w:t>
      </w:r>
      <w:r>
        <w:rPr>
          <w:rStyle w:val="FootnoteReference"/>
        </w:rPr>
        <w:footnoteReference w:id="19"/>
      </w:r>
      <w:r w:rsidRPr="00D0140B">
        <w:t>, the mean postoperative utility weightings are key sources of uncertainty in the ADAR economic model.</w:t>
      </w:r>
      <w:r w:rsidR="00402D5F">
        <w:t xml:space="preserve"> Univar</w:t>
      </w:r>
      <w:r w:rsidR="005E7986">
        <w:t xml:space="preserve">iate </w:t>
      </w:r>
      <w:r w:rsidR="00402D5F">
        <w:t>sensitivity analyses were conducted on the key drivers and assumptions in the model</w:t>
      </w:r>
      <w:r w:rsidR="0084255E">
        <w:t xml:space="preserve"> (Table 10)</w:t>
      </w:r>
      <w:r w:rsidR="004F3511" w:rsidRPr="005E7986">
        <w:t>.</w:t>
      </w:r>
      <w:r w:rsidR="004F3511">
        <w:rPr>
          <w:b/>
          <w:bCs/>
        </w:rPr>
        <w:t xml:space="preserve"> </w:t>
      </w:r>
      <w:r w:rsidR="005E153D">
        <w:br w:type="page"/>
      </w:r>
    </w:p>
    <w:p w14:paraId="64B9D670" w14:textId="29940260" w:rsidR="00F76ADE" w:rsidRDefault="00F76ADE" w:rsidP="002448B4">
      <w:pPr>
        <w:pStyle w:val="Caption"/>
        <w:spacing w:before="240"/>
        <w:jc w:val="left"/>
      </w:pPr>
      <w:r>
        <w:lastRenderedPageBreak/>
        <w:t xml:space="preserve">Table </w:t>
      </w:r>
      <w:r w:rsidR="0084255E">
        <w:t>10</w:t>
      </w:r>
      <w:r>
        <w:t xml:space="preserve"> </w:t>
      </w:r>
      <w:r w:rsidRPr="009A2A9F">
        <w:t>Sensitivity analyses</w:t>
      </w:r>
    </w:p>
    <w:tbl>
      <w:tblPr>
        <w:tblStyle w:val="TableGrid2"/>
        <w:tblW w:w="9067" w:type="dxa"/>
        <w:tblLayout w:type="fixed"/>
        <w:tblLook w:val="04A0" w:firstRow="1" w:lastRow="0" w:firstColumn="1" w:lastColumn="0" w:noHBand="0" w:noVBand="1"/>
      </w:tblPr>
      <w:tblGrid>
        <w:gridCol w:w="3691"/>
        <w:gridCol w:w="1399"/>
        <w:gridCol w:w="1663"/>
        <w:gridCol w:w="2314"/>
      </w:tblGrid>
      <w:tr w:rsidR="00F76ADE" w:rsidRPr="000C78B8" w14:paraId="0513F496" w14:textId="77777777" w:rsidTr="006B77D6">
        <w:trPr>
          <w:cnfStyle w:val="100000000000" w:firstRow="1" w:lastRow="0" w:firstColumn="0" w:lastColumn="0" w:oddVBand="0" w:evenVBand="0" w:oddHBand="0" w:evenHBand="0" w:firstRowFirstColumn="0" w:firstRowLastColumn="0" w:lastRowFirstColumn="0" w:lastRowLastColumn="0"/>
          <w:tblHeader/>
        </w:trPr>
        <w:tc>
          <w:tcPr>
            <w:tcW w:w="3691" w:type="dxa"/>
          </w:tcPr>
          <w:p w14:paraId="1E38F988" w14:textId="77777777" w:rsidR="00F76ADE" w:rsidRPr="006109CE" w:rsidRDefault="00F76ADE" w:rsidP="00BD17AF">
            <w:pPr>
              <w:pStyle w:val="TableHeadingRow"/>
              <w:keepNext w:val="0"/>
              <w:rPr>
                <w:szCs w:val="20"/>
              </w:rPr>
            </w:pPr>
            <w:bookmarkStart w:id="16" w:name="_Ref379457727"/>
            <w:bookmarkStart w:id="17" w:name="OLE_LINK1"/>
            <w:bookmarkStart w:id="18" w:name="_Hlk68276759"/>
            <w:r w:rsidRPr="006109CE">
              <w:rPr>
                <w:szCs w:val="20"/>
              </w:rPr>
              <w:t>Sensitivity analysis</w:t>
            </w:r>
          </w:p>
        </w:tc>
        <w:tc>
          <w:tcPr>
            <w:tcW w:w="1399" w:type="dxa"/>
          </w:tcPr>
          <w:p w14:paraId="0AC98611" w14:textId="77777777" w:rsidR="00F76ADE" w:rsidRPr="006B77D6" w:rsidRDefault="00F76ADE" w:rsidP="00BD17AF">
            <w:pPr>
              <w:pStyle w:val="TableCentre"/>
              <w:jc w:val="left"/>
              <w:rPr>
                <w:rFonts w:ascii="Arial Narrow" w:hAnsi="Arial Narrow"/>
                <w:b/>
                <w:szCs w:val="20"/>
              </w:rPr>
            </w:pPr>
            <w:r w:rsidRPr="006B77D6">
              <w:rPr>
                <w:rFonts w:ascii="Arial Narrow" w:hAnsi="Arial Narrow"/>
                <w:b/>
                <w:szCs w:val="20"/>
              </w:rPr>
              <w:t>Incremental cost</w:t>
            </w:r>
          </w:p>
          <w:p w14:paraId="7028F25F" w14:textId="77777777" w:rsidR="00F76ADE" w:rsidRPr="006B77D6" w:rsidRDefault="00F76ADE" w:rsidP="00BD17AF">
            <w:pPr>
              <w:pStyle w:val="TableCentre"/>
              <w:jc w:val="left"/>
              <w:rPr>
                <w:rFonts w:ascii="Arial Narrow" w:hAnsi="Arial Narrow"/>
                <w:b/>
                <w:szCs w:val="20"/>
              </w:rPr>
            </w:pPr>
            <w:r w:rsidRPr="006B77D6">
              <w:rPr>
                <w:rFonts w:ascii="Arial Narrow" w:hAnsi="Arial Narrow"/>
                <w:b/>
                <w:szCs w:val="20"/>
              </w:rPr>
              <w:t>(AUD)</w:t>
            </w:r>
          </w:p>
        </w:tc>
        <w:tc>
          <w:tcPr>
            <w:tcW w:w="1663" w:type="dxa"/>
          </w:tcPr>
          <w:p w14:paraId="6DE70931" w14:textId="77777777" w:rsidR="00F76ADE" w:rsidRPr="006B77D6" w:rsidRDefault="00F76ADE" w:rsidP="00BD17AF">
            <w:pPr>
              <w:pStyle w:val="TableCentre"/>
              <w:jc w:val="left"/>
              <w:rPr>
                <w:rFonts w:ascii="Arial Narrow" w:hAnsi="Arial Narrow"/>
                <w:b/>
                <w:szCs w:val="20"/>
              </w:rPr>
            </w:pPr>
            <w:r w:rsidRPr="006B77D6">
              <w:rPr>
                <w:rFonts w:ascii="Arial Narrow" w:hAnsi="Arial Narrow"/>
                <w:b/>
                <w:szCs w:val="20"/>
              </w:rPr>
              <w:t>Incremental QALYs</w:t>
            </w:r>
          </w:p>
        </w:tc>
        <w:tc>
          <w:tcPr>
            <w:tcW w:w="2314" w:type="dxa"/>
          </w:tcPr>
          <w:p w14:paraId="53587F2E" w14:textId="77777777" w:rsidR="00F76ADE" w:rsidRPr="006B77D6" w:rsidRDefault="00F76ADE" w:rsidP="00BD17AF">
            <w:pPr>
              <w:pStyle w:val="TableCentre"/>
              <w:jc w:val="left"/>
              <w:rPr>
                <w:rFonts w:ascii="Arial Narrow" w:hAnsi="Arial Narrow"/>
                <w:b/>
                <w:szCs w:val="20"/>
              </w:rPr>
            </w:pPr>
            <w:r w:rsidRPr="006B77D6">
              <w:rPr>
                <w:rFonts w:ascii="Arial Narrow" w:hAnsi="Arial Narrow"/>
                <w:b/>
                <w:szCs w:val="20"/>
              </w:rPr>
              <w:t>ICER (AUD)</w:t>
            </w:r>
          </w:p>
        </w:tc>
      </w:tr>
      <w:tr w:rsidR="00F76ADE" w:rsidRPr="006C3F8E" w14:paraId="1AB97285" w14:textId="77777777" w:rsidTr="00F862A1">
        <w:tc>
          <w:tcPr>
            <w:tcW w:w="3691" w:type="dxa"/>
          </w:tcPr>
          <w:p w14:paraId="699ACF0B" w14:textId="77777777" w:rsidR="00F76ADE" w:rsidRPr="006109CE" w:rsidRDefault="00F76ADE" w:rsidP="00BD17AF">
            <w:pPr>
              <w:pStyle w:val="Tabletext"/>
            </w:pPr>
            <w:r w:rsidRPr="006109CE">
              <w:t>Base case</w:t>
            </w:r>
          </w:p>
        </w:tc>
        <w:tc>
          <w:tcPr>
            <w:tcW w:w="1399" w:type="dxa"/>
            <w:vAlign w:val="bottom"/>
          </w:tcPr>
          <w:p w14:paraId="7305CDCE" w14:textId="77777777" w:rsidR="00F76ADE" w:rsidRPr="006109CE" w:rsidRDefault="00F76ADE" w:rsidP="00BD17AF">
            <w:pPr>
              <w:pStyle w:val="Tabletext"/>
            </w:pPr>
            <w:r w:rsidRPr="006109CE">
              <w:t>$11,823</w:t>
            </w:r>
          </w:p>
        </w:tc>
        <w:tc>
          <w:tcPr>
            <w:tcW w:w="1663" w:type="dxa"/>
            <w:vAlign w:val="bottom"/>
          </w:tcPr>
          <w:p w14:paraId="40B55EDB" w14:textId="77777777" w:rsidR="00F76ADE" w:rsidRPr="006109CE" w:rsidRDefault="00F76ADE" w:rsidP="00BD17AF">
            <w:pPr>
              <w:pStyle w:val="Tabletext"/>
            </w:pPr>
            <w:r w:rsidRPr="006109CE">
              <w:t>0.380</w:t>
            </w:r>
          </w:p>
        </w:tc>
        <w:tc>
          <w:tcPr>
            <w:tcW w:w="2314" w:type="dxa"/>
            <w:vAlign w:val="bottom"/>
          </w:tcPr>
          <w:p w14:paraId="0904DDB1" w14:textId="77777777" w:rsidR="00F76ADE" w:rsidRPr="006109CE" w:rsidRDefault="00F76ADE" w:rsidP="00BD17AF">
            <w:pPr>
              <w:pStyle w:val="Tabletext"/>
            </w:pPr>
            <w:r w:rsidRPr="006109CE">
              <w:t>$31,104</w:t>
            </w:r>
          </w:p>
        </w:tc>
      </w:tr>
      <w:tr w:rsidR="00F76ADE" w:rsidRPr="006C3F8E" w14:paraId="1C4D457D" w14:textId="77777777" w:rsidTr="00F862A1">
        <w:tc>
          <w:tcPr>
            <w:tcW w:w="9067" w:type="dxa"/>
            <w:gridSpan w:val="4"/>
          </w:tcPr>
          <w:p w14:paraId="576B1A07" w14:textId="77777777" w:rsidR="00F76ADE" w:rsidRPr="006109CE" w:rsidRDefault="00F76ADE" w:rsidP="00BD17AF">
            <w:pPr>
              <w:pStyle w:val="Tabletext"/>
              <w:rPr>
                <w:b/>
              </w:rPr>
            </w:pPr>
            <w:r w:rsidRPr="006109CE">
              <w:rPr>
                <w:b/>
              </w:rPr>
              <w:t>Discount rate for costs and benefits</w:t>
            </w:r>
          </w:p>
          <w:p w14:paraId="42D263D9" w14:textId="77777777" w:rsidR="00F76ADE" w:rsidRPr="006109CE" w:rsidRDefault="00F76ADE" w:rsidP="00BD17AF">
            <w:pPr>
              <w:pStyle w:val="Tabletext"/>
              <w:rPr>
                <w:b/>
              </w:rPr>
            </w:pPr>
            <w:r w:rsidRPr="006109CE">
              <w:rPr>
                <w:b/>
              </w:rPr>
              <w:t>(base case: 5.0%)</w:t>
            </w:r>
          </w:p>
        </w:tc>
      </w:tr>
      <w:tr w:rsidR="00F76ADE" w:rsidRPr="006C3F8E" w14:paraId="2C7E2173" w14:textId="77777777" w:rsidTr="00F862A1">
        <w:tc>
          <w:tcPr>
            <w:tcW w:w="3691" w:type="dxa"/>
          </w:tcPr>
          <w:p w14:paraId="5B6F9517" w14:textId="77777777" w:rsidR="00F76ADE" w:rsidRPr="006109CE" w:rsidRDefault="00F76ADE" w:rsidP="00BD17AF">
            <w:pPr>
              <w:pStyle w:val="Tabletext"/>
            </w:pPr>
            <w:r w:rsidRPr="006109CE">
              <w:t>0.0%</w:t>
            </w:r>
          </w:p>
        </w:tc>
        <w:tc>
          <w:tcPr>
            <w:tcW w:w="1399" w:type="dxa"/>
            <w:vAlign w:val="bottom"/>
          </w:tcPr>
          <w:p w14:paraId="62B77489" w14:textId="77777777" w:rsidR="00F76ADE" w:rsidRPr="006109CE" w:rsidRDefault="00F76ADE" w:rsidP="00BD17AF">
            <w:pPr>
              <w:pStyle w:val="Tabletext"/>
            </w:pPr>
            <w:r w:rsidRPr="006109CE">
              <w:t>$13,811</w:t>
            </w:r>
          </w:p>
        </w:tc>
        <w:tc>
          <w:tcPr>
            <w:tcW w:w="1663" w:type="dxa"/>
            <w:vAlign w:val="bottom"/>
          </w:tcPr>
          <w:p w14:paraId="32FE9C2A" w14:textId="77777777" w:rsidR="00F76ADE" w:rsidRPr="006109CE" w:rsidRDefault="00F76ADE" w:rsidP="00BD17AF">
            <w:pPr>
              <w:pStyle w:val="Tabletext"/>
            </w:pPr>
            <w:r w:rsidRPr="006109CE">
              <w:t>0.426</w:t>
            </w:r>
          </w:p>
        </w:tc>
        <w:tc>
          <w:tcPr>
            <w:tcW w:w="2314" w:type="dxa"/>
            <w:vAlign w:val="bottom"/>
          </w:tcPr>
          <w:p w14:paraId="6CB9BC6A" w14:textId="77777777" w:rsidR="00F76ADE" w:rsidRPr="006109CE" w:rsidRDefault="00F76ADE" w:rsidP="00BD17AF">
            <w:pPr>
              <w:pStyle w:val="Tabletext"/>
            </w:pPr>
            <w:r w:rsidRPr="006109CE">
              <w:t>$32,449</w:t>
            </w:r>
          </w:p>
        </w:tc>
      </w:tr>
      <w:tr w:rsidR="00F76ADE" w:rsidRPr="006C3F8E" w14:paraId="09491B94" w14:textId="77777777" w:rsidTr="00F862A1">
        <w:tc>
          <w:tcPr>
            <w:tcW w:w="3691" w:type="dxa"/>
          </w:tcPr>
          <w:p w14:paraId="7DD604D3" w14:textId="77777777" w:rsidR="00F76ADE" w:rsidRPr="006109CE" w:rsidRDefault="00F76ADE" w:rsidP="00BD17AF">
            <w:pPr>
              <w:pStyle w:val="Tabletext"/>
            </w:pPr>
            <w:r w:rsidRPr="006109CE">
              <w:t>3.5%</w:t>
            </w:r>
          </w:p>
        </w:tc>
        <w:tc>
          <w:tcPr>
            <w:tcW w:w="1399" w:type="dxa"/>
            <w:vAlign w:val="bottom"/>
          </w:tcPr>
          <w:p w14:paraId="168420DE" w14:textId="77777777" w:rsidR="00F76ADE" w:rsidRPr="006109CE" w:rsidRDefault="00F76ADE" w:rsidP="00BD17AF">
            <w:pPr>
              <w:pStyle w:val="Tabletext"/>
            </w:pPr>
            <w:r w:rsidRPr="006109CE">
              <w:t>$12,374</w:t>
            </w:r>
          </w:p>
        </w:tc>
        <w:tc>
          <w:tcPr>
            <w:tcW w:w="1663" w:type="dxa"/>
            <w:vAlign w:val="bottom"/>
          </w:tcPr>
          <w:p w14:paraId="65EDB532" w14:textId="77777777" w:rsidR="00F76ADE" w:rsidRPr="006109CE" w:rsidRDefault="00F76ADE" w:rsidP="00BD17AF">
            <w:pPr>
              <w:pStyle w:val="Tabletext"/>
            </w:pPr>
            <w:r w:rsidRPr="006109CE">
              <w:t>0.393</w:t>
            </w:r>
          </w:p>
        </w:tc>
        <w:tc>
          <w:tcPr>
            <w:tcW w:w="2314" w:type="dxa"/>
            <w:vAlign w:val="bottom"/>
          </w:tcPr>
          <w:p w14:paraId="6B4D231E" w14:textId="77777777" w:rsidR="00F76ADE" w:rsidRPr="006109CE" w:rsidRDefault="00F76ADE" w:rsidP="00BD17AF">
            <w:pPr>
              <w:pStyle w:val="Tabletext"/>
            </w:pPr>
            <w:r w:rsidRPr="006109CE">
              <w:t>$31,509</w:t>
            </w:r>
          </w:p>
        </w:tc>
      </w:tr>
      <w:tr w:rsidR="00F76ADE" w:rsidRPr="006C3F8E" w14:paraId="650D1C38" w14:textId="77777777" w:rsidTr="00F862A1">
        <w:tc>
          <w:tcPr>
            <w:tcW w:w="9067" w:type="dxa"/>
            <w:gridSpan w:val="4"/>
          </w:tcPr>
          <w:p w14:paraId="54B3C2F9" w14:textId="77777777" w:rsidR="00F76ADE" w:rsidRPr="006109CE" w:rsidRDefault="00F76ADE" w:rsidP="00BD17AF">
            <w:pPr>
              <w:pStyle w:val="Tabletext"/>
              <w:rPr>
                <w:b/>
              </w:rPr>
            </w:pPr>
            <w:r w:rsidRPr="006109CE">
              <w:rPr>
                <w:b/>
              </w:rPr>
              <w:t>Time horizon</w:t>
            </w:r>
          </w:p>
          <w:p w14:paraId="0F4BABDE" w14:textId="77777777" w:rsidR="00F76ADE" w:rsidRPr="006109CE" w:rsidRDefault="00F76ADE" w:rsidP="00BD17AF">
            <w:pPr>
              <w:pStyle w:val="Tabletext"/>
              <w:rPr>
                <w:b/>
              </w:rPr>
            </w:pPr>
            <w:r w:rsidRPr="006109CE">
              <w:rPr>
                <w:b/>
              </w:rPr>
              <w:t>(base case: 6 years)</w:t>
            </w:r>
          </w:p>
        </w:tc>
      </w:tr>
      <w:tr w:rsidR="00F76ADE" w:rsidRPr="006C3F8E" w14:paraId="1A5FBA46" w14:textId="77777777" w:rsidTr="00F862A1">
        <w:tc>
          <w:tcPr>
            <w:tcW w:w="3691" w:type="dxa"/>
          </w:tcPr>
          <w:p w14:paraId="43006F81" w14:textId="77777777" w:rsidR="00F76ADE" w:rsidRPr="006109CE" w:rsidRDefault="00F76ADE" w:rsidP="00BD17AF">
            <w:pPr>
              <w:pStyle w:val="Tabletext"/>
            </w:pPr>
            <w:r w:rsidRPr="006109CE">
              <w:t>4 years</w:t>
            </w:r>
          </w:p>
        </w:tc>
        <w:tc>
          <w:tcPr>
            <w:tcW w:w="1399" w:type="dxa"/>
            <w:vAlign w:val="bottom"/>
          </w:tcPr>
          <w:p w14:paraId="02C27591" w14:textId="77777777" w:rsidR="00F76ADE" w:rsidRPr="006109CE" w:rsidRDefault="00F76ADE" w:rsidP="00BD17AF">
            <w:pPr>
              <w:pStyle w:val="Tabletext"/>
            </w:pPr>
            <w:r w:rsidRPr="006109CE">
              <w:t>$7,290</w:t>
            </w:r>
          </w:p>
        </w:tc>
        <w:tc>
          <w:tcPr>
            <w:tcW w:w="1663" w:type="dxa"/>
            <w:vAlign w:val="bottom"/>
          </w:tcPr>
          <w:p w14:paraId="7924FD03" w14:textId="77777777" w:rsidR="00F76ADE" w:rsidRPr="006109CE" w:rsidRDefault="00F76ADE" w:rsidP="00BD17AF">
            <w:pPr>
              <w:pStyle w:val="Tabletext"/>
            </w:pPr>
            <w:r w:rsidRPr="006109CE">
              <w:t>0.275</w:t>
            </w:r>
          </w:p>
        </w:tc>
        <w:tc>
          <w:tcPr>
            <w:tcW w:w="2314" w:type="dxa"/>
            <w:vAlign w:val="bottom"/>
          </w:tcPr>
          <w:p w14:paraId="1B0B44EB" w14:textId="77777777" w:rsidR="00F76ADE" w:rsidRPr="006109CE" w:rsidRDefault="00F76ADE" w:rsidP="00BD17AF">
            <w:pPr>
              <w:pStyle w:val="Tabletext"/>
            </w:pPr>
            <w:r w:rsidRPr="006109CE">
              <w:t>$26,528</w:t>
            </w:r>
          </w:p>
        </w:tc>
      </w:tr>
      <w:tr w:rsidR="00F76ADE" w:rsidRPr="006C3F8E" w14:paraId="133B07A9" w14:textId="77777777" w:rsidTr="00F862A1">
        <w:tc>
          <w:tcPr>
            <w:tcW w:w="3691" w:type="dxa"/>
          </w:tcPr>
          <w:p w14:paraId="6579CD2B" w14:textId="77777777" w:rsidR="00F76ADE" w:rsidRPr="006109CE" w:rsidRDefault="00F76ADE" w:rsidP="00BD17AF">
            <w:pPr>
              <w:pStyle w:val="Tabletext"/>
            </w:pPr>
            <w:r w:rsidRPr="006109CE">
              <w:t>10 years</w:t>
            </w:r>
          </w:p>
        </w:tc>
        <w:tc>
          <w:tcPr>
            <w:tcW w:w="1399" w:type="dxa"/>
            <w:vAlign w:val="bottom"/>
          </w:tcPr>
          <w:p w14:paraId="0CC0DE3D" w14:textId="77777777" w:rsidR="00F76ADE" w:rsidRPr="006109CE" w:rsidRDefault="00F76ADE" w:rsidP="00BD17AF">
            <w:pPr>
              <w:pStyle w:val="Tabletext"/>
            </w:pPr>
            <w:r w:rsidRPr="006109CE">
              <w:t>$18,558</w:t>
            </w:r>
          </w:p>
        </w:tc>
        <w:tc>
          <w:tcPr>
            <w:tcW w:w="1663" w:type="dxa"/>
            <w:vAlign w:val="bottom"/>
          </w:tcPr>
          <w:p w14:paraId="5E1A880D" w14:textId="77777777" w:rsidR="00F76ADE" w:rsidRPr="006109CE" w:rsidRDefault="00F76ADE" w:rsidP="00BD17AF">
            <w:pPr>
              <w:pStyle w:val="Tabletext"/>
            </w:pPr>
            <w:r w:rsidRPr="006109CE">
              <w:t>0.543</w:t>
            </w:r>
          </w:p>
        </w:tc>
        <w:tc>
          <w:tcPr>
            <w:tcW w:w="2314" w:type="dxa"/>
            <w:vAlign w:val="bottom"/>
          </w:tcPr>
          <w:p w14:paraId="3AE235E9" w14:textId="77777777" w:rsidR="00F76ADE" w:rsidRPr="006109CE" w:rsidRDefault="00F76ADE" w:rsidP="00BD17AF">
            <w:pPr>
              <w:pStyle w:val="Tabletext"/>
            </w:pPr>
            <w:r w:rsidRPr="006109CE">
              <w:t>$34,189</w:t>
            </w:r>
          </w:p>
        </w:tc>
      </w:tr>
      <w:tr w:rsidR="00F76ADE" w:rsidRPr="006C3F8E" w14:paraId="6CE4AD16" w14:textId="77777777" w:rsidTr="00F862A1">
        <w:tc>
          <w:tcPr>
            <w:tcW w:w="3691" w:type="dxa"/>
          </w:tcPr>
          <w:p w14:paraId="5AA193F8" w14:textId="77777777" w:rsidR="00F76ADE" w:rsidRPr="006109CE" w:rsidRDefault="00F76ADE" w:rsidP="00BD17AF">
            <w:pPr>
              <w:pStyle w:val="Tabletext"/>
            </w:pPr>
            <w:r w:rsidRPr="006109CE">
              <w:t>15 years</w:t>
            </w:r>
          </w:p>
        </w:tc>
        <w:tc>
          <w:tcPr>
            <w:tcW w:w="1399" w:type="dxa"/>
            <w:vAlign w:val="bottom"/>
          </w:tcPr>
          <w:p w14:paraId="03B66611" w14:textId="77777777" w:rsidR="00F76ADE" w:rsidRPr="006109CE" w:rsidRDefault="00F76ADE" w:rsidP="00BD17AF">
            <w:pPr>
              <w:pStyle w:val="Tabletext"/>
            </w:pPr>
            <w:r w:rsidRPr="006109CE">
              <w:t>$23,994</w:t>
            </w:r>
          </w:p>
        </w:tc>
        <w:tc>
          <w:tcPr>
            <w:tcW w:w="1663" w:type="dxa"/>
            <w:vAlign w:val="bottom"/>
          </w:tcPr>
          <w:p w14:paraId="07764CE8" w14:textId="77777777" w:rsidR="00F76ADE" w:rsidRPr="006109CE" w:rsidRDefault="00F76ADE" w:rsidP="00BD17AF">
            <w:pPr>
              <w:pStyle w:val="Tabletext"/>
            </w:pPr>
            <w:r w:rsidRPr="006109CE">
              <w:t>0.680</w:t>
            </w:r>
          </w:p>
        </w:tc>
        <w:tc>
          <w:tcPr>
            <w:tcW w:w="2314" w:type="dxa"/>
            <w:vAlign w:val="bottom"/>
          </w:tcPr>
          <w:p w14:paraId="607112A2" w14:textId="77777777" w:rsidR="00F76ADE" w:rsidRPr="006109CE" w:rsidRDefault="00F76ADE" w:rsidP="00BD17AF">
            <w:pPr>
              <w:pStyle w:val="Tabletext"/>
            </w:pPr>
            <w:r w:rsidRPr="006109CE">
              <w:t>$35,263</w:t>
            </w:r>
          </w:p>
        </w:tc>
      </w:tr>
      <w:tr w:rsidR="00F76ADE" w:rsidRPr="006C3F8E" w14:paraId="01719F4B" w14:textId="77777777" w:rsidTr="00F862A1">
        <w:tc>
          <w:tcPr>
            <w:tcW w:w="9067" w:type="dxa"/>
            <w:gridSpan w:val="4"/>
          </w:tcPr>
          <w:p w14:paraId="1BD115D6" w14:textId="77777777" w:rsidR="00F76ADE" w:rsidRPr="006109CE" w:rsidRDefault="00F76ADE" w:rsidP="00BD17AF">
            <w:pPr>
              <w:pStyle w:val="Tabletext"/>
              <w:rPr>
                <w:b/>
              </w:rPr>
            </w:pPr>
            <w:r w:rsidRPr="006109CE">
              <w:rPr>
                <w:b/>
              </w:rPr>
              <w:t>Length of hospital stay associated with VBT revision (plausible upper limit)</w:t>
            </w:r>
          </w:p>
          <w:p w14:paraId="3F3F7B7F" w14:textId="77777777" w:rsidR="00F76ADE" w:rsidRPr="006109CE" w:rsidRDefault="00F76ADE" w:rsidP="00BD17AF">
            <w:pPr>
              <w:pStyle w:val="Tabletext"/>
              <w:rPr>
                <w:b/>
              </w:rPr>
            </w:pPr>
            <w:r w:rsidRPr="006109CE">
              <w:rPr>
                <w:b/>
              </w:rPr>
              <w:t>(base case: 2.5 days)</w:t>
            </w:r>
          </w:p>
        </w:tc>
      </w:tr>
      <w:tr w:rsidR="00F76ADE" w:rsidRPr="006C3F8E" w14:paraId="788A62BD" w14:textId="77777777" w:rsidTr="00F862A1">
        <w:tc>
          <w:tcPr>
            <w:tcW w:w="3691" w:type="dxa"/>
          </w:tcPr>
          <w:p w14:paraId="7EF89FCA" w14:textId="77777777" w:rsidR="00F76ADE" w:rsidRPr="006109CE" w:rsidRDefault="00F76ADE" w:rsidP="00BD17AF">
            <w:pPr>
              <w:pStyle w:val="Tabletext"/>
            </w:pPr>
            <w:r w:rsidRPr="006109CE">
              <w:t>5 days</w:t>
            </w:r>
          </w:p>
        </w:tc>
        <w:tc>
          <w:tcPr>
            <w:tcW w:w="1399" w:type="dxa"/>
            <w:vAlign w:val="bottom"/>
          </w:tcPr>
          <w:p w14:paraId="2316F448" w14:textId="77777777" w:rsidR="00F76ADE" w:rsidRPr="006109CE" w:rsidRDefault="00F76ADE" w:rsidP="00BD17AF">
            <w:pPr>
              <w:pStyle w:val="Tabletext"/>
            </w:pPr>
            <w:r w:rsidRPr="006109CE">
              <w:t>$14,609</w:t>
            </w:r>
          </w:p>
        </w:tc>
        <w:tc>
          <w:tcPr>
            <w:tcW w:w="1663" w:type="dxa"/>
            <w:vAlign w:val="bottom"/>
          </w:tcPr>
          <w:p w14:paraId="42A642C0" w14:textId="77777777" w:rsidR="00F76ADE" w:rsidRPr="006109CE" w:rsidRDefault="00F76ADE" w:rsidP="00BD17AF">
            <w:pPr>
              <w:pStyle w:val="Tabletext"/>
            </w:pPr>
            <w:r w:rsidRPr="006109CE">
              <w:t>0.380</w:t>
            </w:r>
          </w:p>
        </w:tc>
        <w:tc>
          <w:tcPr>
            <w:tcW w:w="2314" w:type="dxa"/>
            <w:vAlign w:val="bottom"/>
          </w:tcPr>
          <w:p w14:paraId="7F5B9C5C" w14:textId="77777777" w:rsidR="00F76ADE" w:rsidRPr="006109CE" w:rsidRDefault="00F76ADE" w:rsidP="00BD17AF">
            <w:pPr>
              <w:pStyle w:val="Tabletext"/>
            </w:pPr>
            <w:r w:rsidRPr="006109CE">
              <w:t>$38,431</w:t>
            </w:r>
          </w:p>
        </w:tc>
      </w:tr>
      <w:bookmarkEnd w:id="16"/>
      <w:tr w:rsidR="00F76ADE" w:rsidRPr="006C3F8E" w14:paraId="7ED0DE76" w14:textId="77777777" w:rsidTr="00F862A1">
        <w:tc>
          <w:tcPr>
            <w:tcW w:w="9067" w:type="dxa"/>
            <w:gridSpan w:val="4"/>
          </w:tcPr>
          <w:p w14:paraId="6FFAED76" w14:textId="77777777" w:rsidR="00F76ADE" w:rsidRPr="006109CE" w:rsidRDefault="00F76ADE" w:rsidP="00BD17AF">
            <w:pPr>
              <w:pStyle w:val="Tabletext"/>
              <w:rPr>
                <w:b/>
              </w:rPr>
            </w:pPr>
            <w:r w:rsidRPr="006109CE">
              <w:rPr>
                <w:b/>
              </w:rPr>
              <w:t>Annual probability of VBT revision (FDA registration study)</w:t>
            </w:r>
          </w:p>
          <w:p w14:paraId="0874AB00" w14:textId="77777777" w:rsidR="00F76ADE" w:rsidRPr="006109CE" w:rsidRDefault="00F76ADE" w:rsidP="00BD17AF">
            <w:pPr>
              <w:pStyle w:val="Tabletext"/>
              <w:rPr>
                <w:b/>
              </w:rPr>
            </w:pPr>
            <w:r w:rsidRPr="006109CE">
              <w:rPr>
                <w:b/>
              </w:rPr>
              <w:t>(base case: 7.39%)</w:t>
            </w:r>
          </w:p>
        </w:tc>
      </w:tr>
      <w:tr w:rsidR="00F76ADE" w:rsidRPr="001B00DA" w14:paraId="6EAED962" w14:textId="77777777" w:rsidTr="00F862A1">
        <w:tc>
          <w:tcPr>
            <w:tcW w:w="3691" w:type="dxa"/>
          </w:tcPr>
          <w:p w14:paraId="2DF34F4D" w14:textId="77777777" w:rsidR="00F76ADE" w:rsidRPr="006109CE" w:rsidRDefault="00F76ADE" w:rsidP="00BD17AF">
            <w:pPr>
              <w:pStyle w:val="Tabletext"/>
            </w:pPr>
            <w:r w:rsidRPr="006109CE">
              <w:t>2.92%</w:t>
            </w:r>
          </w:p>
        </w:tc>
        <w:tc>
          <w:tcPr>
            <w:tcW w:w="1399" w:type="dxa"/>
            <w:vAlign w:val="bottom"/>
          </w:tcPr>
          <w:p w14:paraId="6A360F51" w14:textId="77777777" w:rsidR="00F76ADE" w:rsidRPr="006109CE" w:rsidRDefault="00F76ADE" w:rsidP="00BD17AF">
            <w:pPr>
              <w:pStyle w:val="Tabletext"/>
            </w:pPr>
            <w:r w:rsidRPr="006109CE">
              <w:t>$9,752</w:t>
            </w:r>
          </w:p>
        </w:tc>
        <w:tc>
          <w:tcPr>
            <w:tcW w:w="1663" w:type="dxa"/>
            <w:vAlign w:val="bottom"/>
          </w:tcPr>
          <w:p w14:paraId="36F6882B" w14:textId="77777777" w:rsidR="00F76ADE" w:rsidRPr="006109CE" w:rsidRDefault="00F76ADE" w:rsidP="00BD17AF">
            <w:pPr>
              <w:pStyle w:val="Tabletext"/>
            </w:pPr>
            <w:r w:rsidRPr="006109CE">
              <w:t>0.380</w:t>
            </w:r>
          </w:p>
        </w:tc>
        <w:tc>
          <w:tcPr>
            <w:tcW w:w="2314" w:type="dxa"/>
            <w:vAlign w:val="bottom"/>
          </w:tcPr>
          <w:p w14:paraId="2AD2A91F" w14:textId="77777777" w:rsidR="00F76ADE" w:rsidRPr="006109CE" w:rsidRDefault="00F76ADE" w:rsidP="00BD17AF">
            <w:pPr>
              <w:pStyle w:val="Tabletext"/>
            </w:pPr>
            <w:r w:rsidRPr="006109CE">
              <w:t>$25,654</w:t>
            </w:r>
          </w:p>
        </w:tc>
      </w:tr>
      <w:tr w:rsidR="00F76ADE" w:rsidRPr="001B00DA" w14:paraId="039C12FD" w14:textId="77777777" w:rsidTr="00F862A1">
        <w:tc>
          <w:tcPr>
            <w:tcW w:w="9067" w:type="dxa"/>
            <w:gridSpan w:val="4"/>
          </w:tcPr>
          <w:p w14:paraId="44D67D9C" w14:textId="77777777" w:rsidR="00F76ADE" w:rsidRPr="006109CE" w:rsidRDefault="00F76ADE" w:rsidP="00BD17AF">
            <w:pPr>
              <w:pStyle w:val="Tabletext"/>
              <w:rPr>
                <w:b/>
              </w:rPr>
            </w:pPr>
            <w:r w:rsidRPr="006109CE">
              <w:rPr>
                <w:b/>
              </w:rPr>
              <w:t>Annual probability of PSF following VBT (FDA registration study)</w:t>
            </w:r>
          </w:p>
          <w:p w14:paraId="739DB0FF" w14:textId="77777777" w:rsidR="00F76ADE" w:rsidRPr="006109CE" w:rsidRDefault="00F76ADE" w:rsidP="00BD17AF">
            <w:pPr>
              <w:pStyle w:val="Tabletext"/>
              <w:rPr>
                <w:b/>
              </w:rPr>
            </w:pPr>
            <w:r w:rsidRPr="006109CE">
              <w:rPr>
                <w:b/>
              </w:rPr>
              <w:t>(base case: 3.76%)</w:t>
            </w:r>
          </w:p>
        </w:tc>
      </w:tr>
      <w:tr w:rsidR="00F76ADE" w:rsidRPr="001B00DA" w14:paraId="79FD1A85" w14:textId="77777777" w:rsidTr="00F862A1">
        <w:tc>
          <w:tcPr>
            <w:tcW w:w="3691" w:type="dxa"/>
            <w:shd w:val="clear" w:color="auto" w:fill="auto"/>
          </w:tcPr>
          <w:p w14:paraId="15911A34" w14:textId="77777777" w:rsidR="00F76ADE" w:rsidRPr="006109CE" w:rsidRDefault="00F76ADE" w:rsidP="00BD17AF">
            <w:pPr>
              <w:pStyle w:val="Tabletext"/>
            </w:pPr>
            <w:r w:rsidRPr="006109CE">
              <w:t>0.84%</w:t>
            </w:r>
          </w:p>
        </w:tc>
        <w:tc>
          <w:tcPr>
            <w:tcW w:w="1399" w:type="dxa"/>
            <w:shd w:val="clear" w:color="auto" w:fill="auto"/>
            <w:vAlign w:val="bottom"/>
          </w:tcPr>
          <w:p w14:paraId="7AA6E965" w14:textId="77777777" w:rsidR="00F76ADE" w:rsidRPr="006109CE" w:rsidRDefault="00F76ADE" w:rsidP="00BD17AF">
            <w:pPr>
              <w:pStyle w:val="Tabletext"/>
            </w:pPr>
            <w:r w:rsidRPr="006109CE">
              <w:t>$1,959</w:t>
            </w:r>
          </w:p>
        </w:tc>
        <w:tc>
          <w:tcPr>
            <w:tcW w:w="1663" w:type="dxa"/>
            <w:shd w:val="clear" w:color="auto" w:fill="auto"/>
            <w:vAlign w:val="bottom"/>
          </w:tcPr>
          <w:p w14:paraId="7054C3D8" w14:textId="77777777" w:rsidR="00F76ADE" w:rsidRPr="006109CE" w:rsidRDefault="00F76ADE" w:rsidP="00BD17AF">
            <w:pPr>
              <w:pStyle w:val="Tabletext"/>
            </w:pPr>
            <w:r w:rsidRPr="006109CE">
              <w:t>0.419</w:t>
            </w:r>
          </w:p>
        </w:tc>
        <w:tc>
          <w:tcPr>
            <w:tcW w:w="2314" w:type="dxa"/>
            <w:shd w:val="clear" w:color="auto" w:fill="auto"/>
            <w:vAlign w:val="bottom"/>
          </w:tcPr>
          <w:p w14:paraId="7EEA34EB" w14:textId="77777777" w:rsidR="00F76ADE" w:rsidRPr="006109CE" w:rsidRDefault="00F76ADE" w:rsidP="00BD17AF">
            <w:pPr>
              <w:pStyle w:val="Tabletext"/>
            </w:pPr>
            <w:r w:rsidRPr="006109CE">
              <w:t>$4,670</w:t>
            </w:r>
          </w:p>
        </w:tc>
      </w:tr>
      <w:tr w:rsidR="00F76ADE" w:rsidRPr="001B00DA" w14:paraId="53EF8478" w14:textId="77777777" w:rsidTr="00F862A1">
        <w:tc>
          <w:tcPr>
            <w:tcW w:w="9067" w:type="dxa"/>
            <w:gridSpan w:val="4"/>
          </w:tcPr>
          <w:p w14:paraId="7DEF69F5" w14:textId="77777777" w:rsidR="00F76ADE" w:rsidRPr="006109CE" w:rsidRDefault="00F76ADE" w:rsidP="00BD17AF">
            <w:pPr>
              <w:pStyle w:val="Tabletext"/>
              <w:rPr>
                <w:b/>
              </w:rPr>
            </w:pPr>
            <w:r w:rsidRPr="006109CE">
              <w:rPr>
                <w:b/>
              </w:rPr>
              <w:t xml:space="preserve">Annual probability of PSF revision </w:t>
            </w:r>
            <w:r w:rsidRPr="006109CE">
              <w:rPr>
                <w:b/>
                <w:noProof/>
              </w:rPr>
              <w:t>(Lykissas 2013)</w:t>
            </w:r>
          </w:p>
          <w:p w14:paraId="64C0CFC4" w14:textId="77777777" w:rsidR="00F76ADE" w:rsidRPr="006109CE" w:rsidRDefault="00F76ADE" w:rsidP="00BD17AF">
            <w:pPr>
              <w:pStyle w:val="Tabletext"/>
            </w:pPr>
            <w:r w:rsidRPr="006109CE">
              <w:rPr>
                <w:b/>
              </w:rPr>
              <w:t>(base case: 0.00%)</w:t>
            </w:r>
          </w:p>
        </w:tc>
      </w:tr>
      <w:tr w:rsidR="00F76ADE" w:rsidRPr="001B00DA" w14:paraId="520E42B0" w14:textId="77777777" w:rsidTr="00F862A1">
        <w:tc>
          <w:tcPr>
            <w:tcW w:w="3691" w:type="dxa"/>
          </w:tcPr>
          <w:p w14:paraId="26B9C982" w14:textId="77777777" w:rsidR="00F76ADE" w:rsidRPr="006109CE" w:rsidRDefault="00F76ADE" w:rsidP="00BD17AF">
            <w:pPr>
              <w:pStyle w:val="Tabletext"/>
            </w:pPr>
            <w:r w:rsidRPr="006109CE">
              <w:t>0.48%</w:t>
            </w:r>
          </w:p>
        </w:tc>
        <w:tc>
          <w:tcPr>
            <w:tcW w:w="1399" w:type="dxa"/>
            <w:vAlign w:val="bottom"/>
          </w:tcPr>
          <w:p w14:paraId="407458DE" w14:textId="77777777" w:rsidR="00F76ADE" w:rsidRPr="006109CE" w:rsidRDefault="00F76ADE" w:rsidP="00BD17AF">
            <w:pPr>
              <w:pStyle w:val="Tabletext"/>
            </w:pPr>
            <w:r w:rsidRPr="006109CE">
              <w:t>$10,046</w:t>
            </w:r>
          </w:p>
        </w:tc>
        <w:tc>
          <w:tcPr>
            <w:tcW w:w="1663" w:type="dxa"/>
            <w:vAlign w:val="bottom"/>
          </w:tcPr>
          <w:p w14:paraId="4A8211EB" w14:textId="77777777" w:rsidR="00F76ADE" w:rsidRPr="006109CE" w:rsidRDefault="00F76ADE" w:rsidP="00BD17AF">
            <w:pPr>
              <w:pStyle w:val="Tabletext"/>
            </w:pPr>
            <w:r w:rsidRPr="006109CE">
              <w:t>0.380</w:t>
            </w:r>
          </w:p>
        </w:tc>
        <w:tc>
          <w:tcPr>
            <w:tcW w:w="2314" w:type="dxa"/>
            <w:vAlign w:val="bottom"/>
          </w:tcPr>
          <w:p w14:paraId="7AF632F8" w14:textId="77777777" w:rsidR="00F76ADE" w:rsidRPr="006109CE" w:rsidRDefault="00F76ADE" w:rsidP="00BD17AF">
            <w:pPr>
              <w:pStyle w:val="Tabletext"/>
            </w:pPr>
            <w:r w:rsidRPr="006109CE">
              <w:t>$26,430</w:t>
            </w:r>
          </w:p>
        </w:tc>
      </w:tr>
      <w:tr w:rsidR="00F76ADE" w:rsidRPr="001B00DA" w14:paraId="1BCC011C" w14:textId="77777777" w:rsidTr="00F862A1">
        <w:trPr>
          <w:trHeight w:val="164"/>
        </w:trPr>
        <w:tc>
          <w:tcPr>
            <w:tcW w:w="9067" w:type="dxa"/>
            <w:gridSpan w:val="4"/>
          </w:tcPr>
          <w:p w14:paraId="082137AD" w14:textId="77777777" w:rsidR="00F76ADE" w:rsidRPr="006109CE" w:rsidRDefault="00F76ADE" w:rsidP="00BD17AF">
            <w:pPr>
              <w:pStyle w:val="Tabletext"/>
              <w:rPr>
                <w:b/>
              </w:rPr>
            </w:pPr>
            <w:r w:rsidRPr="006109CE">
              <w:rPr>
                <w:b/>
              </w:rPr>
              <w:t>Utility for VBT post-operation (FDA registration study)</w:t>
            </w:r>
          </w:p>
          <w:p w14:paraId="7D61A43D" w14:textId="77777777" w:rsidR="00F76ADE" w:rsidRPr="006109CE" w:rsidRDefault="00F76ADE" w:rsidP="00BD17AF">
            <w:pPr>
              <w:pStyle w:val="Tabletext"/>
              <w:rPr>
                <w:b/>
              </w:rPr>
            </w:pPr>
            <w:r w:rsidRPr="006109CE">
              <w:rPr>
                <w:b/>
              </w:rPr>
              <w:t xml:space="preserve">Utility for PSF post-operation 24 months and 60+ months </w:t>
            </w:r>
            <w:r w:rsidRPr="006109CE">
              <w:rPr>
                <w:b/>
                <w:noProof/>
              </w:rPr>
              <w:t>(Aghdasi 2020)</w:t>
            </w:r>
          </w:p>
          <w:p w14:paraId="25E6A170" w14:textId="77777777" w:rsidR="00F76ADE" w:rsidRPr="006109CE" w:rsidRDefault="00F76ADE" w:rsidP="00BD17AF">
            <w:pPr>
              <w:pStyle w:val="Tabletext"/>
              <w:rPr>
                <w:b/>
              </w:rPr>
            </w:pPr>
            <w:r w:rsidRPr="006109CE">
              <w:rPr>
                <w:b/>
              </w:rPr>
              <w:t>(base case: VBT = 0.889, PSF = 0.842)</w:t>
            </w:r>
          </w:p>
        </w:tc>
      </w:tr>
      <w:tr w:rsidR="00F76ADE" w:rsidRPr="001B00DA" w14:paraId="51569703" w14:textId="77777777" w:rsidTr="00F862A1">
        <w:tc>
          <w:tcPr>
            <w:tcW w:w="3691" w:type="dxa"/>
            <w:shd w:val="clear" w:color="auto" w:fill="auto"/>
          </w:tcPr>
          <w:p w14:paraId="7C534438" w14:textId="77777777" w:rsidR="00F76ADE" w:rsidRPr="006109CE" w:rsidRDefault="00F76ADE" w:rsidP="00BD17AF">
            <w:pPr>
              <w:pStyle w:val="Tabletext"/>
            </w:pPr>
            <w:r w:rsidRPr="006109CE">
              <w:t>VBT = 0.925, PSF = 0.875 (24 months)</w:t>
            </w:r>
          </w:p>
        </w:tc>
        <w:tc>
          <w:tcPr>
            <w:tcW w:w="1399" w:type="dxa"/>
            <w:shd w:val="clear" w:color="auto" w:fill="auto"/>
            <w:vAlign w:val="bottom"/>
          </w:tcPr>
          <w:p w14:paraId="216D0943" w14:textId="77777777" w:rsidR="00F76ADE" w:rsidRPr="006109CE" w:rsidRDefault="00F76ADE" w:rsidP="00BD17AF">
            <w:pPr>
              <w:pStyle w:val="Tabletext"/>
            </w:pPr>
            <w:r w:rsidRPr="006109CE">
              <w:t>$11,823</w:t>
            </w:r>
          </w:p>
        </w:tc>
        <w:tc>
          <w:tcPr>
            <w:tcW w:w="1663" w:type="dxa"/>
            <w:shd w:val="clear" w:color="auto" w:fill="auto"/>
            <w:vAlign w:val="bottom"/>
          </w:tcPr>
          <w:p w14:paraId="6F091EFC" w14:textId="77777777" w:rsidR="00F76ADE" w:rsidRPr="006109CE" w:rsidRDefault="00F76ADE" w:rsidP="00BD17AF">
            <w:pPr>
              <w:pStyle w:val="Tabletext"/>
            </w:pPr>
            <w:r w:rsidRPr="006109CE">
              <w:t>0.236</w:t>
            </w:r>
          </w:p>
        </w:tc>
        <w:tc>
          <w:tcPr>
            <w:tcW w:w="2314" w:type="dxa"/>
            <w:shd w:val="clear" w:color="auto" w:fill="auto"/>
            <w:vAlign w:val="bottom"/>
          </w:tcPr>
          <w:p w14:paraId="4BF6ACF9" w14:textId="77777777" w:rsidR="00F76ADE" w:rsidRPr="006109CE" w:rsidRDefault="00F76ADE" w:rsidP="00BD17AF">
            <w:pPr>
              <w:pStyle w:val="Tabletext"/>
            </w:pPr>
            <w:r w:rsidRPr="006109CE">
              <w:t>$50,031</w:t>
            </w:r>
          </w:p>
        </w:tc>
      </w:tr>
      <w:tr w:rsidR="00F76ADE" w:rsidRPr="001B00DA" w14:paraId="7250E0BF" w14:textId="77777777" w:rsidTr="00F862A1">
        <w:tc>
          <w:tcPr>
            <w:tcW w:w="3691" w:type="dxa"/>
            <w:shd w:val="clear" w:color="auto" w:fill="auto"/>
          </w:tcPr>
          <w:p w14:paraId="01EC1DAB" w14:textId="77777777" w:rsidR="00F76ADE" w:rsidRPr="006109CE" w:rsidRDefault="00F76ADE" w:rsidP="00BD17AF">
            <w:pPr>
              <w:pStyle w:val="Tabletext"/>
            </w:pPr>
            <w:r w:rsidRPr="006109CE">
              <w:t>VBT = 0.925, PSF = 0.900 (60 months)</w:t>
            </w:r>
          </w:p>
        </w:tc>
        <w:tc>
          <w:tcPr>
            <w:tcW w:w="1399" w:type="dxa"/>
            <w:shd w:val="clear" w:color="auto" w:fill="auto"/>
            <w:vAlign w:val="bottom"/>
          </w:tcPr>
          <w:p w14:paraId="5A3AD8D9" w14:textId="77777777" w:rsidR="00F76ADE" w:rsidRPr="006109CE" w:rsidRDefault="00F76ADE" w:rsidP="00BD17AF">
            <w:pPr>
              <w:pStyle w:val="Tabletext"/>
            </w:pPr>
            <w:r w:rsidRPr="006109CE">
              <w:t>$11,823</w:t>
            </w:r>
          </w:p>
        </w:tc>
        <w:tc>
          <w:tcPr>
            <w:tcW w:w="1663" w:type="dxa"/>
            <w:shd w:val="clear" w:color="auto" w:fill="auto"/>
            <w:vAlign w:val="bottom"/>
          </w:tcPr>
          <w:p w14:paraId="1E9DF1BA" w14:textId="77777777" w:rsidR="00F76ADE" w:rsidRPr="006109CE" w:rsidRDefault="00F76ADE" w:rsidP="00BD17AF">
            <w:pPr>
              <w:pStyle w:val="Tabletext"/>
            </w:pPr>
            <w:r w:rsidRPr="006109CE">
              <w:t>0.119</w:t>
            </w:r>
          </w:p>
        </w:tc>
        <w:tc>
          <w:tcPr>
            <w:tcW w:w="2314" w:type="dxa"/>
            <w:shd w:val="clear" w:color="auto" w:fill="auto"/>
            <w:vAlign w:val="bottom"/>
          </w:tcPr>
          <w:p w14:paraId="2C4F1E79" w14:textId="77777777" w:rsidR="00F76ADE" w:rsidRPr="006109CE" w:rsidRDefault="00F76ADE" w:rsidP="00BD17AF">
            <w:pPr>
              <w:pStyle w:val="Tabletext"/>
            </w:pPr>
            <w:r w:rsidRPr="006109CE">
              <w:t>$99,158</w:t>
            </w:r>
          </w:p>
        </w:tc>
      </w:tr>
      <w:tr w:rsidR="00713577" w:rsidRPr="00317AA2" w14:paraId="2279FD66" w14:textId="77777777" w:rsidTr="00881AC9">
        <w:tc>
          <w:tcPr>
            <w:tcW w:w="9067" w:type="dxa"/>
            <w:gridSpan w:val="4"/>
            <w:shd w:val="clear" w:color="auto" w:fill="auto"/>
          </w:tcPr>
          <w:p w14:paraId="00A70511" w14:textId="63E27C6A" w:rsidR="00713577" w:rsidRPr="00317AA2" w:rsidRDefault="00713577" w:rsidP="00BD17AF">
            <w:pPr>
              <w:pStyle w:val="Tabletext"/>
              <w:rPr>
                <w:b/>
                <w:bCs/>
              </w:rPr>
            </w:pPr>
            <w:r w:rsidRPr="00317AA2">
              <w:rPr>
                <w:b/>
                <w:bCs/>
                <w:i/>
                <w:iCs/>
              </w:rPr>
              <w:t>ESC multivariate sensitivity analyses</w:t>
            </w:r>
          </w:p>
        </w:tc>
      </w:tr>
      <w:tr w:rsidR="009E39A9" w:rsidRPr="00317AA2" w14:paraId="1A627EB4" w14:textId="77777777" w:rsidTr="009E39A9">
        <w:tc>
          <w:tcPr>
            <w:tcW w:w="3691" w:type="dxa"/>
            <w:shd w:val="clear" w:color="auto" w:fill="auto"/>
          </w:tcPr>
          <w:p w14:paraId="21780A5B" w14:textId="1AC0251C" w:rsidR="009E39A9" w:rsidRPr="00317AA2" w:rsidRDefault="009E39A9" w:rsidP="00BD17AF">
            <w:pPr>
              <w:pStyle w:val="Tabletext"/>
              <w:rPr>
                <w:i/>
                <w:iCs/>
              </w:rPr>
            </w:pPr>
            <w:r w:rsidRPr="00317AA2">
              <w:rPr>
                <w:i/>
                <w:iCs/>
              </w:rPr>
              <w:t>VBT = 0.925, PSF = 0.875 (24 months) AND VBT revision hospital stay = 5 days</w:t>
            </w:r>
          </w:p>
        </w:tc>
        <w:tc>
          <w:tcPr>
            <w:tcW w:w="1399" w:type="dxa"/>
            <w:shd w:val="clear" w:color="auto" w:fill="auto"/>
          </w:tcPr>
          <w:p w14:paraId="1531FE9B" w14:textId="07CCB317" w:rsidR="009E39A9" w:rsidRPr="00317AA2" w:rsidRDefault="009E39A9" w:rsidP="00BD17AF">
            <w:pPr>
              <w:pStyle w:val="Tabletext"/>
              <w:rPr>
                <w:i/>
                <w:iCs/>
              </w:rPr>
            </w:pPr>
            <w:r w:rsidRPr="00317AA2">
              <w:rPr>
                <w:i/>
                <w:iCs/>
                <w:szCs w:val="20"/>
              </w:rPr>
              <w:t> $14,609</w:t>
            </w:r>
          </w:p>
        </w:tc>
        <w:tc>
          <w:tcPr>
            <w:tcW w:w="1663" w:type="dxa"/>
            <w:shd w:val="clear" w:color="auto" w:fill="auto"/>
          </w:tcPr>
          <w:p w14:paraId="3A0146F7" w14:textId="305A3853" w:rsidR="009E39A9" w:rsidRPr="00317AA2" w:rsidRDefault="009E39A9" w:rsidP="00BD17AF">
            <w:pPr>
              <w:pStyle w:val="Tabletext"/>
              <w:rPr>
                <w:i/>
                <w:iCs/>
              </w:rPr>
            </w:pPr>
            <w:r w:rsidRPr="00317AA2">
              <w:rPr>
                <w:i/>
                <w:iCs/>
                <w:szCs w:val="20"/>
              </w:rPr>
              <w:t>0.236</w:t>
            </w:r>
          </w:p>
        </w:tc>
        <w:tc>
          <w:tcPr>
            <w:tcW w:w="2314" w:type="dxa"/>
            <w:shd w:val="clear" w:color="auto" w:fill="auto"/>
          </w:tcPr>
          <w:p w14:paraId="5E0C5695" w14:textId="7F248C84" w:rsidR="009E39A9" w:rsidRPr="00317AA2" w:rsidRDefault="009E39A9" w:rsidP="00BD17AF">
            <w:pPr>
              <w:pStyle w:val="Tabletext"/>
              <w:rPr>
                <w:i/>
                <w:iCs/>
              </w:rPr>
            </w:pPr>
            <w:r w:rsidRPr="00317AA2">
              <w:rPr>
                <w:i/>
                <w:iCs/>
              </w:rPr>
              <w:t>$61,816</w:t>
            </w:r>
          </w:p>
        </w:tc>
      </w:tr>
      <w:tr w:rsidR="009E39A9" w:rsidRPr="00317AA2" w14:paraId="5A95FB9F" w14:textId="77777777" w:rsidTr="009E39A9">
        <w:tc>
          <w:tcPr>
            <w:tcW w:w="3691" w:type="dxa"/>
            <w:shd w:val="clear" w:color="auto" w:fill="auto"/>
          </w:tcPr>
          <w:p w14:paraId="20316036" w14:textId="6AAD26DE" w:rsidR="009E39A9" w:rsidRPr="00317AA2" w:rsidRDefault="009E39A9" w:rsidP="00BD17AF">
            <w:pPr>
              <w:pStyle w:val="Tabletext"/>
              <w:rPr>
                <w:i/>
                <w:iCs/>
              </w:rPr>
            </w:pPr>
            <w:r w:rsidRPr="00317AA2">
              <w:rPr>
                <w:i/>
                <w:iCs/>
              </w:rPr>
              <w:t>VBT = 0.925, PSF = 0.900 (60 months) AND VBT revision hospital stay = 5 days</w:t>
            </w:r>
          </w:p>
        </w:tc>
        <w:tc>
          <w:tcPr>
            <w:tcW w:w="1399" w:type="dxa"/>
            <w:shd w:val="clear" w:color="auto" w:fill="auto"/>
          </w:tcPr>
          <w:p w14:paraId="2144BA15" w14:textId="21D7FF85" w:rsidR="009E39A9" w:rsidRPr="00317AA2" w:rsidRDefault="009E39A9" w:rsidP="00BD17AF">
            <w:pPr>
              <w:pStyle w:val="Tabletext"/>
              <w:rPr>
                <w:i/>
                <w:iCs/>
              </w:rPr>
            </w:pPr>
            <w:r w:rsidRPr="00317AA2">
              <w:rPr>
                <w:i/>
                <w:iCs/>
                <w:szCs w:val="20"/>
              </w:rPr>
              <w:t> $14,609</w:t>
            </w:r>
          </w:p>
        </w:tc>
        <w:tc>
          <w:tcPr>
            <w:tcW w:w="1663" w:type="dxa"/>
            <w:shd w:val="clear" w:color="auto" w:fill="auto"/>
          </w:tcPr>
          <w:p w14:paraId="64A36F86" w14:textId="76725293" w:rsidR="009E39A9" w:rsidRPr="00317AA2" w:rsidRDefault="009E39A9" w:rsidP="00BD17AF">
            <w:pPr>
              <w:pStyle w:val="Tabletext"/>
              <w:rPr>
                <w:i/>
                <w:iCs/>
              </w:rPr>
            </w:pPr>
            <w:r w:rsidRPr="00317AA2">
              <w:rPr>
                <w:i/>
                <w:iCs/>
                <w:szCs w:val="20"/>
              </w:rPr>
              <w:t>0.119</w:t>
            </w:r>
          </w:p>
        </w:tc>
        <w:tc>
          <w:tcPr>
            <w:tcW w:w="2314" w:type="dxa"/>
            <w:shd w:val="clear" w:color="auto" w:fill="auto"/>
          </w:tcPr>
          <w:p w14:paraId="6CFA54D9" w14:textId="382FA881" w:rsidR="009E39A9" w:rsidRPr="00317AA2" w:rsidRDefault="009E39A9" w:rsidP="00BD17AF">
            <w:pPr>
              <w:pStyle w:val="Tabletext"/>
              <w:rPr>
                <w:i/>
                <w:iCs/>
              </w:rPr>
            </w:pPr>
            <w:r w:rsidRPr="00317AA2">
              <w:rPr>
                <w:i/>
                <w:iCs/>
              </w:rPr>
              <w:t>$122,517</w:t>
            </w:r>
          </w:p>
        </w:tc>
      </w:tr>
    </w:tbl>
    <w:bookmarkEnd w:id="17"/>
    <w:p w14:paraId="23CAE298" w14:textId="77777777" w:rsidR="00F76ADE" w:rsidRPr="00317AA2" w:rsidRDefault="00F76ADE" w:rsidP="00BD17AF">
      <w:pPr>
        <w:pStyle w:val="CaptionFootnote"/>
        <w:jc w:val="left"/>
        <w:rPr>
          <w:rFonts w:eastAsia="Calibri"/>
          <w:szCs w:val="20"/>
        </w:rPr>
      </w:pPr>
      <w:r w:rsidRPr="00317AA2">
        <w:rPr>
          <w:rFonts w:eastAsia="Calibri"/>
          <w:szCs w:val="20"/>
        </w:rPr>
        <w:t xml:space="preserve">ICER = incremental cost-effectiveness ratio; QALY = quality adjusted life year. </w:t>
      </w:r>
      <w:bookmarkEnd w:id="18"/>
    </w:p>
    <w:p w14:paraId="54B92BDF" w14:textId="15617143" w:rsidR="00B411FE" w:rsidRPr="00B02E35" w:rsidRDefault="00F76ADE" w:rsidP="00BD17AF">
      <w:pPr>
        <w:pStyle w:val="CaptionFootnote"/>
        <w:jc w:val="left"/>
        <w:rPr>
          <w:b/>
          <w:szCs w:val="24"/>
        </w:rPr>
      </w:pPr>
      <w:r w:rsidRPr="00317AA2">
        <w:t xml:space="preserve">Source: </w:t>
      </w:r>
      <w:r w:rsidR="00717063">
        <w:t xml:space="preserve">ADAR </w:t>
      </w:r>
      <w:r w:rsidRPr="00317AA2">
        <w:t>Table D.6.1</w:t>
      </w:r>
      <w:r w:rsidR="00713577" w:rsidRPr="00317AA2">
        <w:t xml:space="preserve"> 1</w:t>
      </w:r>
      <w:r w:rsidR="00717063">
        <w:t xml:space="preserve">, </w:t>
      </w:r>
      <w:r w:rsidR="00713577" w:rsidRPr="00317AA2">
        <w:rPr>
          <w:i/>
          <w:iCs/>
        </w:rPr>
        <w:t>and sensitivity analyses added in during ESC</w:t>
      </w:r>
    </w:p>
    <w:p w14:paraId="4519492F" w14:textId="5C94C66E" w:rsidR="00136969" w:rsidRPr="002448B4" w:rsidRDefault="00065623" w:rsidP="002448B4">
      <w:pPr>
        <w:pStyle w:val="Heading1"/>
        <w:numPr>
          <w:ilvl w:val="0"/>
          <w:numId w:val="13"/>
        </w:numPr>
        <w:spacing w:before="240" w:after="240"/>
        <w:ind w:hanging="720"/>
        <w:rPr>
          <w:rFonts w:ascii="Arial" w:hAnsi="Arial" w:cs="Arial"/>
        </w:rPr>
      </w:pPr>
      <w:r w:rsidRPr="002448B4">
        <w:rPr>
          <w:rFonts w:ascii="Arial" w:hAnsi="Arial" w:cs="Arial"/>
        </w:rPr>
        <w:t>Financial/budgetary impacts</w:t>
      </w:r>
    </w:p>
    <w:p w14:paraId="5D522887" w14:textId="51AD04EF" w:rsidR="008124F1" w:rsidRDefault="00FA0E10" w:rsidP="00BD17AF">
      <w:r w:rsidRPr="00CA3CAC">
        <w:t>The financial analysis in th</w:t>
      </w:r>
      <w:r>
        <w:t>e</w:t>
      </w:r>
      <w:r w:rsidRPr="00CA3CAC">
        <w:t xml:space="preserve"> ADAR is based on the expectation that VBT will substitute for a proportion of PSF procedures. Specifically, the proportion of all PSF patients aged</w:t>
      </w:r>
      <w:r w:rsidR="005E153D">
        <w:br/>
      </w:r>
      <w:r w:rsidRPr="00CA3CAC">
        <w:t>10 – 18 years</w:t>
      </w:r>
      <w:r>
        <w:t>, and the substitution rate with</w:t>
      </w:r>
      <w:r w:rsidRPr="00CA3CAC">
        <w:t xml:space="preserve"> PSF procedures.</w:t>
      </w:r>
      <w:r w:rsidR="0053685E">
        <w:t xml:space="preserve"> The commentary considered that t</w:t>
      </w:r>
      <w:r w:rsidR="0053685E" w:rsidRPr="0053685E">
        <w:t xml:space="preserve">he base case </w:t>
      </w:r>
      <w:r w:rsidR="0053685E">
        <w:t>utilisation</w:t>
      </w:r>
      <w:r w:rsidR="0053685E" w:rsidRPr="0053685E">
        <w:t xml:space="preserve"> presented in the ADAR </w:t>
      </w:r>
      <w:r w:rsidR="0053685E">
        <w:t xml:space="preserve">underestimate the utilisation of VBT as they </w:t>
      </w:r>
      <w:r w:rsidR="0053685E" w:rsidRPr="0053685E">
        <w:t>do not account for the expected number of VBT revisions, or PSF after VBT procedures</w:t>
      </w:r>
      <w:r w:rsidR="0053685E">
        <w:t>. In addition, consultation</w:t>
      </w:r>
      <w:r w:rsidR="0053685E" w:rsidRPr="0053685E">
        <w:t xml:space="preserve"> with Scoliosis Society of Australia indicated that around 60 VBT procedures are currently performed in the private sector each year. It is therefore expected that at least 60 VBT procedures would occur each year (this would be the lower bound estimate of uptake). Actual uptake may be higher due to lower out of pocket expenses for </w:t>
      </w:r>
      <w:r w:rsidR="0053685E" w:rsidRPr="0053685E">
        <w:lastRenderedPageBreak/>
        <w:t>patients, and the less invasive nature of the procedure compared to PSF, which will increase demand.</w:t>
      </w:r>
      <w:r w:rsidR="0053685E">
        <w:t xml:space="preserve"> </w:t>
      </w:r>
      <w:r w:rsidRPr="00FA0E10">
        <w:t>The base case results have been adjusted</w:t>
      </w:r>
      <w:r w:rsidR="00CE4225">
        <w:t xml:space="preserve"> (Table 11)</w:t>
      </w:r>
      <w:r w:rsidR="00922FF7">
        <w:t xml:space="preserve"> </w:t>
      </w:r>
      <w:r w:rsidRPr="00FA0E10">
        <w:t>to include and make financial estimates consistent with the economic analysis.</w:t>
      </w:r>
    </w:p>
    <w:p w14:paraId="305AF8E8" w14:textId="4701826B" w:rsidR="00CE4225" w:rsidRDefault="00CE4225" w:rsidP="002448B4">
      <w:pPr>
        <w:pStyle w:val="Caption"/>
        <w:spacing w:before="240"/>
        <w:jc w:val="left"/>
      </w:pPr>
      <w:r>
        <w:t>Table 11 Number of VBT procedures - Uptake sensitivity</w:t>
      </w:r>
    </w:p>
    <w:tbl>
      <w:tblPr>
        <w:tblStyle w:val="TableGrid2"/>
        <w:tblW w:w="5000" w:type="pct"/>
        <w:tblCellMar>
          <w:left w:w="0" w:type="dxa"/>
          <w:right w:w="0" w:type="dxa"/>
        </w:tblCellMar>
        <w:tblLook w:val="04A0" w:firstRow="1" w:lastRow="0" w:firstColumn="1" w:lastColumn="0" w:noHBand="0" w:noVBand="1"/>
        <w:tblDescription w:val="Number of VBT procedures - Uptake sensitivity"/>
      </w:tblPr>
      <w:tblGrid>
        <w:gridCol w:w="3346"/>
        <w:gridCol w:w="1134"/>
        <w:gridCol w:w="1134"/>
        <w:gridCol w:w="1134"/>
        <w:gridCol w:w="1134"/>
        <w:gridCol w:w="1134"/>
      </w:tblGrid>
      <w:tr w:rsidR="00922FF7" w:rsidRPr="00CE28E3" w14:paraId="013A931A" w14:textId="77777777" w:rsidTr="005E153D">
        <w:trPr>
          <w:cnfStyle w:val="100000000000" w:firstRow="1" w:lastRow="0" w:firstColumn="0" w:lastColumn="0" w:oddVBand="0" w:evenVBand="0" w:oddHBand="0" w:evenHBand="0" w:firstRowFirstColumn="0" w:firstRowLastColumn="0" w:lastRowFirstColumn="0" w:lastRowLastColumn="0"/>
          <w:tblHeader/>
        </w:trPr>
        <w:tc>
          <w:tcPr>
            <w:tcW w:w="1855" w:type="pct"/>
            <w:tcMar>
              <w:top w:w="0" w:type="dxa"/>
              <w:left w:w="108" w:type="dxa"/>
              <w:bottom w:w="0" w:type="dxa"/>
              <w:right w:w="108" w:type="dxa"/>
            </w:tcMar>
          </w:tcPr>
          <w:p w14:paraId="7B2A68DC" w14:textId="77777777" w:rsidR="00922FF7" w:rsidRPr="00CE28E3" w:rsidRDefault="00922FF7" w:rsidP="00BD17AF">
            <w:pPr>
              <w:pStyle w:val="TableText0"/>
              <w:rPr>
                <w:b/>
                <w:bCs/>
              </w:rPr>
            </w:pPr>
            <w:r>
              <w:rPr>
                <w:b/>
                <w:bCs/>
              </w:rPr>
              <w:t>Sensitivity</w:t>
            </w:r>
          </w:p>
        </w:tc>
        <w:tc>
          <w:tcPr>
            <w:tcW w:w="629" w:type="pct"/>
            <w:tcMar>
              <w:top w:w="0" w:type="dxa"/>
              <w:left w:w="108" w:type="dxa"/>
              <w:bottom w:w="0" w:type="dxa"/>
              <w:right w:w="108" w:type="dxa"/>
            </w:tcMar>
            <w:hideMark/>
          </w:tcPr>
          <w:p w14:paraId="2505B5A3" w14:textId="77777777" w:rsidR="00922FF7" w:rsidRPr="00CE28E3" w:rsidRDefault="00922FF7" w:rsidP="00BD17AF">
            <w:pPr>
              <w:pStyle w:val="TableText0"/>
              <w:rPr>
                <w:b/>
                <w:bCs/>
              </w:rPr>
            </w:pPr>
            <w:r w:rsidRPr="00CE28E3">
              <w:rPr>
                <w:b/>
                <w:bCs/>
              </w:rPr>
              <w:t>Year 1</w:t>
            </w:r>
          </w:p>
        </w:tc>
        <w:tc>
          <w:tcPr>
            <w:tcW w:w="629" w:type="pct"/>
            <w:tcMar>
              <w:top w:w="0" w:type="dxa"/>
              <w:left w:w="108" w:type="dxa"/>
              <w:bottom w:w="0" w:type="dxa"/>
              <w:right w:w="108" w:type="dxa"/>
            </w:tcMar>
            <w:hideMark/>
          </w:tcPr>
          <w:p w14:paraId="6715EF7A" w14:textId="77777777" w:rsidR="00922FF7" w:rsidRPr="00CE28E3" w:rsidRDefault="00922FF7" w:rsidP="00BD17AF">
            <w:pPr>
              <w:pStyle w:val="TableText0"/>
              <w:rPr>
                <w:b/>
                <w:bCs/>
              </w:rPr>
            </w:pPr>
            <w:r w:rsidRPr="00CE28E3">
              <w:rPr>
                <w:b/>
                <w:bCs/>
              </w:rPr>
              <w:t>Year 2</w:t>
            </w:r>
          </w:p>
        </w:tc>
        <w:tc>
          <w:tcPr>
            <w:tcW w:w="629" w:type="pct"/>
            <w:tcMar>
              <w:top w:w="0" w:type="dxa"/>
              <w:left w:w="108" w:type="dxa"/>
              <w:bottom w:w="0" w:type="dxa"/>
              <w:right w:w="108" w:type="dxa"/>
            </w:tcMar>
            <w:hideMark/>
          </w:tcPr>
          <w:p w14:paraId="4F90FD2D" w14:textId="77777777" w:rsidR="00922FF7" w:rsidRPr="00CE28E3" w:rsidRDefault="00922FF7" w:rsidP="00BD17AF">
            <w:pPr>
              <w:pStyle w:val="TableText0"/>
              <w:rPr>
                <w:b/>
                <w:bCs/>
              </w:rPr>
            </w:pPr>
            <w:r w:rsidRPr="00CE28E3">
              <w:rPr>
                <w:b/>
                <w:bCs/>
              </w:rPr>
              <w:t>Year 3</w:t>
            </w:r>
          </w:p>
        </w:tc>
        <w:tc>
          <w:tcPr>
            <w:tcW w:w="629" w:type="pct"/>
            <w:tcMar>
              <w:top w:w="0" w:type="dxa"/>
              <w:left w:w="108" w:type="dxa"/>
              <w:bottom w:w="0" w:type="dxa"/>
              <w:right w:w="108" w:type="dxa"/>
            </w:tcMar>
            <w:hideMark/>
          </w:tcPr>
          <w:p w14:paraId="084D89BB" w14:textId="77777777" w:rsidR="00922FF7" w:rsidRPr="00CE28E3" w:rsidRDefault="00922FF7" w:rsidP="00BD17AF">
            <w:pPr>
              <w:pStyle w:val="TableText0"/>
              <w:rPr>
                <w:b/>
                <w:bCs/>
              </w:rPr>
            </w:pPr>
            <w:r w:rsidRPr="00CE28E3">
              <w:rPr>
                <w:b/>
                <w:bCs/>
              </w:rPr>
              <w:t>Year 4</w:t>
            </w:r>
          </w:p>
        </w:tc>
        <w:tc>
          <w:tcPr>
            <w:tcW w:w="629" w:type="pct"/>
            <w:tcMar>
              <w:top w:w="0" w:type="dxa"/>
              <w:left w:w="108" w:type="dxa"/>
              <w:bottom w:w="0" w:type="dxa"/>
              <w:right w:w="108" w:type="dxa"/>
            </w:tcMar>
            <w:hideMark/>
          </w:tcPr>
          <w:p w14:paraId="21A9915E" w14:textId="77777777" w:rsidR="00922FF7" w:rsidRPr="00CE28E3" w:rsidRDefault="00922FF7" w:rsidP="00BD17AF">
            <w:pPr>
              <w:pStyle w:val="TableText0"/>
              <w:rPr>
                <w:b/>
                <w:bCs/>
              </w:rPr>
            </w:pPr>
            <w:r w:rsidRPr="00CE28E3">
              <w:rPr>
                <w:b/>
                <w:bCs/>
              </w:rPr>
              <w:t>Year 5</w:t>
            </w:r>
          </w:p>
        </w:tc>
      </w:tr>
      <w:tr w:rsidR="00922FF7" w:rsidRPr="00CE28E3" w14:paraId="4FBCAEC4" w14:textId="77777777" w:rsidTr="005E153D">
        <w:tc>
          <w:tcPr>
            <w:tcW w:w="1855" w:type="pct"/>
            <w:tcMar>
              <w:top w:w="0" w:type="dxa"/>
              <w:left w:w="108" w:type="dxa"/>
              <w:bottom w:w="0" w:type="dxa"/>
              <w:right w:w="108" w:type="dxa"/>
            </w:tcMar>
            <w:hideMark/>
          </w:tcPr>
          <w:p w14:paraId="3F29F8A7" w14:textId="77777777" w:rsidR="00922FF7" w:rsidRPr="00CE28E3" w:rsidRDefault="00922FF7" w:rsidP="00BD17AF">
            <w:pPr>
              <w:pStyle w:val="TableText0"/>
            </w:pPr>
            <w:r>
              <w:t>ADAR estimate (Base case)</w:t>
            </w:r>
          </w:p>
        </w:tc>
        <w:tc>
          <w:tcPr>
            <w:tcW w:w="629" w:type="pct"/>
            <w:tcMar>
              <w:top w:w="0" w:type="dxa"/>
              <w:left w:w="108" w:type="dxa"/>
              <w:bottom w:w="0" w:type="dxa"/>
              <w:right w:w="108" w:type="dxa"/>
            </w:tcMar>
          </w:tcPr>
          <w:p w14:paraId="4834FEF4" w14:textId="77777777" w:rsidR="00922FF7" w:rsidRPr="00CE28E3" w:rsidRDefault="00922FF7" w:rsidP="00BD17AF">
            <w:pPr>
              <w:pStyle w:val="TableText0"/>
            </w:pPr>
            <w:r w:rsidRPr="008506E2">
              <w:t>29</w:t>
            </w:r>
          </w:p>
        </w:tc>
        <w:tc>
          <w:tcPr>
            <w:tcW w:w="629" w:type="pct"/>
            <w:tcMar>
              <w:top w:w="0" w:type="dxa"/>
              <w:left w:w="108" w:type="dxa"/>
              <w:bottom w:w="0" w:type="dxa"/>
              <w:right w:w="108" w:type="dxa"/>
            </w:tcMar>
          </w:tcPr>
          <w:p w14:paraId="3425A53E" w14:textId="77777777" w:rsidR="00922FF7" w:rsidRPr="00CE28E3" w:rsidRDefault="00922FF7" w:rsidP="00BD17AF">
            <w:pPr>
              <w:pStyle w:val="TableText0"/>
            </w:pPr>
            <w:r w:rsidRPr="008506E2">
              <w:t>29</w:t>
            </w:r>
          </w:p>
        </w:tc>
        <w:tc>
          <w:tcPr>
            <w:tcW w:w="629" w:type="pct"/>
            <w:tcMar>
              <w:top w:w="0" w:type="dxa"/>
              <w:left w:w="108" w:type="dxa"/>
              <w:bottom w:w="0" w:type="dxa"/>
              <w:right w:w="108" w:type="dxa"/>
            </w:tcMar>
          </w:tcPr>
          <w:p w14:paraId="234103C2" w14:textId="77777777" w:rsidR="00922FF7" w:rsidRPr="00CE28E3" w:rsidRDefault="00922FF7" w:rsidP="00BD17AF">
            <w:pPr>
              <w:pStyle w:val="TableText0"/>
            </w:pPr>
            <w:r w:rsidRPr="008506E2">
              <w:t>30</w:t>
            </w:r>
          </w:p>
        </w:tc>
        <w:tc>
          <w:tcPr>
            <w:tcW w:w="629" w:type="pct"/>
            <w:tcMar>
              <w:top w:w="0" w:type="dxa"/>
              <w:left w:w="108" w:type="dxa"/>
              <w:bottom w:w="0" w:type="dxa"/>
              <w:right w:w="108" w:type="dxa"/>
            </w:tcMar>
          </w:tcPr>
          <w:p w14:paraId="1039E0DA" w14:textId="77777777" w:rsidR="00922FF7" w:rsidRPr="00CE28E3" w:rsidRDefault="00922FF7" w:rsidP="00BD17AF">
            <w:pPr>
              <w:pStyle w:val="TableText0"/>
            </w:pPr>
            <w:r w:rsidRPr="008506E2">
              <w:t>30</w:t>
            </w:r>
          </w:p>
        </w:tc>
        <w:tc>
          <w:tcPr>
            <w:tcW w:w="629" w:type="pct"/>
            <w:tcMar>
              <w:top w:w="0" w:type="dxa"/>
              <w:left w:w="108" w:type="dxa"/>
              <w:bottom w:w="0" w:type="dxa"/>
              <w:right w:w="108" w:type="dxa"/>
            </w:tcMar>
          </w:tcPr>
          <w:p w14:paraId="1773C797" w14:textId="77777777" w:rsidR="00922FF7" w:rsidRPr="00CE28E3" w:rsidRDefault="00922FF7" w:rsidP="00BD17AF">
            <w:pPr>
              <w:pStyle w:val="TableText0"/>
            </w:pPr>
            <w:r w:rsidRPr="008506E2">
              <w:t>30</w:t>
            </w:r>
          </w:p>
        </w:tc>
      </w:tr>
      <w:tr w:rsidR="00922FF7" w:rsidRPr="00CE28E3" w14:paraId="4E5000AF" w14:textId="77777777" w:rsidTr="005E153D">
        <w:tc>
          <w:tcPr>
            <w:tcW w:w="1855" w:type="pct"/>
            <w:tcMar>
              <w:top w:w="0" w:type="dxa"/>
              <w:left w:w="108" w:type="dxa"/>
              <w:bottom w:w="0" w:type="dxa"/>
              <w:right w:w="108" w:type="dxa"/>
            </w:tcMar>
            <w:hideMark/>
          </w:tcPr>
          <w:p w14:paraId="148976EA" w14:textId="77777777" w:rsidR="00922FF7" w:rsidRPr="00CE28E3" w:rsidRDefault="00922FF7" w:rsidP="00BD17AF">
            <w:pPr>
              <w:pStyle w:val="TableText0"/>
            </w:pPr>
            <w:r>
              <w:t>60 VBT per year (current VBT)</w:t>
            </w:r>
          </w:p>
        </w:tc>
        <w:tc>
          <w:tcPr>
            <w:tcW w:w="629" w:type="pct"/>
            <w:tcMar>
              <w:top w:w="0" w:type="dxa"/>
              <w:left w:w="108" w:type="dxa"/>
              <w:bottom w:w="0" w:type="dxa"/>
              <w:right w:w="108" w:type="dxa"/>
            </w:tcMar>
          </w:tcPr>
          <w:p w14:paraId="78A39D16" w14:textId="77777777" w:rsidR="00922FF7" w:rsidRPr="00CE28E3" w:rsidRDefault="00922FF7" w:rsidP="00BD17AF">
            <w:pPr>
              <w:pStyle w:val="TableText0"/>
            </w:pPr>
            <w:r w:rsidRPr="008506E2">
              <w:t>60</w:t>
            </w:r>
          </w:p>
        </w:tc>
        <w:tc>
          <w:tcPr>
            <w:tcW w:w="629" w:type="pct"/>
            <w:tcMar>
              <w:top w:w="0" w:type="dxa"/>
              <w:left w:w="108" w:type="dxa"/>
              <w:bottom w:w="0" w:type="dxa"/>
              <w:right w:w="108" w:type="dxa"/>
            </w:tcMar>
          </w:tcPr>
          <w:p w14:paraId="37CE4A08" w14:textId="77777777" w:rsidR="00922FF7" w:rsidRPr="00CE28E3" w:rsidRDefault="00922FF7" w:rsidP="00BD17AF">
            <w:pPr>
              <w:pStyle w:val="TableText0"/>
            </w:pPr>
            <w:r w:rsidRPr="008506E2">
              <w:t>60</w:t>
            </w:r>
          </w:p>
        </w:tc>
        <w:tc>
          <w:tcPr>
            <w:tcW w:w="629" w:type="pct"/>
            <w:tcMar>
              <w:top w:w="0" w:type="dxa"/>
              <w:left w:w="108" w:type="dxa"/>
              <w:bottom w:w="0" w:type="dxa"/>
              <w:right w:w="108" w:type="dxa"/>
            </w:tcMar>
          </w:tcPr>
          <w:p w14:paraId="7FFAE440" w14:textId="77777777" w:rsidR="00922FF7" w:rsidRPr="00CE28E3" w:rsidRDefault="00922FF7" w:rsidP="00BD17AF">
            <w:pPr>
              <w:pStyle w:val="TableText0"/>
            </w:pPr>
            <w:r w:rsidRPr="008506E2">
              <w:t>60</w:t>
            </w:r>
          </w:p>
        </w:tc>
        <w:tc>
          <w:tcPr>
            <w:tcW w:w="629" w:type="pct"/>
            <w:tcMar>
              <w:top w:w="0" w:type="dxa"/>
              <w:left w:w="108" w:type="dxa"/>
              <w:bottom w:w="0" w:type="dxa"/>
              <w:right w:w="108" w:type="dxa"/>
            </w:tcMar>
          </w:tcPr>
          <w:p w14:paraId="5713792A" w14:textId="77777777" w:rsidR="00922FF7" w:rsidRPr="00CE28E3" w:rsidRDefault="00922FF7" w:rsidP="00BD17AF">
            <w:pPr>
              <w:pStyle w:val="TableText0"/>
            </w:pPr>
            <w:r w:rsidRPr="008506E2">
              <w:t>60</w:t>
            </w:r>
          </w:p>
        </w:tc>
        <w:tc>
          <w:tcPr>
            <w:tcW w:w="629" w:type="pct"/>
            <w:tcMar>
              <w:top w:w="0" w:type="dxa"/>
              <w:left w:w="108" w:type="dxa"/>
              <w:bottom w:w="0" w:type="dxa"/>
              <w:right w:w="108" w:type="dxa"/>
            </w:tcMar>
          </w:tcPr>
          <w:p w14:paraId="211C1B4C" w14:textId="77777777" w:rsidR="00922FF7" w:rsidRPr="00CE28E3" w:rsidRDefault="00922FF7" w:rsidP="00BD17AF">
            <w:pPr>
              <w:pStyle w:val="TableText0"/>
            </w:pPr>
            <w:r w:rsidRPr="008506E2">
              <w:t>60</w:t>
            </w:r>
          </w:p>
        </w:tc>
      </w:tr>
      <w:tr w:rsidR="00922FF7" w:rsidRPr="00CE28E3" w14:paraId="163BA2EA" w14:textId="77777777" w:rsidTr="005E153D">
        <w:tc>
          <w:tcPr>
            <w:tcW w:w="1855" w:type="pct"/>
            <w:tcMar>
              <w:top w:w="0" w:type="dxa"/>
              <w:left w:w="108" w:type="dxa"/>
              <w:bottom w:w="0" w:type="dxa"/>
              <w:right w:w="108" w:type="dxa"/>
            </w:tcMar>
            <w:hideMark/>
          </w:tcPr>
          <w:p w14:paraId="6E371DC0" w14:textId="77777777" w:rsidR="00922FF7" w:rsidRPr="00CE28E3" w:rsidRDefault="00922FF7" w:rsidP="00BD17AF">
            <w:pPr>
              <w:pStyle w:val="TableText0"/>
            </w:pPr>
            <w:r>
              <w:t>60 VBT per year plus 15% PSF substitution</w:t>
            </w:r>
          </w:p>
        </w:tc>
        <w:tc>
          <w:tcPr>
            <w:tcW w:w="629" w:type="pct"/>
            <w:tcMar>
              <w:top w:w="0" w:type="dxa"/>
              <w:left w:w="108" w:type="dxa"/>
              <w:bottom w:w="0" w:type="dxa"/>
              <w:right w:w="108" w:type="dxa"/>
            </w:tcMar>
          </w:tcPr>
          <w:p w14:paraId="537D4955" w14:textId="77777777" w:rsidR="00922FF7" w:rsidRPr="00CE28E3" w:rsidRDefault="00922FF7" w:rsidP="00BD17AF">
            <w:pPr>
              <w:pStyle w:val="TableText0"/>
            </w:pPr>
            <w:r w:rsidRPr="008506E2">
              <w:t>89</w:t>
            </w:r>
          </w:p>
        </w:tc>
        <w:tc>
          <w:tcPr>
            <w:tcW w:w="629" w:type="pct"/>
            <w:tcMar>
              <w:top w:w="0" w:type="dxa"/>
              <w:left w:w="108" w:type="dxa"/>
              <w:bottom w:w="0" w:type="dxa"/>
              <w:right w:w="108" w:type="dxa"/>
            </w:tcMar>
          </w:tcPr>
          <w:p w14:paraId="08732204" w14:textId="77777777" w:rsidR="00922FF7" w:rsidRPr="00CE28E3" w:rsidRDefault="00922FF7" w:rsidP="00BD17AF">
            <w:pPr>
              <w:pStyle w:val="TableText0"/>
            </w:pPr>
            <w:r w:rsidRPr="008506E2">
              <w:t>89</w:t>
            </w:r>
          </w:p>
        </w:tc>
        <w:tc>
          <w:tcPr>
            <w:tcW w:w="629" w:type="pct"/>
            <w:tcMar>
              <w:top w:w="0" w:type="dxa"/>
              <w:left w:w="108" w:type="dxa"/>
              <w:bottom w:w="0" w:type="dxa"/>
              <w:right w:w="108" w:type="dxa"/>
            </w:tcMar>
          </w:tcPr>
          <w:p w14:paraId="43ECA8A7" w14:textId="77777777" w:rsidR="00922FF7" w:rsidRPr="00CE28E3" w:rsidRDefault="00922FF7" w:rsidP="00BD17AF">
            <w:pPr>
              <w:pStyle w:val="TableText0"/>
            </w:pPr>
            <w:r w:rsidRPr="008506E2">
              <w:t>90</w:t>
            </w:r>
          </w:p>
        </w:tc>
        <w:tc>
          <w:tcPr>
            <w:tcW w:w="629" w:type="pct"/>
            <w:tcMar>
              <w:top w:w="0" w:type="dxa"/>
              <w:left w:w="108" w:type="dxa"/>
              <w:bottom w:w="0" w:type="dxa"/>
              <w:right w:w="108" w:type="dxa"/>
            </w:tcMar>
          </w:tcPr>
          <w:p w14:paraId="690EE728" w14:textId="77777777" w:rsidR="00922FF7" w:rsidRPr="00CE28E3" w:rsidRDefault="00922FF7" w:rsidP="00BD17AF">
            <w:pPr>
              <w:pStyle w:val="TableText0"/>
            </w:pPr>
            <w:r w:rsidRPr="008506E2">
              <w:t>90</w:t>
            </w:r>
          </w:p>
        </w:tc>
        <w:tc>
          <w:tcPr>
            <w:tcW w:w="629" w:type="pct"/>
            <w:tcMar>
              <w:top w:w="0" w:type="dxa"/>
              <w:left w:w="108" w:type="dxa"/>
              <w:bottom w:w="0" w:type="dxa"/>
              <w:right w:w="108" w:type="dxa"/>
            </w:tcMar>
          </w:tcPr>
          <w:p w14:paraId="7BC6D739" w14:textId="77777777" w:rsidR="00922FF7" w:rsidRPr="00CE28E3" w:rsidRDefault="00922FF7" w:rsidP="00BD17AF">
            <w:pPr>
              <w:pStyle w:val="TableText0"/>
            </w:pPr>
            <w:r w:rsidRPr="008506E2">
              <w:t>90</w:t>
            </w:r>
          </w:p>
        </w:tc>
      </w:tr>
      <w:tr w:rsidR="00922FF7" w:rsidRPr="00CE28E3" w14:paraId="0CBC25D9" w14:textId="77777777" w:rsidTr="005E153D">
        <w:tc>
          <w:tcPr>
            <w:tcW w:w="1855" w:type="pct"/>
            <w:tcMar>
              <w:top w:w="0" w:type="dxa"/>
              <w:left w:w="108" w:type="dxa"/>
              <w:bottom w:w="0" w:type="dxa"/>
              <w:right w:w="108" w:type="dxa"/>
            </w:tcMar>
            <w:hideMark/>
          </w:tcPr>
          <w:p w14:paraId="08E5B291" w14:textId="77777777" w:rsidR="00922FF7" w:rsidRPr="00CE28E3" w:rsidRDefault="00922FF7" w:rsidP="00BD17AF">
            <w:pPr>
              <w:pStyle w:val="TableText0"/>
            </w:pPr>
            <w:r>
              <w:t>60 VBT per year plus 30% PSF substitution</w:t>
            </w:r>
          </w:p>
        </w:tc>
        <w:tc>
          <w:tcPr>
            <w:tcW w:w="629" w:type="pct"/>
            <w:tcMar>
              <w:top w:w="0" w:type="dxa"/>
              <w:left w:w="108" w:type="dxa"/>
              <w:bottom w:w="0" w:type="dxa"/>
              <w:right w:w="108" w:type="dxa"/>
            </w:tcMar>
          </w:tcPr>
          <w:p w14:paraId="6F002A0F" w14:textId="77777777" w:rsidR="00922FF7" w:rsidRPr="00CE28E3" w:rsidRDefault="00922FF7" w:rsidP="00BD17AF">
            <w:pPr>
              <w:pStyle w:val="TableText0"/>
            </w:pPr>
            <w:r w:rsidRPr="008506E2">
              <w:t>118</w:t>
            </w:r>
          </w:p>
        </w:tc>
        <w:tc>
          <w:tcPr>
            <w:tcW w:w="629" w:type="pct"/>
            <w:tcMar>
              <w:top w:w="0" w:type="dxa"/>
              <w:left w:w="108" w:type="dxa"/>
              <w:bottom w:w="0" w:type="dxa"/>
              <w:right w:w="108" w:type="dxa"/>
            </w:tcMar>
          </w:tcPr>
          <w:p w14:paraId="745A62EE" w14:textId="77777777" w:rsidR="00922FF7" w:rsidRPr="00CE28E3" w:rsidRDefault="00922FF7" w:rsidP="00BD17AF">
            <w:pPr>
              <w:pStyle w:val="TableText0"/>
            </w:pPr>
            <w:r w:rsidRPr="008506E2">
              <w:t>119</w:t>
            </w:r>
          </w:p>
        </w:tc>
        <w:tc>
          <w:tcPr>
            <w:tcW w:w="629" w:type="pct"/>
            <w:tcMar>
              <w:top w:w="0" w:type="dxa"/>
              <w:left w:w="108" w:type="dxa"/>
              <w:bottom w:w="0" w:type="dxa"/>
              <w:right w:w="108" w:type="dxa"/>
            </w:tcMar>
          </w:tcPr>
          <w:p w14:paraId="4A922A70" w14:textId="77777777" w:rsidR="00922FF7" w:rsidRPr="00CE28E3" w:rsidRDefault="00922FF7" w:rsidP="00BD17AF">
            <w:pPr>
              <w:pStyle w:val="TableText0"/>
            </w:pPr>
            <w:r w:rsidRPr="008506E2">
              <w:t>119</w:t>
            </w:r>
          </w:p>
        </w:tc>
        <w:tc>
          <w:tcPr>
            <w:tcW w:w="629" w:type="pct"/>
            <w:tcMar>
              <w:top w:w="0" w:type="dxa"/>
              <w:left w:w="108" w:type="dxa"/>
              <w:bottom w:w="0" w:type="dxa"/>
              <w:right w:w="108" w:type="dxa"/>
            </w:tcMar>
          </w:tcPr>
          <w:p w14:paraId="6472ECC4" w14:textId="77777777" w:rsidR="00922FF7" w:rsidRPr="00CE28E3" w:rsidRDefault="00922FF7" w:rsidP="00BD17AF">
            <w:pPr>
              <w:pStyle w:val="TableText0"/>
            </w:pPr>
            <w:r w:rsidRPr="008506E2">
              <w:t>120</w:t>
            </w:r>
          </w:p>
        </w:tc>
        <w:tc>
          <w:tcPr>
            <w:tcW w:w="629" w:type="pct"/>
            <w:tcMar>
              <w:top w:w="0" w:type="dxa"/>
              <w:left w:w="108" w:type="dxa"/>
              <w:bottom w:w="0" w:type="dxa"/>
              <w:right w:w="108" w:type="dxa"/>
            </w:tcMar>
          </w:tcPr>
          <w:p w14:paraId="27F2127E" w14:textId="77777777" w:rsidR="00922FF7" w:rsidRPr="00CE28E3" w:rsidRDefault="00922FF7" w:rsidP="00BD17AF">
            <w:pPr>
              <w:pStyle w:val="TableText0"/>
            </w:pPr>
            <w:r w:rsidRPr="008506E2">
              <w:t>120</w:t>
            </w:r>
          </w:p>
        </w:tc>
      </w:tr>
      <w:tr w:rsidR="00922FF7" w:rsidRPr="00CE28E3" w14:paraId="0EAD58C8" w14:textId="77777777" w:rsidTr="005E153D">
        <w:tc>
          <w:tcPr>
            <w:tcW w:w="1855" w:type="pct"/>
            <w:tcMar>
              <w:top w:w="0" w:type="dxa"/>
              <w:left w:w="108" w:type="dxa"/>
              <w:bottom w:w="0" w:type="dxa"/>
              <w:right w:w="108" w:type="dxa"/>
            </w:tcMar>
            <w:hideMark/>
          </w:tcPr>
          <w:p w14:paraId="2904A08B" w14:textId="77777777" w:rsidR="00922FF7" w:rsidRPr="00CE28E3" w:rsidRDefault="00922FF7" w:rsidP="00BD17AF">
            <w:pPr>
              <w:pStyle w:val="TableText0"/>
              <w:rPr>
                <w:b/>
                <w:bCs/>
              </w:rPr>
            </w:pPr>
            <w:r>
              <w:t>60 VBT per year plus 15% PSF substitution plus Eligible population limited to 10-16 years</w:t>
            </w:r>
          </w:p>
        </w:tc>
        <w:tc>
          <w:tcPr>
            <w:tcW w:w="629" w:type="pct"/>
            <w:tcMar>
              <w:top w:w="0" w:type="dxa"/>
              <w:left w:w="108" w:type="dxa"/>
              <w:bottom w:w="0" w:type="dxa"/>
              <w:right w:w="108" w:type="dxa"/>
            </w:tcMar>
          </w:tcPr>
          <w:p w14:paraId="318FBC81" w14:textId="77777777" w:rsidR="00922FF7" w:rsidRPr="00CE28E3" w:rsidRDefault="00922FF7" w:rsidP="00BD17AF">
            <w:pPr>
              <w:pStyle w:val="TableText0"/>
              <w:rPr>
                <w:b/>
                <w:bCs/>
              </w:rPr>
            </w:pPr>
            <w:r w:rsidRPr="008506E2">
              <w:t>83</w:t>
            </w:r>
          </w:p>
        </w:tc>
        <w:tc>
          <w:tcPr>
            <w:tcW w:w="629" w:type="pct"/>
            <w:tcMar>
              <w:top w:w="0" w:type="dxa"/>
              <w:left w:w="108" w:type="dxa"/>
              <w:bottom w:w="0" w:type="dxa"/>
              <w:right w:w="108" w:type="dxa"/>
            </w:tcMar>
          </w:tcPr>
          <w:p w14:paraId="723F69B1" w14:textId="77777777" w:rsidR="00922FF7" w:rsidRPr="00CE28E3" w:rsidRDefault="00922FF7" w:rsidP="00BD17AF">
            <w:pPr>
              <w:pStyle w:val="TableText0"/>
              <w:rPr>
                <w:b/>
                <w:bCs/>
              </w:rPr>
            </w:pPr>
            <w:r w:rsidRPr="008506E2">
              <w:t>83</w:t>
            </w:r>
          </w:p>
        </w:tc>
        <w:tc>
          <w:tcPr>
            <w:tcW w:w="629" w:type="pct"/>
            <w:tcMar>
              <w:top w:w="0" w:type="dxa"/>
              <w:left w:w="108" w:type="dxa"/>
              <w:bottom w:w="0" w:type="dxa"/>
              <w:right w:w="108" w:type="dxa"/>
            </w:tcMar>
          </w:tcPr>
          <w:p w14:paraId="05C69A6C" w14:textId="77777777" w:rsidR="00922FF7" w:rsidRPr="00CE28E3" w:rsidRDefault="00922FF7" w:rsidP="00BD17AF">
            <w:pPr>
              <w:pStyle w:val="TableText0"/>
              <w:rPr>
                <w:b/>
                <w:bCs/>
              </w:rPr>
            </w:pPr>
            <w:r w:rsidRPr="008506E2">
              <w:t>83</w:t>
            </w:r>
          </w:p>
        </w:tc>
        <w:tc>
          <w:tcPr>
            <w:tcW w:w="629" w:type="pct"/>
            <w:tcMar>
              <w:top w:w="0" w:type="dxa"/>
              <w:left w:w="108" w:type="dxa"/>
              <w:bottom w:w="0" w:type="dxa"/>
              <w:right w:w="108" w:type="dxa"/>
            </w:tcMar>
          </w:tcPr>
          <w:p w14:paraId="2F1EE319" w14:textId="77777777" w:rsidR="00922FF7" w:rsidRPr="00CE28E3" w:rsidRDefault="00922FF7" w:rsidP="00BD17AF">
            <w:pPr>
              <w:pStyle w:val="TableText0"/>
              <w:rPr>
                <w:b/>
                <w:bCs/>
              </w:rPr>
            </w:pPr>
            <w:r w:rsidRPr="008506E2">
              <w:t>84</w:t>
            </w:r>
          </w:p>
        </w:tc>
        <w:tc>
          <w:tcPr>
            <w:tcW w:w="629" w:type="pct"/>
            <w:tcMar>
              <w:top w:w="0" w:type="dxa"/>
              <w:left w:w="108" w:type="dxa"/>
              <w:bottom w:w="0" w:type="dxa"/>
              <w:right w:w="108" w:type="dxa"/>
            </w:tcMar>
          </w:tcPr>
          <w:p w14:paraId="4EFB02F5" w14:textId="77777777" w:rsidR="00922FF7" w:rsidRPr="00CE28E3" w:rsidRDefault="00922FF7" w:rsidP="00BD17AF">
            <w:pPr>
              <w:pStyle w:val="TableText0"/>
              <w:rPr>
                <w:b/>
                <w:bCs/>
              </w:rPr>
            </w:pPr>
            <w:r w:rsidRPr="008506E2">
              <w:t>84</w:t>
            </w:r>
          </w:p>
        </w:tc>
      </w:tr>
    </w:tbl>
    <w:p w14:paraId="4ABFBF98" w14:textId="77777777" w:rsidR="00922FF7" w:rsidRDefault="00922FF7" w:rsidP="00BD17AF">
      <w:pPr>
        <w:pStyle w:val="CaptionFootnote"/>
        <w:jc w:val="left"/>
      </w:pPr>
      <w:r>
        <w:t>VBT=</w:t>
      </w:r>
      <w:r w:rsidRPr="00F02135">
        <w:t xml:space="preserve">Vertebral </w:t>
      </w:r>
      <w:r>
        <w:t>B</w:t>
      </w:r>
      <w:r w:rsidRPr="00F02135">
        <w:t xml:space="preserve">ody </w:t>
      </w:r>
      <w:r>
        <w:t>T</w:t>
      </w:r>
      <w:r w:rsidRPr="00F02135">
        <w:t>ethering</w:t>
      </w:r>
      <w:r>
        <w:t>, PSF=Posterior Spinal Fusion</w:t>
      </w:r>
      <w:r w:rsidRPr="00FE2D60">
        <w:t xml:space="preserve"> </w:t>
      </w:r>
    </w:p>
    <w:p w14:paraId="392617FD" w14:textId="2FABDA27" w:rsidR="00922FF7" w:rsidRDefault="00922FF7" w:rsidP="00BD17AF">
      <w:pPr>
        <w:pStyle w:val="CaptionFootnote"/>
        <w:jc w:val="left"/>
      </w:pPr>
      <w:r>
        <w:t>Source: Table 62</w:t>
      </w:r>
      <w:r w:rsidR="00717063">
        <w:t>, p102 of the commentary</w:t>
      </w:r>
      <w:r>
        <w:t xml:space="preserve"> </w:t>
      </w:r>
    </w:p>
    <w:p w14:paraId="43346A92" w14:textId="2AF18270" w:rsidR="00F871A9" w:rsidRDefault="00F871A9" w:rsidP="00BD17AF">
      <w:r w:rsidRPr="008D1F58">
        <w:t>The total MBS fees (75% benefit) per</w:t>
      </w:r>
      <w:r>
        <w:t xml:space="preserve"> VBT index procedure are $4,821 and </w:t>
      </w:r>
      <w:r w:rsidRPr="008D1F58">
        <w:t>per average VBT re</w:t>
      </w:r>
      <w:r>
        <w:t>vision procedure are</w:t>
      </w:r>
      <w:r w:rsidRPr="008D1F58">
        <w:t xml:space="preserve"> $2,</w:t>
      </w:r>
      <w:r>
        <w:t>215</w:t>
      </w:r>
      <w:r w:rsidRPr="008D1F58">
        <w:t xml:space="preserve"> (based on the VBT revision procedure cost being identical to the PSF revision cost of MBS item 50616</w:t>
      </w:r>
      <w:r>
        <w:t>).</w:t>
      </w:r>
    </w:p>
    <w:p w14:paraId="11C6A660" w14:textId="17B148FE" w:rsidR="0084255E" w:rsidRPr="00572A37" w:rsidRDefault="009A0338" w:rsidP="002448B4">
      <w:pPr>
        <w:spacing w:before="240" w:after="120"/>
      </w:pPr>
      <w:r w:rsidRPr="009A0338">
        <w:t>The financial implications to the MBS resulting from the proposed listing is summarised in</w:t>
      </w:r>
      <w:r w:rsidR="00CE4225">
        <w:t xml:space="preserve"> Table 12</w:t>
      </w:r>
      <w:r>
        <w:rPr>
          <w:b/>
          <w:bCs/>
        </w:rPr>
        <w:t>.</w:t>
      </w:r>
      <w:r w:rsidR="00F871A9">
        <w:rPr>
          <w:b/>
          <w:bCs/>
        </w:rPr>
        <w:t xml:space="preserve"> </w:t>
      </w:r>
      <w:r w:rsidR="00F871A9" w:rsidRPr="00572A37">
        <w:t xml:space="preserve">Patients who undergo VBT are expected to substitute the VBT index procedure directly for the PSF index procedure. Where revisions are estimated, these are assumed to occur in the same year as the index procedure. These revision procedures may occur in future years, in which case the timing of costs could vary. Using an alternative VBT uptake estimate, which accounts for patients who </w:t>
      </w:r>
      <w:r w:rsidR="00F871A9">
        <w:t xml:space="preserve">currently </w:t>
      </w:r>
      <w:r w:rsidR="00F871A9" w:rsidRPr="00572A37">
        <w:t xml:space="preserve">undergo VBT in the absence of MBS funding, results in a significantly higher financial cost of the VBT MBS listing, with net cost of $309,348 in </w:t>
      </w:r>
      <w:r w:rsidR="00F871A9">
        <w:t>y</w:t>
      </w:r>
      <w:r w:rsidR="00F871A9" w:rsidRPr="00572A37">
        <w:t xml:space="preserve">ear 1 rising to $364,797 in </w:t>
      </w:r>
      <w:r w:rsidR="00F871A9">
        <w:t>y</w:t>
      </w:r>
      <w:r w:rsidR="00F871A9" w:rsidRPr="00572A37">
        <w:t>ear 5 with a 75% MBS benefit This is due to:</w:t>
      </w:r>
    </w:p>
    <w:p w14:paraId="72CC8A92" w14:textId="2632FA57" w:rsidR="0084255E" w:rsidRPr="00572A37" w:rsidRDefault="00F871A9" w:rsidP="002448B4">
      <w:pPr>
        <w:pStyle w:val="ListParagraph"/>
        <w:numPr>
          <w:ilvl w:val="0"/>
          <w:numId w:val="24"/>
        </w:numPr>
        <w:spacing w:after="120"/>
        <w:ind w:left="714" w:hanging="357"/>
        <w:contextualSpacing w:val="0"/>
      </w:pPr>
      <w:r w:rsidRPr="00572A37">
        <w:t>the larger number of VBT procedures funded by the MBS, compared to the base case presented in the ADAR, the majority of which were previously funded by patients</w:t>
      </w:r>
      <w:r>
        <w:t>, and</w:t>
      </w:r>
    </w:p>
    <w:p w14:paraId="567133C0" w14:textId="0D1E50D4" w:rsidR="00BC58EE" w:rsidRPr="00BC58EE" w:rsidRDefault="00F871A9" w:rsidP="00BD17AF">
      <w:pPr>
        <w:pStyle w:val="ListParagraph"/>
        <w:numPr>
          <w:ilvl w:val="0"/>
          <w:numId w:val="24"/>
        </w:numPr>
      </w:pPr>
      <w:r w:rsidRPr="008163D2">
        <w:t>the smaller number of avoided PSF procedures. This is due the patients who currently fund their VBT procedure, the MBS listing sees these costs being transferred from patients to government, with no change in the number of PSF procedures undertaken for this group of patients.</w:t>
      </w:r>
    </w:p>
    <w:p w14:paraId="35B320F8" w14:textId="47ADDF3B" w:rsidR="00BC58EE" w:rsidRDefault="00CE4225" w:rsidP="00BD17AF">
      <w:pPr>
        <w:pStyle w:val="Caption"/>
        <w:jc w:val="left"/>
      </w:pPr>
      <w:r>
        <w:lastRenderedPageBreak/>
        <w:t>Table 12</w:t>
      </w:r>
      <w:r w:rsidR="00BC58EE">
        <w:t xml:space="preserve"> </w:t>
      </w:r>
      <w:r w:rsidR="00BC58EE" w:rsidRPr="00DA2419">
        <w:t>Net financial implications of VBT to the MBS including VBT revision and PSF after VBT procedures – Uptake sensitivity</w:t>
      </w:r>
    </w:p>
    <w:tbl>
      <w:tblPr>
        <w:tblStyle w:val="TableGrid2"/>
        <w:tblW w:w="5000" w:type="pct"/>
        <w:tblCellMar>
          <w:left w:w="0" w:type="dxa"/>
          <w:right w:w="0" w:type="dxa"/>
        </w:tblCellMar>
        <w:tblLook w:val="04A0" w:firstRow="1" w:lastRow="0" w:firstColumn="1" w:lastColumn="0" w:noHBand="0" w:noVBand="1"/>
        <w:tblDescription w:val="Net financial implications of VBT to the MBS including VBT revision and PSF after VBT procedures – Uptake sensitivity"/>
      </w:tblPr>
      <w:tblGrid>
        <w:gridCol w:w="3346"/>
        <w:gridCol w:w="1134"/>
        <w:gridCol w:w="1134"/>
        <w:gridCol w:w="1134"/>
        <w:gridCol w:w="1134"/>
        <w:gridCol w:w="1134"/>
      </w:tblGrid>
      <w:tr w:rsidR="00BC58EE" w:rsidRPr="00CE28E3" w14:paraId="56C4D002" w14:textId="77777777" w:rsidTr="005E153D">
        <w:trPr>
          <w:cnfStyle w:val="100000000000" w:firstRow="1" w:lastRow="0" w:firstColumn="0" w:lastColumn="0" w:oddVBand="0" w:evenVBand="0" w:oddHBand="0" w:evenHBand="0" w:firstRowFirstColumn="0" w:firstRowLastColumn="0" w:lastRowFirstColumn="0" w:lastRowLastColumn="0"/>
          <w:tblHeader/>
        </w:trPr>
        <w:tc>
          <w:tcPr>
            <w:tcW w:w="1855" w:type="pct"/>
            <w:tcMar>
              <w:top w:w="0" w:type="dxa"/>
              <w:left w:w="108" w:type="dxa"/>
              <w:bottom w:w="0" w:type="dxa"/>
              <w:right w:w="108" w:type="dxa"/>
            </w:tcMar>
          </w:tcPr>
          <w:p w14:paraId="71FDD0FC" w14:textId="77777777" w:rsidR="00BC58EE" w:rsidRPr="00CE28E3" w:rsidRDefault="00BC58EE" w:rsidP="00BD17AF">
            <w:pPr>
              <w:pStyle w:val="TableText0"/>
              <w:rPr>
                <w:b/>
                <w:bCs/>
              </w:rPr>
            </w:pPr>
            <w:r>
              <w:rPr>
                <w:b/>
                <w:bCs/>
              </w:rPr>
              <w:t>Sensitivity</w:t>
            </w:r>
          </w:p>
        </w:tc>
        <w:tc>
          <w:tcPr>
            <w:tcW w:w="629" w:type="pct"/>
            <w:tcMar>
              <w:top w:w="0" w:type="dxa"/>
              <w:left w:w="108" w:type="dxa"/>
              <w:bottom w:w="0" w:type="dxa"/>
              <w:right w:w="108" w:type="dxa"/>
            </w:tcMar>
            <w:hideMark/>
          </w:tcPr>
          <w:p w14:paraId="31473FD2" w14:textId="77777777" w:rsidR="00BC58EE" w:rsidRPr="00CE28E3" w:rsidRDefault="00BC58EE" w:rsidP="00BD17AF">
            <w:pPr>
              <w:pStyle w:val="TableText0"/>
              <w:rPr>
                <w:b/>
                <w:bCs/>
              </w:rPr>
            </w:pPr>
            <w:r w:rsidRPr="00CE28E3">
              <w:rPr>
                <w:b/>
                <w:bCs/>
              </w:rPr>
              <w:t>Year 1</w:t>
            </w:r>
          </w:p>
        </w:tc>
        <w:tc>
          <w:tcPr>
            <w:tcW w:w="629" w:type="pct"/>
            <w:tcMar>
              <w:top w:w="0" w:type="dxa"/>
              <w:left w:w="108" w:type="dxa"/>
              <w:bottom w:w="0" w:type="dxa"/>
              <w:right w:w="108" w:type="dxa"/>
            </w:tcMar>
            <w:hideMark/>
          </w:tcPr>
          <w:p w14:paraId="156820E6" w14:textId="77777777" w:rsidR="00BC58EE" w:rsidRPr="00CE28E3" w:rsidRDefault="00BC58EE" w:rsidP="00BD17AF">
            <w:pPr>
              <w:pStyle w:val="TableText0"/>
              <w:rPr>
                <w:b/>
                <w:bCs/>
              </w:rPr>
            </w:pPr>
            <w:r w:rsidRPr="00CE28E3">
              <w:rPr>
                <w:b/>
                <w:bCs/>
              </w:rPr>
              <w:t>Year 2</w:t>
            </w:r>
          </w:p>
        </w:tc>
        <w:tc>
          <w:tcPr>
            <w:tcW w:w="629" w:type="pct"/>
            <w:tcMar>
              <w:top w:w="0" w:type="dxa"/>
              <w:left w:w="108" w:type="dxa"/>
              <w:bottom w:w="0" w:type="dxa"/>
              <w:right w:w="108" w:type="dxa"/>
            </w:tcMar>
            <w:hideMark/>
          </w:tcPr>
          <w:p w14:paraId="56C2E794" w14:textId="77777777" w:rsidR="00BC58EE" w:rsidRPr="00CE28E3" w:rsidRDefault="00BC58EE" w:rsidP="00BD17AF">
            <w:pPr>
              <w:pStyle w:val="TableText0"/>
              <w:rPr>
                <w:b/>
                <w:bCs/>
              </w:rPr>
            </w:pPr>
            <w:r w:rsidRPr="00CE28E3">
              <w:rPr>
                <w:b/>
                <w:bCs/>
              </w:rPr>
              <w:t>Year 3</w:t>
            </w:r>
          </w:p>
        </w:tc>
        <w:tc>
          <w:tcPr>
            <w:tcW w:w="629" w:type="pct"/>
            <w:tcMar>
              <w:top w:w="0" w:type="dxa"/>
              <w:left w:w="108" w:type="dxa"/>
              <w:bottom w:w="0" w:type="dxa"/>
              <w:right w:w="108" w:type="dxa"/>
            </w:tcMar>
            <w:hideMark/>
          </w:tcPr>
          <w:p w14:paraId="0E3AF24F" w14:textId="77777777" w:rsidR="00BC58EE" w:rsidRPr="00CE28E3" w:rsidRDefault="00BC58EE" w:rsidP="00BD17AF">
            <w:pPr>
              <w:pStyle w:val="TableText0"/>
              <w:rPr>
                <w:b/>
                <w:bCs/>
              </w:rPr>
            </w:pPr>
            <w:r w:rsidRPr="00CE28E3">
              <w:rPr>
                <w:b/>
                <w:bCs/>
              </w:rPr>
              <w:t>Year 4</w:t>
            </w:r>
          </w:p>
        </w:tc>
        <w:tc>
          <w:tcPr>
            <w:tcW w:w="629" w:type="pct"/>
            <w:tcMar>
              <w:top w:w="0" w:type="dxa"/>
              <w:left w:w="108" w:type="dxa"/>
              <w:bottom w:w="0" w:type="dxa"/>
              <w:right w:w="108" w:type="dxa"/>
            </w:tcMar>
            <w:hideMark/>
          </w:tcPr>
          <w:p w14:paraId="066E7680" w14:textId="77777777" w:rsidR="00BC58EE" w:rsidRPr="00CE28E3" w:rsidRDefault="00BC58EE" w:rsidP="00BD17AF">
            <w:pPr>
              <w:pStyle w:val="TableText0"/>
              <w:rPr>
                <w:b/>
                <w:bCs/>
              </w:rPr>
            </w:pPr>
            <w:r w:rsidRPr="00CE28E3">
              <w:rPr>
                <w:b/>
                <w:bCs/>
              </w:rPr>
              <w:t>Year 5</w:t>
            </w:r>
          </w:p>
        </w:tc>
      </w:tr>
      <w:tr w:rsidR="00BC58EE" w:rsidRPr="00CE28E3" w14:paraId="63B30A59" w14:textId="77777777" w:rsidTr="005E153D">
        <w:tc>
          <w:tcPr>
            <w:tcW w:w="1855" w:type="pct"/>
            <w:tcMar>
              <w:top w:w="0" w:type="dxa"/>
              <w:left w:w="108" w:type="dxa"/>
              <w:bottom w:w="0" w:type="dxa"/>
              <w:right w:w="108" w:type="dxa"/>
            </w:tcMar>
          </w:tcPr>
          <w:p w14:paraId="576CCFD1" w14:textId="77777777" w:rsidR="00BC58EE" w:rsidRPr="00085F2F" w:rsidRDefault="00BC58EE" w:rsidP="00BD17AF">
            <w:pPr>
              <w:pStyle w:val="TableText0"/>
            </w:pPr>
            <w:r w:rsidRPr="00085F2F">
              <w:t>Base case</w:t>
            </w:r>
          </w:p>
        </w:tc>
        <w:tc>
          <w:tcPr>
            <w:tcW w:w="629" w:type="pct"/>
            <w:tcMar>
              <w:top w:w="0" w:type="dxa"/>
              <w:left w:w="108" w:type="dxa"/>
              <w:bottom w:w="0" w:type="dxa"/>
              <w:right w:w="108" w:type="dxa"/>
            </w:tcMar>
          </w:tcPr>
          <w:p w14:paraId="046D5EC5" w14:textId="77777777" w:rsidR="00BC58EE" w:rsidRPr="00085F2F" w:rsidRDefault="00BC58EE" w:rsidP="00BD17AF">
            <w:pPr>
              <w:pStyle w:val="TableText0"/>
            </w:pPr>
            <w:r w:rsidRPr="004A19BA">
              <w:t>$25,535</w:t>
            </w:r>
          </w:p>
        </w:tc>
        <w:tc>
          <w:tcPr>
            <w:tcW w:w="629" w:type="pct"/>
            <w:tcMar>
              <w:top w:w="0" w:type="dxa"/>
              <w:left w:w="108" w:type="dxa"/>
              <w:bottom w:w="0" w:type="dxa"/>
              <w:right w:w="108" w:type="dxa"/>
            </w:tcMar>
          </w:tcPr>
          <w:p w14:paraId="72D956DF" w14:textId="77777777" w:rsidR="00BC58EE" w:rsidRPr="00085F2F" w:rsidRDefault="00BC58EE" w:rsidP="00BD17AF">
            <w:pPr>
              <w:pStyle w:val="TableText0"/>
            </w:pPr>
            <w:r w:rsidRPr="004A19BA">
              <w:t>$25,953</w:t>
            </w:r>
          </w:p>
        </w:tc>
        <w:tc>
          <w:tcPr>
            <w:tcW w:w="629" w:type="pct"/>
            <w:tcMar>
              <w:top w:w="0" w:type="dxa"/>
              <w:left w:w="108" w:type="dxa"/>
              <w:bottom w:w="0" w:type="dxa"/>
              <w:right w:w="108" w:type="dxa"/>
            </w:tcMar>
          </w:tcPr>
          <w:p w14:paraId="16E6A8C4" w14:textId="77777777" w:rsidR="00BC58EE" w:rsidRPr="00085F2F" w:rsidRDefault="00BC58EE" w:rsidP="00BD17AF">
            <w:pPr>
              <w:pStyle w:val="TableText0"/>
            </w:pPr>
            <w:r w:rsidRPr="004A19BA">
              <w:t>$26,278</w:t>
            </w:r>
          </w:p>
        </w:tc>
        <w:tc>
          <w:tcPr>
            <w:tcW w:w="629" w:type="pct"/>
            <w:tcMar>
              <w:top w:w="0" w:type="dxa"/>
              <w:left w:w="108" w:type="dxa"/>
              <w:bottom w:w="0" w:type="dxa"/>
              <w:right w:w="108" w:type="dxa"/>
            </w:tcMar>
          </w:tcPr>
          <w:p w14:paraId="29E53581" w14:textId="77777777" w:rsidR="00BC58EE" w:rsidRPr="00085F2F" w:rsidRDefault="00BC58EE" w:rsidP="00BD17AF">
            <w:pPr>
              <w:pStyle w:val="TableText0"/>
            </w:pPr>
            <w:r w:rsidRPr="004A19BA">
              <w:t>$26,564</w:t>
            </w:r>
          </w:p>
        </w:tc>
        <w:tc>
          <w:tcPr>
            <w:tcW w:w="629" w:type="pct"/>
            <w:tcMar>
              <w:top w:w="0" w:type="dxa"/>
              <w:left w:w="108" w:type="dxa"/>
              <w:bottom w:w="0" w:type="dxa"/>
              <w:right w:w="108" w:type="dxa"/>
            </w:tcMar>
          </w:tcPr>
          <w:p w14:paraId="59426895" w14:textId="77777777" w:rsidR="00BC58EE" w:rsidRPr="00085F2F" w:rsidRDefault="00BC58EE" w:rsidP="00BD17AF">
            <w:pPr>
              <w:pStyle w:val="TableText0"/>
            </w:pPr>
            <w:r w:rsidRPr="004A19BA">
              <w:t>$26,693</w:t>
            </w:r>
          </w:p>
        </w:tc>
      </w:tr>
      <w:tr w:rsidR="00BC58EE" w:rsidRPr="00CE28E3" w14:paraId="247407BA" w14:textId="77777777" w:rsidTr="005E153D">
        <w:tc>
          <w:tcPr>
            <w:tcW w:w="1855" w:type="pct"/>
            <w:tcMar>
              <w:top w:w="0" w:type="dxa"/>
              <w:left w:w="108" w:type="dxa"/>
              <w:bottom w:w="0" w:type="dxa"/>
              <w:right w:w="108" w:type="dxa"/>
            </w:tcMar>
            <w:hideMark/>
          </w:tcPr>
          <w:p w14:paraId="66A0D996" w14:textId="77777777" w:rsidR="00BC58EE" w:rsidRPr="00BE73B0" w:rsidRDefault="00BC58EE" w:rsidP="00BD17AF">
            <w:pPr>
              <w:pStyle w:val="TableText0"/>
              <w:rPr>
                <w:i/>
                <w:iCs/>
              </w:rPr>
            </w:pPr>
            <w:r w:rsidRPr="00BE73B0">
              <w:rPr>
                <w:i/>
                <w:iCs/>
              </w:rPr>
              <w:t>Base case</w:t>
            </w:r>
            <w:r>
              <w:rPr>
                <w:i/>
                <w:iCs/>
              </w:rPr>
              <w:t xml:space="preserve"> (adjusted)</w:t>
            </w:r>
          </w:p>
        </w:tc>
        <w:tc>
          <w:tcPr>
            <w:tcW w:w="629" w:type="pct"/>
            <w:tcMar>
              <w:top w:w="0" w:type="dxa"/>
              <w:left w:w="108" w:type="dxa"/>
              <w:bottom w:w="0" w:type="dxa"/>
              <w:right w:w="108" w:type="dxa"/>
            </w:tcMar>
          </w:tcPr>
          <w:p w14:paraId="43C846DA" w14:textId="77777777" w:rsidR="00BC58EE" w:rsidRPr="00BE73B0" w:rsidRDefault="00BC58EE" w:rsidP="00BD17AF">
            <w:pPr>
              <w:pStyle w:val="TableText0"/>
              <w:rPr>
                <w:i/>
                <w:iCs/>
              </w:rPr>
            </w:pPr>
            <w:r w:rsidRPr="00BE73B0">
              <w:rPr>
                <w:i/>
                <w:iCs/>
              </w:rPr>
              <w:t>$25,535</w:t>
            </w:r>
          </w:p>
        </w:tc>
        <w:tc>
          <w:tcPr>
            <w:tcW w:w="629" w:type="pct"/>
            <w:tcMar>
              <w:top w:w="0" w:type="dxa"/>
              <w:left w:w="108" w:type="dxa"/>
              <w:bottom w:w="0" w:type="dxa"/>
              <w:right w:w="108" w:type="dxa"/>
            </w:tcMar>
          </w:tcPr>
          <w:p w14:paraId="75530098" w14:textId="77777777" w:rsidR="00BC58EE" w:rsidRPr="00BE73B0" w:rsidRDefault="00BC58EE" w:rsidP="00BD17AF">
            <w:pPr>
              <w:pStyle w:val="TableText0"/>
              <w:rPr>
                <w:i/>
                <w:iCs/>
              </w:rPr>
            </w:pPr>
            <w:r w:rsidRPr="00BE73B0">
              <w:rPr>
                <w:i/>
                <w:iCs/>
              </w:rPr>
              <w:t>$34,938</w:t>
            </w:r>
          </w:p>
        </w:tc>
        <w:tc>
          <w:tcPr>
            <w:tcW w:w="629" w:type="pct"/>
            <w:tcMar>
              <w:top w:w="0" w:type="dxa"/>
              <w:left w:w="108" w:type="dxa"/>
              <w:bottom w:w="0" w:type="dxa"/>
              <w:right w:w="108" w:type="dxa"/>
            </w:tcMar>
          </w:tcPr>
          <w:p w14:paraId="0C4ABA89" w14:textId="77777777" w:rsidR="00BC58EE" w:rsidRPr="00BE73B0" w:rsidRDefault="00BC58EE" w:rsidP="00BD17AF">
            <w:pPr>
              <w:pStyle w:val="TableText0"/>
              <w:rPr>
                <w:i/>
                <w:iCs/>
              </w:rPr>
            </w:pPr>
            <w:r w:rsidRPr="00BE73B0">
              <w:rPr>
                <w:i/>
                <w:iCs/>
              </w:rPr>
              <w:t>$43,086</w:t>
            </w:r>
          </w:p>
        </w:tc>
        <w:tc>
          <w:tcPr>
            <w:tcW w:w="629" w:type="pct"/>
            <w:tcMar>
              <w:top w:w="0" w:type="dxa"/>
              <w:left w:w="108" w:type="dxa"/>
              <w:bottom w:w="0" w:type="dxa"/>
              <w:right w:w="108" w:type="dxa"/>
            </w:tcMar>
          </w:tcPr>
          <w:p w14:paraId="29E2E23A" w14:textId="77777777" w:rsidR="00BC58EE" w:rsidRPr="00BE73B0" w:rsidRDefault="00BC58EE" w:rsidP="00BD17AF">
            <w:pPr>
              <w:pStyle w:val="TableText0"/>
              <w:rPr>
                <w:i/>
                <w:iCs/>
              </w:rPr>
            </w:pPr>
            <w:r w:rsidRPr="00BE73B0">
              <w:rPr>
                <w:i/>
                <w:iCs/>
              </w:rPr>
              <w:t>$50,208</w:t>
            </w:r>
          </w:p>
        </w:tc>
        <w:tc>
          <w:tcPr>
            <w:tcW w:w="629" w:type="pct"/>
            <w:tcMar>
              <w:top w:w="0" w:type="dxa"/>
              <w:left w:w="108" w:type="dxa"/>
              <w:bottom w:w="0" w:type="dxa"/>
              <w:right w:w="108" w:type="dxa"/>
            </w:tcMar>
          </w:tcPr>
          <w:p w14:paraId="000D975A" w14:textId="77777777" w:rsidR="00BC58EE" w:rsidRPr="00BE73B0" w:rsidRDefault="00BC58EE" w:rsidP="00BD17AF">
            <w:pPr>
              <w:pStyle w:val="TableText0"/>
              <w:rPr>
                <w:i/>
                <w:iCs/>
              </w:rPr>
            </w:pPr>
            <w:r w:rsidRPr="00BE73B0">
              <w:rPr>
                <w:i/>
                <w:iCs/>
              </w:rPr>
              <w:t>$56,350</w:t>
            </w:r>
          </w:p>
        </w:tc>
      </w:tr>
      <w:tr w:rsidR="00BC58EE" w:rsidRPr="00CE28E3" w14:paraId="033B26F6" w14:textId="77777777" w:rsidTr="005E153D">
        <w:tc>
          <w:tcPr>
            <w:tcW w:w="1855" w:type="pct"/>
            <w:tcMar>
              <w:top w:w="0" w:type="dxa"/>
              <w:left w:w="108" w:type="dxa"/>
              <w:bottom w:w="0" w:type="dxa"/>
              <w:right w:w="108" w:type="dxa"/>
            </w:tcMar>
            <w:hideMark/>
          </w:tcPr>
          <w:p w14:paraId="12592E9C" w14:textId="77777777" w:rsidR="00BC58EE" w:rsidRPr="00BE73B0" w:rsidRDefault="00BC58EE" w:rsidP="00BD17AF">
            <w:pPr>
              <w:pStyle w:val="TableText0"/>
              <w:rPr>
                <w:i/>
                <w:iCs/>
              </w:rPr>
            </w:pPr>
            <w:r w:rsidRPr="00BE73B0">
              <w:rPr>
                <w:i/>
                <w:iCs/>
              </w:rPr>
              <w:t xml:space="preserve">Eligible population limited to 10-16 years </w:t>
            </w:r>
          </w:p>
        </w:tc>
        <w:tc>
          <w:tcPr>
            <w:tcW w:w="629" w:type="pct"/>
            <w:tcMar>
              <w:top w:w="0" w:type="dxa"/>
              <w:left w:w="108" w:type="dxa"/>
              <w:bottom w:w="0" w:type="dxa"/>
              <w:right w:w="108" w:type="dxa"/>
            </w:tcMar>
          </w:tcPr>
          <w:p w14:paraId="025DD517" w14:textId="77777777" w:rsidR="00BC58EE" w:rsidRPr="00BE73B0" w:rsidRDefault="00BC58EE" w:rsidP="00BD17AF">
            <w:pPr>
              <w:pStyle w:val="TableText0"/>
              <w:rPr>
                <w:i/>
                <w:iCs/>
              </w:rPr>
            </w:pPr>
            <w:r w:rsidRPr="00BE73B0">
              <w:rPr>
                <w:i/>
                <w:iCs/>
              </w:rPr>
              <w:t>$20,081</w:t>
            </w:r>
          </w:p>
        </w:tc>
        <w:tc>
          <w:tcPr>
            <w:tcW w:w="629" w:type="pct"/>
            <w:tcMar>
              <w:top w:w="0" w:type="dxa"/>
              <w:left w:w="108" w:type="dxa"/>
              <w:bottom w:w="0" w:type="dxa"/>
              <w:right w:w="108" w:type="dxa"/>
            </w:tcMar>
          </w:tcPr>
          <w:p w14:paraId="64C49298" w14:textId="77777777" w:rsidR="00BC58EE" w:rsidRPr="00BE73B0" w:rsidRDefault="00BC58EE" w:rsidP="00BD17AF">
            <w:pPr>
              <w:pStyle w:val="TableText0"/>
              <w:rPr>
                <w:i/>
                <w:iCs/>
              </w:rPr>
            </w:pPr>
            <w:r w:rsidRPr="00BE73B0">
              <w:rPr>
                <w:i/>
                <w:iCs/>
              </w:rPr>
              <w:t>$27,476</w:t>
            </w:r>
          </w:p>
        </w:tc>
        <w:tc>
          <w:tcPr>
            <w:tcW w:w="629" w:type="pct"/>
            <w:tcMar>
              <w:top w:w="0" w:type="dxa"/>
              <w:left w:w="108" w:type="dxa"/>
              <w:bottom w:w="0" w:type="dxa"/>
              <w:right w:w="108" w:type="dxa"/>
            </w:tcMar>
          </w:tcPr>
          <w:p w14:paraId="6438B6BF" w14:textId="77777777" w:rsidR="00BC58EE" w:rsidRPr="00BE73B0" w:rsidRDefault="00BC58EE" w:rsidP="00BD17AF">
            <w:pPr>
              <w:pStyle w:val="TableText0"/>
              <w:rPr>
                <w:i/>
                <w:iCs/>
              </w:rPr>
            </w:pPr>
            <w:r w:rsidRPr="00BE73B0">
              <w:rPr>
                <w:i/>
                <w:iCs/>
              </w:rPr>
              <w:t>$33,883</w:t>
            </w:r>
          </w:p>
        </w:tc>
        <w:tc>
          <w:tcPr>
            <w:tcW w:w="629" w:type="pct"/>
            <w:tcMar>
              <w:top w:w="0" w:type="dxa"/>
              <w:left w:w="108" w:type="dxa"/>
              <w:bottom w:w="0" w:type="dxa"/>
              <w:right w:w="108" w:type="dxa"/>
            </w:tcMar>
          </w:tcPr>
          <w:p w14:paraId="6EC7B2F2" w14:textId="77777777" w:rsidR="00BC58EE" w:rsidRPr="00BE73B0" w:rsidRDefault="00BC58EE" w:rsidP="00BD17AF">
            <w:pPr>
              <w:pStyle w:val="TableText0"/>
              <w:rPr>
                <w:i/>
                <w:iCs/>
              </w:rPr>
            </w:pPr>
            <w:r w:rsidRPr="00BE73B0">
              <w:rPr>
                <w:i/>
                <w:iCs/>
              </w:rPr>
              <w:t>$39,484</w:t>
            </w:r>
          </w:p>
        </w:tc>
        <w:tc>
          <w:tcPr>
            <w:tcW w:w="629" w:type="pct"/>
            <w:tcMar>
              <w:top w:w="0" w:type="dxa"/>
              <w:left w:w="108" w:type="dxa"/>
              <w:bottom w:w="0" w:type="dxa"/>
              <w:right w:w="108" w:type="dxa"/>
            </w:tcMar>
          </w:tcPr>
          <w:p w14:paraId="7E28EDE3" w14:textId="77777777" w:rsidR="00BC58EE" w:rsidRPr="00BE73B0" w:rsidRDefault="00BC58EE" w:rsidP="00BD17AF">
            <w:pPr>
              <w:pStyle w:val="TableText0"/>
              <w:rPr>
                <w:i/>
                <w:iCs/>
              </w:rPr>
            </w:pPr>
            <w:r w:rsidRPr="00BE73B0">
              <w:rPr>
                <w:i/>
                <w:iCs/>
              </w:rPr>
              <w:t>$44,314</w:t>
            </w:r>
          </w:p>
        </w:tc>
      </w:tr>
      <w:tr w:rsidR="00BC58EE" w:rsidRPr="00CE28E3" w14:paraId="5E002A55" w14:textId="77777777" w:rsidTr="005E153D">
        <w:tc>
          <w:tcPr>
            <w:tcW w:w="1855" w:type="pct"/>
            <w:tcMar>
              <w:top w:w="0" w:type="dxa"/>
              <w:left w:w="108" w:type="dxa"/>
              <w:bottom w:w="0" w:type="dxa"/>
              <w:right w:w="108" w:type="dxa"/>
            </w:tcMar>
            <w:hideMark/>
          </w:tcPr>
          <w:p w14:paraId="0F526AD6" w14:textId="77777777" w:rsidR="00BC58EE" w:rsidRPr="00BE73B0" w:rsidRDefault="00BC58EE" w:rsidP="00BD17AF">
            <w:pPr>
              <w:pStyle w:val="TableText0"/>
              <w:rPr>
                <w:i/>
                <w:iCs/>
              </w:rPr>
            </w:pPr>
            <w:r w:rsidRPr="00BE73B0">
              <w:rPr>
                <w:i/>
                <w:iCs/>
              </w:rPr>
              <w:t xml:space="preserve">60 VBT per year </w:t>
            </w:r>
          </w:p>
        </w:tc>
        <w:tc>
          <w:tcPr>
            <w:tcW w:w="629" w:type="pct"/>
            <w:tcMar>
              <w:top w:w="0" w:type="dxa"/>
              <w:left w:w="108" w:type="dxa"/>
              <w:bottom w:w="0" w:type="dxa"/>
              <w:right w:w="108" w:type="dxa"/>
            </w:tcMar>
          </w:tcPr>
          <w:p w14:paraId="67D94173" w14:textId="77777777" w:rsidR="00BC58EE" w:rsidRPr="00BE73B0" w:rsidRDefault="00BC58EE" w:rsidP="00BD17AF">
            <w:pPr>
              <w:pStyle w:val="TableText0"/>
              <w:rPr>
                <w:i/>
                <w:iCs/>
              </w:rPr>
            </w:pPr>
            <w:r w:rsidRPr="00BE73B0">
              <w:rPr>
                <w:i/>
                <w:iCs/>
              </w:rPr>
              <w:t>$41,796</w:t>
            </w:r>
          </w:p>
        </w:tc>
        <w:tc>
          <w:tcPr>
            <w:tcW w:w="629" w:type="pct"/>
            <w:tcMar>
              <w:top w:w="0" w:type="dxa"/>
              <w:left w:w="108" w:type="dxa"/>
              <w:bottom w:w="0" w:type="dxa"/>
              <w:right w:w="108" w:type="dxa"/>
            </w:tcMar>
          </w:tcPr>
          <w:p w14:paraId="14B0C1FB" w14:textId="77777777" w:rsidR="00BC58EE" w:rsidRPr="00BE73B0" w:rsidRDefault="00BC58EE" w:rsidP="00BD17AF">
            <w:pPr>
              <w:pStyle w:val="TableText0"/>
              <w:rPr>
                <w:i/>
                <w:iCs/>
              </w:rPr>
            </w:pPr>
            <w:r w:rsidRPr="00BE73B0">
              <w:rPr>
                <w:i/>
                <w:iCs/>
              </w:rPr>
              <w:t>$56,262</w:t>
            </w:r>
          </w:p>
        </w:tc>
        <w:tc>
          <w:tcPr>
            <w:tcW w:w="629" w:type="pct"/>
            <w:tcMar>
              <w:top w:w="0" w:type="dxa"/>
              <w:left w:w="108" w:type="dxa"/>
              <w:bottom w:w="0" w:type="dxa"/>
              <w:right w:w="108" w:type="dxa"/>
            </w:tcMar>
          </w:tcPr>
          <w:p w14:paraId="5C0E6E8F" w14:textId="77777777" w:rsidR="00BC58EE" w:rsidRPr="00BE73B0" w:rsidRDefault="00BC58EE" w:rsidP="00BD17AF">
            <w:pPr>
              <w:pStyle w:val="TableText0"/>
              <w:rPr>
                <w:i/>
                <w:iCs/>
              </w:rPr>
            </w:pPr>
            <w:r w:rsidRPr="00BE73B0">
              <w:rPr>
                <w:i/>
                <w:iCs/>
              </w:rPr>
              <w:t>$68,514</w:t>
            </w:r>
          </w:p>
        </w:tc>
        <w:tc>
          <w:tcPr>
            <w:tcW w:w="629" w:type="pct"/>
            <w:tcMar>
              <w:top w:w="0" w:type="dxa"/>
              <w:left w:w="108" w:type="dxa"/>
              <w:bottom w:w="0" w:type="dxa"/>
              <w:right w:w="108" w:type="dxa"/>
            </w:tcMar>
          </w:tcPr>
          <w:p w14:paraId="30B43C84" w14:textId="77777777" w:rsidR="00BC58EE" w:rsidRPr="00BE73B0" w:rsidRDefault="00BC58EE" w:rsidP="00BD17AF">
            <w:pPr>
              <w:pStyle w:val="TableText0"/>
              <w:rPr>
                <w:i/>
                <w:iCs/>
              </w:rPr>
            </w:pPr>
            <w:r w:rsidRPr="00BE73B0">
              <w:rPr>
                <w:i/>
                <w:iCs/>
              </w:rPr>
              <w:t>$78,976</w:t>
            </w:r>
          </w:p>
        </w:tc>
        <w:tc>
          <w:tcPr>
            <w:tcW w:w="629" w:type="pct"/>
            <w:tcMar>
              <w:top w:w="0" w:type="dxa"/>
              <w:left w:w="108" w:type="dxa"/>
              <w:bottom w:w="0" w:type="dxa"/>
              <w:right w:w="108" w:type="dxa"/>
            </w:tcMar>
          </w:tcPr>
          <w:p w14:paraId="0D826242" w14:textId="77777777" w:rsidR="00BC58EE" w:rsidRPr="00BE73B0" w:rsidRDefault="00BC58EE" w:rsidP="00BD17AF">
            <w:pPr>
              <w:pStyle w:val="TableText0"/>
              <w:rPr>
                <w:i/>
                <w:iCs/>
              </w:rPr>
            </w:pPr>
            <w:r w:rsidRPr="00BE73B0">
              <w:rPr>
                <w:i/>
                <w:iCs/>
              </w:rPr>
              <w:t>$88,215</w:t>
            </w:r>
          </w:p>
        </w:tc>
      </w:tr>
      <w:tr w:rsidR="00BC58EE" w:rsidRPr="00CE28E3" w14:paraId="1265DC3B" w14:textId="77777777" w:rsidTr="005E153D">
        <w:tc>
          <w:tcPr>
            <w:tcW w:w="1855" w:type="pct"/>
            <w:tcMar>
              <w:top w:w="0" w:type="dxa"/>
              <w:left w:w="108" w:type="dxa"/>
              <w:bottom w:w="0" w:type="dxa"/>
              <w:right w:w="108" w:type="dxa"/>
            </w:tcMar>
            <w:hideMark/>
          </w:tcPr>
          <w:p w14:paraId="4764ED19" w14:textId="77777777" w:rsidR="00BC58EE" w:rsidRPr="00BE73B0" w:rsidRDefault="00BC58EE" w:rsidP="00BD17AF">
            <w:pPr>
              <w:pStyle w:val="TableText0"/>
              <w:rPr>
                <w:i/>
                <w:iCs/>
              </w:rPr>
            </w:pPr>
            <w:r w:rsidRPr="00BE73B0">
              <w:rPr>
                <w:i/>
                <w:iCs/>
              </w:rPr>
              <w:t>60 VBT per year plus 15% PSF substitution</w:t>
            </w:r>
          </w:p>
        </w:tc>
        <w:tc>
          <w:tcPr>
            <w:tcW w:w="629" w:type="pct"/>
            <w:tcMar>
              <w:top w:w="0" w:type="dxa"/>
              <w:left w:w="108" w:type="dxa"/>
              <w:bottom w:w="0" w:type="dxa"/>
              <w:right w:w="108" w:type="dxa"/>
            </w:tcMar>
          </w:tcPr>
          <w:p w14:paraId="05E8B958" w14:textId="77777777" w:rsidR="00BC58EE" w:rsidRPr="00BE73B0" w:rsidRDefault="00BC58EE" w:rsidP="00BD17AF">
            <w:pPr>
              <w:pStyle w:val="TableText0"/>
              <w:rPr>
                <w:i/>
                <w:iCs/>
              </w:rPr>
            </w:pPr>
            <w:r w:rsidRPr="00BE73B0">
              <w:rPr>
                <w:i/>
                <w:iCs/>
              </w:rPr>
              <w:t>$78,683</w:t>
            </w:r>
          </w:p>
        </w:tc>
        <w:tc>
          <w:tcPr>
            <w:tcW w:w="629" w:type="pct"/>
            <w:tcMar>
              <w:top w:w="0" w:type="dxa"/>
              <w:left w:w="108" w:type="dxa"/>
              <w:bottom w:w="0" w:type="dxa"/>
              <w:right w:w="108" w:type="dxa"/>
            </w:tcMar>
          </w:tcPr>
          <w:p w14:paraId="4C1B0F9A" w14:textId="77777777" w:rsidR="00BC58EE" w:rsidRPr="00BE73B0" w:rsidRDefault="00BC58EE" w:rsidP="00BD17AF">
            <w:pPr>
              <w:pStyle w:val="TableText0"/>
              <w:rPr>
                <w:i/>
                <w:iCs/>
              </w:rPr>
            </w:pPr>
            <w:r w:rsidRPr="00BE73B0">
              <w:rPr>
                <w:i/>
                <w:iCs/>
              </w:rPr>
              <w:t>$106,482</w:t>
            </w:r>
          </w:p>
        </w:tc>
        <w:tc>
          <w:tcPr>
            <w:tcW w:w="629" w:type="pct"/>
            <w:tcMar>
              <w:top w:w="0" w:type="dxa"/>
              <w:left w:w="108" w:type="dxa"/>
              <w:bottom w:w="0" w:type="dxa"/>
              <w:right w:w="108" w:type="dxa"/>
            </w:tcMar>
          </w:tcPr>
          <w:p w14:paraId="45326E59" w14:textId="77777777" w:rsidR="00BC58EE" w:rsidRPr="00BE73B0" w:rsidRDefault="00BC58EE" w:rsidP="00BD17AF">
            <w:pPr>
              <w:pStyle w:val="TableText0"/>
              <w:rPr>
                <w:i/>
                <w:iCs/>
              </w:rPr>
            </w:pPr>
            <w:r w:rsidRPr="00BE73B0">
              <w:rPr>
                <w:i/>
                <w:iCs/>
              </w:rPr>
              <w:t>$130,210</w:t>
            </w:r>
          </w:p>
        </w:tc>
        <w:tc>
          <w:tcPr>
            <w:tcW w:w="629" w:type="pct"/>
            <w:tcMar>
              <w:top w:w="0" w:type="dxa"/>
              <w:left w:w="108" w:type="dxa"/>
              <w:bottom w:w="0" w:type="dxa"/>
              <w:right w:w="108" w:type="dxa"/>
            </w:tcMar>
          </w:tcPr>
          <w:p w14:paraId="3AC01949" w14:textId="77777777" w:rsidR="00BC58EE" w:rsidRPr="00BE73B0" w:rsidRDefault="00BC58EE" w:rsidP="00BD17AF">
            <w:pPr>
              <w:pStyle w:val="TableText0"/>
              <w:rPr>
                <w:i/>
                <w:iCs/>
              </w:rPr>
            </w:pPr>
            <w:r w:rsidRPr="00BE73B0">
              <w:rPr>
                <w:i/>
                <w:iCs/>
              </w:rPr>
              <w:t>$150,636</w:t>
            </w:r>
          </w:p>
        </w:tc>
        <w:tc>
          <w:tcPr>
            <w:tcW w:w="629" w:type="pct"/>
            <w:tcMar>
              <w:top w:w="0" w:type="dxa"/>
              <w:left w:w="108" w:type="dxa"/>
              <w:bottom w:w="0" w:type="dxa"/>
              <w:right w:w="108" w:type="dxa"/>
            </w:tcMar>
          </w:tcPr>
          <w:p w14:paraId="7696CDE6" w14:textId="77777777" w:rsidR="00BC58EE" w:rsidRPr="00BE73B0" w:rsidRDefault="00BC58EE" w:rsidP="00BD17AF">
            <w:pPr>
              <w:pStyle w:val="TableText0"/>
              <w:rPr>
                <w:i/>
                <w:iCs/>
              </w:rPr>
            </w:pPr>
            <w:r w:rsidRPr="00BE73B0">
              <w:rPr>
                <w:i/>
                <w:iCs/>
              </w:rPr>
              <w:t>$168,526</w:t>
            </w:r>
          </w:p>
        </w:tc>
      </w:tr>
      <w:tr w:rsidR="00BC58EE" w:rsidRPr="00CE28E3" w14:paraId="6C32C6BF" w14:textId="77777777" w:rsidTr="005E153D">
        <w:tc>
          <w:tcPr>
            <w:tcW w:w="1855" w:type="pct"/>
            <w:tcMar>
              <w:top w:w="0" w:type="dxa"/>
              <w:left w:w="108" w:type="dxa"/>
              <w:bottom w:w="0" w:type="dxa"/>
              <w:right w:w="108" w:type="dxa"/>
            </w:tcMar>
            <w:hideMark/>
          </w:tcPr>
          <w:p w14:paraId="68BE77A8" w14:textId="77777777" w:rsidR="00BC58EE" w:rsidRPr="00BE73B0" w:rsidRDefault="00BC58EE" w:rsidP="00BD17AF">
            <w:pPr>
              <w:pStyle w:val="TableText0"/>
              <w:rPr>
                <w:i/>
                <w:iCs/>
              </w:rPr>
            </w:pPr>
            <w:r w:rsidRPr="00BE73B0">
              <w:rPr>
                <w:i/>
                <w:iCs/>
              </w:rPr>
              <w:t>60 VBT per year plus 30% PSF substitution</w:t>
            </w:r>
          </w:p>
        </w:tc>
        <w:tc>
          <w:tcPr>
            <w:tcW w:w="629" w:type="pct"/>
            <w:tcMar>
              <w:top w:w="0" w:type="dxa"/>
              <w:left w:w="108" w:type="dxa"/>
              <w:bottom w:w="0" w:type="dxa"/>
              <w:right w:w="108" w:type="dxa"/>
            </w:tcMar>
          </w:tcPr>
          <w:p w14:paraId="6E015905" w14:textId="77777777" w:rsidR="00BC58EE" w:rsidRPr="00BE73B0" w:rsidRDefault="00BC58EE" w:rsidP="00BD17AF">
            <w:pPr>
              <w:pStyle w:val="TableText0"/>
              <w:rPr>
                <w:i/>
                <w:iCs/>
              </w:rPr>
            </w:pPr>
            <w:r w:rsidRPr="00BE73B0">
              <w:rPr>
                <w:i/>
                <w:iCs/>
              </w:rPr>
              <w:t>$104,218</w:t>
            </w:r>
          </w:p>
        </w:tc>
        <w:tc>
          <w:tcPr>
            <w:tcW w:w="629" w:type="pct"/>
            <w:tcMar>
              <w:top w:w="0" w:type="dxa"/>
              <w:left w:w="108" w:type="dxa"/>
              <w:bottom w:w="0" w:type="dxa"/>
              <w:right w:w="108" w:type="dxa"/>
            </w:tcMar>
          </w:tcPr>
          <w:p w14:paraId="44C111B9" w14:textId="77777777" w:rsidR="00BC58EE" w:rsidRPr="00BE73B0" w:rsidRDefault="00BC58EE" w:rsidP="00BD17AF">
            <w:pPr>
              <w:pStyle w:val="TableText0"/>
              <w:rPr>
                <w:i/>
                <w:iCs/>
              </w:rPr>
            </w:pPr>
            <w:r w:rsidRPr="00BE73B0">
              <w:rPr>
                <w:i/>
                <w:iCs/>
              </w:rPr>
              <w:t>$141,421</w:t>
            </w:r>
          </w:p>
        </w:tc>
        <w:tc>
          <w:tcPr>
            <w:tcW w:w="629" w:type="pct"/>
            <w:tcMar>
              <w:top w:w="0" w:type="dxa"/>
              <w:left w:w="108" w:type="dxa"/>
              <w:bottom w:w="0" w:type="dxa"/>
              <w:right w:w="108" w:type="dxa"/>
            </w:tcMar>
          </w:tcPr>
          <w:p w14:paraId="3DD1B841" w14:textId="77777777" w:rsidR="00BC58EE" w:rsidRPr="00BE73B0" w:rsidRDefault="00BC58EE" w:rsidP="00BD17AF">
            <w:pPr>
              <w:pStyle w:val="TableText0"/>
              <w:rPr>
                <w:i/>
                <w:iCs/>
              </w:rPr>
            </w:pPr>
            <w:r w:rsidRPr="00BE73B0">
              <w:rPr>
                <w:i/>
                <w:iCs/>
              </w:rPr>
              <w:t>$173,296</w:t>
            </w:r>
          </w:p>
        </w:tc>
        <w:tc>
          <w:tcPr>
            <w:tcW w:w="629" w:type="pct"/>
            <w:tcMar>
              <w:top w:w="0" w:type="dxa"/>
              <w:left w:w="108" w:type="dxa"/>
              <w:bottom w:w="0" w:type="dxa"/>
              <w:right w:w="108" w:type="dxa"/>
            </w:tcMar>
          </w:tcPr>
          <w:p w14:paraId="31966B7B" w14:textId="77777777" w:rsidR="00BC58EE" w:rsidRPr="00BE73B0" w:rsidRDefault="00BC58EE" w:rsidP="00BD17AF">
            <w:pPr>
              <w:pStyle w:val="TableText0"/>
              <w:rPr>
                <w:i/>
                <w:iCs/>
              </w:rPr>
            </w:pPr>
            <w:r w:rsidRPr="00BE73B0">
              <w:rPr>
                <w:i/>
                <w:iCs/>
              </w:rPr>
              <w:t>$200,844</w:t>
            </w:r>
          </w:p>
        </w:tc>
        <w:tc>
          <w:tcPr>
            <w:tcW w:w="629" w:type="pct"/>
            <w:tcMar>
              <w:top w:w="0" w:type="dxa"/>
              <w:left w:w="108" w:type="dxa"/>
              <w:bottom w:w="0" w:type="dxa"/>
              <w:right w:w="108" w:type="dxa"/>
            </w:tcMar>
          </w:tcPr>
          <w:p w14:paraId="72A62DAA" w14:textId="77777777" w:rsidR="00BC58EE" w:rsidRPr="00BE73B0" w:rsidRDefault="00BC58EE" w:rsidP="00BD17AF">
            <w:pPr>
              <w:pStyle w:val="TableText0"/>
              <w:rPr>
                <w:i/>
                <w:iCs/>
              </w:rPr>
            </w:pPr>
            <w:r w:rsidRPr="00BE73B0">
              <w:rPr>
                <w:i/>
                <w:iCs/>
              </w:rPr>
              <w:t>$224,877</w:t>
            </w:r>
          </w:p>
        </w:tc>
      </w:tr>
      <w:tr w:rsidR="00BC58EE" w:rsidRPr="00CE28E3" w14:paraId="2ACE392E" w14:textId="77777777" w:rsidTr="005E153D">
        <w:tc>
          <w:tcPr>
            <w:tcW w:w="1855" w:type="pct"/>
            <w:tcMar>
              <w:top w:w="0" w:type="dxa"/>
              <w:left w:w="108" w:type="dxa"/>
              <w:bottom w:w="0" w:type="dxa"/>
              <w:right w:w="108" w:type="dxa"/>
            </w:tcMar>
            <w:hideMark/>
          </w:tcPr>
          <w:p w14:paraId="72FF6E1E" w14:textId="77777777" w:rsidR="00BC58EE" w:rsidRPr="006F569D" w:rsidRDefault="00BC58EE" w:rsidP="00BD17AF">
            <w:pPr>
              <w:pStyle w:val="TableText0"/>
              <w:rPr>
                <w:i/>
                <w:iCs/>
              </w:rPr>
            </w:pPr>
            <w:r w:rsidRPr="00BE73B0">
              <w:rPr>
                <w:i/>
                <w:iCs/>
              </w:rPr>
              <w:t>60 VBT per year plus 15% PSF substitution plus Eligible population limited to 10-16 years</w:t>
            </w:r>
          </w:p>
        </w:tc>
        <w:tc>
          <w:tcPr>
            <w:tcW w:w="629" w:type="pct"/>
            <w:tcMar>
              <w:top w:w="0" w:type="dxa"/>
              <w:left w:w="108" w:type="dxa"/>
              <w:bottom w:w="0" w:type="dxa"/>
              <w:right w:w="108" w:type="dxa"/>
            </w:tcMar>
          </w:tcPr>
          <w:p w14:paraId="4C3061EB" w14:textId="77777777" w:rsidR="00BC58EE" w:rsidRPr="006F569D" w:rsidRDefault="00BC58EE" w:rsidP="00BD17AF">
            <w:pPr>
              <w:pStyle w:val="TableText0"/>
              <w:rPr>
                <w:i/>
                <w:iCs/>
              </w:rPr>
            </w:pPr>
            <w:r w:rsidRPr="00BE73B0">
              <w:rPr>
                <w:i/>
                <w:iCs/>
              </w:rPr>
              <w:t>$73,229</w:t>
            </w:r>
          </w:p>
        </w:tc>
        <w:tc>
          <w:tcPr>
            <w:tcW w:w="629" w:type="pct"/>
            <w:tcMar>
              <w:top w:w="0" w:type="dxa"/>
              <w:left w:w="108" w:type="dxa"/>
              <w:bottom w:w="0" w:type="dxa"/>
              <w:right w:w="108" w:type="dxa"/>
            </w:tcMar>
          </w:tcPr>
          <w:p w14:paraId="7729594C" w14:textId="77777777" w:rsidR="00BC58EE" w:rsidRPr="006F569D" w:rsidRDefault="00BC58EE" w:rsidP="00BD17AF">
            <w:pPr>
              <w:pStyle w:val="TableText0"/>
              <w:rPr>
                <w:i/>
                <w:iCs/>
              </w:rPr>
            </w:pPr>
            <w:r w:rsidRPr="00BE73B0">
              <w:rPr>
                <w:i/>
                <w:iCs/>
              </w:rPr>
              <w:t>$99,019</w:t>
            </w:r>
          </w:p>
        </w:tc>
        <w:tc>
          <w:tcPr>
            <w:tcW w:w="629" w:type="pct"/>
            <w:tcMar>
              <w:top w:w="0" w:type="dxa"/>
              <w:left w:w="108" w:type="dxa"/>
              <w:bottom w:w="0" w:type="dxa"/>
              <w:right w:w="108" w:type="dxa"/>
            </w:tcMar>
          </w:tcPr>
          <w:p w14:paraId="0853AC27" w14:textId="77777777" w:rsidR="00BC58EE" w:rsidRPr="006F569D" w:rsidRDefault="00BC58EE" w:rsidP="00BD17AF">
            <w:pPr>
              <w:pStyle w:val="TableText0"/>
              <w:rPr>
                <w:i/>
                <w:iCs/>
              </w:rPr>
            </w:pPr>
            <w:r w:rsidRPr="00BE73B0">
              <w:rPr>
                <w:i/>
                <w:iCs/>
              </w:rPr>
              <w:t>$121,007</w:t>
            </w:r>
          </w:p>
        </w:tc>
        <w:tc>
          <w:tcPr>
            <w:tcW w:w="629" w:type="pct"/>
            <w:tcMar>
              <w:top w:w="0" w:type="dxa"/>
              <w:left w:w="108" w:type="dxa"/>
              <w:bottom w:w="0" w:type="dxa"/>
              <w:right w:w="108" w:type="dxa"/>
            </w:tcMar>
          </w:tcPr>
          <w:p w14:paraId="0D000B3E" w14:textId="77777777" w:rsidR="00BC58EE" w:rsidRPr="006F569D" w:rsidRDefault="00BC58EE" w:rsidP="00BD17AF">
            <w:pPr>
              <w:pStyle w:val="TableText0"/>
              <w:rPr>
                <w:i/>
                <w:iCs/>
              </w:rPr>
            </w:pPr>
            <w:r w:rsidRPr="00BE73B0">
              <w:rPr>
                <w:i/>
                <w:iCs/>
              </w:rPr>
              <w:t>$139,911</w:t>
            </w:r>
          </w:p>
        </w:tc>
        <w:tc>
          <w:tcPr>
            <w:tcW w:w="629" w:type="pct"/>
            <w:tcMar>
              <w:top w:w="0" w:type="dxa"/>
              <w:left w:w="108" w:type="dxa"/>
              <w:bottom w:w="0" w:type="dxa"/>
              <w:right w:w="108" w:type="dxa"/>
            </w:tcMar>
          </w:tcPr>
          <w:p w14:paraId="55BC1068" w14:textId="77777777" w:rsidR="00BC58EE" w:rsidRPr="006F569D" w:rsidRDefault="00BC58EE" w:rsidP="00BD17AF">
            <w:pPr>
              <w:pStyle w:val="TableText0"/>
              <w:rPr>
                <w:i/>
                <w:iCs/>
              </w:rPr>
            </w:pPr>
            <w:r w:rsidRPr="00BE73B0">
              <w:rPr>
                <w:i/>
                <w:iCs/>
              </w:rPr>
              <w:t>$156,490</w:t>
            </w:r>
          </w:p>
        </w:tc>
      </w:tr>
      <w:tr w:rsidR="00BC58EE" w:rsidRPr="00CE28E3" w14:paraId="11B95F11" w14:textId="77777777" w:rsidTr="005E153D">
        <w:tc>
          <w:tcPr>
            <w:tcW w:w="1855" w:type="pct"/>
            <w:tcMar>
              <w:top w:w="0" w:type="dxa"/>
              <w:left w:w="108" w:type="dxa"/>
              <w:bottom w:w="0" w:type="dxa"/>
              <w:right w:w="108" w:type="dxa"/>
            </w:tcMar>
          </w:tcPr>
          <w:p w14:paraId="4474538E" w14:textId="77777777" w:rsidR="00BC58EE" w:rsidRPr="00BE73B0" w:rsidRDefault="00BC58EE" w:rsidP="00BD17AF">
            <w:pPr>
              <w:pStyle w:val="TableText0"/>
              <w:rPr>
                <w:i/>
                <w:iCs/>
              </w:rPr>
            </w:pPr>
            <w:r w:rsidRPr="00BE0083">
              <w:rPr>
                <w:i/>
                <w:iCs/>
              </w:rPr>
              <w:t>60 VBT per year plus 15% PSF substitution plus Eligible population limited to 10-16 years – assume 60 VBT per year do not result in an avoided PSF procedure</w:t>
            </w:r>
            <w:r>
              <w:rPr>
                <w:i/>
                <w:iCs/>
              </w:rPr>
              <w:t xml:space="preserve"> (no substitution from PSF)</w:t>
            </w:r>
            <w:r w:rsidRPr="00BE0083">
              <w:rPr>
                <w:i/>
                <w:iCs/>
              </w:rPr>
              <w:t>.</w:t>
            </w:r>
          </w:p>
        </w:tc>
        <w:tc>
          <w:tcPr>
            <w:tcW w:w="629" w:type="pct"/>
            <w:tcMar>
              <w:top w:w="0" w:type="dxa"/>
              <w:left w:w="108" w:type="dxa"/>
              <w:bottom w:w="0" w:type="dxa"/>
              <w:right w:w="108" w:type="dxa"/>
            </w:tcMar>
            <w:vAlign w:val="center"/>
          </w:tcPr>
          <w:p w14:paraId="3DB6511E" w14:textId="77777777" w:rsidR="00BC58EE" w:rsidRPr="00BE73B0" w:rsidRDefault="00BC58EE" w:rsidP="00BD17AF">
            <w:pPr>
              <w:pStyle w:val="TableText0"/>
              <w:rPr>
                <w:i/>
                <w:iCs/>
              </w:rPr>
            </w:pPr>
            <w:r w:rsidRPr="00BE0083">
              <w:rPr>
                <w:rFonts w:cs="Calibri"/>
                <w:i/>
                <w:iCs/>
                <w:color w:val="000000"/>
                <w:szCs w:val="20"/>
              </w:rPr>
              <w:t>$309,348</w:t>
            </w:r>
          </w:p>
        </w:tc>
        <w:tc>
          <w:tcPr>
            <w:tcW w:w="629" w:type="pct"/>
            <w:tcMar>
              <w:top w:w="0" w:type="dxa"/>
              <w:left w:w="108" w:type="dxa"/>
              <w:bottom w:w="0" w:type="dxa"/>
              <w:right w:w="108" w:type="dxa"/>
            </w:tcMar>
            <w:vAlign w:val="center"/>
          </w:tcPr>
          <w:p w14:paraId="1652C045" w14:textId="77777777" w:rsidR="00BC58EE" w:rsidRPr="00BE73B0" w:rsidRDefault="00BC58EE" w:rsidP="00BD17AF">
            <w:pPr>
              <w:pStyle w:val="TableText0"/>
              <w:rPr>
                <w:i/>
                <w:iCs/>
              </w:rPr>
            </w:pPr>
            <w:r w:rsidRPr="00BE0083">
              <w:rPr>
                <w:rFonts w:cs="Calibri"/>
                <w:i/>
                <w:iCs/>
                <w:color w:val="000000"/>
                <w:szCs w:val="20"/>
              </w:rPr>
              <w:t>$327,541</w:t>
            </w:r>
          </w:p>
        </w:tc>
        <w:tc>
          <w:tcPr>
            <w:tcW w:w="629" w:type="pct"/>
            <w:tcMar>
              <w:top w:w="0" w:type="dxa"/>
              <w:left w:w="108" w:type="dxa"/>
              <w:bottom w:w="0" w:type="dxa"/>
              <w:right w:w="108" w:type="dxa"/>
            </w:tcMar>
            <w:vAlign w:val="center"/>
          </w:tcPr>
          <w:p w14:paraId="7FA6DEC5" w14:textId="77777777" w:rsidR="00BC58EE" w:rsidRPr="00BE73B0" w:rsidRDefault="00BC58EE" w:rsidP="00BD17AF">
            <w:pPr>
              <w:pStyle w:val="TableText0"/>
              <w:rPr>
                <w:i/>
                <w:iCs/>
              </w:rPr>
            </w:pPr>
            <w:r w:rsidRPr="00BE0083">
              <w:rPr>
                <w:rFonts w:cs="Calibri"/>
                <w:i/>
                <w:iCs/>
                <w:color w:val="000000"/>
                <w:szCs w:val="20"/>
              </w:rPr>
              <w:t>$342,462</w:t>
            </w:r>
          </w:p>
        </w:tc>
        <w:tc>
          <w:tcPr>
            <w:tcW w:w="629" w:type="pct"/>
            <w:tcMar>
              <w:top w:w="0" w:type="dxa"/>
              <w:left w:w="108" w:type="dxa"/>
              <w:bottom w:w="0" w:type="dxa"/>
              <w:right w:w="108" w:type="dxa"/>
            </w:tcMar>
            <w:vAlign w:val="center"/>
          </w:tcPr>
          <w:p w14:paraId="3FBD2540" w14:textId="77777777" w:rsidR="00BC58EE" w:rsidRPr="00BE73B0" w:rsidRDefault="00BC58EE" w:rsidP="00BD17AF">
            <w:pPr>
              <w:pStyle w:val="TableText0"/>
              <w:rPr>
                <w:i/>
                <w:iCs/>
              </w:rPr>
            </w:pPr>
            <w:r w:rsidRPr="00BE0083">
              <w:rPr>
                <w:rFonts w:cs="Calibri"/>
                <w:i/>
                <w:iCs/>
                <w:color w:val="000000"/>
                <w:szCs w:val="20"/>
              </w:rPr>
              <w:t>$354,847</w:t>
            </w:r>
          </w:p>
        </w:tc>
        <w:tc>
          <w:tcPr>
            <w:tcW w:w="629" w:type="pct"/>
            <w:tcMar>
              <w:top w:w="0" w:type="dxa"/>
              <w:left w:w="108" w:type="dxa"/>
              <w:bottom w:w="0" w:type="dxa"/>
              <w:right w:w="108" w:type="dxa"/>
            </w:tcMar>
            <w:vAlign w:val="center"/>
          </w:tcPr>
          <w:p w14:paraId="564AE17D" w14:textId="77777777" w:rsidR="00BC58EE" w:rsidRPr="00BE73B0" w:rsidRDefault="00BC58EE" w:rsidP="00BD17AF">
            <w:pPr>
              <w:pStyle w:val="TableText0"/>
              <w:rPr>
                <w:i/>
                <w:iCs/>
              </w:rPr>
            </w:pPr>
            <w:r w:rsidRPr="00BE0083">
              <w:rPr>
                <w:rFonts w:cs="Calibri"/>
                <w:i/>
                <w:iCs/>
                <w:color w:val="000000"/>
                <w:szCs w:val="20"/>
              </w:rPr>
              <w:t>$364,797</w:t>
            </w:r>
          </w:p>
        </w:tc>
      </w:tr>
    </w:tbl>
    <w:p w14:paraId="0F80BCCF" w14:textId="77777777" w:rsidR="00BC58EE" w:rsidRPr="00CA3CAC" w:rsidRDefault="00BC58EE" w:rsidP="00BD17AF">
      <w:pPr>
        <w:pStyle w:val="CaptionFootnote"/>
        <w:jc w:val="left"/>
      </w:pPr>
      <w:r w:rsidRPr="00A43DD7">
        <w:t>VBT=Vertebral Body Tethering, PSF=Posterior Spinal Fusion</w:t>
      </w:r>
    </w:p>
    <w:p w14:paraId="58D81C6D" w14:textId="77777777" w:rsidR="00BC58EE" w:rsidRPr="00CA3CAC" w:rsidRDefault="00BC58EE" w:rsidP="00BD17AF">
      <w:pPr>
        <w:pStyle w:val="CaptionFootnote"/>
        <w:jc w:val="left"/>
      </w:pPr>
      <w:r w:rsidRPr="00CA3CAC">
        <w:t xml:space="preserve">The 75% benefit is applied to all costs presented in this table.  </w:t>
      </w:r>
    </w:p>
    <w:p w14:paraId="75C76985" w14:textId="4AD38DF1" w:rsidR="00BC58EE" w:rsidRDefault="00BC58EE" w:rsidP="00BD17AF">
      <w:pPr>
        <w:pStyle w:val="CaptionFootnote"/>
        <w:jc w:val="left"/>
      </w:pPr>
      <w:r>
        <w:t>Source: C</w:t>
      </w:r>
      <w:r w:rsidRPr="00A43DD7">
        <w:t xml:space="preserve">onstructed during the </w:t>
      </w:r>
      <w:r>
        <w:t>evaluation based on Attachment 3</w:t>
      </w:r>
      <w:r w:rsidRPr="00CA3CAC">
        <w:t xml:space="preserve"> Financial Analysis workbook</w:t>
      </w:r>
      <w:r w:rsidR="00717063">
        <w:t xml:space="preserve"> (Table 8, pxxix of the commentary)</w:t>
      </w:r>
      <w:r w:rsidRPr="00CA3CAC">
        <w:t>.</w:t>
      </w:r>
    </w:p>
    <w:p w14:paraId="0C25FBCB" w14:textId="1FFAE2CA" w:rsidR="00717063" w:rsidRDefault="006B77D6" w:rsidP="002448B4">
      <w:pPr>
        <w:pStyle w:val="NormalBeforeBullet"/>
        <w:spacing w:after="240"/>
      </w:pPr>
      <w:r w:rsidRPr="006B77D6">
        <w:t xml:space="preserve">The </w:t>
      </w:r>
      <w:r>
        <w:t>financial impact of the prosthesis for private health insurers is summarised in Table 13.</w:t>
      </w:r>
    </w:p>
    <w:p w14:paraId="7A3BF43A" w14:textId="560D3E59" w:rsidR="006B77D6" w:rsidRPr="00FE385A" w:rsidRDefault="006B77D6" w:rsidP="00BD17AF">
      <w:pPr>
        <w:pStyle w:val="Caption"/>
        <w:spacing w:after="120"/>
        <w:jc w:val="left"/>
      </w:pPr>
      <w:bookmarkStart w:id="19" w:name="_Ref81837827"/>
      <w:bookmarkStart w:id="20" w:name="_Ref71115664"/>
      <w:bookmarkStart w:id="21" w:name="_Toc71815027"/>
      <w:bookmarkStart w:id="22" w:name="_Toc82085928"/>
      <w:r w:rsidRPr="00CE28E3">
        <w:t>Table</w:t>
      </w:r>
      <w:r>
        <w:t> </w:t>
      </w:r>
      <w:bookmarkEnd w:id="19"/>
      <w:r>
        <w:t>13</w:t>
      </w:r>
      <w:r w:rsidRPr="00CE28E3">
        <w:tab/>
      </w:r>
      <w:bookmarkEnd w:id="20"/>
      <w:r>
        <w:t>Net c</w:t>
      </w:r>
      <w:r w:rsidRPr="00FE385A">
        <w:t>hange in prosthesis costs for private health insur</w:t>
      </w:r>
      <w:bookmarkEnd w:id="21"/>
      <w:r>
        <w:t>ers</w:t>
      </w:r>
      <w:bookmarkEnd w:id="22"/>
    </w:p>
    <w:tbl>
      <w:tblPr>
        <w:tblStyle w:val="TableGrid2"/>
        <w:tblW w:w="5000" w:type="pct"/>
        <w:tblLook w:val="04A0" w:firstRow="1" w:lastRow="0" w:firstColumn="1" w:lastColumn="0" w:noHBand="0" w:noVBand="1"/>
        <w:tblDescription w:val="Net change in prosthesis costs for private health insurers"/>
      </w:tblPr>
      <w:tblGrid>
        <w:gridCol w:w="3361"/>
        <w:gridCol w:w="1131"/>
        <w:gridCol w:w="1131"/>
        <w:gridCol w:w="1131"/>
        <w:gridCol w:w="1131"/>
        <w:gridCol w:w="1131"/>
      </w:tblGrid>
      <w:tr w:rsidR="006B77D6" w:rsidRPr="008D1F58" w14:paraId="722852DF" w14:textId="77777777" w:rsidTr="003F35C0">
        <w:trPr>
          <w:cnfStyle w:val="100000000000" w:firstRow="1" w:lastRow="0" w:firstColumn="0" w:lastColumn="0" w:oddVBand="0" w:evenVBand="0" w:oddHBand="0" w:evenHBand="0" w:firstRowFirstColumn="0" w:firstRowLastColumn="0" w:lastRowFirstColumn="0" w:lastRowLastColumn="0"/>
          <w:trHeight w:val="255"/>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54323" w14:textId="77777777" w:rsidR="006B77D6" w:rsidRPr="008D1F58" w:rsidRDefault="006B77D6" w:rsidP="00BD17AF">
            <w:pPr>
              <w:pStyle w:val="Tabletext"/>
              <w:keepNext/>
              <w:keepLines/>
              <w:rPr>
                <w:b/>
                <w:lang w:val="en-US"/>
              </w:rPr>
            </w:pPr>
            <w:r w:rsidRPr="008D1F58">
              <w:rPr>
                <w:b/>
                <w:lang w:val="en-US"/>
              </w:rPr>
              <w:t>Parameter</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6FBD8F79" w14:textId="77777777" w:rsidR="006B77D6" w:rsidRPr="008D1F58" w:rsidRDefault="006B77D6" w:rsidP="00BD17AF">
            <w:pPr>
              <w:pStyle w:val="Tabletext"/>
              <w:keepNext/>
              <w:keepLines/>
              <w:rPr>
                <w:b/>
              </w:rPr>
            </w:pPr>
            <w:r w:rsidRPr="008D1F58">
              <w:rPr>
                <w:b/>
              </w:rPr>
              <w:t>Year 1</w:t>
            </w:r>
          </w:p>
          <w:p w14:paraId="5635F52A" w14:textId="77777777" w:rsidR="006B77D6" w:rsidRPr="008D1F58" w:rsidRDefault="006B77D6" w:rsidP="00BD17AF">
            <w:pPr>
              <w:pStyle w:val="Tabletext"/>
              <w:keepNext/>
              <w:keepLines/>
              <w:rPr>
                <w:b/>
                <w:lang w:val="en-US"/>
              </w:rPr>
            </w:pPr>
            <w:r w:rsidRPr="008D1F58">
              <w:rPr>
                <w:b/>
              </w:rPr>
              <w:t>2022</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6F0B2EC9" w14:textId="77777777" w:rsidR="006B77D6" w:rsidRPr="008D1F58" w:rsidRDefault="006B77D6" w:rsidP="00BD17AF">
            <w:pPr>
              <w:pStyle w:val="Tabletext"/>
              <w:keepNext/>
              <w:keepLines/>
              <w:rPr>
                <w:b/>
              </w:rPr>
            </w:pPr>
            <w:r w:rsidRPr="008D1F58">
              <w:rPr>
                <w:b/>
              </w:rPr>
              <w:t>Year 2</w:t>
            </w:r>
          </w:p>
          <w:p w14:paraId="1B0ECFC1" w14:textId="77777777" w:rsidR="006B77D6" w:rsidRPr="008D1F58" w:rsidRDefault="006B77D6" w:rsidP="00BD17AF">
            <w:pPr>
              <w:pStyle w:val="Tabletext"/>
              <w:keepNext/>
              <w:keepLines/>
              <w:rPr>
                <w:b/>
                <w:lang w:val="en-US"/>
              </w:rPr>
            </w:pPr>
            <w:r w:rsidRPr="008D1F58">
              <w:rPr>
                <w:b/>
              </w:rPr>
              <w:t>2023</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2244E6F9" w14:textId="77777777" w:rsidR="006B77D6" w:rsidRPr="008D1F58" w:rsidRDefault="006B77D6" w:rsidP="00BD17AF">
            <w:pPr>
              <w:pStyle w:val="Tabletext"/>
              <w:keepNext/>
              <w:keepLines/>
              <w:rPr>
                <w:b/>
              </w:rPr>
            </w:pPr>
            <w:r w:rsidRPr="008D1F58">
              <w:rPr>
                <w:b/>
              </w:rPr>
              <w:t>Year 3</w:t>
            </w:r>
          </w:p>
          <w:p w14:paraId="485D995A" w14:textId="77777777" w:rsidR="006B77D6" w:rsidRPr="008D1F58" w:rsidRDefault="006B77D6" w:rsidP="00BD17AF">
            <w:pPr>
              <w:pStyle w:val="Tabletext"/>
              <w:keepNext/>
              <w:keepLines/>
              <w:rPr>
                <w:b/>
                <w:lang w:val="en-US"/>
              </w:rPr>
            </w:pPr>
            <w:r w:rsidRPr="008D1F58">
              <w:rPr>
                <w:b/>
              </w:rPr>
              <w:t>2024</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49D0E2B1" w14:textId="77777777" w:rsidR="006B77D6" w:rsidRPr="008D1F58" w:rsidRDefault="006B77D6" w:rsidP="00BD17AF">
            <w:pPr>
              <w:pStyle w:val="Tabletext"/>
              <w:keepNext/>
              <w:keepLines/>
              <w:rPr>
                <w:b/>
              </w:rPr>
            </w:pPr>
            <w:r w:rsidRPr="008D1F58">
              <w:rPr>
                <w:b/>
              </w:rPr>
              <w:t>Year 4</w:t>
            </w:r>
          </w:p>
          <w:p w14:paraId="6D9587B3" w14:textId="77777777" w:rsidR="006B77D6" w:rsidRPr="008D1F58" w:rsidRDefault="006B77D6" w:rsidP="00BD17AF">
            <w:pPr>
              <w:pStyle w:val="Tabletext"/>
              <w:keepNext/>
              <w:keepLines/>
              <w:rPr>
                <w:b/>
                <w:lang w:val="en-US"/>
              </w:rPr>
            </w:pPr>
            <w:r w:rsidRPr="008D1F58">
              <w:rPr>
                <w:b/>
              </w:rPr>
              <w:t>2025</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1C83D158" w14:textId="77777777" w:rsidR="006B77D6" w:rsidRPr="008D1F58" w:rsidRDefault="006B77D6" w:rsidP="00BD17AF">
            <w:pPr>
              <w:pStyle w:val="Tabletext"/>
              <w:keepNext/>
              <w:keepLines/>
              <w:rPr>
                <w:b/>
              </w:rPr>
            </w:pPr>
            <w:r w:rsidRPr="008D1F58">
              <w:rPr>
                <w:b/>
              </w:rPr>
              <w:t>Year 5</w:t>
            </w:r>
          </w:p>
          <w:p w14:paraId="0802E56E" w14:textId="77777777" w:rsidR="006B77D6" w:rsidRPr="008D1F58" w:rsidRDefault="006B77D6" w:rsidP="00BD17AF">
            <w:pPr>
              <w:pStyle w:val="Tabletext"/>
              <w:keepNext/>
              <w:keepLines/>
              <w:rPr>
                <w:b/>
                <w:lang w:val="en-US"/>
              </w:rPr>
            </w:pPr>
            <w:r w:rsidRPr="008D1F58">
              <w:rPr>
                <w:b/>
              </w:rPr>
              <w:t>2026</w:t>
            </w:r>
          </w:p>
        </w:tc>
      </w:tr>
      <w:tr w:rsidR="006B77D6" w:rsidRPr="008D1F58" w14:paraId="0B53A66D" w14:textId="77777777" w:rsidTr="003F35C0">
        <w:trPr>
          <w:trHeight w:val="255"/>
        </w:trPr>
        <w:tc>
          <w:tcPr>
            <w:tcW w:w="1864" w:type="pct"/>
            <w:tcBorders>
              <w:top w:val="nil"/>
              <w:left w:val="single" w:sz="4" w:space="0" w:color="auto"/>
              <w:bottom w:val="single" w:sz="4" w:space="0" w:color="auto"/>
              <w:right w:val="single" w:sz="4" w:space="0" w:color="auto"/>
            </w:tcBorders>
            <w:shd w:val="clear" w:color="auto" w:fill="auto"/>
            <w:noWrap/>
            <w:vAlign w:val="center"/>
            <w:hideMark/>
          </w:tcPr>
          <w:p w14:paraId="100031C5" w14:textId="77777777" w:rsidR="006B77D6" w:rsidRPr="008D1F58" w:rsidRDefault="006B77D6" w:rsidP="00BD17AF">
            <w:pPr>
              <w:pStyle w:val="Tabletext"/>
              <w:keepNext/>
              <w:keepLines/>
              <w:rPr>
                <w:lang w:val="en-US"/>
              </w:rPr>
            </w:pPr>
            <w:r w:rsidRPr="008D1F58">
              <w:rPr>
                <w:lang w:val="en-US"/>
              </w:rPr>
              <w:t>Expected utilisation of VBT (MBS)</w:t>
            </w:r>
          </w:p>
        </w:tc>
        <w:tc>
          <w:tcPr>
            <w:tcW w:w="627" w:type="pct"/>
            <w:tcBorders>
              <w:top w:val="nil"/>
              <w:left w:val="nil"/>
              <w:bottom w:val="single" w:sz="4" w:space="0" w:color="auto"/>
              <w:right w:val="single" w:sz="4" w:space="0" w:color="auto"/>
            </w:tcBorders>
            <w:shd w:val="clear" w:color="auto" w:fill="auto"/>
            <w:noWrap/>
            <w:vAlign w:val="bottom"/>
            <w:hideMark/>
          </w:tcPr>
          <w:p w14:paraId="728216AC" w14:textId="77777777" w:rsidR="006B77D6" w:rsidRPr="008D1F58" w:rsidRDefault="006B77D6" w:rsidP="00BD17AF">
            <w:pPr>
              <w:pStyle w:val="Tabletext"/>
            </w:pPr>
            <w:r w:rsidRPr="001C0E48">
              <w:t>29</w:t>
            </w:r>
          </w:p>
        </w:tc>
        <w:tc>
          <w:tcPr>
            <w:tcW w:w="627" w:type="pct"/>
            <w:tcBorders>
              <w:top w:val="nil"/>
              <w:left w:val="nil"/>
              <w:bottom w:val="single" w:sz="4" w:space="0" w:color="auto"/>
              <w:right w:val="single" w:sz="4" w:space="0" w:color="auto"/>
            </w:tcBorders>
            <w:shd w:val="clear" w:color="auto" w:fill="auto"/>
            <w:noWrap/>
            <w:vAlign w:val="bottom"/>
            <w:hideMark/>
          </w:tcPr>
          <w:p w14:paraId="03ACC8F6" w14:textId="77777777" w:rsidR="006B77D6" w:rsidRPr="008D1F58" w:rsidRDefault="006B77D6" w:rsidP="00BD17AF">
            <w:pPr>
              <w:pStyle w:val="Tabletext"/>
            </w:pPr>
            <w:r w:rsidRPr="001C0E48">
              <w:t>29</w:t>
            </w:r>
          </w:p>
        </w:tc>
        <w:tc>
          <w:tcPr>
            <w:tcW w:w="627" w:type="pct"/>
            <w:tcBorders>
              <w:top w:val="nil"/>
              <w:left w:val="nil"/>
              <w:bottom w:val="single" w:sz="4" w:space="0" w:color="auto"/>
              <w:right w:val="single" w:sz="4" w:space="0" w:color="auto"/>
            </w:tcBorders>
            <w:shd w:val="clear" w:color="auto" w:fill="auto"/>
            <w:noWrap/>
            <w:vAlign w:val="bottom"/>
            <w:hideMark/>
          </w:tcPr>
          <w:p w14:paraId="16A63E3E" w14:textId="77777777" w:rsidR="006B77D6" w:rsidRPr="008D1F58" w:rsidRDefault="006B77D6" w:rsidP="00BD17AF">
            <w:pPr>
              <w:pStyle w:val="Tabletext"/>
            </w:pPr>
            <w:r w:rsidRPr="001C0E48">
              <w:t>30</w:t>
            </w:r>
          </w:p>
        </w:tc>
        <w:tc>
          <w:tcPr>
            <w:tcW w:w="627" w:type="pct"/>
            <w:tcBorders>
              <w:top w:val="nil"/>
              <w:left w:val="nil"/>
              <w:bottom w:val="single" w:sz="4" w:space="0" w:color="auto"/>
              <w:right w:val="single" w:sz="4" w:space="0" w:color="auto"/>
            </w:tcBorders>
            <w:shd w:val="clear" w:color="auto" w:fill="auto"/>
            <w:noWrap/>
            <w:vAlign w:val="bottom"/>
            <w:hideMark/>
          </w:tcPr>
          <w:p w14:paraId="02AE7ED5" w14:textId="77777777" w:rsidR="006B77D6" w:rsidRPr="008D1F58" w:rsidRDefault="006B77D6" w:rsidP="00BD17AF">
            <w:pPr>
              <w:pStyle w:val="Tabletext"/>
            </w:pPr>
            <w:r w:rsidRPr="001C0E48">
              <w:t>30</w:t>
            </w:r>
          </w:p>
        </w:tc>
        <w:tc>
          <w:tcPr>
            <w:tcW w:w="627" w:type="pct"/>
            <w:tcBorders>
              <w:top w:val="nil"/>
              <w:left w:val="nil"/>
              <w:bottom w:val="single" w:sz="4" w:space="0" w:color="auto"/>
              <w:right w:val="single" w:sz="4" w:space="0" w:color="auto"/>
            </w:tcBorders>
            <w:shd w:val="clear" w:color="auto" w:fill="auto"/>
            <w:noWrap/>
            <w:vAlign w:val="bottom"/>
            <w:hideMark/>
          </w:tcPr>
          <w:p w14:paraId="7B446E98" w14:textId="77777777" w:rsidR="006B77D6" w:rsidRPr="008D1F58" w:rsidRDefault="006B77D6" w:rsidP="00BD17AF">
            <w:pPr>
              <w:pStyle w:val="Tabletext"/>
            </w:pPr>
            <w:r w:rsidRPr="001C0E48">
              <w:t>30</w:t>
            </w:r>
          </w:p>
        </w:tc>
      </w:tr>
      <w:tr w:rsidR="006B77D6" w:rsidRPr="008D1F58" w14:paraId="326DDB72" w14:textId="77777777" w:rsidTr="003F35C0">
        <w:trPr>
          <w:trHeight w:val="255"/>
        </w:trPr>
        <w:tc>
          <w:tcPr>
            <w:tcW w:w="1864" w:type="pct"/>
            <w:tcBorders>
              <w:top w:val="nil"/>
              <w:left w:val="single" w:sz="4" w:space="0" w:color="auto"/>
              <w:bottom w:val="single" w:sz="4" w:space="0" w:color="auto"/>
              <w:right w:val="single" w:sz="4" w:space="0" w:color="auto"/>
            </w:tcBorders>
            <w:shd w:val="clear" w:color="auto" w:fill="auto"/>
            <w:vAlign w:val="center"/>
            <w:hideMark/>
          </w:tcPr>
          <w:p w14:paraId="232448B0" w14:textId="77777777" w:rsidR="006B77D6" w:rsidRPr="008D1F58" w:rsidRDefault="006B77D6" w:rsidP="00BD17AF">
            <w:pPr>
              <w:pStyle w:val="Tabletext"/>
              <w:keepNext/>
              <w:keepLines/>
              <w:rPr>
                <w:lang w:val="en-US"/>
              </w:rPr>
            </w:pPr>
            <w:r>
              <w:rPr>
                <w:lang w:val="en-US"/>
              </w:rPr>
              <w:t>Reported in ADAR (excludes VBT revision costs and PSF after VBT)</w:t>
            </w:r>
          </w:p>
        </w:tc>
        <w:tc>
          <w:tcPr>
            <w:tcW w:w="627" w:type="pct"/>
            <w:tcBorders>
              <w:top w:val="nil"/>
              <w:left w:val="nil"/>
              <w:bottom w:val="single" w:sz="4" w:space="0" w:color="auto"/>
              <w:right w:val="single" w:sz="4" w:space="0" w:color="auto"/>
            </w:tcBorders>
            <w:shd w:val="clear" w:color="auto" w:fill="auto"/>
            <w:noWrap/>
            <w:vAlign w:val="center"/>
            <w:hideMark/>
          </w:tcPr>
          <w:p w14:paraId="42055E68" w14:textId="77777777" w:rsidR="006B77D6" w:rsidRPr="008D1F58" w:rsidRDefault="006B77D6" w:rsidP="00BD17AF">
            <w:pPr>
              <w:pStyle w:val="Tabletext"/>
            </w:pPr>
            <w:r w:rsidRPr="001A462B">
              <w:t>-$182,963</w:t>
            </w:r>
          </w:p>
        </w:tc>
        <w:tc>
          <w:tcPr>
            <w:tcW w:w="627" w:type="pct"/>
            <w:tcBorders>
              <w:top w:val="nil"/>
              <w:left w:val="nil"/>
              <w:bottom w:val="single" w:sz="4" w:space="0" w:color="auto"/>
              <w:right w:val="single" w:sz="4" w:space="0" w:color="auto"/>
            </w:tcBorders>
            <w:shd w:val="clear" w:color="auto" w:fill="auto"/>
            <w:noWrap/>
            <w:vAlign w:val="center"/>
            <w:hideMark/>
          </w:tcPr>
          <w:p w14:paraId="630386C8" w14:textId="77777777" w:rsidR="006B77D6" w:rsidRPr="008D1F58" w:rsidRDefault="006B77D6" w:rsidP="00BD17AF">
            <w:pPr>
              <w:pStyle w:val="Tabletext"/>
            </w:pPr>
            <w:r w:rsidRPr="001A462B">
              <w:t>-$185,974</w:t>
            </w:r>
          </w:p>
        </w:tc>
        <w:tc>
          <w:tcPr>
            <w:tcW w:w="627" w:type="pct"/>
            <w:tcBorders>
              <w:top w:val="nil"/>
              <w:left w:val="nil"/>
              <w:bottom w:val="single" w:sz="4" w:space="0" w:color="auto"/>
              <w:right w:val="single" w:sz="4" w:space="0" w:color="auto"/>
            </w:tcBorders>
            <w:shd w:val="clear" w:color="auto" w:fill="auto"/>
            <w:noWrap/>
            <w:vAlign w:val="center"/>
            <w:hideMark/>
          </w:tcPr>
          <w:p w14:paraId="1956A00B" w14:textId="77777777" w:rsidR="006B77D6" w:rsidRPr="008D1F58" w:rsidRDefault="006B77D6" w:rsidP="00BD17AF">
            <w:pPr>
              <w:pStyle w:val="Tabletext"/>
            </w:pPr>
            <w:r w:rsidRPr="001A462B">
              <w:t>-$188,328</w:t>
            </w:r>
          </w:p>
        </w:tc>
        <w:tc>
          <w:tcPr>
            <w:tcW w:w="627" w:type="pct"/>
            <w:tcBorders>
              <w:top w:val="nil"/>
              <w:left w:val="nil"/>
              <w:bottom w:val="single" w:sz="4" w:space="0" w:color="auto"/>
              <w:right w:val="single" w:sz="4" w:space="0" w:color="auto"/>
            </w:tcBorders>
            <w:shd w:val="clear" w:color="auto" w:fill="auto"/>
            <w:noWrap/>
            <w:vAlign w:val="center"/>
            <w:hideMark/>
          </w:tcPr>
          <w:p w14:paraId="2B46835D" w14:textId="77777777" w:rsidR="006B77D6" w:rsidRPr="008D1F58" w:rsidRDefault="006B77D6" w:rsidP="00BD17AF">
            <w:pPr>
              <w:pStyle w:val="Tabletext"/>
            </w:pPr>
            <w:r w:rsidRPr="001A462B">
              <w:t>-$190,390</w:t>
            </w:r>
          </w:p>
        </w:tc>
        <w:tc>
          <w:tcPr>
            <w:tcW w:w="627" w:type="pct"/>
            <w:tcBorders>
              <w:top w:val="nil"/>
              <w:left w:val="nil"/>
              <w:bottom w:val="single" w:sz="4" w:space="0" w:color="auto"/>
              <w:right w:val="single" w:sz="4" w:space="0" w:color="auto"/>
            </w:tcBorders>
            <w:shd w:val="clear" w:color="auto" w:fill="auto"/>
            <w:noWrap/>
            <w:vAlign w:val="center"/>
            <w:hideMark/>
          </w:tcPr>
          <w:p w14:paraId="4B2A578F" w14:textId="77777777" w:rsidR="006B77D6" w:rsidRPr="008D1F58" w:rsidRDefault="006B77D6" w:rsidP="00BD17AF">
            <w:pPr>
              <w:pStyle w:val="Tabletext"/>
            </w:pPr>
            <w:r w:rsidRPr="001A462B">
              <w:t>-$191,301</w:t>
            </w:r>
          </w:p>
        </w:tc>
      </w:tr>
      <w:tr w:rsidR="006B77D6" w:rsidRPr="008D1F58" w14:paraId="6F888BFD" w14:textId="77777777" w:rsidTr="003F35C0">
        <w:trPr>
          <w:trHeight w:val="255"/>
        </w:trPr>
        <w:tc>
          <w:tcPr>
            <w:tcW w:w="1864" w:type="pct"/>
            <w:tcBorders>
              <w:top w:val="nil"/>
              <w:left w:val="single" w:sz="4" w:space="0" w:color="auto"/>
              <w:bottom w:val="single" w:sz="4" w:space="0" w:color="auto"/>
              <w:right w:val="single" w:sz="4" w:space="0" w:color="auto"/>
            </w:tcBorders>
            <w:shd w:val="clear" w:color="auto" w:fill="auto"/>
            <w:vAlign w:val="center"/>
            <w:hideMark/>
          </w:tcPr>
          <w:p w14:paraId="3B887DBB" w14:textId="77777777" w:rsidR="006B77D6" w:rsidRPr="004F69EC" w:rsidRDefault="006B77D6" w:rsidP="00BD17AF">
            <w:pPr>
              <w:pStyle w:val="Tabletext"/>
              <w:keepNext/>
              <w:keepLines/>
              <w:rPr>
                <w:i/>
                <w:iCs/>
                <w:lang w:val="en-US"/>
              </w:rPr>
            </w:pPr>
            <w:r w:rsidRPr="004F69EC">
              <w:rPr>
                <w:i/>
                <w:iCs/>
                <w:lang w:val="en-US"/>
              </w:rPr>
              <w:t>Including VBT revisions and PSF after VBT, using ADAR resources (no prostheses for VBT revision)</w:t>
            </w:r>
          </w:p>
        </w:tc>
        <w:tc>
          <w:tcPr>
            <w:tcW w:w="627" w:type="pct"/>
            <w:tcBorders>
              <w:top w:val="nil"/>
              <w:left w:val="nil"/>
              <w:bottom w:val="single" w:sz="4" w:space="0" w:color="auto"/>
              <w:right w:val="single" w:sz="4" w:space="0" w:color="auto"/>
            </w:tcBorders>
            <w:shd w:val="clear" w:color="auto" w:fill="auto"/>
            <w:noWrap/>
            <w:vAlign w:val="center"/>
            <w:hideMark/>
          </w:tcPr>
          <w:p w14:paraId="7E4C3630" w14:textId="77777777" w:rsidR="006B77D6" w:rsidRPr="004F69EC" w:rsidRDefault="006B77D6" w:rsidP="00BD17AF">
            <w:pPr>
              <w:pStyle w:val="Tabletext"/>
              <w:rPr>
                <w:i/>
                <w:iCs/>
              </w:rPr>
            </w:pPr>
            <w:r w:rsidRPr="004F69EC">
              <w:rPr>
                <w:i/>
                <w:iCs/>
              </w:rPr>
              <w:t>-$182,963</w:t>
            </w:r>
          </w:p>
        </w:tc>
        <w:tc>
          <w:tcPr>
            <w:tcW w:w="627" w:type="pct"/>
            <w:tcBorders>
              <w:top w:val="nil"/>
              <w:left w:val="nil"/>
              <w:bottom w:val="single" w:sz="4" w:space="0" w:color="auto"/>
              <w:right w:val="single" w:sz="4" w:space="0" w:color="auto"/>
            </w:tcBorders>
            <w:shd w:val="clear" w:color="auto" w:fill="auto"/>
            <w:noWrap/>
            <w:vAlign w:val="center"/>
            <w:hideMark/>
          </w:tcPr>
          <w:p w14:paraId="4CC7C5AD" w14:textId="77777777" w:rsidR="006B77D6" w:rsidRPr="004F69EC" w:rsidRDefault="006B77D6" w:rsidP="00BD17AF">
            <w:pPr>
              <w:pStyle w:val="Tabletext"/>
              <w:rPr>
                <w:i/>
                <w:iCs/>
              </w:rPr>
            </w:pPr>
            <w:r w:rsidRPr="004F69EC">
              <w:rPr>
                <w:i/>
                <w:iCs/>
              </w:rPr>
              <w:t>-$132,901</w:t>
            </w:r>
          </w:p>
        </w:tc>
        <w:tc>
          <w:tcPr>
            <w:tcW w:w="627" w:type="pct"/>
            <w:tcBorders>
              <w:top w:val="nil"/>
              <w:left w:val="nil"/>
              <w:bottom w:val="single" w:sz="4" w:space="0" w:color="auto"/>
              <w:right w:val="single" w:sz="4" w:space="0" w:color="auto"/>
            </w:tcBorders>
            <w:shd w:val="clear" w:color="auto" w:fill="auto"/>
            <w:noWrap/>
            <w:vAlign w:val="center"/>
            <w:hideMark/>
          </w:tcPr>
          <w:p w14:paraId="26F7499A" w14:textId="77777777" w:rsidR="006B77D6" w:rsidRPr="004F69EC" w:rsidRDefault="006B77D6" w:rsidP="00BD17AF">
            <w:pPr>
              <w:pStyle w:val="Tabletext"/>
              <w:rPr>
                <w:i/>
                <w:iCs/>
              </w:rPr>
            </w:pPr>
            <w:r w:rsidRPr="004F69EC">
              <w:rPr>
                <w:i/>
                <w:iCs/>
              </w:rPr>
              <w:t>-$85,252</w:t>
            </w:r>
          </w:p>
        </w:tc>
        <w:tc>
          <w:tcPr>
            <w:tcW w:w="627" w:type="pct"/>
            <w:tcBorders>
              <w:top w:val="nil"/>
              <w:left w:val="nil"/>
              <w:bottom w:val="single" w:sz="4" w:space="0" w:color="auto"/>
              <w:right w:val="single" w:sz="4" w:space="0" w:color="auto"/>
            </w:tcBorders>
            <w:shd w:val="clear" w:color="auto" w:fill="auto"/>
            <w:noWrap/>
            <w:vAlign w:val="center"/>
            <w:hideMark/>
          </w:tcPr>
          <w:p w14:paraId="77CF64EB" w14:textId="77777777" w:rsidR="006B77D6" w:rsidRPr="004F69EC" w:rsidRDefault="006B77D6" w:rsidP="00BD17AF">
            <w:pPr>
              <w:pStyle w:val="Tabletext"/>
              <w:rPr>
                <w:i/>
                <w:iCs/>
              </w:rPr>
            </w:pPr>
            <w:r w:rsidRPr="004F69EC">
              <w:rPr>
                <w:i/>
                <w:iCs/>
              </w:rPr>
              <w:t>-$40,341</w:t>
            </w:r>
          </w:p>
        </w:tc>
        <w:tc>
          <w:tcPr>
            <w:tcW w:w="627" w:type="pct"/>
            <w:tcBorders>
              <w:top w:val="nil"/>
              <w:left w:val="nil"/>
              <w:bottom w:val="single" w:sz="4" w:space="0" w:color="auto"/>
              <w:right w:val="single" w:sz="4" w:space="0" w:color="auto"/>
            </w:tcBorders>
            <w:shd w:val="clear" w:color="auto" w:fill="auto"/>
            <w:noWrap/>
            <w:vAlign w:val="center"/>
            <w:hideMark/>
          </w:tcPr>
          <w:p w14:paraId="6A5F929D" w14:textId="77777777" w:rsidR="006B77D6" w:rsidRPr="004F69EC" w:rsidRDefault="006B77D6" w:rsidP="00BD17AF">
            <w:pPr>
              <w:pStyle w:val="Tabletext"/>
              <w:rPr>
                <w:i/>
                <w:iCs/>
              </w:rPr>
            </w:pPr>
            <w:r w:rsidRPr="004F69EC">
              <w:rPr>
                <w:i/>
                <w:iCs/>
              </w:rPr>
              <w:t>$2,827</w:t>
            </w:r>
          </w:p>
        </w:tc>
      </w:tr>
      <w:tr w:rsidR="006B77D6" w:rsidRPr="008D1F58" w14:paraId="022CA1CC" w14:textId="77777777" w:rsidTr="003F35C0">
        <w:trPr>
          <w:trHeight w:val="510"/>
        </w:trPr>
        <w:tc>
          <w:tcPr>
            <w:tcW w:w="1864" w:type="pct"/>
            <w:tcBorders>
              <w:top w:val="nil"/>
              <w:left w:val="single" w:sz="4" w:space="0" w:color="auto"/>
              <w:bottom w:val="single" w:sz="4" w:space="0" w:color="auto"/>
              <w:right w:val="single" w:sz="4" w:space="0" w:color="auto"/>
            </w:tcBorders>
            <w:shd w:val="clear" w:color="auto" w:fill="auto"/>
            <w:vAlign w:val="center"/>
            <w:hideMark/>
          </w:tcPr>
          <w:p w14:paraId="646F6BE2" w14:textId="77777777" w:rsidR="006B77D6" w:rsidRPr="004F69EC" w:rsidRDefault="006B77D6" w:rsidP="00BD17AF">
            <w:pPr>
              <w:pStyle w:val="Tabletext"/>
              <w:keepNext/>
              <w:keepLines/>
              <w:rPr>
                <w:b/>
                <w:i/>
                <w:iCs/>
                <w:lang w:val="en-US"/>
              </w:rPr>
            </w:pPr>
            <w:r w:rsidRPr="004F69EC">
              <w:rPr>
                <w:i/>
                <w:iCs/>
                <w:lang w:val="en-US"/>
              </w:rPr>
              <w:t>Including VBT revisions and PSF after VBT, using Polly (2021) VBT revision prostheses requirements (</w:t>
            </w:r>
            <w:r w:rsidRPr="004F69EC">
              <w:rPr>
                <w:i/>
                <w:iCs/>
              </w:rPr>
              <w:t>50% of revisions requiring a VBT cord, 2 vertebral body screw and 2 anchors)</w:t>
            </w:r>
          </w:p>
        </w:tc>
        <w:tc>
          <w:tcPr>
            <w:tcW w:w="627" w:type="pct"/>
            <w:tcBorders>
              <w:top w:val="nil"/>
              <w:left w:val="nil"/>
              <w:bottom w:val="single" w:sz="4" w:space="0" w:color="auto"/>
              <w:right w:val="single" w:sz="4" w:space="0" w:color="auto"/>
            </w:tcBorders>
            <w:shd w:val="clear" w:color="auto" w:fill="auto"/>
            <w:vAlign w:val="center"/>
            <w:hideMark/>
          </w:tcPr>
          <w:p w14:paraId="218AAA6D" w14:textId="77777777" w:rsidR="006B77D6" w:rsidRPr="004F69EC" w:rsidRDefault="006B77D6" w:rsidP="00BD17AF">
            <w:pPr>
              <w:pStyle w:val="Tabletext"/>
              <w:rPr>
                <w:i/>
                <w:iCs/>
              </w:rPr>
            </w:pPr>
            <w:r w:rsidRPr="004F69EC">
              <w:rPr>
                <w:i/>
                <w:iCs/>
              </w:rPr>
              <w:t>-$182,963</w:t>
            </w:r>
          </w:p>
        </w:tc>
        <w:tc>
          <w:tcPr>
            <w:tcW w:w="627" w:type="pct"/>
            <w:tcBorders>
              <w:top w:val="nil"/>
              <w:left w:val="nil"/>
              <w:bottom w:val="single" w:sz="4" w:space="0" w:color="auto"/>
              <w:right w:val="single" w:sz="4" w:space="0" w:color="auto"/>
            </w:tcBorders>
            <w:shd w:val="clear" w:color="auto" w:fill="auto"/>
            <w:vAlign w:val="center"/>
            <w:hideMark/>
          </w:tcPr>
          <w:p w14:paraId="5FB8CB99" w14:textId="77777777" w:rsidR="006B77D6" w:rsidRPr="004F69EC" w:rsidRDefault="006B77D6" w:rsidP="00BD17AF">
            <w:pPr>
              <w:pStyle w:val="Tabletext"/>
              <w:rPr>
                <w:i/>
                <w:iCs/>
              </w:rPr>
            </w:pPr>
            <w:r w:rsidRPr="004F69EC">
              <w:rPr>
                <w:i/>
                <w:iCs/>
              </w:rPr>
              <w:t>-$108,964</w:t>
            </w:r>
          </w:p>
        </w:tc>
        <w:tc>
          <w:tcPr>
            <w:tcW w:w="627" w:type="pct"/>
            <w:tcBorders>
              <w:top w:val="nil"/>
              <w:left w:val="nil"/>
              <w:bottom w:val="single" w:sz="4" w:space="0" w:color="auto"/>
              <w:right w:val="single" w:sz="4" w:space="0" w:color="auto"/>
            </w:tcBorders>
            <w:shd w:val="clear" w:color="auto" w:fill="auto"/>
            <w:vAlign w:val="center"/>
            <w:hideMark/>
          </w:tcPr>
          <w:p w14:paraId="4F6788AB" w14:textId="77777777" w:rsidR="006B77D6" w:rsidRPr="004F69EC" w:rsidRDefault="006B77D6" w:rsidP="00BD17AF">
            <w:pPr>
              <w:pStyle w:val="Tabletext"/>
              <w:rPr>
                <w:i/>
                <w:iCs/>
              </w:rPr>
            </w:pPr>
            <w:r w:rsidRPr="004F69EC">
              <w:rPr>
                <w:i/>
                <w:iCs/>
              </w:rPr>
              <w:t>-$42,034</w:t>
            </w:r>
          </w:p>
        </w:tc>
        <w:tc>
          <w:tcPr>
            <w:tcW w:w="627" w:type="pct"/>
            <w:tcBorders>
              <w:top w:val="nil"/>
              <w:left w:val="nil"/>
              <w:bottom w:val="single" w:sz="4" w:space="0" w:color="auto"/>
              <w:right w:val="single" w:sz="4" w:space="0" w:color="auto"/>
            </w:tcBorders>
            <w:shd w:val="clear" w:color="auto" w:fill="auto"/>
            <w:vAlign w:val="center"/>
            <w:hideMark/>
          </w:tcPr>
          <w:p w14:paraId="51F2EB07" w14:textId="77777777" w:rsidR="006B77D6" w:rsidRPr="004F69EC" w:rsidRDefault="006B77D6" w:rsidP="00BD17AF">
            <w:pPr>
              <w:pStyle w:val="Tabletext"/>
              <w:rPr>
                <w:i/>
                <w:iCs/>
              </w:rPr>
            </w:pPr>
            <w:r w:rsidRPr="004F69EC">
              <w:rPr>
                <w:i/>
                <w:iCs/>
              </w:rPr>
              <w:t>$18,399</w:t>
            </w:r>
          </w:p>
        </w:tc>
        <w:tc>
          <w:tcPr>
            <w:tcW w:w="627" w:type="pct"/>
            <w:tcBorders>
              <w:top w:val="nil"/>
              <w:left w:val="nil"/>
              <w:bottom w:val="single" w:sz="4" w:space="0" w:color="auto"/>
              <w:right w:val="single" w:sz="4" w:space="0" w:color="auto"/>
            </w:tcBorders>
            <w:shd w:val="clear" w:color="auto" w:fill="auto"/>
            <w:vAlign w:val="center"/>
            <w:hideMark/>
          </w:tcPr>
          <w:p w14:paraId="6F2F3C63" w14:textId="77777777" w:rsidR="006B77D6" w:rsidRPr="004F69EC" w:rsidRDefault="006B77D6" w:rsidP="00BD17AF">
            <w:pPr>
              <w:pStyle w:val="Tabletext"/>
              <w:rPr>
                <w:i/>
                <w:iCs/>
              </w:rPr>
            </w:pPr>
            <w:r w:rsidRPr="004F69EC">
              <w:rPr>
                <w:i/>
                <w:iCs/>
              </w:rPr>
              <w:t>$74,084</w:t>
            </w:r>
          </w:p>
        </w:tc>
      </w:tr>
    </w:tbl>
    <w:p w14:paraId="0547BE18" w14:textId="77777777" w:rsidR="006B77D6" w:rsidRPr="008D1F58" w:rsidRDefault="006B77D6" w:rsidP="00BD17AF">
      <w:pPr>
        <w:pStyle w:val="CaptionFootnote"/>
        <w:jc w:val="left"/>
      </w:pPr>
      <w:r w:rsidRPr="008D1F58">
        <w:t>MBS, Medicare Benefits Schedule; PSF, posterior spinal fusion; VBT, vertebral body tethering</w:t>
      </w:r>
    </w:p>
    <w:p w14:paraId="2828B15B" w14:textId="0EDDC11C" w:rsidR="005E153D" w:rsidRPr="00B432A2" w:rsidRDefault="006B77D6" w:rsidP="00B432A2">
      <w:pPr>
        <w:pStyle w:val="CaptionFootnote"/>
        <w:jc w:val="left"/>
        <w:rPr>
          <w:iCs/>
        </w:rPr>
      </w:pPr>
      <w:r>
        <w:t xml:space="preserve">Source: </w:t>
      </w:r>
      <w:r>
        <w:rPr>
          <w:iCs/>
        </w:rPr>
        <w:t>Table 76, p114 of the commentary</w:t>
      </w:r>
      <w:r w:rsidR="005E153D">
        <w:rPr>
          <w:iCs/>
        </w:rPr>
        <w:br w:type="page"/>
      </w:r>
    </w:p>
    <w:p w14:paraId="35FCED5C" w14:textId="77777777" w:rsidR="00BD17AF" w:rsidRPr="002448B4" w:rsidRDefault="00BD17AF" w:rsidP="002448B4">
      <w:pPr>
        <w:pStyle w:val="Heading1"/>
        <w:numPr>
          <w:ilvl w:val="0"/>
          <w:numId w:val="13"/>
        </w:numPr>
        <w:spacing w:before="240" w:after="240"/>
        <w:ind w:hanging="720"/>
        <w:rPr>
          <w:rFonts w:ascii="Arial" w:hAnsi="Arial" w:cs="Arial"/>
        </w:rPr>
      </w:pPr>
      <w:r w:rsidRPr="002448B4">
        <w:rPr>
          <w:rFonts w:ascii="Arial" w:hAnsi="Arial" w:cs="Arial"/>
        </w:rPr>
        <w:lastRenderedPageBreak/>
        <w:t>Key issues from ESC to MSAC</w:t>
      </w:r>
    </w:p>
    <w:tbl>
      <w:tblPr>
        <w:tblStyle w:val="TableGrid"/>
        <w:tblW w:w="0" w:type="auto"/>
        <w:tblLook w:val="04A0" w:firstRow="1" w:lastRow="0" w:firstColumn="1" w:lastColumn="0" w:noHBand="0" w:noVBand="1"/>
        <w:tblDescription w:val="Summary of key issues raised by ESC for MSAC consideration"/>
      </w:tblPr>
      <w:tblGrid>
        <w:gridCol w:w="2518"/>
        <w:gridCol w:w="6498"/>
      </w:tblGrid>
      <w:tr w:rsidR="00BD17AF" w:rsidRPr="006D2C1C" w14:paraId="6050D223" w14:textId="77777777" w:rsidTr="00BD17AF">
        <w:tc>
          <w:tcPr>
            <w:tcW w:w="2518" w:type="dxa"/>
            <w:tcBorders>
              <w:top w:val="single" w:sz="4" w:space="0" w:color="auto"/>
              <w:left w:val="single" w:sz="4" w:space="0" w:color="auto"/>
              <w:bottom w:val="single" w:sz="4" w:space="0" w:color="auto"/>
              <w:right w:val="single" w:sz="4" w:space="0" w:color="auto"/>
            </w:tcBorders>
            <w:hideMark/>
          </w:tcPr>
          <w:p w14:paraId="432AC09B" w14:textId="77777777" w:rsidR="00BD17AF" w:rsidRPr="00445D77" w:rsidRDefault="00BD17AF" w:rsidP="00BD17AF">
            <w:pPr>
              <w:pStyle w:val="TableHeading"/>
              <w:jc w:val="left"/>
              <w:rPr>
                <w:rFonts w:ascii="Times New Roman" w:hAnsi="Times New Roman" w:cs="Times New Roman"/>
                <w:sz w:val="22"/>
                <w:szCs w:val="22"/>
              </w:rPr>
            </w:pPr>
            <w:r w:rsidRPr="00445D77">
              <w:rPr>
                <w:rFonts w:ascii="Times New Roman" w:hAnsi="Times New Roman" w:cs="Times New Roman"/>
                <w:sz w:val="22"/>
                <w:szCs w:val="22"/>
              </w:rPr>
              <w:t>ESC key issue</w:t>
            </w:r>
          </w:p>
        </w:tc>
        <w:tc>
          <w:tcPr>
            <w:tcW w:w="6498" w:type="dxa"/>
            <w:tcBorders>
              <w:top w:val="single" w:sz="4" w:space="0" w:color="auto"/>
              <w:left w:val="single" w:sz="4" w:space="0" w:color="auto"/>
              <w:bottom w:val="single" w:sz="4" w:space="0" w:color="auto"/>
              <w:right w:val="single" w:sz="4" w:space="0" w:color="auto"/>
            </w:tcBorders>
            <w:hideMark/>
          </w:tcPr>
          <w:p w14:paraId="5A2BE082" w14:textId="77777777" w:rsidR="00BD17AF" w:rsidRPr="00445D77" w:rsidRDefault="00BD17AF" w:rsidP="00BD17AF">
            <w:pPr>
              <w:pStyle w:val="TableHeading"/>
              <w:jc w:val="left"/>
              <w:rPr>
                <w:rFonts w:ascii="Times New Roman" w:hAnsi="Times New Roman" w:cs="Times New Roman"/>
                <w:sz w:val="22"/>
                <w:szCs w:val="22"/>
              </w:rPr>
            </w:pPr>
            <w:r w:rsidRPr="00445D77">
              <w:rPr>
                <w:rFonts w:ascii="Times New Roman" w:hAnsi="Times New Roman" w:cs="Times New Roman"/>
                <w:sz w:val="22"/>
                <w:szCs w:val="22"/>
              </w:rPr>
              <w:t>ESC advice to MSAC</w:t>
            </w:r>
          </w:p>
        </w:tc>
      </w:tr>
      <w:tr w:rsidR="00BD17AF" w:rsidRPr="006D2C1C" w14:paraId="4DE29B9B" w14:textId="77777777" w:rsidTr="00BD17AF">
        <w:tc>
          <w:tcPr>
            <w:tcW w:w="2518" w:type="dxa"/>
            <w:tcBorders>
              <w:top w:val="single" w:sz="4" w:space="0" w:color="auto"/>
              <w:left w:val="single" w:sz="4" w:space="0" w:color="auto"/>
              <w:bottom w:val="single" w:sz="4" w:space="0" w:color="auto"/>
              <w:right w:val="single" w:sz="4" w:space="0" w:color="auto"/>
            </w:tcBorders>
            <w:hideMark/>
          </w:tcPr>
          <w:p w14:paraId="179A6CAC"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Clinical claim of non-inferior safety is uncertain</w:t>
            </w:r>
          </w:p>
        </w:tc>
        <w:tc>
          <w:tcPr>
            <w:tcW w:w="6498" w:type="dxa"/>
            <w:tcBorders>
              <w:top w:val="single" w:sz="4" w:space="0" w:color="auto"/>
              <w:left w:val="single" w:sz="4" w:space="0" w:color="auto"/>
              <w:bottom w:val="single" w:sz="4" w:space="0" w:color="auto"/>
              <w:right w:val="single" w:sz="4" w:space="0" w:color="auto"/>
            </w:tcBorders>
            <w:hideMark/>
          </w:tcPr>
          <w:p w14:paraId="1A47C1CD"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VBT has uncertain patient selection criteria, and higher complication and revision rates compared to the comparator, PSF. In addition, there are no data on the long-term complications of VBT.</w:t>
            </w:r>
          </w:p>
        </w:tc>
      </w:tr>
      <w:tr w:rsidR="00BD17AF" w:rsidRPr="006D2C1C" w14:paraId="2DB15CF7" w14:textId="77777777" w:rsidTr="00BD17AF">
        <w:tc>
          <w:tcPr>
            <w:tcW w:w="2518" w:type="dxa"/>
            <w:tcBorders>
              <w:top w:val="single" w:sz="4" w:space="0" w:color="auto"/>
              <w:left w:val="single" w:sz="4" w:space="0" w:color="auto"/>
              <w:bottom w:val="single" w:sz="4" w:space="0" w:color="auto"/>
              <w:right w:val="single" w:sz="4" w:space="0" w:color="auto"/>
            </w:tcBorders>
            <w:hideMark/>
          </w:tcPr>
          <w:p w14:paraId="097863C0"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Clinical claim of superior effectiveness is not supported by the data</w:t>
            </w:r>
          </w:p>
        </w:tc>
        <w:tc>
          <w:tcPr>
            <w:tcW w:w="6498" w:type="dxa"/>
            <w:tcBorders>
              <w:top w:val="single" w:sz="4" w:space="0" w:color="auto"/>
              <w:left w:val="single" w:sz="4" w:space="0" w:color="auto"/>
              <w:bottom w:val="single" w:sz="4" w:space="0" w:color="auto"/>
              <w:right w:val="single" w:sz="4" w:space="0" w:color="auto"/>
            </w:tcBorders>
            <w:hideMark/>
          </w:tcPr>
          <w:p w14:paraId="6A977971" w14:textId="1693D71A" w:rsidR="00BD17AF" w:rsidRPr="006D2C1C" w:rsidRDefault="00BD17AF" w:rsidP="00BD17AF">
            <w:pPr>
              <w:rPr>
                <w:rFonts w:ascii="Times New Roman" w:hAnsi="Times New Roman"/>
                <w:szCs w:val="22"/>
              </w:rPr>
            </w:pPr>
            <w:r w:rsidRPr="006D2C1C">
              <w:rPr>
                <w:rFonts w:ascii="Times New Roman" w:hAnsi="Times New Roman"/>
                <w:szCs w:val="22"/>
              </w:rPr>
              <w:t>Comparative studies</w:t>
            </w:r>
            <w:r w:rsidRPr="00445D77">
              <w:rPr>
                <w:rFonts w:ascii="Times New Roman" w:hAnsi="Times New Roman"/>
                <w:szCs w:val="22"/>
              </w:rPr>
              <w:t xml:space="preserve"> show that VBT </w:t>
            </w:r>
            <w:r>
              <w:rPr>
                <w:rFonts w:ascii="Times New Roman" w:hAnsi="Times New Roman"/>
                <w:szCs w:val="22"/>
              </w:rPr>
              <w:t xml:space="preserve">may </w:t>
            </w:r>
            <w:r w:rsidRPr="00445D77">
              <w:rPr>
                <w:rFonts w:ascii="Times New Roman" w:hAnsi="Times New Roman"/>
                <w:szCs w:val="22"/>
              </w:rPr>
              <w:t xml:space="preserve">achieve non-inferior curve correction but did not demonstrate clinically or statistically significant differences in HRQoL and were considered at substantial risk of </w:t>
            </w:r>
            <w:r w:rsidRPr="006D2C1C">
              <w:rPr>
                <w:rFonts w:ascii="Times New Roman" w:hAnsi="Times New Roman"/>
                <w:szCs w:val="22"/>
              </w:rPr>
              <w:t xml:space="preserve">selection bias and confounding. </w:t>
            </w:r>
            <w:r>
              <w:rPr>
                <w:rFonts w:ascii="Times New Roman" w:hAnsi="Times New Roman"/>
                <w:szCs w:val="22"/>
              </w:rPr>
              <w:t>In addition, the meta-analysis results has substantial heterogeneity, limiting interpretation of results.</w:t>
            </w:r>
          </w:p>
          <w:p w14:paraId="501AC2D6" w14:textId="40AFBB90" w:rsidR="00BD17AF" w:rsidRPr="00445D77" w:rsidRDefault="00BD17AF" w:rsidP="00BD17AF">
            <w:pPr>
              <w:rPr>
                <w:rFonts w:ascii="Times New Roman" w:hAnsi="Times New Roman"/>
                <w:szCs w:val="22"/>
              </w:rPr>
            </w:pPr>
            <w:r w:rsidRPr="00445D77">
              <w:rPr>
                <w:rFonts w:ascii="Times New Roman" w:hAnsi="Times New Roman"/>
                <w:szCs w:val="22"/>
              </w:rPr>
              <w:t>Superior functional outcomes</w:t>
            </w:r>
            <w:r w:rsidRPr="005146E9">
              <w:rPr>
                <w:rFonts w:ascii="Times New Roman" w:hAnsi="Times New Roman"/>
                <w:szCs w:val="22"/>
              </w:rPr>
              <w:t xml:space="preserve"> (not included in Ratified PICO)</w:t>
            </w:r>
            <w:r w:rsidRPr="00445D77">
              <w:rPr>
                <w:rFonts w:ascii="Times New Roman" w:hAnsi="Times New Roman"/>
                <w:szCs w:val="22"/>
              </w:rPr>
              <w:t xml:space="preserve"> were presented from one</w:t>
            </w:r>
            <w:r w:rsidRPr="005146E9">
              <w:rPr>
                <w:rFonts w:ascii="Times New Roman" w:hAnsi="Times New Roman"/>
                <w:szCs w:val="22"/>
              </w:rPr>
              <w:t xml:space="preserve"> very small</w:t>
            </w:r>
            <w:r w:rsidRPr="00445D77">
              <w:rPr>
                <w:rFonts w:ascii="Times New Roman" w:hAnsi="Times New Roman"/>
                <w:szCs w:val="22"/>
              </w:rPr>
              <w:t xml:space="preserve"> study </w:t>
            </w:r>
            <w:r w:rsidRPr="005146E9">
              <w:rPr>
                <w:rFonts w:ascii="Times New Roman" w:hAnsi="Times New Roman"/>
                <w:szCs w:val="22"/>
              </w:rPr>
              <w:t>which</w:t>
            </w:r>
            <w:r w:rsidRPr="00445D77">
              <w:rPr>
                <w:rFonts w:ascii="Times New Roman" w:hAnsi="Times New Roman"/>
                <w:szCs w:val="22"/>
              </w:rPr>
              <w:t xml:space="preserve"> did not measure baseline data.</w:t>
            </w:r>
          </w:p>
        </w:tc>
      </w:tr>
      <w:tr w:rsidR="00BD17AF" w:rsidRPr="006D2C1C" w14:paraId="474BCF79" w14:textId="77777777" w:rsidTr="00BD17AF">
        <w:tc>
          <w:tcPr>
            <w:tcW w:w="2518" w:type="dxa"/>
            <w:tcBorders>
              <w:top w:val="single" w:sz="4" w:space="0" w:color="auto"/>
              <w:left w:val="single" w:sz="4" w:space="0" w:color="auto"/>
              <w:bottom w:val="single" w:sz="4" w:space="0" w:color="auto"/>
              <w:right w:val="single" w:sz="4" w:space="0" w:color="auto"/>
            </w:tcBorders>
            <w:hideMark/>
          </w:tcPr>
          <w:p w14:paraId="084845AD"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Uncertain economic modelling</w:t>
            </w:r>
          </w:p>
        </w:tc>
        <w:tc>
          <w:tcPr>
            <w:tcW w:w="6498" w:type="dxa"/>
            <w:tcBorders>
              <w:top w:val="single" w:sz="4" w:space="0" w:color="auto"/>
              <w:left w:val="single" w:sz="4" w:space="0" w:color="auto"/>
              <w:bottom w:val="single" w:sz="4" w:space="0" w:color="auto"/>
              <w:right w:val="single" w:sz="4" w:space="0" w:color="auto"/>
            </w:tcBorders>
            <w:hideMark/>
          </w:tcPr>
          <w:p w14:paraId="57A5BE6F" w14:textId="58BFF602" w:rsidR="00BD17AF" w:rsidRDefault="00BD17AF" w:rsidP="00BD17AF">
            <w:pPr>
              <w:pStyle w:val="NormalBeforeBullet"/>
              <w:rPr>
                <w:rFonts w:ascii="Times New Roman" w:hAnsi="Times New Roman"/>
              </w:rPr>
            </w:pPr>
            <w:r w:rsidRPr="006D2C1C">
              <w:rPr>
                <w:rFonts w:ascii="Times New Roman" w:hAnsi="Times New Roman"/>
              </w:rPr>
              <w:t xml:space="preserve">Evidence used to </w:t>
            </w:r>
            <w:r w:rsidRPr="00445D77">
              <w:rPr>
                <w:rFonts w:ascii="Times New Roman" w:hAnsi="Times New Roman"/>
              </w:rPr>
              <w:t>inform model inputs is</w:t>
            </w:r>
            <w:r>
              <w:rPr>
                <w:rFonts w:ascii="Times New Roman" w:hAnsi="Times New Roman"/>
              </w:rPr>
              <w:t xml:space="preserve"> uncertain as it is informed from</w:t>
            </w:r>
            <w:r w:rsidRPr="00445D77">
              <w:rPr>
                <w:rFonts w:ascii="Times New Roman" w:hAnsi="Times New Roman"/>
              </w:rPr>
              <w:t xml:space="preserve"> </w:t>
            </w:r>
            <w:r>
              <w:rPr>
                <w:rFonts w:ascii="Times New Roman" w:hAnsi="Times New Roman"/>
              </w:rPr>
              <w:t>low-very low quality evidence</w:t>
            </w:r>
            <w:r w:rsidRPr="00445D77">
              <w:rPr>
                <w:rFonts w:ascii="Times New Roman" w:hAnsi="Times New Roman"/>
              </w:rPr>
              <w:t xml:space="preserve"> </w:t>
            </w:r>
            <w:r>
              <w:rPr>
                <w:rFonts w:ascii="Times New Roman" w:hAnsi="Times New Roman"/>
              </w:rPr>
              <w:t xml:space="preserve">with </w:t>
            </w:r>
            <w:r w:rsidRPr="00445D77">
              <w:rPr>
                <w:rFonts w:ascii="Times New Roman" w:hAnsi="Times New Roman"/>
              </w:rPr>
              <w:t>risk of bias due to study design (studies are retrospective observational studies</w:t>
            </w:r>
            <w:r>
              <w:rPr>
                <w:rFonts w:ascii="Times New Roman" w:hAnsi="Times New Roman"/>
              </w:rPr>
              <w:t>), small studies, and short follow-up. In particular:</w:t>
            </w:r>
          </w:p>
          <w:p w14:paraId="0C879832" w14:textId="77777777" w:rsidR="00BD17AF" w:rsidRDefault="00BD17AF" w:rsidP="00BD17AF">
            <w:pPr>
              <w:pStyle w:val="NormalBeforeBullet"/>
              <w:numPr>
                <w:ilvl w:val="0"/>
                <w:numId w:val="30"/>
              </w:numPr>
              <w:ind w:left="226" w:hanging="113"/>
              <w:rPr>
                <w:rFonts w:ascii="Times New Roman" w:hAnsi="Times New Roman"/>
              </w:rPr>
            </w:pPr>
            <w:r>
              <w:rPr>
                <w:rFonts w:ascii="Times New Roman" w:hAnsi="Times New Roman"/>
              </w:rPr>
              <w:t>High level of uncertainty in utility values used in the model, which is key model driver</w:t>
            </w:r>
          </w:p>
          <w:p w14:paraId="48E670E8" w14:textId="4EC0B11B" w:rsidR="00BD17AF" w:rsidRDefault="00BD17AF" w:rsidP="00BD17AF">
            <w:pPr>
              <w:pStyle w:val="NormalBeforeBullet"/>
              <w:numPr>
                <w:ilvl w:val="0"/>
                <w:numId w:val="30"/>
              </w:numPr>
              <w:ind w:left="226" w:hanging="113"/>
              <w:rPr>
                <w:rFonts w:ascii="Times New Roman" w:hAnsi="Times New Roman"/>
              </w:rPr>
            </w:pPr>
            <w:r>
              <w:rPr>
                <w:rFonts w:ascii="Times New Roman" w:hAnsi="Times New Roman"/>
              </w:rPr>
              <w:t>High level of uncertainty in transition probabilities and assuming continuing effects (i.e. HR-QoL improvements)</w:t>
            </w:r>
          </w:p>
          <w:p w14:paraId="4B865DB4" w14:textId="77777777" w:rsidR="00BD17AF" w:rsidRDefault="00BD17AF" w:rsidP="00BD17AF">
            <w:pPr>
              <w:pStyle w:val="NormalBeforeBullet"/>
              <w:numPr>
                <w:ilvl w:val="0"/>
                <w:numId w:val="30"/>
              </w:numPr>
              <w:ind w:left="226" w:hanging="113"/>
              <w:rPr>
                <w:rFonts w:ascii="Times New Roman" w:hAnsi="Times New Roman"/>
              </w:rPr>
            </w:pPr>
            <w:r>
              <w:rPr>
                <w:rFonts w:ascii="Times New Roman" w:hAnsi="Times New Roman"/>
              </w:rPr>
              <w:t>Moderate level uncertainty in model structure and assumptions</w:t>
            </w:r>
          </w:p>
          <w:p w14:paraId="7CC5B208" w14:textId="77777777" w:rsidR="00BD17AF" w:rsidRPr="00445D77" w:rsidRDefault="00BD17AF" w:rsidP="00BD17AF">
            <w:pPr>
              <w:pStyle w:val="NormalBeforeBullet"/>
              <w:numPr>
                <w:ilvl w:val="0"/>
                <w:numId w:val="30"/>
              </w:numPr>
              <w:ind w:left="226" w:hanging="113"/>
              <w:rPr>
                <w:rFonts w:ascii="Times New Roman" w:hAnsi="Times New Roman"/>
              </w:rPr>
            </w:pPr>
            <w:r w:rsidRPr="00445D77">
              <w:rPr>
                <w:rFonts w:ascii="Times New Roman" w:hAnsi="Times New Roman"/>
              </w:rPr>
              <w:t>The costs of revisions used in the economic model may</w:t>
            </w:r>
            <w:r>
              <w:rPr>
                <w:rFonts w:ascii="Times New Roman" w:hAnsi="Times New Roman"/>
              </w:rPr>
              <w:t xml:space="preserve"> </w:t>
            </w:r>
            <w:r w:rsidRPr="00445D77">
              <w:rPr>
                <w:rFonts w:ascii="Times New Roman" w:hAnsi="Times New Roman"/>
              </w:rPr>
              <w:t xml:space="preserve">be incorrect. </w:t>
            </w:r>
          </w:p>
        </w:tc>
      </w:tr>
      <w:tr w:rsidR="00BD17AF" w:rsidRPr="006D2C1C" w14:paraId="237FD223" w14:textId="77777777" w:rsidTr="00BD17AF">
        <w:tc>
          <w:tcPr>
            <w:tcW w:w="2518" w:type="dxa"/>
            <w:tcBorders>
              <w:top w:val="single" w:sz="4" w:space="0" w:color="auto"/>
              <w:left w:val="single" w:sz="4" w:space="0" w:color="auto"/>
              <w:bottom w:val="single" w:sz="4" w:space="0" w:color="auto"/>
              <w:right w:val="single" w:sz="4" w:space="0" w:color="auto"/>
            </w:tcBorders>
          </w:tcPr>
          <w:p w14:paraId="42632475" w14:textId="77777777" w:rsidR="00BD17AF" w:rsidRPr="006D2C1C" w:rsidRDefault="00BD17AF" w:rsidP="00BD17AF">
            <w:pPr>
              <w:pStyle w:val="TableText1"/>
              <w:rPr>
                <w:rFonts w:ascii="Times New Roman" w:hAnsi="Times New Roman"/>
                <w:sz w:val="22"/>
                <w:szCs w:val="22"/>
              </w:rPr>
            </w:pPr>
            <w:r w:rsidRPr="006D2C1C">
              <w:rPr>
                <w:rFonts w:ascii="Times New Roman" w:hAnsi="Times New Roman"/>
                <w:sz w:val="22"/>
                <w:szCs w:val="22"/>
              </w:rPr>
              <w:t xml:space="preserve">MBS item </w:t>
            </w:r>
          </w:p>
        </w:tc>
        <w:tc>
          <w:tcPr>
            <w:tcW w:w="6498" w:type="dxa"/>
            <w:tcBorders>
              <w:top w:val="single" w:sz="4" w:space="0" w:color="auto"/>
              <w:left w:val="single" w:sz="4" w:space="0" w:color="auto"/>
              <w:bottom w:val="single" w:sz="4" w:space="0" w:color="auto"/>
              <w:right w:val="single" w:sz="4" w:space="0" w:color="auto"/>
            </w:tcBorders>
          </w:tcPr>
          <w:p w14:paraId="707A6BA0" w14:textId="77777777" w:rsidR="00BD17AF" w:rsidRPr="006D2C1C" w:rsidRDefault="00BD17AF" w:rsidP="00BD17AF">
            <w:pPr>
              <w:pStyle w:val="TableText1"/>
              <w:rPr>
                <w:rFonts w:ascii="Times New Roman" w:hAnsi="Times New Roman"/>
                <w:sz w:val="22"/>
                <w:szCs w:val="22"/>
              </w:rPr>
            </w:pPr>
            <w:r w:rsidRPr="006D2C1C">
              <w:rPr>
                <w:rFonts w:ascii="Times New Roman" w:hAnsi="Times New Roman"/>
                <w:sz w:val="22"/>
                <w:szCs w:val="22"/>
              </w:rPr>
              <w:t>The ADAR did not sufficiently justify the proposed fee or the need for a new MBS item.</w:t>
            </w:r>
          </w:p>
        </w:tc>
      </w:tr>
      <w:tr w:rsidR="00BD17AF" w:rsidRPr="006D2C1C" w14:paraId="2B5A70D1" w14:textId="77777777" w:rsidTr="00BD17AF">
        <w:tc>
          <w:tcPr>
            <w:tcW w:w="2518" w:type="dxa"/>
            <w:tcBorders>
              <w:top w:val="single" w:sz="4" w:space="0" w:color="auto"/>
              <w:left w:val="single" w:sz="4" w:space="0" w:color="auto"/>
              <w:bottom w:val="single" w:sz="4" w:space="0" w:color="auto"/>
              <w:right w:val="single" w:sz="4" w:space="0" w:color="auto"/>
            </w:tcBorders>
            <w:hideMark/>
          </w:tcPr>
          <w:p w14:paraId="79AD49AD"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Financial impact</w:t>
            </w:r>
          </w:p>
        </w:tc>
        <w:tc>
          <w:tcPr>
            <w:tcW w:w="6498" w:type="dxa"/>
            <w:tcBorders>
              <w:top w:val="single" w:sz="4" w:space="0" w:color="auto"/>
              <w:left w:val="single" w:sz="4" w:space="0" w:color="auto"/>
              <w:bottom w:val="single" w:sz="4" w:space="0" w:color="auto"/>
              <w:right w:val="single" w:sz="4" w:space="0" w:color="auto"/>
            </w:tcBorders>
            <w:hideMark/>
          </w:tcPr>
          <w:p w14:paraId="07F05E33"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The financial estimates may have underestimated the number of VBTs that are currently performed and did not properly account for VBT revisions or PSF after VBT.</w:t>
            </w:r>
          </w:p>
        </w:tc>
      </w:tr>
      <w:tr w:rsidR="00BD17AF" w:rsidRPr="006D2C1C" w14:paraId="03BE55F0" w14:textId="77777777" w:rsidTr="00BD17AF">
        <w:tc>
          <w:tcPr>
            <w:tcW w:w="2518" w:type="dxa"/>
            <w:tcBorders>
              <w:top w:val="single" w:sz="4" w:space="0" w:color="auto"/>
              <w:left w:val="single" w:sz="4" w:space="0" w:color="auto"/>
              <w:bottom w:val="single" w:sz="4" w:space="0" w:color="auto"/>
              <w:right w:val="single" w:sz="4" w:space="0" w:color="auto"/>
            </w:tcBorders>
            <w:hideMark/>
          </w:tcPr>
          <w:p w14:paraId="47A6D4CC"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Out-of-pocket costs</w:t>
            </w:r>
          </w:p>
        </w:tc>
        <w:tc>
          <w:tcPr>
            <w:tcW w:w="6498" w:type="dxa"/>
            <w:tcBorders>
              <w:top w:val="single" w:sz="4" w:space="0" w:color="auto"/>
              <w:left w:val="single" w:sz="4" w:space="0" w:color="auto"/>
              <w:bottom w:val="single" w:sz="4" w:space="0" w:color="auto"/>
              <w:right w:val="single" w:sz="4" w:space="0" w:color="auto"/>
            </w:tcBorders>
            <w:hideMark/>
          </w:tcPr>
          <w:p w14:paraId="663E6BE6" w14:textId="77777777" w:rsidR="00BD17AF" w:rsidRPr="00445D77" w:rsidRDefault="00BD17AF" w:rsidP="00BD17AF">
            <w:pPr>
              <w:pStyle w:val="TableText1"/>
              <w:rPr>
                <w:rFonts w:ascii="Times New Roman" w:hAnsi="Times New Roman"/>
                <w:sz w:val="22"/>
                <w:szCs w:val="22"/>
              </w:rPr>
            </w:pPr>
            <w:r w:rsidRPr="00445D77">
              <w:rPr>
                <w:rFonts w:ascii="Times New Roman" w:hAnsi="Times New Roman"/>
                <w:sz w:val="22"/>
                <w:szCs w:val="22"/>
              </w:rPr>
              <w:t>The applicant’s device is currently not on the Prosthesis List, which will likely result in high out-of-pocket costs to consumers</w:t>
            </w:r>
            <w:r>
              <w:rPr>
                <w:rFonts w:ascii="Times New Roman" w:hAnsi="Times New Roman"/>
                <w:sz w:val="22"/>
                <w:szCs w:val="22"/>
              </w:rPr>
              <w:t>.</w:t>
            </w:r>
          </w:p>
        </w:tc>
      </w:tr>
    </w:tbl>
    <w:p w14:paraId="124B0B29" w14:textId="58F9020E" w:rsidR="00BD17AF" w:rsidRPr="002448B4" w:rsidRDefault="00BD17AF" w:rsidP="002448B4">
      <w:pPr>
        <w:pStyle w:val="Heading2"/>
        <w:spacing w:before="240" w:after="120"/>
        <w:rPr>
          <w:b/>
          <w:bCs w:val="0"/>
          <w:i w:val="0"/>
          <w:iCs/>
          <w:szCs w:val="24"/>
        </w:rPr>
      </w:pPr>
      <w:r w:rsidRPr="002448B4">
        <w:rPr>
          <w:b/>
          <w:bCs w:val="0"/>
          <w:i w:val="0"/>
          <w:iCs/>
          <w:szCs w:val="24"/>
        </w:rPr>
        <w:t>ESC discussion</w:t>
      </w:r>
    </w:p>
    <w:p w14:paraId="63F7F005" w14:textId="77777777" w:rsidR="00BD17AF" w:rsidRDefault="00BD17AF" w:rsidP="00BD17AF">
      <w:r>
        <w:t>ESC noted that this application, from Zimmer Biomet, was for a new Medicare Benefits Schedule (MBS) item number for funding vertebral body tethering (VBT) for adolescent idiopathic scoliosis (AIS).</w:t>
      </w:r>
    </w:p>
    <w:p w14:paraId="10CCDF7F" w14:textId="77777777" w:rsidR="00BD17AF" w:rsidRDefault="00BD17AF" w:rsidP="002448B4">
      <w:pPr>
        <w:spacing w:before="240"/>
      </w:pPr>
      <w:r>
        <w:t>ESC noted that the public consultation feedback was generally supportive of the application, but the Spine Society of Australia (SSA) raised some concerns (see Section 5). ESC also noted positive consumer feedback about the procedure, with some parents considering going overseas to access VBT treatment for their child. Supportive feedback for VBT included that the patient is more flexible after the procedure, that the procedure allows for natural correction as the patient grows, and the faster recovery time and less scarring after surgery compared with posterior spinal fusion (PSF).</w:t>
      </w:r>
    </w:p>
    <w:p w14:paraId="7D6724A7" w14:textId="77777777" w:rsidR="00BD17AF" w:rsidRDefault="00BD17AF" w:rsidP="002448B4">
      <w:pPr>
        <w:spacing w:before="240"/>
      </w:pPr>
      <w:r>
        <w:t xml:space="preserve">ESC noted the pre-ESC response, which indicated that spinal surgeons in Australia are already claiming VBT using one of the existing MBS item numbers 51021 to 51026, and 51165. ESC noted all new spinal surgery items are located within sub-group 17 of group T8 on the MBS (items 51011 to 51171). Items 51021 to 51026 are intended for spinal instrumentation at any level with the appropriate item determined by the number of motion </w:t>
      </w:r>
      <w:r>
        <w:lastRenderedPageBreak/>
        <w:t>segments instrumented and 51165 can be used by either the primary or approach surgeon for anterior approach to 2 or more motion segments.</w:t>
      </w:r>
    </w:p>
    <w:p w14:paraId="140A336B" w14:textId="77777777" w:rsidR="00BD17AF" w:rsidRDefault="00BD17AF" w:rsidP="002448B4">
      <w:pPr>
        <w:spacing w:before="240"/>
      </w:pPr>
      <w:r>
        <w:t xml:space="preserve">ESC noted that the proposed new MBS item for the index procedure (see Table 2) and modified </w:t>
      </w:r>
      <w:r w:rsidRPr="00677F7A">
        <w:t xml:space="preserve">MBS item 50616 </w:t>
      </w:r>
      <w:r>
        <w:t>for a revision item (see Table 3) does not provide a new technology, procedure or device type, or cover a treatment gap. ESC also noted that a new and specific item for VBT would encompass procedures where screws are removed (but not replaced) and tethers are divided. ESC noted that, if screws are then replaced, the proposed descriptor does not exclude using MBS items 51020 to 51026. The approach using MBS item 51165 (anterior exposure of spine) could continue as done currently. The SSA proposed using MBS 51021–51025 (alongside 51165) as appropriate alternative items, which the applicant agreed to. However, ESC queried whether it is reasonable to have a duplicate set of MBS items for VBT, and if it is necessary to have new items for tether and screw removal when this is not a significant part of revisions.</w:t>
      </w:r>
    </w:p>
    <w:p w14:paraId="0954FC6C" w14:textId="77777777" w:rsidR="00BD17AF" w:rsidRDefault="00BD17AF" w:rsidP="002448B4">
      <w:pPr>
        <w:pStyle w:val="NormalBeforeBullet"/>
        <w:spacing w:before="240"/>
      </w:pPr>
      <w:r>
        <w:t>ESC noted that the commentary proposed amendments to the new MBS item, which the pre-ESC response largely agreed to (see Section 4). ESC also noted that MSAC may want to consider which assessment tool is most appropriate or whether type or number of assessment tool(s) should be unspecified; as correct patient selection and assessment of skeletal maturity is crucial for this procedure, in practice multiple tools are often used.</w:t>
      </w:r>
    </w:p>
    <w:p w14:paraId="530C5865" w14:textId="77777777" w:rsidR="00BD17AF" w:rsidRDefault="00BD17AF" w:rsidP="002448B4">
      <w:pPr>
        <w:spacing w:before="240"/>
      </w:pPr>
      <w:r>
        <w:t>ESC considered that an upper age limit may not be necessary, as skeletal maturity is the most important factor for patient selection, not chronological age. ESC queried whether a lower age limit is necessary. ESC noted that the application is for AIS, so patients under the age of 10 would not be considered for this procedure. Some patients may have accelerated skeletal age and rare syndromes that result in precocious puberty, but this is rare.</w:t>
      </w:r>
    </w:p>
    <w:p w14:paraId="1431E488" w14:textId="77777777" w:rsidR="00BD17AF" w:rsidRDefault="00BD17AF" w:rsidP="002448B4">
      <w:pPr>
        <w:spacing w:before="240"/>
      </w:pPr>
      <w:r>
        <w:t>ESC noted that the proposed fee is based on MBS item 50608 (the main MBS item for the comparator, PSF), but considered the applicant-developed assessment report (ADAR) did not sufficiently justify the additional cost or the need for a new MBS item number.</w:t>
      </w:r>
    </w:p>
    <w:p w14:paraId="2C96AD2C" w14:textId="77777777" w:rsidR="00BD17AF" w:rsidRDefault="00BD17AF" w:rsidP="002448B4">
      <w:pPr>
        <w:spacing w:before="240"/>
      </w:pPr>
      <w:r>
        <w:t>ESC considered the proposed clinical management algorithm to be too simplistic. In particular, that the clinical management algorithm does not identify how patients will be chosen as potential candidates for VBT. The ADAR focused on comparing VBT to PSF, but ESC considered that the overlap of patients who would choose between VBT or PSF may be small. ESC therefore considered that VBT would not replace PSF as an option for many patients.</w:t>
      </w:r>
    </w:p>
    <w:p w14:paraId="225208A5" w14:textId="77777777" w:rsidR="00BD17AF" w:rsidRDefault="00BD17AF" w:rsidP="002448B4">
      <w:pPr>
        <w:spacing w:before="240"/>
      </w:pPr>
      <w:r>
        <w:t>ESC noted that correct patient selection is critical for VBT, and the most important criterion is skeletal maturity of the patient</w:t>
      </w:r>
      <w:r>
        <w:rPr>
          <w:rStyle w:val="FootnoteReference"/>
        </w:rPr>
        <w:footnoteReference w:id="20"/>
      </w:r>
      <w:r>
        <w:t xml:space="preserve"> (Alanay et al. </w:t>
      </w:r>
      <w:r>
        <w:rPr>
          <w:i/>
          <w:iCs/>
        </w:rPr>
        <w:t>Spine</w:t>
      </w:r>
      <w:r>
        <w:t xml:space="preserve"> 2020). Other important selection criteria include Cobb angle, spinal flexibility, type and rotation of curve and patient age. ESC noted that there are differences in these criteria to select patients in the literature. For example, patients with a Cobb angle of &lt;40º are considered for VBT overseas (e.g. patients recruited in FDA study), but in Australia such patients would be braced. ESC noted the challenges of prescribing strict patient criteria in the MBS item at this time.</w:t>
      </w:r>
    </w:p>
    <w:p w14:paraId="00CEF490" w14:textId="77777777" w:rsidR="00BD17AF" w:rsidRDefault="00BD17AF" w:rsidP="002448B4">
      <w:pPr>
        <w:spacing w:before="240"/>
      </w:pPr>
      <w:r>
        <w:t xml:space="preserve">ESC noted the ADARs evidence base consisted of three small single centre case-control studies, supplemented with two single-arm studies. The commentary included a recently </w:t>
      </w:r>
      <w:r>
        <w:lastRenderedPageBreak/>
        <w:t>published meta-analysis (Shin 2021) after the ADAR was published. ESC agreed with the commentary who considered that the matched case-control studies were at substantial risk of both selection bias and confounding. ESC considered that the evidence base was low to very low quality for most outcomes, limiting confidence in the estimates of effect size. ESC also considered that one of the studies included in the evidentiary base was not peer-reviewed but a conference abstract of a single arm of a multi-arm study, and therefore not appropriate to include.</w:t>
      </w:r>
    </w:p>
    <w:p w14:paraId="06DE69A5" w14:textId="77777777" w:rsidR="00BD17AF" w:rsidRDefault="00BD17AF" w:rsidP="002448B4">
      <w:pPr>
        <w:spacing w:before="240"/>
      </w:pPr>
      <w:r>
        <w:t xml:space="preserve">ESC noted the pre-ESC response acknowledged the </w:t>
      </w:r>
      <w:r w:rsidRPr="00243499">
        <w:t>shortcomings of the comparative matched cohort studies</w:t>
      </w:r>
      <w:r>
        <w:t>.</w:t>
      </w:r>
    </w:p>
    <w:p w14:paraId="74E4F628" w14:textId="1E08460A" w:rsidR="00BD17AF" w:rsidRDefault="00BD17AF" w:rsidP="002448B4">
      <w:pPr>
        <w:spacing w:before="240"/>
      </w:pPr>
      <w:r>
        <w:t>In terms of comparative safety, ESC noted that incorrect patient selection can lead to overcorrection (21.1% , FDA 2019</w:t>
      </w:r>
      <w:r>
        <w:rPr>
          <w:rStyle w:val="FootnoteReference"/>
        </w:rPr>
        <w:footnoteReference w:id="21"/>
      </w:r>
      <w:r>
        <w:t>), which may or may not require revision. ESC noted that overcorrection is not an issue with PSF. ESC noted the other potential adverse events from VBT included:</w:t>
      </w:r>
    </w:p>
    <w:p w14:paraId="0EC45641" w14:textId="77777777" w:rsidR="00BD17AF" w:rsidRDefault="00BD17AF" w:rsidP="00BD17AF">
      <w:pPr>
        <w:pStyle w:val="Bullet"/>
      </w:pPr>
      <w:r>
        <w:t>cord breakage (52%, Newton 2020</w:t>
      </w:r>
      <w:r>
        <w:rPr>
          <w:rStyle w:val="FootnoteReference"/>
        </w:rPr>
        <w:footnoteReference w:id="22"/>
      </w:r>
      <w:r>
        <w:t xml:space="preserve">) </w:t>
      </w:r>
    </w:p>
    <w:p w14:paraId="1D2DC545" w14:textId="77777777" w:rsidR="00BD17AF" w:rsidRDefault="00BD17AF" w:rsidP="00BD17AF">
      <w:pPr>
        <w:pStyle w:val="Bullet"/>
      </w:pPr>
      <w:r>
        <w:t>screw migration (5.3%, FDA 2019) – although this is not specific to VBT</w:t>
      </w:r>
    </w:p>
    <w:p w14:paraId="7FF5B0BE" w14:textId="77777777" w:rsidR="00BD17AF" w:rsidRDefault="00BD17AF" w:rsidP="00BD17AF">
      <w:pPr>
        <w:pStyle w:val="BulletLast"/>
        <w:spacing w:after="240"/>
      </w:pPr>
      <w:r>
        <w:t>re-operation rates (14.1% VBT vs 0.6% PSF, Shin et al. 2021</w:t>
      </w:r>
      <w:r>
        <w:rPr>
          <w:rStyle w:val="FootnoteReference"/>
        </w:rPr>
        <w:footnoteReference w:id="23"/>
      </w:r>
      <w:r>
        <w:t xml:space="preserve">; 30% VBT vs. 0% PSF, Newton 2020; see Table 6). </w:t>
      </w:r>
    </w:p>
    <w:p w14:paraId="0F8A7092" w14:textId="77777777" w:rsidR="00BD17AF" w:rsidRDefault="00BD17AF" w:rsidP="00BD17AF">
      <w:r>
        <w:t>In addition, ESC agreed with the commentary who noted that including the conference abstract in the meta-analysis of revision rates favoured VBT. ESC noted the high rates of conversion using PSF after VBT, which ranged from 10.5% Miyanji et al. (2020)</w:t>
      </w:r>
      <w:r>
        <w:rPr>
          <w:rStyle w:val="FootnoteReference"/>
        </w:rPr>
        <w:footnoteReference w:id="24"/>
      </w:r>
      <w:r>
        <w:t xml:space="preserve"> to 26% (Newton 2020). ESC also noted that, if patients need to undergo PSF after a VBT procedure, it will be more difficult because new pedicle screws will on occasion be obstructed by the vertebral body screws left in situ by the index surgical procedure.</w:t>
      </w:r>
    </w:p>
    <w:p w14:paraId="146E6692" w14:textId="77777777" w:rsidR="00BD17AF" w:rsidRPr="00F06DAA" w:rsidRDefault="00BD17AF" w:rsidP="002448B4">
      <w:pPr>
        <w:spacing w:before="240"/>
        <w:rPr>
          <w:szCs w:val="24"/>
        </w:rPr>
      </w:pPr>
      <w:r w:rsidRPr="00F06DAA">
        <w:rPr>
          <w:szCs w:val="24"/>
        </w:rPr>
        <w:t>Overall, ESC agreed with the commentary and considered that VBT has uncertain safety for all outcomes except revisions (where VBT is inferior). ESC also noted there are no data on the long-term complications of VBT.</w:t>
      </w:r>
    </w:p>
    <w:p w14:paraId="41C94F6A" w14:textId="68B74CA5" w:rsidR="00BD17AF" w:rsidRDefault="00BD17AF" w:rsidP="002448B4">
      <w:pPr>
        <w:spacing w:before="240"/>
      </w:pPr>
      <w:r>
        <w:t xml:space="preserve">In terms of comparative effectiveness, ESC noted that, at 36 months post-surgery, curve correction for VBT vs. PSF was similar (VBT: 22.5 (95% CI: 14.1-30.9); PSF: 22.7 (95% CI: 19.6- 25.8), Shin et al. 2021). ESC noted that the ADARs superiority clinical claim focused on patient-reported outcome measures (PROMs) for </w:t>
      </w:r>
      <w:r w:rsidR="00EF70CB">
        <w:t>HRQoL</w:t>
      </w:r>
      <w:r>
        <w:t xml:space="preserve"> (</w:t>
      </w:r>
      <w:r w:rsidRPr="00F06DAA">
        <w:t xml:space="preserve">Scoliosis Research Society 22-item </w:t>
      </w:r>
      <w:r>
        <w:t xml:space="preserve">[SRS-22]). However, ESC noted the ADARs meta-analysis of case-control studies </w:t>
      </w:r>
      <w:r w:rsidRPr="00AB0207">
        <w:t xml:space="preserve">did not demonstrate clinically or statistically significant differences in </w:t>
      </w:r>
      <w:r>
        <w:t>SRS-22. ESC noted that the ADARs meta-analysis and commentary’s meta-analysis of post-operative SRS-22 scores (including Shin 2021)</w:t>
      </w:r>
      <w:r w:rsidRPr="00AB0207">
        <w:t xml:space="preserve"> </w:t>
      </w:r>
      <w:r>
        <w:t>were impacted by considerable heterogeneity, which significantly limited interpretation of results. Overall, ESC considered that there was no difference in SRS-22 total scores.</w:t>
      </w:r>
    </w:p>
    <w:p w14:paraId="6F5040F3" w14:textId="77777777" w:rsidR="00BD17AF" w:rsidRDefault="00BD17AF" w:rsidP="002448B4">
      <w:pPr>
        <w:spacing w:before="240"/>
      </w:pPr>
      <w:r>
        <w:t xml:space="preserve">ESC also noted that the ADARs clinical claim of superiority focused on functional measures, which were not ratified by PASC in the PICO. In the pre-ESC response, the applicant noted </w:t>
      </w:r>
      <w:r>
        <w:lastRenderedPageBreak/>
        <w:t>that these measures were not considered by PASC because they had not yet been published. However, ESC considered the improved flexibility scores for VBT compared to PSF may be expected, as spinal fusion is a procedure that will naturally result in a loss of flexibility.</w:t>
      </w:r>
    </w:p>
    <w:p w14:paraId="36A98716" w14:textId="77777777" w:rsidR="00BD17AF" w:rsidRDefault="00BD17AF" w:rsidP="002448B4">
      <w:pPr>
        <w:spacing w:before="240"/>
      </w:pPr>
      <w:r>
        <w:t>ESC noted that the economic evaluation was a cost-utility analysis.</w:t>
      </w:r>
    </w:p>
    <w:p w14:paraId="2287AA77" w14:textId="77777777" w:rsidR="00BD17AF" w:rsidRDefault="00BD17AF" w:rsidP="002448B4">
      <w:pPr>
        <w:spacing w:before="240"/>
      </w:pPr>
      <w:r>
        <w:t>In terms of model structure, ESC noted that the health states did not include a transition probability from PSF index to PSF revision, which was not justified. ESC also noted that only one VBT revision was allowed for, which was not justified, but noted that this was likely to have a minor impact on the incremental cost-effectiveness ratio (ICER). ESC also noted that the model did not include post-surgery complications, and it assumed that resource use relating to management of complications is similar, and disutilities are captured in the post-operative utility values. ESC noted that this had an uncertain impact on the ICER, as there are no long-term data on the complications of VBT. Finally, ESC noted that the model assumed constant transition probabilities throughout the model’s time horizon, and that the impact of this on the ICER was uncertain given the short follow-up in Newton (2020), which informed most model inputs.</w:t>
      </w:r>
    </w:p>
    <w:p w14:paraId="1D49DBD1" w14:textId="77777777" w:rsidR="00BD17AF" w:rsidRDefault="00BD17AF" w:rsidP="002448B4">
      <w:pPr>
        <w:spacing w:before="240"/>
      </w:pPr>
      <w:r>
        <w:t>ESC considered that the mapping algorithm used to convert SRS-22 data to utility values was appropriate. However, ESC noted issues with the sources of the SRS-22 scores data from Newton (2020) and Pehlivanoglu (2021)</w:t>
      </w:r>
      <w:r>
        <w:rPr>
          <w:rStyle w:val="FootnoteReference"/>
        </w:rPr>
        <w:footnoteReference w:id="25"/>
      </w:r>
      <w:r>
        <w:t>, in that they were retrospective observational studies, with short follow-up time (3.5 years) and small sample size, and differences in skeletal maturity (Newton 2020) or lack of data on skeletal maturity Pehlivanoglu (2021). There was also substantial heterogeneity in the reported meta-analysis (I</w:t>
      </w:r>
      <w:r>
        <w:rPr>
          <w:vertAlign w:val="superscript"/>
        </w:rPr>
        <w:t>2</w:t>
      </w:r>
      <w:r>
        <w:t xml:space="preserve"> &gt;75%) used to inform utility values. ESC also noted that the same utility values were used for index and revision procedures, and that post-operative utility values were based on reported SRS-22 data at the time of final follow-up for all types of patients. ESC noted that this does not capture the impact of the interventions on quality of life across the follow-up time.</w:t>
      </w:r>
    </w:p>
    <w:p w14:paraId="7218D052" w14:textId="77777777" w:rsidR="00BD17AF" w:rsidRDefault="00BD17AF" w:rsidP="002448B4">
      <w:pPr>
        <w:spacing w:before="240"/>
      </w:pPr>
      <w:r>
        <w:t>In addition, ESC noted that, without longer-term comparative SRS-22 data, the model assumes that benefits will continue to accrue throughout the model time horizon and beyond the time frame for which there are data, thus the model assumes that quality of life improvements will continue to improve. These uncertainties impact the ICER, which is highly sensitive to the modelled utility values and assumptions.</w:t>
      </w:r>
    </w:p>
    <w:p w14:paraId="4C2F6C6A" w14:textId="77777777" w:rsidR="00BD17AF" w:rsidRDefault="00BD17AF" w:rsidP="002448B4">
      <w:pPr>
        <w:spacing w:before="240"/>
      </w:pPr>
      <w:r>
        <w:t>ESC noted that the economic model included a significantly lower cost for VBT revisions than VBT index procedures, as it assumed no prostheses cost for revisions. The commentary included the cost of new cords using a 50% VBT revision rate (Polly 2021)</w:t>
      </w:r>
      <w:r>
        <w:rPr>
          <w:rStyle w:val="FootnoteReference"/>
        </w:rPr>
        <w:footnoteReference w:id="26"/>
      </w:r>
      <w:r>
        <w:t>, which led to a 32% increase over the base case ICER of $31,104. ESC also noted that the economic model assumed a length of stay of 5 days for VBT and PSF index procedures and PSF revision, and 2.5 days for VBT revision; however, this was based on clinical expert opinion and was not supported by published data. The commentary noted that, if 5 days was used for VBT revision procedure, this would lead to a 24% increase over the base case ICER. ESC considered the base case ICER to be uncertain, with multivariate sensitivity analysis showing the ICER reaching $122,517 when using other plausible estimates for VBT revision length of stay and utility values from Aghdasi (2020)</w:t>
      </w:r>
      <w:r>
        <w:rPr>
          <w:rStyle w:val="FootnoteReference"/>
        </w:rPr>
        <w:footnoteReference w:id="27"/>
      </w:r>
      <w:r>
        <w:t xml:space="preserve"> (see Table 10).</w:t>
      </w:r>
    </w:p>
    <w:p w14:paraId="227E0815" w14:textId="77777777" w:rsidR="00BD17AF" w:rsidRDefault="00BD17AF" w:rsidP="002448B4">
      <w:pPr>
        <w:spacing w:before="240"/>
      </w:pPr>
      <w:r>
        <w:lastRenderedPageBreak/>
        <w:t xml:space="preserve">ESC noted the multiple data sources used for the financial impact. The base case financial impact </w:t>
      </w:r>
      <w:r w:rsidRPr="00317AA2">
        <w:t>was ~$25,500 in Year 1 to ~$26,700 in Year 5, but ESC considered that these numbers could be underestimated. The base case was based on the number of PSF procedures and assumed a substitution rate of 15% of PSF with VBT, resulting in 30 patients per year receiving VBT. However, the 15% substitution rate was derived from expert opinion, not published data. ESC considered this substitution rate could be too low, as it did not consider VBT revisions or PSF after VBT. Based on current uptake of VBT in the private sector, the commentary revised the patient numbers (see Table 11) that would undergo VBT (including revisions), resulting in a net cost to the MBS of ~$309,000 in Year 1 to ~$365</w:t>
      </w:r>
      <w:r>
        <w:t>,000 in Year 5.</w:t>
      </w:r>
    </w:p>
    <w:p w14:paraId="638E92D9" w14:textId="77777777" w:rsidR="00BD17AF" w:rsidRDefault="00BD17AF" w:rsidP="002448B4">
      <w:pPr>
        <w:spacing w:before="240"/>
      </w:pPr>
      <w:r>
        <w:t>ESC noted the applicant’s pre-ESC response to other issues.</w:t>
      </w:r>
    </w:p>
    <w:p w14:paraId="150D9518" w14:textId="77777777" w:rsidR="00BD17AF" w:rsidRPr="005146E9" w:rsidRDefault="00BD17AF" w:rsidP="002448B4">
      <w:pPr>
        <w:spacing w:before="240"/>
      </w:pPr>
      <w:r>
        <w:t>ESC noted t</w:t>
      </w:r>
      <w:r w:rsidRPr="005146E9">
        <w:t xml:space="preserve">he applicant’s device is currently not on the Prosthesis List, which </w:t>
      </w:r>
      <w:r>
        <w:t>may</w:t>
      </w:r>
      <w:r w:rsidRPr="005146E9">
        <w:t xml:space="preserve"> result in high out-of-pocket costs to consumers.</w:t>
      </w:r>
    </w:p>
    <w:p w14:paraId="1634DA5B" w14:textId="77777777" w:rsidR="00BD17AF" w:rsidRDefault="00BD17AF" w:rsidP="002448B4">
      <w:pPr>
        <w:tabs>
          <w:tab w:val="left" w:pos="2265"/>
          <w:tab w:val="left" w:pos="3420"/>
          <w:tab w:val="left" w:pos="4320"/>
        </w:tabs>
        <w:spacing w:before="240"/>
      </w:pPr>
      <w:r>
        <w:t>ESC noted the advances in this field of study and the continual emergence of new clinical data. The criteria for using VBT are constantly evolving, making health technology assessment difficult. For example, various studies are conflicted about which Cobb angle to use when selecting patients for VBT (some use a Cobb angle of &gt;30º). ESC noted that VBT is still undergoing a learning curve</w:t>
      </w:r>
      <w:r>
        <w:rPr>
          <w:rStyle w:val="FootnoteReference"/>
        </w:rPr>
        <w:footnoteReference w:id="28"/>
      </w:r>
      <w:r>
        <w:t>.</w:t>
      </w:r>
    </w:p>
    <w:p w14:paraId="76A88449" w14:textId="77777777" w:rsidR="00BD17AF" w:rsidRDefault="00BD17AF" w:rsidP="002448B4">
      <w:pPr>
        <w:spacing w:before="240"/>
      </w:pPr>
      <w:r>
        <w:t xml:space="preserve">In addition, ESC noted that there is an upcoming randomised controlled trial (RCT)  comparing VBT and PSF in skeletally immature patients with AIS (Cobb angle 40-60; age 10-16 years, selective thoracic fusion feasible; </w:t>
      </w:r>
      <w:hyperlink r:id="rId13" w:history="1">
        <w:r w:rsidRPr="007355E3">
          <w:rPr>
            <w:rStyle w:val="Hyperlink"/>
          </w:rPr>
          <w:t>NCT04590807</w:t>
        </w:r>
      </w:hyperlink>
      <w:r>
        <w:t>). The estimated primary completion date is December 2023 (study completion date: 2025). ESC considered that although it may represent  higher quality evidence and outcomes were powered for assessing HRQoL, it might not add substantial value to MSAC decision making, as it was a second-stage US Food and Drug Administration (FDA) study with only 70 patients due to enrol.</w:t>
      </w:r>
    </w:p>
    <w:p w14:paraId="4F3ED9B3" w14:textId="173AA4F8" w:rsidR="002448B4" w:rsidRDefault="00BD17AF" w:rsidP="002448B4">
      <w:pPr>
        <w:tabs>
          <w:tab w:val="left" w:pos="2265"/>
          <w:tab w:val="left" w:pos="3420"/>
          <w:tab w:val="left" w:pos="4320"/>
        </w:tabs>
        <w:spacing w:before="240"/>
      </w:pPr>
      <w:r>
        <w:t>ESC considered that if MSAC does not support public funding of VBT that MSAC may wish to consider, in consultation with spinal surgeons, whether the MBS items currently being used to claim VBT need to be reviewed to exclude this use. In addition, ESC noted that in other jurisdictions, there is divergent surgical views of this procedure with some countries limiting its use. ESC noted the commentary (Herring 2020)</w:t>
      </w:r>
      <w:r>
        <w:rPr>
          <w:rStyle w:val="FootnoteReference"/>
        </w:rPr>
        <w:footnoteReference w:id="29"/>
      </w:r>
      <w:r>
        <w:t xml:space="preserve"> from a large US spinal centre, which noted the unfavourable results for VBT after reviewing the results of Newton 2020. VBT is not undertaken in the UK National Health Service by policy decision (2019)</w:t>
      </w:r>
      <w:r>
        <w:rPr>
          <w:rStyle w:val="FootnoteReference"/>
        </w:rPr>
        <w:footnoteReference w:id="30"/>
      </w:r>
      <w:r>
        <w:t>, and the British Scoliosis Society does not currently recommend VBT (2016)</w:t>
      </w:r>
      <w:r>
        <w:rPr>
          <w:rStyle w:val="FootnoteReference"/>
        </w:rPr>
        <w:footnoteReference w:id="31"/>
      </w:r>
      <w:r>
        <w:t>.</w:t>
      </w:r>
    </w:p>
    <w:p w14:paraId="46F6222B" w14:textId="77777777" w:rsidR="002448B4" w:rsidRDefault="002448B4" w:rsidP="002448B4">
      <w:pPr>
        <w:pStyle w:val="Heading1"/>
        <w:spacing w:before="240"/>
        <w:ind w:left="720" w:hanging="720"/>
        <w:rPr>
          <w:rFonts w:ascii="Arial" w:hAnsi="Arial" w:cs="Arial"/>
        </w:rPr>
      </w:pPr>
      <w:r>
        <w:rPr>
          <w:rFonts w:ascii="Arial" w:hAnsi="Arial" w:cs="Arial"/>
        </w:rPr>
        <w:t>15.</w:t>
      </w:r>
      <w:r>
        <w:rPr>
          <w:rFonts w:ascii="Arial" w:hAnsi="Arial" w:cs="Arial"/>
        </w:rPr>
        <w:tab/>
        <w:t>Other significant factors</w:t>
      </w:r>
    </w:p>
    <w:p w14:paraId="6B89A695" w14:textId="77777777" w:rsidR="002448B4" w:rsidRPr="00EE7549" w:rsidRDefault="002448B4" w:rsidP="002448B4">
      <w:pPr>
        <w:spacing w:before="240" w:after="240"/>
      </w:pPr>
      <w:r w:rsidRPr="00EE7549">
        <w:t>Nil</w:t>
      </w:r>
    </w:p>
    <w:p w14:paraId="1AC88F9A" w14:textId="77777777" w:rsidR="002448B4" w:rsidRDefault="002448B4" w:rsidP="002448B4">
      <w:pPr>
        <w:pStyle w:val="Heading1"/>
        <w:rPr>
          <w:rFonts w:ascii="Arial" w:hAnsi="Arial" w:cs="Arial"/>
        </w:rPr>
      </w:pPr>
      <w:r>
        <w:rPr>
          <w:rFonts w:ascii="Arial" w:hAnsi="Arial" w:cs="Arial"/>
        </w:rPr>
        <w:lastRenderedPageBreak/>
        <w:t>16.</w:t>
      </w:r>
      <w:r>
        <w:rPr>
          <w:rFonts w:ascii="Arial" w:hAnsi="Arial" w:cs="Arial"/>
        </w:rPr>
        <w:tab/>
        <w:t>Applicant comments on MSAC’s Public Summary Document</w:t>
      </w:r>
    </w:p>
    <w:p w14:paraId="1B39C8F6" w14:textId="2D91E3F6" w:rsidR="002448B4" w:rsidRPr="000C43CB" w:rsidRDefault="000C43CB" w:rsidP="002448B4">
      <w:pPr>
        <w:spacing w:before="240" w:after="240"/>
        <w:rPr>
          <w:szCs w:val="24"/>
        </w:rPr>
      </w:pPr>
      <w:r w:rsidRPr="000C43CB">
        <w:rPr>
          <w:szCs w:val="24"/>
        </w:rPr>
        <w:t>The applicant had no comment.</w:t>
      </w:r>
    </w:p>
    <w:p w14:paraId="12DF39D2" w14:textId="77777777" w:rsidR="002448B4" w:rsidRPr="007B5143" w:rsidRDefault="002448B4" w:rsidP="002448B4">
      <w:pPr>
        <w:pStyle w:val="Heading1"/>
        <w:spacing w:before="240"/>
        <w:rPr>
          <w:rFonts w:ascii="Arial" w:hAnsi="Arial" w:cs="Arial"/>
        </w:rPr>
      </w:pPr>
      <w:r>
        <w:rPr>
          <w:rFonts w:ascii="Arial" w:hAnsi="Arial" w:cs="Arial"/>
        </w:rPr>
        <w:t>17.</w:t>
      </w:r>
      <w:r>
        <w:rPr>
          <w:rFonts w:ascii="Arial" w:hAnsi="Arial" w:cs="Arial"/>
        </w:rPr>
        <w:tab/>
      </w:r>
      <w:r w:rsidRPr="007B5143">
        <w:rPr>
          <w:rFonts w:ascii="Arial" w:hAnsi="Arial" w:cs="Arial"/>
        </w:rPr>
        <w:t>Further information on MSAC</w:t>
      </w:r>
    </w:p>
    <w:p w14:paraId="0D25CA2F" w14:textId="5A6D76AB" w:rsidR="00DD08E3" w:rsidRPr="00DD08E3" w:rsidRDefault="002448B4" w:rsidP="00374791">
      <w:pPr>
        <w:tabs>
          <w:tab w:val="left" w:pos="1382"/>
        </w:tabs>
        <w:rPr>
          <w:szCs w:val="24"/>
        </w:rPr>
      </w:pPr>
      <w:r w:rsidRPr="00F715D1">
        <w:rPr>
          <w:szCs w:val="24"/>
        </w:rPr>
        <w:t xml:space="preserve">MSAC Terms of Reference and other information are available on the MSAC Website: </w:t>
      </w:r>
      <w:r>
        <w:rPr>
          <w:szCs w:val="24"/>
        </w:rPr>
        <w:br/>
      </w:r>
      <w:hyperlink r:id="rId14" w:tooltip="Link to Medical Services Advisory Committee website" w:history="1">
        <w:r w:rsidRPr="00F715D1">
          <w:rPr>
            <w:rStyle w:val="Hyperlink"/>
            <w:szCs w:val="24"/>
          </w:rPr>
          <w:t>visit the MSAC website</w:t>
        </w:r>
      </w:hyperlink>
    </w:p>
    <w:sectPr w:rsidR="00DD08E3" w:rsidRPr="00DD08E3" w:rsidSect="00B432A2">
      <w:footerReference w:type="default" r:id="rId15"/>
      <w:type w:val="continuous"/>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7AAAB" w14:textId="77777777" w:rsidR="00C94BC8" w:rsidRDefault="00C94BC8" w:rsidP="00065623">
      <w:r>
        <w:separator/>
      </w:r>
    </w:p>
  </w:endnote>
  <w:endnote w:type="continuationSeparator" w:id="0">
    <w:p w14:paraId="300933A7" w14:textId="77777777" w:rsidR="00C94BC8" w:rsidRDefault="00C94BC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0143A998" w:rsidR="00C94BC8" w:rsidRDefault="00C94BC8">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11F0B18" w14:textId="77777777" w:rsidR="00C94BC8" w:rsidRDefault="00C9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3F9AC" w14:textId="77777777" w:rsidR="00C94BC8" w:rsidRDefault="00C94BC8" w:rsidP="00065623">
      <w:r>
        <w:separator/>
      </w:r>
    </w:p>
  </w:footnote>
  <w:footnote w:type="continuationSeparator" w:id="0">
    <w:p w14:paraId="3B818253" w14:textId="77777777" w:rsidR="00C94BC8" w:rsidRDefault="00C94BC8" w:rsidP="00065623">
      <w:r>
        <w:continuationSeparator/>
      </w:r>
    </w:p>
  </w:footnote>
  <w:footnote w:id="1">
    <w:p w14:paraId="4DC15409" w14:textId="77777777" w:rsidR="00C94BC8" w:rsidRDefault="00C94BC8" w:rsidP="008D35E9">
      <w:pPr>
        <w:pStyle w:val="FootnoteText"/>
      </w:pPr>
      <w:r>
        <w:rPr>
          <w:rStyle w:val="FootnoteReference"/>
        </w:rPr>
        <w:footnoteRef/>
      </w:r>
      <w:r>
        <w:t xml:space="preserve"> </w:t>
      </w:r>
      <w:r>
        <w:tab/>
        <w:t xml:space="preserve">Alanay A et al. Thoracoscopic vertebral body tethering for adolescent idiopathic scoliosis: follow-up curve behavior according to Sanders skeletal maturity staging. </w:t>
      </w:r>
      <w:r>
        <w:rPr>
          <w:i/>
          <w:iCs/>
        </w:rPr>
        <w:t>Spine</w:t>
      </w:r>
      <w:r>
        <w:t xml:space="preserve"> (Phila Pa 1976). 2020; 45(22):E1483–E1492</w:t>
      </w:r>
    </w:p>
  </w:footnote>
  <w:footnote w:id="2">
    <w:p w14:paraId="0CC1ADAC" w14:textId="77777777" w:rsidR="00C94BC8" w:rsidRDefault="00C94BC8" w:rsidP="008D35E9">
      <w:pPr>
        <w:pStyle w:val="FootnoteText"/>
      </w:pPr>
      <w:r>
        <w:rPr>
          <w:rStyle w:val="FootnoteReference"/>
        </w:rPr>
        <w:footnoteRef/>
      </w:r>
      <w:r>
        <w:t xml:space="preserve"> </w:t>
      </w:r>
      <w:r>
        <w:tab/>
        <w:t xml:space="preserve">Minkara A, et al. High risk of mismatch between Sanders and Risser staging in adolescent idiopathic scoliosis: are we guiding treatment using the wrong classification? </w:t>
      </w:r>
      <w:r>
        <w:rPr>
          <w:i/>
          <w:iCs/>
        </w:rPr>
        <w:t>J Pediatr Orthop</w:t>
      </w:r>
      <w:r>
        <w:t xml:space="preserve"> 2018; 40:60–64.</w:t>
      </w:r>
    </w:p>
  </w:footnote>
  <w:footnote w:id="3">
    <w:p w14:paraId="7D304F23" w14:textId="77777777" w:rsidR="00C94BC8" w:rsidRDefault="00C94BC8" w:rsidP="008D35E9">
      <w:pPr>
        <w:pStyle w:val="FootnoteText"/>
      </w:pPr>
      <w:r>
        <w:rPr>
          <w:rStyle w:val="FootnoteReference"/>
        </w:rPr>
        <w:footnoteRef/>
      </w:r>
      <w:r>
        <w:t xml:space="preserve"> </w:t>
      </w:r>
      <w:r>
        <w:tab/>
        <w:t xml:space="preserve">Pehlivanoglu T, et al. Comparison of clinical and functional outcomes of vertebral body tethering to posterior spinal fusion in patients with adolescent idiopathic scoliosis and evaluation of quality of life: preliminary results. </w:t>
      </w:r>
      <w:r>
        <w:rPr>
          <w:i/>
          <w:iCs/>
        </w:rPr>
        <w:t>Spine Deformity</w:t>
      </w:r>
      <w:r>
        <w:t xml:space="preserve"> 2021; 9(4):1175–1182.</w:t>
      </w:r>
    </w:p>
  </w:footnote>
  <w:footnote w:id="4">
    <w:p w14:paraId="4158DFA3" w14:textId="77777777" w:rsidR="00C94BC8" w:rsidRDefault="00C94BC8" w:rsidP="008D35E9">
      <w:pPr>
        <w:pStyle w:val="FootnoteText"/>
      </w:pPr>
      <w:r>
        <w:rPr>
          <w:rStyle w:val="FootnoteReference"/>
        </w:rPr>
        <w:footnoteRef/>
      </w:r>
      <w:r>
        <w:t xml:space="preserve"> </w:t>
      </w:r>
      <w:r>
        <w:tab/>
        <w:t xml:space="preserve">Newton P. Anterior spinal growth modulation in skeletally immature patients with idiopathic scoliosis: a comparison with posterior spinal fusion at 2 to 5 years post-operatively. </w:t>
      </w:r>
      <w:r>
        <w:rPr>
          <w:i/>
          <w:iCs/>
        </w:rPr>
        <w:t>J Bone and Joint Surgery</w:t>
      </w:r>
      <w:r>
        <w:t xml:space="preserve"> 2020; 102(9):769–777.</w:t>
      </w:r>
    </w:p>
  </w:footnote>
  <w:footnote w:id="5">
    <w:p w14:paraId="098835AD" w14:textId="77777777" w:rsidR="00C94BC8" w:rsidRDefault="00C94BC8" w:rsidP="008D35E9">
      <w:pPr>
        <w:pStyle w:val="FootnoteText"/>
      </w:pPr>
      <w:r>
        <w:rPr>
          <w:rStyle w:val="FootnoteReference"/>
        </w:rPr>
        <w:footnoteRef/>
      </w:r>
      <w:r>
        <w:t xml:space="preserve"> </w:t>
      </w:r>
      <w:r>
        <w:tab/>
        <w:t xml:space="preserve">Mathew S et al. AVBT vs. posterior spinal fusion for idiopathic scoliosis: results from a single tertiary care center. </w:t>
      </w:r>
      <w:r>
        <w:rPr>
          <w:i/>
          <w:iCs/>
        </w:rPr>
        <w:t>Spine Deformity</w:t>
      </w:r>
      <w:r>
        <w:t xml:space="preserve"> 2020; 8:1413–1414.</w:t>
      </w:r>
    </w:p>
  </w:footnote>
  <w:footnote w:id="6">
    <w:p w14:paraId="426A9DD8" w14:textId="77777777" w:rsidR="00C94BC8" w:rsidRDefault="00C94BC8" w:rsidP="00D6671A">
      <w:pPr>
        <w:pStyle w:val="FootnoteText"/>
      </w:pPr>
      <w:r>
        <w:rPr>
          <w:rStyle w:val="FootnoteReference"/>
        </w:rPr>
        <w:footnoteRef/>
      </w:r>
      <w:r>
        <w:t xml:space="preserve"> </w:t>
      </w:r>
      <w:r>
        <w:tab/>
        <w:t xml:space="preserve">Shin M et al. Complications, reoperations, and mid-term outcomes following anterior vertebral body tethering versus posterior spinal fusion: a meta-analysis. </w:t>
      </w:r>
      <w:r>
        <w:rPr>
          <w:i/>
          <w:iCs/>
        </w:rPr>
        <w:t>JB JS Open Access</w:t>
      </w:r>
      <w:r>
        <w:t xml:space="preserve"> 2021; 6(2).</w:t>
      </w:r>
    </w:p>
  </w:footnote>
  <w:footnote w:id="7">
    <w:p w14:paraId="759AD187" w14:textId="0B220D84" w:rsidR="00C94BC8" w:rsidRDefault="00C94BC8" w:rsidP="00131D55">
      <w:pPr>
        <w:pStyle w:val="FootnoteText"/>
      </w:pPr>
      <w:r>
        <w:rPr>
          <w:rStyle w:val="FootnoteReference"/>
        </w:rPr>
        <w:footnoteRef/>
      </w:r>
      <w:r>
        <w:t xml:space="preserve"> US Food and Drug Administration, Summary of safety and probable benefit (SSPB) vertebral body tethering system, 2019.</w:t>
      </w:r>
    </w:p>
  </w:footnote>
  <w:footnote w:id="8">
    <w:p w14:paraId="4F652D7D" w14:textId="346D3002" w:rsidR="00C94BC8" w:rsidRDefault="00C94BC8" w:rsidP="00131D55">
      <w:pPr>
        <w:pStyle w:val="FootnoteText"/>
      </w:pPr>
      <w:r>
        <w:rPr>
          <w:rStyle w:val="FootnoteReference"/>
        </w:rPr>
        <w:footnoteRef/>
      </w:r>
      <w:r>
        <w:t xml:space="preserve"> Aghdasi B. Patient-reported outcomes following surgical intervention for adolescent idiopathic scoliosis. </w:t>
      </w:r>
      <w:r>
        <w:rPr>
          <w:i/>
          <w:iCs/>
        </w:rPr>
        <w:t>Clin Spine Surg</w:t>
      </w:r>
      <w:r>
        <w:t xml:space="preserve"> 2020 Feb;33(1):24–34.</w:t>
      </w:r>
    </w:p>
    <w:p w14:paraId="778F0194" w14:textId="77777777" w:rsidR="00C94BC8" w:rsidRDefault="00C94BC8" w:rsidP="00131D55">
      <w:pPr>
        <w:pStyle w:val="FootnoteText"/>
      </w:pPr>
    </w:p>
  </w:footnote>
  <w:footnote w:id="9">
    <w:p w14:paraId="68A0F5ED" w14:textId="7C585160" w:rsidR="00C94BC8" w:rsidRDefault="00C94BC8">
      <w:pPr>
        <w:pStyle w:val="FootnoteText"/>
      </w:pPr>
      <w:r>
        <w:rPr>
          <w:rStyle w:val="FootnoteReference"/>
        </w:rPr>
        <w:footnoteRef/>
      </w:r>
      <w:r>
        <w:t xml:space="preserve"> </w:t>
      </w:r>
      <w:r w:rsidRPr="00B476DD">
        <w:t>Minkara, A., et al., High Risk of Mismatch Between Sanders and Risser Staging in Adolescent Idiopathic Scoliosis: Are We Guiding Treatment Using the Wrong Classification? J Pediatr Orthop, 2020. 40(2): p. 60-64.</w:t>
      </w:r>
    </w:p>
  </w:footnote>
  <w:footnote w:id="10">
    <w:p w14:paraId="2DA0FA10" w14:textId="77777777" w:rsidR="00C94BC8" w:rsidRDefault="00C94BC8" w:rsidP="00BD17AF">
      <w:pPr>
        <w:pStyle w:val="FootnoteText"/>
      </w:pPr>
      <w:r>
        <w:rPr>
          <w:rStyle w:val="FootnoteReference"/>
        </w:rPr>
        <w:footnoteRef/>
      </w:r>
      <w:r>
        <w:t xml:space="preserve"> </w:t>
      </w:r>
      <w:r w:rsidRPr="005D7D2D">
        <w:t>Horne JP, Flannery R, Usman S, 2014, 'Adolescent idiopathic scoliosis: diagnosis and management', American family physician, vol. 89, no. 3, pp. 193-8.</w:t>
      </w:r>
    </w:p>
  </w:footnote>
  <w:footnote w:id="11">
    <w:p w14:paraId="13A608D0" w14:textId="77777777" w:rsidR="00C94BC8" w:rsidRDefault="00C94BC8" w:rsidP="00BD17AF">
      <w:pPr>
        <w:pStyle w:val="FootnoteText"/>
      </w:pPr>
      <w:r>
        <w:rPr>
          <w:rStyle w:val="FootnoteReference"/>
        </w:rPr>
        <w:footnoteRef/>
      </w:r>
      <w:r>
        <w:t xml:space="preserve"> Rushton PRP, Grevitt MP, 2013, ‘Comparison of untreated adolescent idiopathic scoliosis with normal controls: a review and statistical analysis of the literature’, Spine;38(9):778-785.</w:t>
      </w:r>
    </w:p>
  </w:footnote>
  <w:footnote w:id="12">
    <w:p w14:paraId="63ACD499" w14:textId="77777777" w:rsidR="00C94BC8" w:rsidRDefault="00C94BC8" w:rsidP="00BD17AF">
      <w:pPr>
        <w:pStyle w:val="FootnoteText"/>
      </w:pPr>
      <w:r>
        <w:rPr>
          <w:rStyle w:val="FootnoteReference"/>
        </w:rPr>
        <w:footnoteRef/>
      </w:r>
      <w:r>
        <w:t xml:space="preserve"> </w:t>
      </w:r>
      <w:r w:rsidRPr="00080945">
        <w:t>Farady JA 1983, 'Current principles in the nonoperative management of structural adolescent idiopathic scoliosis', Physical Therapy; 63(4): 512-523.</w:t>
      </w:r>
    </w:p>
  </w:footnote>
  <w:footnote w:id="13">
    <w:p w14:paraId="7864E4E5" w14:textId="77777777" w:rsidR="00C94BC8" w:rsidRDefault="00C94BC8" w:rsidP="00BD17AF">
      <w:pPr>
        <w:pStyle w:val="FootnoteText"/>
      </w:pPr>
      <w:r>
        <w:rPr>
          <w:rStyle w:val="FootnoteReference"/>
        </w:rPr>
        <w:footnoteRef/>
      </w:r>
      <w:r>
        <w:t xml:space="preserve"> </w:t>
      </w:r>
      <w:r w:rsidRPr="00080945">
        <w:t>Karol LA, Johnston C, Browne RH, Madison M, 1993, 'Progression of the curve in boys who have idiopathic scoliosis', The Journal of bone and joint surgery; 75(12): 1804-1810.</w:t>
      </w:r>
    </w:p>
  </w:footnote>
  <w:footnote w:id="14">
    <w:p w14:paraId="51AE13EF" w14:textId="77777777" w:rsidR="00C94BC8" w:rsidRDefault="00C94BC8" w:rsidP="00BD17AF">
      <w:pPr>
        <w:pStyle w:val="FootnoteText"/>
      </w:pPr>
      <w:r>
        <w:rPr>
          <w:rStyle w:val="FootnoteReference"/>
        </w:rPr>
        <w:footnoteRef/>
      </w:r>
      <w:r>
        <w:t xml:space="preserve"> </w:t>
      </w:r>
      <w:r w:rsidRPr="00080945">
        <w:t>Maruyama T, Takeshita K, 2008, 'Surgical treatment of scoliosis: a review of techniques currently applied', Scoliosis; 3(1): 1-6.</w:t>
      </w:r>
    </w:p>
  </w:footnote>
  <w:footnote w:id="15">
    <w:p w14:paraId="1E3FA3A6" w14:textId="77777777" w:rsidR="00C94BC8" w:rsidRDefault="00C94BC8" w:rsidP="00BD17AF">
      <w:pPr>
        <w:pStyle w:val="FootnoteText"/>
      </w:pPr>
      <w:r>
        <w:rPr>
          <w:rStyle w:val="FootnoteReference"/>
        </w:rPr>
        <w:footnoteRef/>
      </w:r>
      <w:r>
        <w:t xml:space="preserve"> </w:t>
      </w:r>
      <w:r w:rsidRPr="0066357A">
        <w:t>US Food and Drug Administration, Summary of safety and probable benefit (SSPB) Vertebral Body Tethering System. 2019.</w:t>
      </w:r>
    </w:p>
  </w:footnote>
  <w:footnote w:id="16">
    <w:p w14:paraId="623F234B" w14:textId="7C20ACD3" w:rsidR="00C94BC8" w:rsidRDefault="00C94BC8">
      <w:pPr>
        <w:pStyle w:val="FootnoteText"/>
      </w:pPr>
      <w:r>
        <w:rPr>
          <w:rStyle w:val="FootnoteReference"/>
        </w:rPr>
        <w:footnoteRef/>
      </w:r>
      <w:r>
        <w:t xml:space="preserve"> </w:t>
      </w:r>
      <w:r w:rsidRPr="0014052A">
        <w:t>Deyo RA, Nachemson A, Mirza SK, 2004, 'Spinal-fusion surgery—the case for restraint', The Spine Journal; 4(5): S138-S42.</w:t>
      </w:r>
    </w:p>
  </w:footnote>
  <w:footnote w:id="17">
    <w:p w14:paraId="487B03E3" w14:textId="77777777" w:rsidR="00C94BC8" w:rsidRDefault="00C94BC8" w:rsidP="008F0E98">
      <w:pPr>
        <w:pStyle w:val="FootnoteText"/>
      </w:pPr>
      <w:r>
        <w:rPr>
          <w:rStyle w:val="FootnoteReference"/>
        </w:rPr>
        <w:footnoteRef/>
      </w:r>
      <w:r>
        <w:t xml:space="preserve"> </w:t>
      </w:r>
      <w:r w:rsidRPr="009B6C24">
        <w:t xml:space="preserve">Carreon, L.Y., et al. </w:t>
      </w:r>
      <w:r w:rsidRPr="00E70EE6">
        <w:rPr>
          <w:iCs/>
        </w:rPr>
        <w:t>The minimum clinically important difference in Scoliosis Research Society-22 Appearance, Activity, And Pain domains after surgical correction of adolescent idiopathic scoliosis</w:t>
      </w:r>
      <w:r w:rsidRPr="009B6C24">
        <w:rPr>
          <w:i/>
        </w:rPr>
        <w:t>.</w:t>
      </w:r>
      <w:r w:rsidRPr="009B6C24">
        <w:t xml:space="preserve"> </w:t>
      </w:r>
      <w:r w:rsidRPr="007069E3">
        <w:rPr>
          <w:i/>
          <w:iCs/>
        </w:rPr>
        <w:t>Spine (Phila Pa 1976),</w:t>
      </w:r>
      <w:r w:rsidRPr="009B6C24">
        <w:t xml:space="preserve"> 2010. </w:t>
      </w:r>
      <w:r w:rsidRPr="009B6C24">
        <w:rPr>
          <w:b/>
        </w:rPr>
        <w:t>35</w:t>
      </w:r>
      <w:r w:rsidRPr="009B6C24">
        <w:t>(23): p. 2079-83.</w:t>
      </w:r>
    </w:p>
  </w:footnote>
  <w:footnote w:id="18">
    <w:p w14:paraId="3250E6C5" w14:textId="77777777" w:rsidR="00C94BC8" w:rsidRDefault="00C94BC8" w:rsidP="008F0E98">
      <w:pPr>
        <w:pStyle w:val="FootnoteText"/>
      </w:pPr>
      <w:r>
        <w:rPr>
          <w:rStyle w:val="FootnoteReference"/>
        </w:rPr>
        <w:footnoteRef/>
      </w:r>
      <w:r>
        <w:t xml:space="preserve"> </w:t>
      </w:r>
      <w:r w:rsidRPr="009B6C24">
        <w:t xml:space="preserve">Crawford, C.H., 3rd, et al. </w:t>
      </w:r>
      <w:r w:rsidRPr="007069E3">
        <w:rPr>
          <w:iCs/>
        </w:rPr>
        <w:t>The minimum clinically important difference in SRS-22R total score, appearance, activity and pain domains after surgical treatment of adult spinal deformity</w:t>
      </w:r>
      <w:r w:rsidRPr="009B6C24">
        <w:rPr>
          <w:i/>
        </w:rPr>
        <w:t>.</w:t>
      </w:r>
      <w:r w:rsidRPr="009B6C24">
        <w:t xml:space="preserve"> </w:t>
      </w:r>
      <w:r w:rsidRPr="007069E3">
        <w:rPr>
          <w:i/>
          <w:iCs/>
        </w:rPr>
        <w:t>Spine (Phila Pa 1976)</w:t>
      </w:r>
      <w:r w:rsidRPr="009B6C24">
        <w:t xml:space="preserve">, 2015. </w:t>
      </w:r>
      <w:r w:rsidRPr="009B6C24">
        <w:rPr>
          <w:b/>
        </w:rPr>
        <w:t>40</w:t>
      </w:r>
      <w:r w:rsidRPr="009B6C24">
        <w:t>(6): p. 377-81</w:t>
      </w:r>
    </w:p>
  </w:footnote>
  <w:footnote w:id="19">
    <w:p w14:paraId="63D98A00" w14:textId="0F0B5CC8" w:rsidR="00C94BC8" w:rsidRDefault="00C94BC8">
      <w:pPr>
        <w:pStyle w:val="FootnoteText"/>
      </w:pPr>
      <w:r>
        <w:rPr>
          <w:rStyle w:val="FootnoteReference"/>
        </w:rPr>
        <w:footnoteRef/>
      </w:r>
      <w:r>
        <w:t xml:space="preserve"> </w:t>
      </w:r>
      <w:r w:rsidRPr="00D0140B">
        <w:t xml:space="preserve">Polly DW, Noelle Larson A., Samdani AF, et al, 2021, ‘Cost-utility analysis of anterior vertebral body tethering versus spinal fusion in idiopathic scoliosis from a us integrated healthcare delivery system perspective’, </w:t>
      </w:r>
      <w:r w:rsidRPr="00D0140B">
        <w:rPr>
          <w:i/>
          <w:iCs/>
        </w:rPr>
        <w:t>ClinicoEconomics and Outcomes Research</w:t>
      </w:r>
      <w:r w:rsidRPr="00D0140B">
        <w:t>; 13: 175-190.</w:t>
      </w:r>
    </w:p>
  </w:footnote>
  <w:footnote w:id="20">
    <w:p w14:paraId="407C434C" w14:textId="77777777" w:rsidR="00C94BC8" w:rsidRDefault="00C94BC8" w:rsidP="00BD17AF">
      <w:pPr>
        <w:pStyle w:val="FootnoteText"/>
      </w:pPr>
      <w:r>
        <w:rPr>
          <w:rStyle w:val="FootnoteReference"/>
        </w:rPr>
        <w:footnoteRef/>
      </w:r>
      <w:r>
        <w:t xml:space="preserve"> </w:t>
      </w:r>
      <w:r w:rsidRPr="00FF1438">
        <w:t>Alanay A, Yucekul A, Abul K, Ergene G, Senay S, Ay B, Cebeci BO, Yalinay Dikmen P, Zulemyan T, Yavuz Y, Yilgor C. Thoracoscopic Vertebral Body Tethering for Adolescent Idiopathic Scoliosis: Follow-up Curve Behavior According to Sanders Skeletal Maturity Staging. Spine (Phila Pa 1976). 2020 Nov 15;45(22):E1483-E1492. doi: 10.1097/BRS.0000000000003643. PMID: 32756290.</w:t>
      </w:r>
    </w:p>
  </w:footnote>
  <w:footnote w:id="21">
    <w:p w14:paraId="7A2EA1C8" w14:textId="77777777" w:rsidR="00C94BC8" w:rsidRDefault="00C94BC8" w:rsidP="00BD17AF">
      <w:pPr>
        <w:pStyle w:val="FootnoteText"/>
      </w:pPr>
      <w:r>
        <w:rPr>
          <w:rStyle w:val="FootnoteReference"/>
        </w:rPr>
        <w:footnoteRef/>
      </w:r>
      <w:r>
        <w:t xml:space="preserve"> </w:t>
      </w:r>
      <w:r w:rsidRPr="00F862A1">
        <w:t>US Food and Drug Administration, Summary of safety and probable benefit (SSPB) Vertebral Body Tethering System. 2019.</w:t>
      </w:r>
    </w:p>
  </w:footnote>
  <w:footnote w:id="22">
    <w:p w14:paraId="6A017A6D" w14:textId="77777777" w:rsidR="00C94BC8" w:rsidRDefault="00C94BC8" w:rsidP="00BD17AF">
      <w:pPr>
        <w:pStyle w:val="FootnoteText"/>
      </w:pPr>
      <w:r>
        <w:rPr>
          <w:rStyle w:val="FootnoteReference"/>
        </w:rPr>
        <w:footnoteRef/>
      </w:r>
      <w:r>
        <w:t xml:space="preserve"> </w:t>
      </w:r>
      <w:r w:rsidRPr="005415AD">
        <w:t>Newton, P.O., et al., Anterior Spinal Growth Modulation in Skeletally Immature Patients with Idiopathic Scoliosis: A Comparison with Posterior Spinal Fusion at 2 to 5 Years Postoperatively. J Bone Joint Surg Am, 2020. 102(9): p. 769-777.</w:t>
      </w:r>
    </w:p>
  </w:footnote>
  <w:footnote w:id="23">
    <w:p w14:paraId="55C2A2B4" w14:textId="77777777" w:rsidR="00C94BC8" w:rsidRDefault="00C94BC8" w:rsidP="00BD17AF">
      <w:pPr>
        <w:pStyle w:val="FootnoteText"/>
      </w:pPr>
      <w:r>
        <w:rPr>
          <w:rStyle w:val="FootnoteReference"/>
        </w:rPr>
        <w:footnoteRef/>
      </w:r>
      <w:r>
        <w:t xml:space="preserve"> </w:t>
      </w:r>
      <w:r w:rsidRPr="00AA7893">
        <w:t>Shin, M., et al., Complications, Reoperations, and Mid-Term Outcomes Following Anterior Vertebral Body Tethering Versus Posterior Spinal Fusion: A Meta-Analysis. JB JS Open Access, 2021. 6(2).</w:t>
      </w:r>
    </w:p>
  </w:footnote>
  <w:footnote w:id="24">
    <w:p w14:paraId="26E8BDF1" w14:textId="77777777" w:rsidR="00C94BC8" w:rsidRDefault="00C94BC8" w:rsidP="00BD17AF">
      <w:pPr>
        <w:pStyle w:val="FootnoteText"/>
      </w:pPr>
      <w:r>
        <w:rPr>
          <w:rStyle w:val="FootnoteReference"/>
        </w:rPr>
        <w:footnoteRef/>
      </w:r>
      <w:r>
        <w:t xml:space="preserve"> </w:t>
      </w:r>
      <w:r w:rsidRPr="00AA7893">
        <w:t>Miyanji et al Bone Joint J 2020;102-B(12):1703–1708.</w:t>
      </w:r>
    </w:p>
  </w:footnote>
  <w:footnote w:id="25">
    <w:p w14:paraId="49CB8544" w14:textId="77777777" w:rsidR="00C94BC8" w:rsidRDefault="00C94BC8" w:rsidP="00BD17AF">
      <w:pPr>
        <w:pStyle w:val="FootnoteText"/>
      </w:pPr>
      <w:r>
        <w:rPr>
          <w:rStyle w:val="FootnoteReference"/>
        </w:rPr>
        <w:footnoteRef/>
      </w:r>
      <w:r>
        <w:t xml:space="preserve"> </w:t>
      </w:r>
      <w:r w:rsidRPr="0014052A">
        <w:t>Pehlivanoglu et al Spine Deformity 2021 Jul;9(4):1175-1182. </w:t>
      </w:r>
    </w:p>
  </w:footnote>
  <w:footnote w:id="26">
    <w:p w14:paraId="1FC45CD1" w14:textId="77777777" w:rsidR="00C94BC8" w:rsidRDefault="00C94BC8" w:rsidP="00BD17AF">
      <w:pPr>
        <w:pStyle w:val="FootnoteText"/>
      </w:pPr>
      <w:r>
        <w:rPr>
          <w:rStyle w:val="FootnoteReference"/>
        </w:rPr>
        <w:footnoteRef/>
      </w:r>
      <w:r>
        <w:t xml:space="preserve"> </w:t>
      </w:r>
      <w:r w:rsidRPr="0014052A">
        <w:t>Polly DW, Noelle Larson A., Samdani AF, et al, 2021, ‘Cost-utility analysis of anterior vertebral body tethering versus spinal fusion in idiopathic scoliosis from a us integrated healthcare delivery system perspective’, ClinicoEconomics and Outcomes Research; 13: 175-190.</w:t>
      </w:r>
    </w:p>
  </w:footnote>
  <w:footnote w:id="27">
    <w:p w14:paraId="4B2992F8" w14:textId="77777777" w:rsidR="00C94BC8" w:rsidRDefault="00C94BC8" w:rsidP="00BD17AF">
      <w:pPr>
        <w:pStyle w:val="FootnoteText"/>
      </w:pPr>
      <w:r>
        <w:rPr>
          <w:rStyle w:val="FootnoteReference"/>
        </w:rPr>
        <w:footnoteRef/>
      </w:r>
      <w:r>
        <w:t xml:space="preserve"> </w:t>
      </w:r>
      <w:r w:rsidRPr="0014052A">
        <w:t>Aghdasi, B., et al., Patient-reported Outcomes Following Surgical Intervention for Adolescent Idiopathic Scoliosis: A Systematic Review and Meta-Analysis. Clin Spine Surg, 2020. 33(1): p. 24-34.</w:t>
      </w:r>
    </w:p>
  </w:footnote>
  <w:footnote w:id="28">
    <w:p w14:paraId="14F81428" w14:textId="77777777" w:rsidR="00C94BC8" w:rsidRDefault="00C94BC8" w:rsidP="00BD17AF">
      <w:pPr>
        <w:pStyle w:val="FootnoteText"/>
      </w:pPr>
      <w:r>
        <w:rPr>
          <w:rStyle w:val="FootnoteReference"/>
        </w:rPr>
        <w:footnoteRef/>
      </w:r>
      <w:r>
        <w:t xml:space="preserve"> </w:t>
      </w:r>
      <w:r w:rsidRPr="00E56828">
        <w:t>Mathew S, Larson AN, Potter DD, Milbrandt TA. Defining the learning curve in CT-guided navigated thoracoscopic vertebral body tethering. Spine Deform. 2021 Nov;9(6):1581-1589. doi: 10.1007/s43390-021-00364-w. Epub 2021 May 18. PMID: 34003460</w:t>
      </w:r>
    </w:p>
  </w:footnote>
  <w:footnote w:id="29">
    <w:p w14:paraId="0C29F0C4" w14:textId="77777777" w:rsidR="00C94BC8" w:rsidRDefault="00C94BC8" w:rsidP="00BD17AF">
      <w:pPr>
        <w:pStyle w:val="FootnoteText"/>
      </w:pPr>
      <w:r>
        <w:rPr>
          <w:rStyle w:val="FootnoteReference"/>
        </w:rPr>
        <w:footnoteRef/>
      </w:r>
      <w:r>
        <w:t xml:space="preserve"> </w:t>
      </w:r>
      <w:r w:rsidRPr="0027242D">
        <w:t>Herring JA. What Is the Role of Anterior Vertebral Tethering?: Commentary on an article by Peter O. Newton, MD, et al.: "Anterior Spinal Growth Modulation in Skeletally Immature Patients with Idiopathic Scoliosis. A Comparison with Posterior Spinal Fusion at 2 to 5 Years Postoperatively". J Bone Joint Surg Am. 2020 May 6;102(9):e41. doi: 10.2106/JBJS.20.00123.</w:t>
      </w:r>
    </w:p>
  </w:footnote>
  <w:footnote w:id="30">
    <w:p w14:paraId="40064574" w14:textId="77777777" w:rsidR="00C94BC8" w:rsidRDefault="00C94BC8" w:rsidP="00BD17AF">
      <w:pPr>
        <w:pStyle w:val="FootnoteText"/>
      </w:pPr>
      <w:r>
        <w:rPr>
          <w:rStyle w:val="FootnoteReference"/>
        </w:rPr>
        <w:footnoteRef/>
      </w:r>
      <w:r>
        <w:t xml:space="preserve"> </w:t>
      </w:r>
      <w:hyperlink r:id="rId1" w:history="1">
        <w:r w:rsidRPr="003E360E">
          <w:rPr>
            <w:rStyle w:val="Hyperlink"/>
          </w:rPr>
          <w:t>https://www.england.nhs.uk/commissioning/publication/vertebral-body-tethering-for-scoliosis-age-8-18-years/</w:t>
        </w:r>
      </w:hyperlink>
    </w:p>
  </w:footnote>
  <w:footnote w:id="31">
    <w:p w14:paraId="4BA33A19" w14:textId="77777777" w:rsidR="00C94BC8" w:rsidRDefault="00C94BC8" w:rsidP="00BD17AF">
      <w:pPr>
        <w:pStyle w:val="FootnoteText"/>
      </w:pPr>
      <w:r>
        <w:rPr>
          <w:rStyle w:val="FootnoteReference"/>
        </w:rPr>
        <w:footnoteRef/>
      </w:r>
      <w:hyperlink r:id="rId2" w:history="1">
        <w:r w:rsidRPr="003E360E">
          <w:rPr>
            <w:rStyle w:val="Hyperlink"/>
          </w:rPr>
          <w:t>https://britscoliosis.org.uk/resources/Documents/British%20Scoliosis%20Society%20VBT%20Position%20Statement.pdf</w:t>
        </w:r>
      </w:hyperlink>
    </w:p>
    <w:p w14:paraId="4FF8AB72" w14:textId="77777777" w:rsidR="00C94BC8" w:rsidRDefault="00C94BC8" w:rsidP="00BD17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11073"/>
    <w:multiLevelType w:val="hybridMultilevel"/>
    <w:tmpl w:val="660EA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73BF5"/>
    <w:multiLevelType w:val="hybridMultilevel"/>
    <w:tmpl w:val="B83E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D12D1"/>
    <w:multiLevelType w:val="hybridMultilevel"/>
    <w:tmpl w:val="1E44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D55C3A"/>
    <w:multiLevelType w:val="hybridMultilevel"/>
    <w:tmpl w:val="D59A0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F1ECD"/>
    <w:multiLevelType w:val="hybridMultilevel"/>
    <w:tmpl w:val="9314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180B89"/>
    <w:multiLevelType w:val="hybridMultilevel"/>
    <w:tmpl w:val="5418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1"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6863DF"/>
    <w:multiLevelType w:val="hybridMultilevel"/>
    <w:tmpl w:val="7A08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434B53"/>
    <w:multiLevelType w:val="multilevel"/>
    <w:tmpl w:val="F22E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387448"/>
    <w:multiLevelType w:val="multilevel"/>
    <w:tmpl w:val="B22A93B6"/>
    <w:numStyleLink w:val="Heading1a"/>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452B9B"/>
    <w:multiLevelType w:val="hybridMultilevel"/>
    <w:tmpl w:val="1318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A32183"/>
    <w:multiLevelType w:val="hybridMultilevel"/>
    <w:tmpl w:val="9198F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064D94"/>
    <w:multiLevelType w:val="hybridMultilevel"/>
    <w:tmpl w:val="D110E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343849"/>
    <w:multiLevelType w:val="hybridMultilevel"/>
    <w:tmpl w:val="E410CA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FBA0B51"/>
    <w:multiLevelType w:val="hybridMultilevel"/>
    <w:tmpl w:val="99060E9C"/>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906876"/>
    <w:multiLevelType w:val="hybridMultilevel"/>
    <w:tmpl w:val="4B8A6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71B5D"/>
    <w:multiLevelType w:val="hybridMultilevel"/>
    <w:tmpl w:val="0CD223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7" w15:restartNumberingAfterBreak="0">
    <w:nsid w:val="7BC87AF3"/>
    <w:multiLevelType w:val="hybridMultilevel"/>
    <w:tmpl w:val="0DE4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7E8D3C21"/>
    <w:multiLevelType w:val="hybridMultilevel"/>
    <w:tmpl w:val="F1CCCF0E"/>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30"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3"/>
  </w:num>
  <w:num w:numId="4">
    <w:abstractNumId w:val="30"/>
  </w:num>
  <w:num w:numId="5">
    <w:abstractNumId w:val="19"/>
  </w:num>
  <w:num w:numId="6">
    <w:abstractNumId w:val="17"/>
  </w:num>
  <w:num w:numId="7">
    <w:abstractNumId w:val="10"/>
  </w:num>
  <w:num w:numId="8">
    <w:abstractNumId w:val="8"/>
  </w:num>
  <w:num w:numId="9">
    <w:abstractNumId w:val="23"/>
  </w:num>
  <w:num w:numId="10">
    <w:abstractNumId w:val="28"/>
  </w:num>
  <w:num w:numId="11">
    <w:abstractNumId w:val="7"/>
  </w:num>
  <w:num w:numId="12">
    <w:abstractNumId w:val="16"/>
  </w:num>
  <w:num w:numId="13">
    <w:abstractNumId w:val="11"/>
  </w:num>
  <w:num w:numId="14">
    <w:abstractNumId w:val="31"/>
  </w:num>
  <w:num w:numId="15">
    <w:abstractNumId w:val="18"/>
  </w:num>
  <w:num w:numId="16">
    <w:abstractNumId w:val="2"/>
  </w:num>
  <w:num w:numId="17">
    <w:abstractNumId w:val="15"/>
  </w:num>
  <w:num w:numId="18">
    <w:abstractNumId w:val="26"/>
  </w:num>
  <w:num w:numId="19">
    <w:abstractNumId w:val="21"/>
  </w:num>
  <w:num w:numId="20">
    <w:abstractNumId w:val="14"/>
  </w:num>
  <w:num w:numId="21">
    <w:abstractNumId w:val="20"/>
  </w:num>
  <w:num w:numId="22">
    <w:abstractNumId w:val="1"/>
  </w:num>
  <w:num w:numId="23">
    <w:abstractNumId w:val="0"/>
  </w:num>
  <w:num w:numId="24">
    <w:abstractNumId w:val="24"/>
  </w:num>
  <w:num w:numId="25">
    <w:abstractNumId w:val="12"/>
  </w:num>
  <w:num w:numId="26">
    <w:abstractNumId w:val="25"/>
  </w:num>
  <w:num w:numId="27">
    <w:abstractNumId w:val="4"/>
  </w:num>
  <w:num w:numId="28">
    <w:abstractNumId w:val="6"/>
  </w:num>
  <w:num w:numId="29">
    <w:abstractNumId w:val="29"/>
  </w:num>
  <w:num w:numId="30">
    <w:abstractNumId w:val="9"/>
  </w:num>
  <w:num w:numId="31">
    <w:abstractNumId w:val="25"/>
  </w:num>
  <w:num w:numId="32">
    <w:abstractNumId w:val="22"/>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6AF"/>
    <w:rsid w:val="00011B66"/>
    <w:rsid w:val="00013522"/>
    <w:rsid w:val="00014731"/>
    <w:rsid w:val="000171A6"/>
    <w:rsid w:val="000213E9"/>
    <w:rsid w:val="00021DA2"/>
    <w:rsid w:val="000229A1"/>
    <w:rsid w:val="00022C02"/>
    <w:rsid w:val="0002593E"/>
    <w:rsid w:val="000268A1"/>
    <w:rsid w:val="0003019F"/>
    <w:rsid w:val="00030790"/>
    <w:rsid w:val="00041F14"/>
    <w:rsid w:val="0004250A"/>
    <w:rsid w:val="000538B5"/>
    <w:rsid w:val="00054151"/>
    <w:rsid w:val="0006073C"/>
    <w:rsid w:val="00061B4C"/>
    <w:rsid w:val="000632EF"/>
    <w:rsid w:val="00065623"/>
    <w:rsid w:val="00072D3B"/>
    <w:rsid w:val="00073B35"/>
    <w:rsid w:val="00073F4E"/>
    <w:rsid w:val="00080945"/>
    <w:rsid w:val="000827F0"/>
    <w:rsid w:val="0008767E"/>
    <w:rsid w:val="00090B67"/>
    <w:rsid w:val="000943A6"/>
    <w:rsid w:val="00095A79"/>
    <w:rsid w:val="000A50B9"/>
    <w:rsid w:val="000A63D3"/>
    <w:rsid w:val="000A738E"/>
    <w:rsid w:val="000B33D1"/>
    <w:rsid w:val="000C2E27"/>
    <w:rsid w:val="000C43CB"/>
    <w:rsid w:val="000C63A1"/>
    <w:rsid w:val="000C746F"/>
    <w:rsid w:val="000D403B"/>
    <w:rsid w:val="000D42F2"/>
    <w:rsid w:val="000E060A"/>
    <w:rsid w:val="000E396B"/>
    <w:rsid w:val="000E3C10"/>
    <w:rsid w:val="000E4270"/>
    <w:rsid w:val="000E6588"/>
    <w:rsid w:val="000F21FE"/>
    <w:rsid w:val="000F3693"/>
    <w:rsid w:val="000F5715"/>
    <w:rsid w:val="00103317"/>
    <w:rsid w:val="00104710"/>
    <w:rsid w:val="0012170D"/>
    <w:rsid w:val="0012282F"/>
    <w:rsid w:val="0013032B"/>
    <w:rsid w:val="0013112F"/>
    <w:rsid w:val="00131B95"/>
    <w:rsid w:val="00131D55"/>
    <w:rsid w:val="00136257"/>
    <w:rsid w:val="00136969"/>
    <w:rsid w:val="0014052A"/>
    <w:rsid w:val="00144C08"/>
    <w:rsid w:val="0014545A"/>
    <w:rsid w:val="00146CF6"/>
    <w:rsid w:val="001538CF"/>
    <w:rsid w:val="00155BF4"/>
    <w:rsid w:val="00157D30"/>
    <w:rsid w:val="001629E4"/>
    <w:rsid w:val="00167C8A"/>
    <w:rsid w:val="00170E70"/>
    <w:rsid w:val="00171759"/>
    <w:rsid w:val="00172C1E"/>
    <w:rsid w:val="00177F0E"/>
    <w:rsid w:val="0018325D"/>
    <w:rsid w:val="001866A4"/>
    <w:rsid w:val="00190AC3"/>
    <w:rsid w:val="001921DF"/>
    <w:rsid w:val="001951EC"/>
    <w:rsid w:val="001A669F"/>
    <w:rsid w:val="001B1DFA"/>
    <w:rsid w:val="001C7004"/>
    <w:rsid w:val="001C75D8"/>
    <w:rsid w:val="001D0D97"/>
    <w:rsid w:val="001D1668"/>
    <w:rsid w:val="001D24A5"/>
    <w:rsid w:val="001D2A85"/>
    <w:rsid w:val="001D47FB"/>
    <w:rsid w:val="001D6175"/>
    <w:rsid w:val="001D77D9"/>
    <w:rsid w:val="001E457C"/>
    <w:rsid w:val="001E51A0"/>
    <w:rsid w:val="001E578E"/>
    <w:rsid w:val="001F11FA"/>
    <w:rsid w:val="001F22FA"/>
    <w:rsid w:val="001F3C4C"/>
    <w:rsid w:val="001F59DF"/>
    <w:rsid w:val="001F5BA3"/>
    <w:rsid w:val="002048FD"/>
    <w:rsid w:val="00206760"/>
    <w:rsid w:val="0021159F"/>
    <w:rsid w:val="00215359"/>
    <w:rsid w:val="00215533"/>
    <w:rsid w:val="00222C5E"/>
    <w:rsid w:val="0022377B"/>
    <w:rsid w:val="00232BE1"/>
    <w:rsid w:val="00236247"/>
    <w:rsid w:val="00237C48"/>
    <w:rsid w:val="00240579"/>
    <w:rsid w:val="00241DF3"/>
    <w:rsid w:val="00242AD4"/>
    <w:rsid w:val="00243499"/>
    <w:rsid w:val="002448B4"/>
    <w:rsid w:val="00247E70"/>
    <w:rsid w:val="00250B9E"/>
    <w:rsid w:val="00252638"/>
    <w:rsid w:val="00252A2A"/>
    <w:rsid w:val="002531A4"/>
    <w:rsid w:val="0026665D"/>
    <w:rsid w:val="00267F42"/>
    <w:rsid w:val="0027168E"/>
    <w:rsid w:val="0027242D"/>
    <w:rsid w:val="00274B50"/>
    <w:rsid w:val="00276FF4"/>
    <w:rsid w:val="00280998"/>
    <w:rsid w:val="00286676"/>
    <w:rsid w:val="00286BC8"/>
    <w:rsid w:val="00292A36"/>
    <w:rsid w:val="0029348E"/>
    <w:rsid w:val="002962CC"/>
    <w:rsid w:val="002A451E"/>
    <w:rsid w:val="002A7743"/>
    <w:rsid w:val="002B34D5"/>
    <w:rsid w:val="002B534C"/>
    <w:rsid w:val="002B6782"/>
    <w:rsid w:val="002C5901"/>
    <w:rsid w:val="002D0267"/>
    <w:rsid w:val="002D08AA"/>
    <w:rsid w:val="002D1B4E"/>
    <w:rsid w:val="002D2973"/>
    <w:rsid w:val="002D31E1"/>
    <w:rsid w:val="002D43CE"/>
    <w:rsid w:val="002D57BB"/>
    <w:rsid w:val="002D5E83"/>
    <w:rsid w:val="002E4460"/>
    <w:rsid w:val="002E4919"/>
    <w:rsid w:val="002E6370"/>
    <w:rsid w:val="002F3D9D"/>
    <w:rsid w:val="002F4374"/>
    <w:rsid w:val="002F54B1"/>
    <w:rsid w:val="002F693D"/>
    <w:rsid w:val="002F7135"/>
    <w:rsid w:val="002F7E14"/>
    <w:rsid w:val="0030027C"/>
    <w:rsid w:val="00301374"/>
    <w:rsid w:val="00301462"/>
    <w:rsid w:val="00303414"/>
    <w:rsid w:val="00317AA2"/>
    <w:rsid w:val="00333391"/>
    <w:rsid w:val="00334946"/>
    <w:rsid w:val="00337945"/>
    <w:rsid w:val="0034047C"/>
    <w:rsid w:val="00342FAC"/>
    <w:rsid w:val="00344582"/>
    <w:rsid w:val="003515D1"/>
    <w:rsid w:val="0035535A"/>
    <w:rsid w:val="00355B86"/>
    <w:rsid w:val="00356A4A"/>
    <w:rsid w:val="0035718D"/>
    <w:rsid w:val="0035768C"/>
    <w:rsid w:val="00361DD2"/>
    <w:rsid w:val="003700A9"/>
    <w:rsid w:val="00373298"/>
    <w:rsid w:val="00374791"/>
    <w:rsid w:val="0037542D"/>
    <w:rsid w:val="00375500"/>
    <w:rsid w:val="00376E92"/>
    <w:rsid w:val="00381543"/>
    <w:rsid w:val="00386D67"/>
    <w:rsid w:val="00390A93"/>
    <w:rsid w:val="00393443"/>
    <w:rsid w:val="00396456"/>
    <w:rsid w:val="003A078D"/>
    <w:rsid w:val="003A1A48"/>
    <w:rsid w:val="003A2C3D"/>
    <w:rsid w:val="003A326F"/>
    <w:rsid w:val="003A3E18"/>
    <w:rsid w:val="003A4F78"/>
    <w:rsid w:val="003A61D1"/>
    <w:rsid w:val="003B02B8"/>
    <w:rsid w:val="003B0400"/>
    <w:rsid w:val="003B0CA4"/>
    <w:rsid w:val="003B2589"/>
    <w:rsid w:val="003B3324"/>
    <w:rsid w:val="003B3F4D"/>
    <w:rsid w:val="003B4323"/>
    <w:rsid w:val="003D2991"/>
    <w:rsid w:val="003D4BFC"/>
    <w:rsid w:val="003D6A0F"/>
    <w:rsid w:val="003E0568"/>
    <w:rsid w:val="003E1045"/>
    <w:rsid w:val="003E3728"/>
    <w:rsid w:val="003E44A3"/>
    <w:rsid w:val="003E63C9"/>
    <w:rsid w:val="003F0834"/>
    <w:rsid w:val="003F30AD"/>
    <w:rsid w:val="003F35C0"/>
    <w:rsid w:val="003F5EE6"/>
    <w:rsid w:val="004001AC"/>
    <w:rsid w:val="00402D5F"/>
    <w:rsid w:val="004031F7"/>
    <w:rsid w:val="0040650D"/>
    <w:rsid w:val="00410178"/>
    <w:rsid w:val="0041228F"/>
    <w:rsid w:val="0041377B"/>
    <w:rsid w:val="004145F2"/>
    <w:rsid w:val="0042114B"/>
    <w:rsid w:val="00424F41"/>
    <w:rsid w:val="00431A96"/>
    <w:rsid w:val="00432D1A"/>
    <w:rsid w:val="00433060"/>
    <w:rsid w:val="004332D9"/>
    <w:rsid w:val="0043547B"/>
    <w:rsid w:val="00441D8A"/>
    <w:rsid w:val="00443F1D"/>
    <w:rsid w:val="00445D77"/>
    <w:rsid w:val="004467F1"/>
    <w:rsid w:val="00447172"/>
    <w:rsid w:val="00450786"/>
    <w:rsid w:val="00451310"/>
    <w:rsid w:val="00452DFC"/>
    <w:rsid w:val="00460DB6"/>
    <w:rsid w:val="00463F69"/>
    <w:rsid w:val="00465A07"/>
    <w:rsid w:val="0046745E"/>
    <w:rsid w:val="00467556"/>
    <w:rsid w:val="00470FE6"/>
    <w:rsid w:val="00471BBB"/>
    <w:rsid w:val="00481683"/>
    <w:rsid w:val="004824D3"/>
    <w:rsid w:val="004851AB"/>
    <w:rsid w:val="00495285"/>
    <w:rsid w:val="004970B8"/>
    <w:rsid w:val="004A4E41"/>
    <w:rsid w:val="004A6802"/>
    <w:rsid w:val="004B01A4"/>
    <w:rsid w:val="004B1CB9"/>
    <w:rsid w:val="004B1E36"/>
    <w:rsid w:val="004B2358"/>
    <w:rsid w:val="004B5FE6"/>
    <w:rsid w:val="004C0219"/>
    <w:rsid w:val="004C1AE6"/>
    <w:rsid w:val="004C33CC"/>
    <w:rsid w:val="004C7A02"/>
    <w:rsid w:val="004D1800"/>
    <w:rsid w:val="004E348D"/>
    <w:rsid w:val="004E432D"/>
    <w:rsid w:val="004E5C21"/>
    <w:rsid w:val="004F0996"/>
    <w:rsid w:val="004F3363"/>
    <w:rsid w:val="004F3511"/>
    <w:rsid w:val="004F7AD1"/>
    <w:rsid w:val="0050188B"/>
    <w:rsid w:val="00502BFA"/>
    <w:rsid w:val="005060DC"/>
    <w:rsid w:val="00506727"/>
    <w:rsid w:val="005073A6"/>
    <w:rsid w:val="00511EE0"/>
    <w:rsid w:val="005146E9"/>
    <w:rsid w:val="00514BAF"/>
    <w:rsid w:val="00516ACE"/>
    <w:rsid w:val="005176E7"/>
    <w:rsid w:val="0053672B"/>
    <w:rsid w:val="0053685E"/>
    <w:rsid w:val="005415AD"/>
    <w:rsid w:val="005420D3"/>
    <w:rsid w:val="005437B6"/>
    <w:rsid w:val="00544BA0"/>
    <w:rsid w:val="00547152"/>
    <w:rsid w:val="005516CE"/>
    <w:rsid w:val="0055174D"/>
    <w:rsid w:val="00552DFF"/>
    <w:rsid w:val="00565224"/>
    <w:rsid w:val="005652B9"/>
    <w:rsid w:val="00566DC3"/>
    <w:rsid w:val="00567131"/>
    <w:rsid w:val="0056736C"/>
    <w:rsid w:val="0057350C"/>
    <w:rsid w:val="00573F22"/>
    <w:rsid w:val="00576ED3"/>
    <w:rsid w:val="00581A84"/>
    <w:rsid w:val="00582F79"/>
    <w:rsid w:val="00583D1B"/>
    <w:rsid w:val="005856E5"/>
    <w:rsid w:val="0058659C"/>
    <w:rsid w:val="00587E05"/>
    <w:rsid w:val="00590817"/>
    <w:rsid w:val="00590A73"/>
    <w:rsid w:val="005922DB"/>
    <w:rsid w:val="005938FD"/>
    <w:rsid w:val="005943A2"/>
    <w:rsid w:val="00594478"/>
    <w:rsid w:val="00597403"/>
    <w:rsid w:val="005A14E4"/>
    <w:rsid w:val="005A282B"/>
    <w:rsid w:val="005A3813"/>
    <w:rsid w:val="005A56F8"/>
    <w:rsid w:val="005A7206"/>
    <w:rsid w:val="005B59F4"/>
    <w:rsid w:val="005B65B0"/>
    <w:rsid w:val="005C361B"/>
    <w:rsid w:val="005C73A0"/>
    <w:rsid w:val="005D0332"/>
    <w:rsid w:val="005D637D"/>
    <w:rsid w:val="005D7D2D"/>
    <w:rsid w:val="005E153D"/>
    <w:rsid w:val="005E3645"/>
    <w:rsid w:val="005E42A8"/>
    <w:rsid w:val="005E7986"/>
    <w:rsid w:val="005F004E"/>
    <w:rsid w:val="005F3F61"/>
    <w:rsid w:val="00603860"/>
    <w:rsid w:val="006074D3"/>
    <w:rsid w:val="00607D37"/>
    <w:rsid w:val="00611744"/>
    <w:rsid w:val="00612A11"/>
    <w:rsid w:val="0061621F"/>
    <w:rsid w:val="00626D66"/>
    <w:rsid w:val="00632E38"/>
    <w:rsid w:val="006372CC"/>
    <w:rsid w:val="0063740F"/>
    <w:rsid w:val="00640A46"/>
    <w:rsid w:val="0065111E"/>
    <w:rsid w:val="00652E31"/>
    <w:rsid w:val="00655123"/>
    <w:rsid w:val="0065529B"/>
    <w:rsid w:val="00656D16"/>
    <w:rsid w:val="0066357A"/>
    <w:rsid w:val="0066429E"/>
    <w:rsid w:val="0066440A"/>
    <w:rsid w:val="00673F81"/>
    <w:rsid w:val="00676A80"/>
    <w:rsid w:val="00676C49"/>
    <w:rsid w:val="00677F7A"/>
    <w:rsid w:val="0068148F"/>
    <w:rsid w:val="00685001"/>
    <w:rsid w:val="006903EF"/>
    <w:rsid w:val="006907EE"/>
    <w:rsid w:val="00693467"/>
    <w:rsid w:val="00693716"/>
    <w:rsid w:val="006A0F63"/>
    <w:rsid w:val="006A27C7"/>
    <w:rsid w:val="006A33C2"/>
    <w:rsid w:val="006B241A"/>
    <w:rsid w:val="006B5BE7"/>
    <w:rsid w:val="006B77D6"/>
    <w:rsid w:val="006B7F3E"/>
    <w:rsid w:val="006C1938"/>
    <w:rsid w:val="006C26E3"/>
    <w:rsid w:val="006C3324"/>
    <w:rsid w:val="006C5230"/>
    <w:rsid w:val="006C5602"/>
    <w:rsid w:val="006D0F0F"/>
    <w:rsid w:val="006D118C"/>
    <w:rsid w:val="006D2C1C"/>
    <w:rsid w:val="006D7D0C"/>
    <w:rsid w:val="006E2F06"/>
    <w:rsid w:val="006E335D"/>
    <w:rsid w:val="006E7A8E"/>
    <w:rsid w:val="006F2A30"/>
    <w:rsid w:val="006F47F4"/>
    <w:rsid w:val="006F6B40"/>
    <w:rsid w:val="00703892"/>
    <w:rsid w:val="007069E3"/>
    <w:rsid w:val="007072FE"/>
    <w:rsid w:val="00707FED"/>
    <w:rsid w:val="00713577"/>
    <w:rsid w:val="00713D11"/>
    <w:rsid w:val="00714352"/>
    <w:rsid w:val="0071498A"/>
    <w:rsid w:val="00715A6E"/>
    <w:rsid w:val="00717063"/>
    <w:rsid w:val="00722408"/>
    <w:rsid w:val="00722776"/>
    <w:rsid w:val="007229D6"/>
    <w:rsid w:val="00723375"/>
    <w:rsid w:val="00731492"/>
    <w:rsid w:val="00732C4E"/>
    <w:rsid w:val="007355E3"/>
    <w:rsid w:val="00736B3B"/>
    <w:rsid w:val="0074268B"/>
    <w:rsid w:val="00744C5D"/>
    <w:rsid w:val="00746CEF"/>
    <w:rsid w:val="007554DA"/>
    <w:rsid w:val="007570C2"/>
    <w:rsid w:val="007618C1"/>
    <w:rsid w:val="00766E36"/>
    <w:rsid w:val="0077583C"/>
    <w:rsid w:val="00775963"/>
    <w:rsid w:val="00776876"/>
    <w:rsid w:val="00776D84"/>
    <w:rsid w:val="007829DC"/>
    <w:rsid w:val="00783B4F"/>
    <w:rsid w:val="007849B8"/>
    <w:rsid w:val="00794D30"/>
    <w:rsid w:val="007964EB"/>
    <w:rsid w:val="00797D8D"/>
    <w:rsid w:val="007A0F08"/>
    <w:rsid w:val="007A4B62"/>
    <w:rsid w:val="007A6BE5"/>
    <w:rsid w:val="007A7B08"/>
    <w:rsid w:val="007B07C3"/>
    <w:rsid w:val="007B4462"/>
    <w:rsid w:val="007B6FB7"/>
    <w:rsid w:val="007C21B1"/>
    <w:rsid w:val="007C2D6A"/>
    <w:rsid w:val="007C3ECD"/>
    <w:rsid w:val="007C4959"/>
    <w:rsid w:val="007D6C35"/>
    <w:rsid w:val="007D7ECB"/>
    <w:rsid w:val="007E02F2"/>
    <w:rsid w:val="007E0E0C"/>
    <w:rsid w:val="007E0EAF"/>
    <w:rsid w:val="007E1755"/>
    <w:rsid w:val="007F3A3F"/>
    <w:rsid w:val="007F454F"/>
    <w:rsid w:val="007F4E20"/>
    <w:rsid w:val="007F512F"/>
    <w:rsid w:val="007F5142"/>
    <w:rsid w:val="007F6CD9"/>
    <w:rsid w:val="00806A9C"/>
    <w:rsid w:val="008124F1"/>
    <w:rsid w:val="00817847"/>
    <w:rsid w:val="00821C8D"/>
    <w:rsid w:val="008227C1"/>
    <w:rsid w:val="00824BB9"/>
    <w:rsid w:val="00824D3F"/>
    <w:rsid w:val="008268CA"/>
    <w:rsid w:val="00827C06"/>
    <w:rsid w:val="00830134"/>
    <w:rsid w:val="0083013B"/>
    <w:rsid w:val="00832592"/>
    <w:rsid w:val="0084207E"/>
    <w:rsid w:val="0084255E"/>
    <w:rsid w:val="0084645A"/>
    <w:rsid w:val="00850724"/>
    <w:rsid w:val="00860128"/>
    <w:rsid w:val="008603D6"/>
    <w:rsid w:val="0086104A"/>
    <w:rsid w:val="0086280A"/>
    <w:rsid w:val="00862E3C"/>
    <w:rsid w:val="00867537"/>
    <w:rsid w:val="0087256D"/>
    <w:rsid w:val="0088197A"/>
    <w:rsid w:val="00881AC9"/>
    <w:rsid w:val="0088703B"/>
    <w:rsid w:val="00895757"/>
    <w:rsid w:val="00896E79"/>
    <w:rsid w:val="008A0279"/>
    <w:rsid w:val="008A0363"/>
    <w:rsid w:val="008A0D74"/>
    <w:rsid w:val="008A5B4A"/>
    <w:rsid w:val="008A5C67"/>
    <w:rsid w:val="008A6C0C"/>
    <w:rsid w:val="008A7405"/>
    <w:rsid w:val="008A7DB3"/>
    <w:rsid w:val="008B03F3"/>
    <w:rsid w:val="008B48BB"/>
    <w:rsid w:val="008C5A0B"/>
    <w:rsid w:val="008C6DE4"/>
    <w:rsid w:val="008D35E9"/>
    <w:rsid w:val="008E2DF5"/>
    <w:rsid w:val="008E6482"/>
    <w:rsid w:val="008E7C9A"/>
    <w:rsid w:val="008F0E98"/>
    <w:rsid w:val="00901821"/>
    <w:rsid w:val="00903432"/>
    <w:rsid w:val="0090375B"/>
    <w:rsid w:val="00904346"/>
    <w:rsid w:val="00904370"/>
    <w:rsid w:val="009110E5"/>
    <w:rsid w:val="00912AD8"/>
    <w:rsid w:val="00914068"/>
    <w:rsid w:val="00920A83"/>
    <w:rsid w:val="009213A0"/>
    <w:rsid w:val="00922FF7"/>
    <w:rsid w:val="00926718"/>
    <w:rsid w:val="0093025A"/>
    <w:rsid w:val="0093107A"/>
    <w:rsid w:val="00933B33"/>
    <w:rsid w:val="009351F0"/>
    <w:rsid w:val="00940F74"/>
    <w:rsid w:val="009418C0"/>
    <w:rsid w:val="00943312"/>
    <w:rsid w:val="00950A80"/>
    <w:rsid w:val="00950C0C"/>
    <w:rsid w:val="00956670"/>
    <w:rsid w:val="009606B7"/>
    <w:rsid w:val="00961AD6"/>
    <w:rsid w:val="00964755"/>
    <w:rsid w:val="00975F03"/>
    <w:rsid w:val="00976B13"/>
    <w:rsid w:val="00990BF9"/>
    <w:rsid w:val="00992679"/>
    <w:rsid w:val="009A0338"/>
    <w:rsid w:val="009A14EA"/>
    <w:rsid w:val="009A702B"/>
    <w:rsid w:val="009A7F1A"/>
    <w:rsid w:val="009B0A2C"/>
    <w:rsid w:val="009B2DD5"/>
    <w:rsid w:val="009B7E2B"/>
    <w:rsid w:val="009C0340"/>
    <w:rsid w:val="009C0D0B"/>
    <w:rsid w:val="009C12EB"/>
    <w:rsid w:val="009C34E7"/>
    <w:rsid w:val="009C4E63"/>
    <w:rsid w:val="009C5E6A"/>
    <w:rsid w:val="009C67A3"/>
    <w:rsid w:val="009D1BAC"/>
    <w:rsid w:val="009D64AB"/>
    <w:rsid w:val="009E1B49"/>
    <w:rsid w:val="009E29E2"/>
    <w:rsid w:val="009E2FFB"/>
    <w:rsid w:val="009E39A9"/>
    <w:rsid w:val="009F12CE"/>
    <w:rsid w:val="00A009C9"/>
    <w:rsid w:val="00A021B7"/>
    <w:rsid w:val="00A22BB5"/>
    <w:rsid w:val="00A24D6D"/>
    <w:rsid w:val="00A30752"/>
    <w:rsid w:val="00A30A85"/>
    <w:rsid w:val="00A317E6"/>
    <w:rsid w:val="00A3185C"/>
    <w:rsid w:val="00A35A4F"/>
    <w:rsid w:val="00A40D43"/>
    <w:rsid w:val="00A41BA6"/>
    <w:rsid w:val="00A44C6E"/>
    <w:rsid w:val="00A455AE"/>
    <w:rsid w:val="00A52FEC"/>
    <w:rsid w:val="00A558F9"/>
    <w:rsid w:val="00A56F4F"/>
    <w:rsid w:val="00A643FB"/>
    <w:rsid w:val="00A65A13"/>
    <w:rsid w:val="00A7451A"/>
    <w:rsid w:val="00A77AF6"/>
    <w:rsid w:val="00A8603E"/>
    <w:rsid w:val="00A90D35"/>
    <w:rsid w:val="00A96916"/>
    <w:rsid w:val="00AA3E4B"/>
    <w:rsid w:val="00AA502F"/>
    <w:rsid w:val="00AA689B"/>
    <w:rsid w:val="00AA7893"/>
    <w:rsid w:val="00AB0207"/>
    <w:rsid w:val="00AB37FD"/>
    <w:rsid w:val="00AB6EEE"/>
    <w:rsid w:val="00AC0916"/>
    <w:rsid w:val="00AD026F"/>
    <w:rsid w:val="00AD1E4A"/>
    <w:rsid w:val="00AD4B84"/>
    <w:rsid w:val="00AE0FB4"/>
    <w:rsid w:val="00AE3DBF"/>
    <w:rsid w:val="00AE4C2D"/>
    <w:rsid w:val="00AE76A3"/>
    <w:rsid w:val="00AF370F"/>
    <w:rsid w:val="00AF4260"/>
    <w:rsid w:val="00AF64E7"/>
    <w:rsid w:val="00AF72BF"/>
    <w:rsid w:val="00B01AC0"/>
    <w:rsid w:val="00B02E35"/>
    <w:rsid w:val="00B03576"/>
    <w:rsid w:val="00B0472C"/>
    <w:rsid w:val="00B102D9"/>
    <w:rsid w:val="00B10BB7"/>
    <w:rsid w:val="00B15E80"/>
    <w:rsid w:val="00B1779B"/>
    <w:rsid w:val="00B21B9B"/>
    <w:rsid w:val="00B221FA"/>
    <w:rsid w:val="00B25857"/>
    <w:rsid w:val="00B275E6"/>
    <w:rsid w:val="00B33D7B"/>
    <w:rsid w:val="00B360D5"/>
    <w:rsid w:val="00B37582"/>
    <w:rsid w:val="00B40410"/>
    <w:rsid w:val="00B411FE"/>
    <w:rsid w:val="00B4324E"/>
    <w:rsid w:val="00B432A2"/>
    <w:rsid w:val="00B46649"/>
    <w:rsid w:val="00B46C7E"/>
    <w:rsid w:val="00B476DD"/>
    <w:rsid w:val="00B5190B"/>
    <w:rsid w:val="00B51ADD"/>
    <w:rsid w:val="00B52FCF"/>
    <w:rsid w:val="00B6033B"/>
    <w:rsid w:val="00B71346"/>
    <w:rsid w:val="00B84D5C"/>
    <w:rsid w:val="00B904E2"/>
    <w:rsid w:val="00B95FA7"/>
    <w:rsid w:val="00B96A3F"/>
    <w:rsid w:val="00BA5A83"/>
    <w:rsid w:val="00BA6799"/>
    <w:rsid w:val="00BB081B"/>
    <w:rsid w:val="00BB18CD"/>
    <w:rsid w:val="00BB26AB"/>
    <w:rsid w:val="00BC04A2"/>
    <w:rsid w:val="00BC44F4"/>
    <w:rsid w:val="00BC58EE"/>
    <w:rsid w:val="00BC7692"/>
    <w:rsid w:val="00BD17AF"/>
    <w:rsid w:val="00BD6C4E"/>
    <w:rsid w:val="00BE3277"/>
    <w:rsid w:val="00BE396E"/>
    <w:rsid w:val="00BE69AC"/>
    <w:rsid w:val="00BF0479"/>
    <w:rsid w:val="00BF0DFE"/>
    <w:rsid w:val="00BF3109"/>
    <w:rsid w:val="00BF3486"/>
    <w:rsid w:val="00BF4914"/>
    <w:rsid w:val="00C0013C"/>
    <w:rsid w:val="00C05EDF"/>
    <w:rsid w:val="00C0787A"/>
    <w:rsid w:val="00C13B47"/>
    <w:rsid w:val="00C15907"/>
    <w:rsid w:val="00C164BD"/>
    <w:rsid w:val="00C175AC"/>
    <w:rsid w:val="00C1782D"/>
    <w:rsid w:val="00C20B8A"/>
    <w:rsid w:val="00C20BEE"/>
    <w:rsid w:val="00C31873"/>
    <w:rsid w:val="00C34180"/>
    <w:rsid w:val="00C34187"/>
    <w:rsid w:val="00C35178"/>
    <w:rsid w:val="00C429D7"/>
    <w:rsid w:val="00C45D90"/>
    <w:rsid w:val="00C50B10"/>
    <w:rsid w:val="00C5352B"/>
    <w:rsid w:val="00C53F71"/>
    <w:rsid w:val="00C614AF"/>
    <w:rsid w:val="00C6707D"/>
    <w:rsid w:val="00C67123"/>
    <w:rsid w:val="00C703C1"/>
    <w:rsid w:val="00C72AD0"/>
    <w:rsid w:val="00C808E5"/>
    <w:rsid w:val="00C84587"/>
    <w:rsid w:val="00C84EFB"/>
    <w:rsid w:val="00C90108"/>
    <w:rsid w:val="00C90EB4"/>
    <w:rsid w:val="00C94BC8"/>
    <w:rsid w:val="00C9784F"/>
    <w:rsid w:val="00CA243F"/>
    <w:rsid w:val="00CB1315"/>
    <w:rsid w:val="00CB1778"/>
    <w:rsid w:val="00CB7750"/>
    <w:rsid w:val="00CB7E7D"/>
    <w:rsid w:val="00CC038A"/>
    <w:rsid w:val="00CC23B0"/>
    <w:rsid w:val="00CC3943"/>
    <w:rsid w:val="00CC407B"/>
    <w:rsid w:val="00CD3675"/>
    <w:rsid w:val="00CD5843"/>
    <w:rsid w:val="00CD712E"/>
    <w:rsid w:val="00CD7AAF"/>
    <w:rsid w:val="00CD7F30"/>
    <w:rsid w:val="00CE3D79"/>
    <w:rsid w:val="00CE4225"/>
    <w:rsid w:val="00CE4B0C"/>
    <w:rsid w:val="00CF305A"/>
    <w:rsid w:val="00CF4FC5"/>
    <w:rsid w:val="00D00413"/>
    <w:rsid w:val="00D0140B"/>
    <w:rsid w:val="00D0166C"/>
    <w:rsid w:val="00D10820"/>
    <w:rsid w:val="00D10A85"/>
    <w:rsid w:val="00D118AD"/>
    <w:rsid w:val="00D14F4A"/>
    <w:rsid w:val="00D15284"/>
    <w:rsid w:val="00D15FDB"/>
    <w:rsid w:val="00D20847"/>
    <w:rsid w:val="00D23B93"/>
    <w:rsid w:val="00D24CD1"/>
    <w:rsid w:val="00D2623D"/>
    <w:rsid w:val="00D27B27"/>
    <w:rsid w:val="00D32BEE"/>
    <w:rsid w:val="00D4484B"/>
    <w:rsid w:val="00D4608C"/>
    <w:rsid w:val="00D4755A"/>
    <w:rsid w:val="00D47A2C"/>
    <w:rsid w:val="00D518A6"/>
    <w:rsid w:val="00D5228F"/>
    <w:rsid w:val="00D55D87"/>
    <w:rsid w:val="00D55F83"/>
    <w:rsid w:val="00D64636"/>
    <w:rsid w:val="00D6671A"/>
    <w:rsid w:val="00D672DE"/>
    <w:rsid w:val="00D701CC"/>
    <w:rsid w:val="00D70C50"/>
    <w:rsid w:val="00D769FB"/>
    <w:rsid w:val="00D867B8"/>
    <w:rsid w:val="00D909BD"/>
    <w:rsid w:val="00D923D5"/>
    <w:rsid w:val="00D93418"/>
    <w:rsid w:val="00D96E95"/>
    <w:rsid w:val="00DA2F53"/>
    <w:rsid w:val="00DB1E71"/>
    <w:rsid w:val="00DB30B5"/>
    <w:rsid w:val="00DB3957"/>
    <w:rsid w:val="00DB4A4B"/>
    <w:rsid w:val="00DC0E3C"/>
    <w:rsid w:val="00DC32E9"/>
    <w:rsid w:val="00DC3FFD"/>
    <w:rsid w:val="00DD066D"/>
    <w:rsid w:val="00DD08E3"/>
    <w:rsid w:val="00DD0AF1"/>
    <w:rsid w:val="00DD311A"/>
    <w:rsid w:val="00DD4893"/>
    <w:rsid w:val="00DD4F84"/>
    <w:rsid w:val="00DD59F8"/>
    <w:rsid w:val="00DE1748"/>
    <w:rsid w:val="00DE552A"/>
    <w:rsid w:val="00E02561"/>
    <w:rsid w:val="00E031DE"/>
    <w:rsid w:val="00E06462"/>
    <w:rsid w:val="00E12160"/>
    <w:rsid w:val="00E16CCC"/>
    <w:rsid w:val="00E17188"/>
    <w:rsid w:val="00E174BB"/>
    <w:rsid w:val="00E2765F"/>
    <w:rsid w:val="00E31F56"/>
    <w:rsid w:val="00E324E5"/>
    <w:rsid w:val="00E43AA9"/>
    <w:rsid w:val="00E46144"/>
    <w:rsid w:val="00E50E43"/>
    <w:rsid w:val="00E521B1"/>
    <w:rsid w:val="00E56828"/>
    <w:rsid w:val="00E57B85"/>
    <w:rsid w:val="00E57DE7"/>
    <w:rsid w:val="00E625A3"/>
    <w:rsid w:val="00E6288E"/>
    <w:rsid w:val="00E62F27"/>
    <w:rsid w:val="00E6321D"/>
    <w:rsid w:val="00E66003"/>
    <w:rsid w:val="00E70EE6"/>
    <w:rsid w:val="00E713BF"/>
    <w:rsid w:val="00E7422C"/>
    <w:rsid w:val="00E74504"/>
    <w:rsid w:val="00E7560F"/>
    <w:rsid w:val="00E771ED"/>
    <w:rsid w:val="00E80595"/>
    <w:rsid w:val="00E846B1"/>
    <w:rsid w:val="00E92081"/>
    <w:rsid w:val="00E924FD"/>
    <w:rsid w:val="00E936DA"/>
    <w:rsid w:val="00E93AA6"/>
    <w:rsid w:val="00E9674C"/>
    <w:rsid w:val="00E97375"/>
    <w:rsid w:val="00EA0ECA"/>
    <w:rsid w:val="00EA3CBC"/>
    <w:rsid w:val="00EA5C1C"/>
    <w:rsid w:val="00EB18EB"/>
    <w:rsid w:val="00EB4B2E"/>
    <w:rsid w:val="00EC5249"/>
    <w:rsid w:val="00EC6A05"/>
    <w:rsid w:val="00EC6A34"/>
    <w:rsid w:val="00EC71F9"/>
    <w:rsid w:val="00EC7868"/>
    <w:rsid w:val="00ED4E80"/>
    <w:rsid w:val="00EE2D09"/>
    <w:rsid w:val="00EF0CD8"/>
    <w:rsid w:val="00EF3110"/>
    <w:rsid w:val="00EF5D6A"/>
    <w:rsid w:val="00EF70CB"/>
    <w:rsid w:val="00EF786F"/>
    <w:rsid w:val="00F04F02"/>
    <w:rsid w:val="00F06DAA"/>
    <w:rsid w:val="00F133BE"/>
    <w:rsid w:val="00F16D80"/>
    <w:rsid w:val="00F16E5D"/>
    <w:rsid w:val="00F17027"/>
    <w:rsid w:val="00F2130A"/>
    <w:rsid w:val="00F2152F"/>
    <w:rsid w:val="00F2353D"/>
    <w:rsid w:val="00F25663"/>
    <w:rsid w:val="00F326F1"/>
    <w:rsid w:val="00F3358A"/>
    <w:rsid w:val="00F40721"/>
    <w:rsid w:val="00F40F9A"/>
    <w:rsid w:val="00F4320B"/>
    <w:rsid w:val="00F44311"/>
    <w:rsid w:val="00F51E0F"/>
    <w:rsid w:val="00F530A0"/>
    <w:rsid w:val="00F53378"/>
    <w:rsid w:val="00F558FD"/>
    <w:rsid w:val="00F60AAE"/>
    <w:rsid w:val="00F64B99"/>
    <w:rsid w:val="00F72DFB"/>
    <w:rsid w:val="00F7360A"/>
    <w:rsid w:val="00F739AB"/>
    <w:rsid w:val="00F7484F"/>
    <w:rsid w:val="00F76ADE"/>
    <w:rsid w:val="00F7764C"/>
    <w:rsid w:val="00F8174C"/>
    <w:rsid w:val="00F862A1"/>
    <w:rsid w:val="00F871A9"/>
    <w:rsid w:val="00F87CC9"/>
    <w:rsid w:val="00F9008F"/>
    <w:rsid w:val="00F94390"/>
    <w:rsid w:val="00F972E7"/>
    <w:rsid w:val="00FA0E10"/>
    <w:rsid w:val="00FA2BDD"/>
    <w:rsid w:val="00FA36DD"/>
    <w:rsid w:val="00FA5C07"/>
    <w:rsid w:val="00FB7083"/>
    <w:rsid w:val="00FC13AA"/>
    <w:rsid w:val="00FC1728"/>
    <w:rsid w:val="00FC218A"/>
    <w:rsid w:val="00FC2897"/>
    <w:rsid w:val="00FD07D0"/>
    <w:rsid w:val="00FD60FF"/>
    <w:rsid w:val="00FE1A4B"/>
    <w:rsid w:val="00FE56B4"/>
    <w:rsid w:val="00FE5F2A"/>
    <w:rsid w:val="00FF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rsid w:val="00065623"/>
    <w:rPr>
      <w:vertAlign w:val="superscript"/>
    </w:rPr>
  </w:style>
  <w:style w:type="paragraph" w:styleId="ListParagraph">
    <w:name w:val="List Paragraph"/>
    <w:aliases w:val="Styl moj,Akapit z listą1,Akapit z listą11,Body Text Bullet Points,Numbered para,BulletPoints,List Paragraph1,Bullet point,List Paragraph11,Recommendation,Section heading,Footnote,ES Paragraph,PBAC ES Paragraph,PBAC normal 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qFormat/>
    <w:rsid w:val="00C20B8A"/>
    <w:pPr>
      <w:jc w:val="center"/>
    </w:pPr>
  </w:style>
  <w:style w:type="table" w:styleId="TableGrid">
    <w:name w:val="Table Grid"/>
    <w:aliases w:val="Summary box,Table Gridbeth,CMA Table Template,ASD Table,RTI AMCP Table,new style"/>
    <w:basedOn w:val="TableNormal"/>
    <w:uiPriority w:val="59"/>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B432A2"/>
    <w:pPr>
      <w:keepNext/>
    </w:pPr>
    <w:rPr>
      <w:rFonts w:ascii="Arial Narrow" w:hAnsi="Arial Narrow" w:cs="Arial"/>
      <w:snapToGrid w:val="0"/>
      <w:sz w:val="18"/>
      <w:lang w:eastAsia="en-US"/>
    </w:rPr>
  </w:style>
  <w:style w:type="character" w:customStyle="1" w:styleId="TablenotesChar">
    <w:name w:val="Tablenotes Char"/>
    <w:basedOn w:val="DefaultParagraphFont"/>
    <w:link w:val="Tablenotes"/>
    <w:rsid w:val="00B432A2"/>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semiHidden/>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Body Text Bullet Points Char,Numbered para Char,BulletPoints Char,List Paragraph1 Char,Bullet point Char,List Paragraph11 Char,Recommendation Char,Section heading Char"/>
    <w:link w:val="ListParagraph"/>
    <w:uiPriority w:val="34"/>
    <w:qFormat/>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7D9"/>
    <w:rPr>
      <w:szCs w:val="24"/>
    </w:rPr>
  </w:style>
  <w:style w:type="paragraph" w:customStyle="1" w:styleId="Tablenotes0">
    <w:name w:val="Table notes"/>
    <w:basedOn w:val="Normal"/>
    <w:link w:val="TablenotesChar0"/>
    <w:qFormat/>
    <w:rsid w:val="004467F1"/>
    <w:pPr>
      <w:spacing w:after="240"/>
      <w:contextualSpacing/>
      <w:jc w:val="both"/>
    </w:pPr>
    <w:rPr>
      <w:rFonts w:ascii="Arial Narrow" w:hAnsi="Arial Narrow" w:cs="Arial"/>
      <w:sz w:val="18"/>
      <w:szCs w:val="24"/>
      <w:lang w:eastAsia="en-GB"/>
    </w:rPr>
  </w:style>
  <w:style w:type="character" w:customStyle="1" w:styleId="TablenotesChar0">
    <w:name w:val="Table notes Char"/>
    <w:basedOn w:val="DefaultParagraphFont"/>
    <w:link w:val="Tablenotes0"/>
    <w:rsid w:val="004467F1"/>
    <w:rPr>
      <w:rFonts w:ascii="Arial Narrow" w:eastAsia="Times New Roman" w:hAnsi="Arial Narrow" w:cs="Arial"/>
      <w:sz w:val="18"/>
      <w:szCs w:val="24"/>
      <w:lang w:eastAsia="en-GB"/>
    </w:rPr>
  </w:style>
  <w:style w:type="paragraph" w:customStyle="1" w:styleId="TableHeading0">
    <w:name w:val="Table Heading"/>
    <w:basedOn w:val="Normal"/>
    <w:next w:val="Normal"/>
    <w:qFormat/>
    <w:rsid w:val="00276FF4"/>
    <w:pPr>
      <w:keepNext/>
      <w:spacing w:before="40" w:after="40" w:line="312" w:lineRule="auto"/>
    </w:pPr>
    <w:rPr>
      <w:rFonts w:ascii="Arial" w:hAnsi="Arial" w:cs="Tahoma"/>
      <w:b/>
      <w:sz w:val="18"/>
      <w:szCs w:val="22"/>
      <w:lang w:val="en-GB" w:eastAsia="en-US"/>
    </w:rPr>
  </w:style>
  <w:style w:type="paragraph" w:customStyle="1" w:styleId="TableText0">
    <w:name w:val="Table Text"/>
    <w:basedOn w:val="Normal"/>
    <w:link w:val="TableTextChar0"/>
    <w:qFormat/>
    <w:rsid w:val="00276FF4"/>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276FF4"/>
    <w:rPr>
      <w:rFonts w:ascii="Arial Narrow" w:eastAsia="Times New Roman" w:hAnsi="Arial Narrow" w:cs="Tahoma"/>
      <w:sz w:val="20"/>
    </w:rPr>
  </w:style>
  <w:style w:type="paragraph" w:customStyle="1" w:styleId="TableFooter">
    <w:name w:val="Table Footer"/>
    <w:basedOn w:val="Normal"/>
    <w:link w:val="TableFooterChar"/>
    <w:qFormat/>
    <w:rsid w:val="00F87CC9"/>
    <w:pPr>
      <w:keepLines/>
      <w:widowControl w:val="0"/>
      <w:spacing w:after="240"/>
      <w:contextualSpacing/>
      <w:jc w:val="both"/>
    </w:pPr>
    <w:rPr>
      <w:rFonts w:ascii="Arial Narrow" w:hAnsi="Arial Narrow" w:cs="Arial"/>
      <w:snapToGrid w:val="0"/>
      <w:sz w:val="18"/>
      <w:szCs w:val="22"/>
      <w:lang w:eastAsia="en-US"/>
    </w:rPr>
  </w:style>
  <w:style w:type="character" w:customStyle="1" w:styleId="TableFooterChar">
    <w:name w:val="Table Footer Char"/>
    <w:link w:val="TableFooter"/>
    <w:rsid w:val="00F87CC9"/>
    <w:rPr>
      <w:rFonts w:ascii="Arial Narrow" w:eastAsia="Times New Roman" w:hAnsi="Arial Narrow" w:cs="Arial"/>
      <w:snapToGrid w:val="0"/>
      <w:sz w:val="18"/>
    </w:rPr>
  </w:style>
  <w:style w:type="paragraph" w:customStyle="1" w:styleId="CaptionFootnote">
    <w:name w:val="Caption Footnote"/>
    <w:basedOn w:val="Caption"/>
    <w:link w:val="CaptionFootnoteChar"/>
    <w:qFormat/>
    <w:rsid w:val="00A455AE"/>
    <w:pPr>
      <w:widowControl w:val="0"/>
      <w:tabs>
        <w:tab w:val="left" w:pos="1134"/>
      </w:tabs>
      <w:spacing w:after="240"/>
      <w:ind w:left="1134" w:hanging="1134"/>
      <w:contextualSpacing/>
      <w:outlineLvl w:val="9"/>
    </w:pPr>
    <w:rPr>
      <w:rFonts w:eastAsia="SimSun" w:cs="Times New Roman"/>
      <w:b w:val="0"/>
      <w:iCs w:val="0"/>
      <w:sz w:val="18"/>
      <w:szCs w:val="18"/>
      <w:lang w:bidi="en-US"/>
    </w:rPr>
  </w:style>
  <w:style w:type="character" w:customStyle="1" w:styleId="CaptionFootnoteChar">
    <w:name w:val="Caption Footnote Char"/>
    <w:link w:val="CaptionFootnote"/>
    <w:rsid w:val="00A455AE"/>
    <w:rPr>
      <w:rFonts w:ascii="Arial Narrow" w:eastAsia="SimSun" w:hAnsi="Arial Narrow" w:cs="Times New Roman"/>
      <w:bCs/>
      <w:sz w:val="18"/>
      <w:szCs w:val="18"/>
      <w:lang w:bidi="en-US"/>
    </w:rPr>
  </w:style>
  <w:style w:type="paragraph" w:customStyle="1" w:styleId="TableHeadingRow">
    <w:name w:val="TableHeadingRow"/>
    <w:basedOn w:val="Normal"/>
    <w:next w:val="Normal"/>
    <w:rsid w:val="004F3511"/>
    <w:pPr>
      <w:keepNext/>
      <w:spacing w:before="40" w:after="40"/>
    </w:pPr>
    <w:rPr>
      <w:rFonts w:ascii="Arial Narrow" w:hAnsi="Arial Narrow"/>
      <w:b/>
      <w:bCs/>
      <w:iCs/>
      <w:sz w:val="20"/>
      <w:szCs w:val="18"/>
      <w:lang w:eastAsia="zh-CN"/>
    </w:rPr>
  </w:style>
  <w:style w:type="paragraph" w:customStyle="1" w:styleId="In-tableHeading">
    <w:name w:val="In-table Heading"/>
    <w:qFormat/>
    <w:rsid w:val="00402D5F"/>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1">
    <w:name w:val="TableText"/>
    <w:basedOn w:val="Normal"/>
    <w:rsid w:val="00D0166C"/>
    <w:pPr>
      <w:keepNext/>
      <w:spacing w:before="60" w:after="60"/>
    </w:pPr>
    <w:rPr>
      <w:color w:val="000000"/>
      <w:sz w:val="21"/>
      <w:szCs w:val="21"/>
    </w:rPr>
  </w:style>
  <w:style w:type="paragraph" w:customStyle="1" w:styleId="TableBullet">
    <w:name w:val="TableBullet"/>
    <w:basedOn w:val="TableText1"/>
    <w:rsid w:val="00D0166C"/>
    <w:pPr>
      <w:numPr>
        <w:numId w:val="25"/>
      </w:numPr>
      <w:tabs>
        <w:tab w:val="left" w:pos="216"/>
      </w:tabs>
      <w:ind w:left="216" w:hanging="216"/>
    </w:pPr>
  </w:style>
  <w:style w:type="paragraph" w:customStyle="1" w:styleId="BulletBeforeDash">
    <w:name w:val="BulletBeforeDash"/>
    <w:basedOn w:val="Normal"/>
    <w:rsid w:val="00D0166C"/>
    <w:pPr>
      <w:numPr>
        <w:numId w:val="26"/>
      </w:numPr>
      <w:ind w:left="720"/>
    </w:pPr>
    <w:rPr>
      <w:color w:val="000000"/>
    </w:rPr>
  </w:style>
  <w:style w:type="paragraph" w:customStyle="1" w:styleId="Bullet">
    <w:name w:val="Bullet"/>
    <w:basedOn w:val="BulletBeforeDash"/>
    <w:qFormat/>
    <w:rsid w:val="00D0166C"/>
    <w:pPr>
      <w:spacing w:after="120"/>
    </w:pPr>
  </w:style>
  <w:style w:type="paragraph" w:customStyle="1" w:styleId="BulletLast">
    <w:name w:val="BulletLast"/>
    <w:basedOn w:val="Bullet"/>
    <w:qFormat/>
    <w:rsid w:val="00D0166C"/>
  </w:style>
  <w:style w:type="paragraph" w:customStyle="1" w:styleId="NormalBeforeBullet">
    <w:name w:val="NormalBeforeBullet"/>
    <w:basedOn w:val="Normal"/>
    <w:qFormat/>
    <w:rsid w:val="00D0166C"/>
    <w:pPr>
      <w:keepNext/>
      <w:spacing w:after="120"/>
    </w:pPr>
    <w:rPr>
      <w:color w:val="000000"/>
    </w:rPr>
  </w:style>
  <w:style w:type="character" w:customStyle="1" w:styleId="UnresolvedMention1">
    <w:name w:val="Unresolved Mention1"/>
    <w:basedOn w:val="DefaultParagraphFont"/>
    <w:uiPriority w:val="99"/>
    <w:semiHidden/>
    <w:unhideWhenUsed/>
    <w:rsid w:val="007355E3"/>
    <w:rPr>
      <w:color w:val="605E5C"/>
      <w:shd w:val="clear" w:color="auto" w:fill="E1DFDD"/>
    </w:rPr>
  </w:style>
  <w:style w:type="character" w:customStyle="1" w:styleId="UnresolvedMention2">
    <w:name w:val="Unresolved Mention2"/>
    <w:basedOn w:val="DefaultParagraphFont"/>
    <w:uiPriority w:val="99"/>
    <w:semiHidden/>
    <w:unhideWhenUsed/>
    <w:rsid w:val="00F25663"/>
    <w:rPr>
      <w:color w:val="605E5C"/>
      <w:shd w:val="clear" w:color="auto" w:fill="E1DFDD"/>
    </w:rPr>
  </w:style>
  <w:style w:type="character" w:styleId="FollowedHyperlink">
    <w:name w:val="FollowedHyperlink"/>
    <w:basedOn w:val="DefaultParagraphFont"/>
    <w:uiPriority w:val="99"/>
    <w:semiHidden/>
    <w:unhideWhenUsed/>
    <w:rsid w:val="00F17027"/>
    <w:rPr>
      <w:color w:val="800080" w:themeColor="followedHyperlink"/>
      <w:u w:val="single"/>
    </w:rPr>
  </w:style>
  <w:style w:type="paragraph" w:customStyle="1" w:styleId="BoxText">
    <w:name w:val="BoxText"/>
    <w:basedOn w:val="Normal"/>
    <w:qFormat/>
    <w:rsid w:val="008D35E9"/>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8D35E9"/>
    <w:pPr>
      <w:keepNext/>
      <w:spacing w:before="180"/>
      <w:ind w:left="1080" w:hanging="1080"/>
    </w:pPr>
    <w:rPr>
      <w:b/>
      <w:bCs/>
    </w:rPr>
  </w:style>
  <w:style w:type="paragraph" w:customStyle="1" w:styleId="BoxHeading">
    <w:name w:val="BoxHeading"/>
    <w:basedOn w:val="BoxText"/>
    <w:rsid w:val="008D35E9"/>
    <w:pPr>
      <w:keepNext/>
      <w:spacing w:before="120" w:after="60"/>
    </w:pPr>
    <w:rPr>
      <w:b/>
      <w:bCs/>
    </w:rPr>
  </w:style>
  <w:style w:type="character" w:customStyle="1" w:styleId="normaltextrun">
    <w:name w:val="normaltextrun"/>
    <w:basedOn w:val="DefaultParagraphFont"/>
    <w:rsid w:val="00832592"/>
  </w:style>
  <w:style w:type="character" w:styleId="UnresolvedMention">
    <w:name w:val="Unresolved Mention"/>
    <w:basedOn w:val="DefaultParagraphFont"/>
    <w:uiPriority w:val="99"/>
    <w:semiHidden/>
    <w:unhideWhenUsed/>
    <w:rsid w:val="004F3363"/>
    <w:rPr>
      <w:color w:val="605E5C"/>
      <w:shd w:val="clear" w:color="auto" w:fill="E1DFDD"/>
    </w:rPr>
  </w:style>
  <w:style w:type="paragraph" w:styleId="Revision">
    <w:name w:val="Revision"/>
    <w:hidden/>
    <w:uiPriority w:val="99"/>
    <w:semiHidden/>
    <w:rsid w:val="00D24CD1"/>
    <w:pPr>
      <w:spacing w:after="0" w:line="240" w:lineRule="auto"/>
    </w:pPr>
    <w:rPr>
      <w:rFonts w:eastAsia="Times New Roman" w:cs="Times New Roman"/>
      <w:szCs w:val="20"/>
      <w:lang w:eastAsia="en-AU"/>
    </w:rPr>
  </w:style>
  <w:style w:type="paragraph" w:styleId="Title">
    <w:name w:val="Title"/>
    <w:basedOn w:val="Normal"/>
    <w:next w:val="Normal"/>
    <w:link w:val="TitleChar"/>
    <w:qFormat/>
    <w:rsid w:val="00170E70"/>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170E70"/>
    <w:rPr>
      <w:rFonts w:ascii="Arial" w:eastAsia="Times New Roman" w:hAnsi="Arial" w:cs="Arial"/>
      <w:b/>
      <w:bCs/>
      <w:color w:val="000080"/>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6819">
      <w:bodyDiv w:val="1"/>
      <w:marLeft w:val="0"/>
      <w:marRight w:val="0"/>
      <w:marTop w:val="0"/>
      <w:marBottom w:val="0"/>
      <w:divBdr>
        <w:top w:val="none" w:sz="0" w:space="0" w:color="auto"/>
        <w:left w:val="none" w:sz="0" w:space="0" w:color="auto"/>
        <w:bottom w:val="none" w:sz="0" w:space="0" w:color="auto"/>
        <w:right w:val="none" w:sz="0" w:space="0" w:color="auto"/>
      </w:divBdr>
    </w:div>
    <w:div w:id="186531574">
      <w:bodyDiv w:val="1"/>
      <w:marLeft w:val="0"/>
      <w:marRight w:val="0"/>
      <w:marTop w:val="0"/>
      <w:marBottom w:val="0"/>
      <w:divBdr>
        <w:top w:val="none" w:sz="0" w:space="0" w:color="auto"/>
        <w:left w:val="none" w:sz="0" w:space="0" w:color="auto"/>
        <w:bottom w:val="none" w:sz="0" w:space="0" w:color="auto"/>
        <w:right w:val="none" w:sz="0" w:space="0" w:color="auto"/>
      </w:divBdr>
    </w:div>
    <w:div w:id="292564716">
      <w:bodyDiv w:val="1"/>
      <w:marLeft w:val="0"/>
      <w:marRight w:val="0"/>
      <w:marTop w:val="0"/>
      <w:marBottom w:val="0"/>
      <w:divBdr>
        <w:top w:val="none" w:sz="0" w:space="0" w:color="auto"/>
        <w:left w:val="none" w:sz="0" w:space="0" w:color="auto"/>
        <w:bottom w:val="none" w:sz="0" w:space="0" w:color="auto"/>
        <w:right w:val="none" w:sz="0" w:space="0" w:color="auto"/>
      </w:divBdr>
      <w:divsChild>
        <w:div w:id="1531607032">
          <w:marLeft w:val="288"/>
          <w:marRight w:val="0"/>
          <w:marTop w:val="86"/>
          <w:marBottom w:val="0"/>
          <w:divBdr>
            <w:top w:val="none" w:sz="0" w:space="0" w:color="auto"/>
            <w:left w:val="none" w:sz="0" w:space="0" w:color="auto"/>
            <w:bottom w:val="none" w:sz="0" w:space="0" w:color="auto"/>
            <w:right w:val="none" w:sz="0" w:space="0" w:color="auto"/>
          </w:divBdr>
        </w:div>
      </w:divsChild>
    </w:div>
    <w:div w:id="298459207">
      <w:bodyDiv w:val="1"/>
      <w:marLeft w:val="0"/>
      <w:marRight w:val="0"/>
      <w:marTop w:val="0"/>
      <w:marBottom w:val="0"/>
      <w:divBdr>
        <w:top w:val="none" w:sz="0" w:space="0" w:color="auto"/>
        <w:left w:val="none" w:sz="0" w:space="0" w:color="auto"/>
        <w:bottom w:val="none" w:sz="0" w:space="0" w:color="auto"/>
        <w:right w:val="none" w:sz="0" w:space="0" w:color="auto"/>
      </w:divBdr>
      <w:divsChild>
        <w:div w:id="227571884">
          <w:marLeft w:val="0"/>
          <w:marRight w:val="0"/>
          <w:marTop w:val="0"/>
          <w:marBottom w:val="0"/>
          <w:divBdr>
            <w:top w:val="none" w:sz="0" w:space="0" w:color="auto"/>
            <w:left w:val="none" w:sz="0" w:space="0" w:color="auto"/>
            <w:bottom w:val="none" w:sz="0" w:space="0" w:color="auto"/>
            <w:right w:val="none" w:sz="0" w:space="0" w:color="auto"/>
          </w:divBdr>
        </w:div>
      </w:divsChild>
    </w:div>
    <w:div w:id="354888428">
      <w:bodyDiv w:val="1"/>
      <w:marLeft w:val="0"/>
      <w:marRight w:val="0"/>
      <w:marTop w:val="0"/>
      <w:marBottom w:val="0"/>
      <w:divBdr>
        <w:top w:val="none" w:sz="0" w:space="0" w:color="auto"/>
        <w:left w:val="none" w:sz="0" w:space="0" w:color="auto"/>
        <w:bottom w:val="none" w:sz="0" w:space="0" w:color="auto"/>
        <w:right w:val="none" w:sz="0" w:space="0" w:color="auto"/>
      </w:divBdr>
    </w:div>
    <w:div w:id="436683462">
      <w:bodyDiv w:val="1"/>
      <w:marLeft w:val="0"/>
      <w:marRight w:val="0"/>
      <w:marTop w:val="0"/>
      <w:marBottom w:val="0"/>
      <w:divBdr>
        <w:top w:val="none" w:sz="0" w:space="0" w:color="auto"/>
        <w:left w:val="none" w:sz="0" w:space="0" w:color="auto"/>
        <w:bottom w:val="none" w:sz="0" w:space="0" w:color="auto"/>
        <w:right w:val="none" w:sz="0" w:space="0" w:color="auto"/>
      </w:divBdr>
    </w:div>
    <w:div w:id="601883445">
      <w:bodyDiv w:val="1"/>
      <w:marLeft w:val="0"/>
      <w:marRight w:val="0"/>
      <w:marTop w:val="0"/>
      <w:marBottom w:val="0"/>
      <w:divBdr>
        <w:top w:val="none" w:sz="0" w:space="0" w:color="auto"/>
        <w:left w:val="none" w:sz="0" w:space="0" w:color="auto"/>
        <w:bottom w:val="none" w:sz="0" w:space="0" w:color="auto"/>
        <w:right w:val="none" w:sz="0" w:space="0" w:color="auto"/>
      </w:divBdr>
    </w:div>
    <w:div w:id="701200835">
      <w:bodyDiv w:val="1"/>
      <w:marLeft w:val="0"/>
      <w:marRight w:val="0"/>
      <w:marTop w:val="0"/>
      <w:marBottom w:val="0"/>
      <w:divBdr>
        <w:top w:val="none" w:sz="0" w:space="0" w:color="auto"/>
        <w:left w:val="none" w:sz="0" w:space="0" w:color="auto"/>
        <w:bottom w:val="none" w:sz="0" w:space="0" w:color="auto"/>
        <w:right w:val="none" w:sz="0" w:space="0" w:color="auto"/>
      </w:divBdr>
    </w:div>
    <w:div w:id="821699941">
      <w:bodyDiv w:val="1"/>
      <w:marLeft w:val="0"/>
      <w:marRight w:val="0"/>
      <w:marTop w:val="0"/>
      <w:marBottom w:val="0"/>
      <w:divBdr>
        <w:top w:val="none" w:sz="0" w:space="0" w:color="auto"/>
        <w:left w:val="none" w:sz="0" w:space="0" w:color="auto"/>
        <w:bottom w:val="none" w:sz="0" w:space="0" w:color="auto"/>
        <w:right w:val="none" w:sz="0" w:space="0" w:color="auto"/>
      </w:divBdr>
    </w:div>
    <w:div w:id="990787744">
      <w:bodyDiv w:val="1"/>
      <w:marLeft w:val="0"/>
      <w:marRight w:val="0"/>
      <w:marTop w:val="0"/>
      <w:marBottom w:val="0"/>
      <w:divBdr>
        <w:top w:val="none" w:sz="0" w:space="0" w:color="auto"/>
        <w:left w:val="none" w:sz="0" w:space="0" w:color="auto"/>
        <w:bottom w:val="none" w:sz="0" w:space="0" w:color="auto"/>
        <w:right w:val="none" w:sz="0" w:space="0" w:color="auto"/>
      </w:divBdr>
    </w:div>
    <w:div w:id="1106510197">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295059885">
      <w:bodyDiv w:val="1"/>
      <w:marLeft w:val="0"/>
      <w:marRight w:val="0"/>
      <w:marTop w:val="0"/>
      <w:marBottom w:val="0"/>
      <w:divBdr>
        <w:top w:val="none" w:sz="0" w:space="0" w:color="auto"/>
        <w:left w:val="none" w:sz="0" w:space="0" w:color="auto"/>
        <w:bottom w:val="none" w:sz="0" w:space="0" w:color="auto"/>
        <w:right w:val="none" w:sz="0" w:space="0" w:color="auto"/>
      </w:divBdr>
      <w:divsChild>
        <w:div w:id="24717407">
          <w:marLeft w:val="288"/>
          <w:marRight w:val="0"/>
          <w:marTop w:val="86"/>
          <w:marBottom w:val="0"/>
          <w:divBdr>
            <w:top w:val="none" w:sz="0" w:space="0" w:color="auto"/>
            <w:left w:val="none" w:sz="0" w:space="0" w:color="auto"/>
            <w:bottom w:val="none" w:sz="0" w:space="0" w:color="auto"/>
            <w:right w:val="none" w:sz="0" w:space="0" w:color="auto"/>
          </w:divBdr>
        </w:div>
      </w:divsChild>
    </w:div>
    <w:div w:id="1396473343">
      <w:bodyDiv w:val="1"/>
      <w:marLeft w:val="0"/>
      <w:marRight w:val="0"/>
      <w:marTop w:val="0"/>
      <w:marBottom w:val="0"/>
      <w:divBdr>
        <w:top w:val="none" w:sz="0" w:space="0" w:color="auto"/>
        <w:left w:val="none" w:sz="0" w:space="0" w:color="auto"/>
        <w:bottom w:val="none" w:sz="0" w:space="0" w:color="auto"/>
        <w:right w:val="none" w:sz="0" w:space="0" w:color="auto"/>
      </w:divBdr>
    </w:div>
    <w:div w:id="1425884011">
      <w:bodyDiv w:val="1"/>
      <w:marLeft w:val="0"/>
      <w:marRight w:val="0"/>
      <w:marTop w:val="0"/>
      <w:marBottom w:val="0"/>
      <w:divBdr>
        <w:top w:val="none" w:sz="0" w:space="0" w:color="auto"/>
        <w:left w:val="none" w:sz="0" w:space="0" w:color="auto"/>
        <w:bottom w:val="none" w:sz="0" w:space="0" w:color="auto"/>
        <w:right w:val="none" w:sz="0" w:space="0" w:color="auto"/>
      </w:divBdr>
    </w:div>
    <w:div w:id="1427075760">
      <w:bodyDiv w:val="1"/>
      <w:marLeft w:val="0"/>
      <w:marRight w:val="0"/>
      <w:marTop w:val="0"/>
      <w:marBottom w:val="0"/>
      <w:divBdr>
        <w:top w:val="none" w:sz="0" w:space="0" w:color="auto"/>
        <w:left w:val="none" w:sz="0" w:space="0" w:color="auto"/>
        <w:bottom w:val="none" w:sz="0" w:space="0" w:color="auto"/>
        <w:right w:val="none" w:sz="0" w:space="0" w:color="auto"/>
      </w:divBdr>
      <w:divsChild>
        <w:div w:id="1710522149">
          <w:marLeft w:val="288"/>
          <w:marRight w:val="0"/>
          <w:marTop w:val="86"/>
          <w:marBottom w:val="0"/>
          <w:divBdr>
            <w:top w:val="none" w:sz="0" w:space="0" w:color="auto"/>
            <w:left w:val="none" w:sz="0" w:space="0" w:color="auto"/>
            <w:bottom w:val="none" w:sz="0" w:space="0" w:color="auto"/>
            <w:right w:val="none" w:sz="0" w:space="0" w:color="auto"/>
          </w:divBdr>
        </w:div>
      </w:divsChild>
    </w:div>
    <w:div w:id="1440292200">
      <w:bodyDiv w:val="1"/>
      <w:marLeft w:val="0"/>
      <w:marRight w:val="0"/>
      <w:marTop w:val="0"/>
      <w:marBottom w:val="0"/>
      <w:divBdr>
        <w:top w:val="none" w:sz="0" w:space="0" w:color="auto"/>
        <w:left w:val="none" w:sz="0" w:space="0" w:color="auto"/>
        <w:bottom w:val="none" w:sz="0" w:space="0" w:color="auto"/>
        <w:right w:val="none" w:sz="0" w:space="0" w:color="auto"/>
      </w:divBdr>
    </w:div>
    <w:div w:id="1477991605">
      <w:bodyDiv w:val="1"/>
      <w:marLeft w:val="0"/>
      <w:marRight w:val="0"/>
      <w:marTop w:val="0"/>
      <w:marBottom w:val="0"/>
      <w:divBdr>
        <w:top w:val="none" w:sz="0" w:space="0" w:color="auto"/>
        <w:left w:val="none" w:sz="0" w:space="0" w:color="auto"/>
        <w:bottom w:val="none" w:sz="0" w:space="0" w:color="auto"/>
        <w:right w:val="none" w:sz="0" w:space="0" w:color="auto"/>
      </w:divBdr>
    </w:div>
    <w:div w:id="1489974063">
      <w:bodyDiv w:val="1"/>
      <w:marLeft w:val="0"/>
      <w:marRight w:val="0"/>
      <w:marTop w:val="0"/>
      <w:marBottom w:val="0"/>
      <w:divBdr>
        <w:top w:val="none" w:sz="0" w:space="0" w:color="auto"/>
        <w:left w:val="none" w:sz="0" w:space="0" w:color="auto"/>
        <w:bottom w:val="none" w:sz="0" w:space="0" w:color="auto"/>
        <w:right w:val="none" w:sz="0" w:space="0" w:color="auto"/>
      </w:divBdr>
    </w:div>
    <w:div w:id="1687710016">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inicaltrials.gov/ct2/show/NCT04590807?cond=NCT04590807&amp;draw=2&amp;ra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bs.tga.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ritscoliosis.org.uk/resources/Documents/British%20Scoliosis%20Society%20VBT%20Position%20Statement.pdf" TargetMode="External"/><Relationship Id="rId1" Type="http://schemas.openxmlformats.org/officeDocument/2006/relationships/hyperlink" Target="https://www.england.nhs.uk/commissioning/publication/vertebral-body-tethering-for-scoliosis-age-8-18-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4F6C-C958-4E5C-A1A8-D0282959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10793</Words>
  <Characters>61521</Characters>
  <Application>Microsoft Office Word</Application>
  <DocSecurity>0</DocSecurity>
  <Lines>512</Lines>
  <Paragraphs>144</Paragraphs>
  <ScaleCrop>false</ScaleCrop>
  <Manager/>
  <Company/>
  <LinksUpToDate>false</LinksUpToDate>
  <CharactersWithSpaces>72170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2022-01-11T22:19:00Z</dcterms:created>
  <dcterms:modified xsi:type="dcterms:W3CDTF">2022-02-09T04:47:00Z</dcterms:modified>
</cp:coreProperties>
</file>