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D49A" w14:textId="77777777" w:rsidR="00E44B80" w:rsidRPr="00F637B3" w:rsidRDefault="00E44B80" w:rsidP="00E44B80">
      <w:pPr>
        <w:jc w:val="center"/>
        <w:rPr>
          <w:b/>
          <w:szCs w:val="20"/>
        </w:rPr>
      </w:pPr>
      <w:r w:rsidRPr="00F637B3">
        <w:rPr>
          <w:b/>
          <w:noProof/>
          <w:szCs w:val="20"/>
          <w:lang w:eastAsia="en-AU"/>
        </w:rPr>
        <w:drawing>
          <wp:inline distT="0" distB="0" distL="0" distR="0" wp14:anchorId="58895011" wp14:editId="26D18706">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51C7397B" w14:textId="18EA52F7" w:rsidR="0056015F" w:rsidRDefault="007A2711" w:rsidP="007A2711">
      <w:pPr>
        <w:pStyle w:val="Title"/>
        <w:spacing w:before="1440"/>
      </w:pPr>
      <w:r>
        <w:t xml:space="preserve">MSAC </w:t>
      </w:r>
      <w:r w:rsidR="008B2610" w:rsidRPr="001906CD">
        <w:t xml:space="preserve">Application </w:t>
      </w:r>
      <w:r>
        <w:t>1656</w:t>
      </w:r>
    </w:p>
    <w:p w14:paraId="62F50ED4" w14:textId="77777777" w:rsidR="0056015F" w:rsidRPr="0056015F" w:rsidRDefault="00F64479" w:rsidP="007A2711">
      <w:pPr>
        <w:pStyle w:val="TitleBlue"/>
        <w:spacing w:before="840" w:after="840"/>
      </w:pPr>
      <w:r>
        <w:t>Vertebral body tethering for adolescent idiopathic scoliosis</w:t>
      </w:r>
    </w:p>
    <w:p w14:paraId="62553E0E"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7B3A8955"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0FB37173"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72140E15" w14:textId="77777777" w:rsidR="009F5758" w:rsidRPr="00154B00" w:rsidRDefault="009F5758" w:rsidP="003F7CB9">
      <w:pPr>
        <w:spacing w:before="0" w:after="0"/>
      </w:pPr>
    </w:p>
    <w:p w14:paraId="066D3C82"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27B70AE3"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34298121"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374BA096" w14:textId="77777777" w:rsidR="00C171FB" w:rsidRDefault="00D57F88" w:rsidP="00E55EB5">
      <w:pPr>
        <w:pStyle w:val="Heading2"/>
      </w:pPr>
      <w:r w:rsidRPr="00A8732C">
        <w:t>Applicant d</w:t>
      </w:r>
      <w:r w:rsidR="00392F00" w:rsidRPr="00A8732C">
        <w:t>etails</w:t>
      </w:r>
      <w:r w:rsidR="000D066E" w:rsidRPr="00A8732C">
        <w:t xml:space="preserve"> (primary and alternative contacts)</w:t>
      </w:r>
    </w:p>
    <w:p w14:paraId="6B5C6CE9"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E55EB5">
        <w:t>Zimmer Biomet Pty Ltd</w:t>
      </w:r>
    </w:p>
    <w:p w14:paraId="53CB1F5A"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E55EB5">
        <w:t>96 096 480 992</w:t>
      </w:r>
    </w:p>
    <w:p w14:paraId="416CC50F" w14:textId="657B29F2" w:rsidR="00C171FB" w:rsidRPr="00C171FB" w:rsidRDefault="00C171FB" w:rsidP="007A2711">
      <w:pPr>
        <w:pBdr>
          <w:top w:val="single" w:sz="4" w:space="1" w:color="auto"/>
          <w:left w:val="single" w:sz="4" w:space="4" w:color="auto"/>
          <w:bottom w:val="single" w:sz="4" w:space="1" w:color="auto"/>
          <w:right w:val="single" w:sz="4" w:space="4" w:color="auto"/>
        </w:pBdr>
      </w:pPr>
      <w:r>
        <w:t xml:space="preserve">Business trading name: </w:t>
      </w:r>
      <w:r w:rsidR="00E55EB5">
        <w:t>Zimmer Biomet</w:t>
      </w:r>
    </w:p>
    <w:p w14:paraId="18CC340A" w14:textId="74F81B36" w:rsidR="00C171FB" w:rsidRDefault="00C171FB" w:rsidP="00C171FB">
      <w:pPr>
        <w:rPr>
          <w:b/>
        </w:rPr>
      </w:pPr>
      <w:r w:rsidRPr="00B626CD">
        <w:rPr>
          <w:b/>
        </w:rPr>
        <w:t xml:space="preserve">Primary contact name: </w:t>
      </w:r>
      <w:r w:rsidR="007A2711" w:rsidRPr="007A2711">
        <w:rPr>
          <w:b/>
        </w:rPr>
        <w:t>REDACTED</w:t>
      </w:r>
    </w:p>
    <w:p w14:paraId="74A35DC0" w14:textId="7C927FAA" w:rsidR="00C171FB" w:rsidRPr="003A751C" w:rsidRDefault="00C171FB" w:rsidP="00B626CD">
      <w:pPr>
        <w:rPr>
          <w:strike/>
        </w:rPr>
      </w:pPr>
      <w:r w:rsidRPr="00B626CD">
        <w:rPr>
          <w:b/>
        </w:rPr>
        <w:t xml:space="preserve">Alternative contact name: </w:t>
      </w:r>
      <w:r w:rsidR="007A2711" w:rsidRPr="007A2711">
        <w:rPr>
          <w:b/>
        </w:rPr>
        <w:t>REDACTED</w:t>
      </w:r>
    </w:p>
    <w:p w14:paraId="3A5089A2" w14:textId="77777777" w:rsidR="00C171FB" w:rsidRPr="00C171FB" w:rsidRDefault="00C171FB" w:rsidP="00C171FB"/>
    <w:p w14:paraId="3EBCE17F" w14:textId="77777777" w:rsidR="00534C5F" w:rsidRPr="00154B00" w:rsidRDefault="00494011" w:rsidP="004A0BF4">
      <w:pPr>
        <w:pStyle w:val="Heading2"/>
      </w:pPr>
      <w:r>
        <w:t xml:space="preserve">(a) </w:t>
      </w:r>
      <w:r w:rsidR="00534C5F">
        <w:t>Are you a lobbyist acting on behalf of an Applicant?</w:t>
      </w:r>
    </w:p>
    <w:p w14:paraId="6F239036"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51D68">
        <w:rPr>
          <w:szCs w:val="20"/>
        </w:rPr>
      </w:r>
      <w:r w:rsidR="00B51D68">
        <w:rPr>
          <w:szCs w:val="20"/>
        </w:rPr>
        <w:fldChar w:fldCharType="separate"/>
      </w:r>
      <w:r w:rsidRPr="00753C44">
        <w:rPr>
          <w:szCs w:val="20"/>
        </w:rPr>
        <w:fldChar w:fldCharType="end"/>
      </w:r>
      <w:r>
        <w:rPr>
          <w:szCs w:val="20"/>
        </w:rPr>
        <w:t xml:space="preserve"> Yes</w:t>
      </w:r>
    </w:p>
    <w:p w14:paraId="426067F8" w14:textId="77777777" w:rsidR="00A6491A" w:rsidRPr="00753C44" w:rsidRDefault="00E55EB5"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B51D68">
        <w:rPr>
          <w:szCs w:val="20"/>
        </w:rPr>
      </w:r>
      <w:r w:rsidR="00B51D68">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078174C8"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0C69CE6A" w14:textId="77777777" w:rsidR="00A6491A" w:rsidRPr="00753C44" w:rsidRDefault="00105B01" w:rsidP="00A6491A">
      <w:pPr>
        <w:spacing w:before="0" w:after="0"/>
        <w:ind w:left="426"/>
        <w:rPr>
          <w:szCs w:val="20"/>
        </w:rPr>
      </w:pPr>
      <w:r>
        <w:rPr>
          <w:szCs w:val="20"/>
        </w:rPr>
        <w:t>N/A</w:t>
      </w:r>
    </w:p>
    <w:p w14:paraId="52205CFF" w14:textId="77777777" w:rsidR="00E04FB3" w:rsidRDefault="00E04FB3" w:rsidP="005C333E">
      <w:pPr>
        <w:spacing w:before="0" w:after="0"/>
        <w:ind w:left="426"/>
        <w:rPr>
          <w:b/>
          <w:szCs w:val="20"/>
        </w:rPr>
      </w:pPr>
      <w:r w:rsidRPr="00154B00">
        <w:rPr>
          <w:b/>
          <w:szCs w:val="20"/>
        </w:rPr>
        <w:br w:type="page"/>
      </w:r>
    </w:p>
    <w:p w14:paraId="3E9C8E16"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1703A79A" w14:textId="77777777" w:rsidR="000B3CD0" w:rsidRDefault="000B3CD0" w:rsidP="00730C04">
      <w:pPr>
        <w:pStyle w:val="Heading2"/>
      </w:pPr>
      <w:r w:rsidRPr="00154B00">
        <w:t>Application title</w:t>
      </w:r>
      <w:r w:rsidR="00A8732C">
        <w:t xml:space="preserve"> </w:t>
      </w:r>
    </w:p>
    <w:p w14:paraId="02418EF9" w14:textId="77777777" w:rsidR="009056C5" w:rsidRPr="009056C5" w:rsidRDefault="00E55EB5" w:rsidP="007A2711">
      <w:pPr>
        <w:ind w:left="284" w:firstLine="76"/>
      </w:pPr>
      <w:r>
        <w:t>Vertebral body tethering for adolescent idiopathic scoliosis</w:t>
      </w:r>
    </w:p>
    <w:p w14:paraId="281699A3"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0610B805" w14:textId="32D01822" w:rsidR="002C3345" w:rsidRPr="009056C5" w:rsidRDefault="00016242" w:rsidP="007A2711">
      <w:pPr>
        <w:ind w:left="360"/>
      </w:pPr>
      <w:r>
        <w:t xml:space="preserve">Scoliosis is defined as a lateral </w:t>
      </w:r>
      <w:r w:rsidR="00C3399F">
        <w:t xml:space="preserve">S- or C-shaped </w:t>
      </w:r>
      <w:r>
        <w:t>curvature of the spine in the coronal plane of more than 10</w:t>
      </w:r>
      <w:r>
        <w:rPr>
          <w:rFonts w:cstheme="minorHAnsi"/>
        </w:rPr>
        <w:t>°</w:t>
      </w:r>
      <w:r w:rsidR="0088158C">
        <w:t xml:space="preserve">, </w:t>
      </w:r>
      <w:r>
        <w:t xml:space="preserve">as measured by the </w:t>
      </w:r>
      <w:r w:rsidR="00497060">
        <w:t>‘</w:t>
      </w:r>
      <w:r>
        <w:t>Cobb angle</w:t>
      </w:r>
      <w:r w:rsidR="00497060">
        <w:t>’</w:t>
      </w:r>
      <w:r w:rsidR="0088158C">
        <w:t xml:space="preserve"> </w:t>
      </w:r>
      <w:r w:rsidR="00497060">
        <w:t xml:space="preserve">(the angle </w:t>
      </w:r>
      <w:r w:rsidR="0088158C">
        <w:t>between the most titled upper and lower vertebrae</w:t>
      </w:r>
      <w:r w:rsidR="00497060">
        <w:t>)</w:t>
      </w:r>
      <w:r>
        <w:t xml:space="preserve">.  In the younger population, 85% of </w:t>
      </w:r>
      <w:r w:rsidR="00C3399F">
        <w:t xml:space="preserve">scoliosis </w:t>
      </w:r>
      <w:r>
        <w:t xml:space="preserve">cases are idiopathic </w:t>
      </w:r>
      <w:r w:rsidR="0088158C">
        <w:t xml:space="preserve">(of unknown cause) </w:t>
      </w:r>
      <w:r>
        <w:t>after excluding congenital, syndromic, or neuromuscular causes.</w:t>
      </w:r>
      <w:r w:rsidR="0088158C">
        <w:t xml:space="preserve">  </w:t>
      </w:r>
      <w:r w:rsidR="00135CE5" w:rsidRPr="00135CE5">
        <w:t xml:space="preserve">The incidence of </w:t>
      </w:r>
      <w:r w:rsidR="00C3399F">
        <w:t>scolio</w:t>
      </w:r>
      <w:r w:rsidR="00135CE5" w:rsidRPr="00135CE5">
        <w:t xml:space="preserve">sis is </w:t>
      </w:r>
      <w:r w:rsidR="00135CE5">
        <w:t>similar i</w:t>
      </w:r>
      <w:r w:rsidR="00135CE5" w:rsidRPr="00135CE5">
        <w:t>n males and females; however, females have up to a 10-fold greater risk of curve progression</w:t>
      </w:r>
      <w:r w:rsidR="00135CE5">
        <w:t xml:space="preserve">.  </w:t>
      </w:r>
      <w:r w:rsidR="0088158C">
        <w:t xml:space="preserve">Adolescent idiopathic scoliosis (AIS) refers to </w:t>
      </w:r>
      <w:r w:rsidR="00C3399F">
        <w:t xml:space="preserve">scoliosis in </w:t>
      </w:r>
      <w:r w:rsidR="0088158C">
        <w:t xml:space="preserve">patients aged </w:t>
      </w:r>
      <w:r w:rsidR="00C3399F">
        <w:t xml:space="preserve">between </w:t>
      </w:r>
      <w:r w:rsidR="0088158C">
        <w:t xml:space="preserve">10 </w:t>
      </w:r>
      <w:r w:rsidR="00C3399F">
        <w:t>and</w:t>
      </w:r>
      <w:r w:rsidR="0088158C">
        <w:t xml:space="preserve"> 18 years.  </w:t>
      </w:r>
      <w:r w:rsidR="001A0972">
        <w:t>A</w:t>
      </w:r>
      <w:r w:rsidR="0088158C">
        <w:t xml:space="preserve">IS may </w:t>
      </w:r>
      <w:r w:rsidR="00135CE5">
        <w:t>cause</w:t>
      </w:r>
      <w:r w:rsidR="0088158C">
        <w:t xml:space="preserve"> </w:t>
      </w:r>
      <w:r w:rsidR="001A0972">
        <w:t xml:space="preserve">back </w:t>
      </w:r>
      <w:r w:rsidR="00135CE5">
        <w:t>pain</w:t>
      </w:r>
      <w:r w:rsidR="001A0972">
        <w:t xml:space="preserve"> and </w:t>
      </w:r>
      <w:r w:rsidR="00135CE5">
        <w:t xml:space="preserve">is associated with </w:t>
      </w:r>
      <w:r w:rsidR="00135CE5" w:rsidRPr="00135CE5">
        <w:t>visible deformity</w:t>
      </w:r>
      <w:r w:rsidR="00497060">
        <w:t xml:space="preserve">, which </w:t>
      </w:r>
      <w:r w:rsidR="001A0972">
        <w:t xml:space="preserve">in turn </w:t>
      </w:r>
      <w:r w:rsidR="00497060">
        <w:t xml:space="preserve">is associated with </w:t>
      </w:r>
      <w:r w:rsidR="00135CE5" w:rsidRPr="00135CE5">
        <w:t xml:space="preserve">emotional distress </w:t>
      </w:r>
      <w:r w:rsidR="00135CE5">
        <w:t>and diminished self-image</w:t>
      </w:r>
      <w:r w:rsidR="00C3399F">
        <w:t xml:space="preserve">   Surgery is typically recommended when the major thoracic Cobb angle exceeds 40</w:t>
      </w:r>
      <w:r w:rsidR="00C3399F">
        <w:rPr>
          <w:rFonts w:cstheme="minorHAnsi"/>
        </w:rPr>
        <w:t>°</w:t>
      </w:r>
      <w:r w:rsidR="00C3399F">
        <w:t>.  If u</w:t>
      </w:r>
      <w:r w:rsidR="00135CE5">
        <w:t>ntreated</w:t>
      </w:r>
      <w:r w:rsidR="00C3399F">
        <w:t>,</w:t>
      </w:r>
      <w:r w:rsidR="00135CE5">
        <w:t xml:space="preserve"> </w:t>
      </w:r>
      <w:r w:rsidR="00C3399F">
        <w:t>the</w:t>
      </w:r>
      <w:r w:rsidR="00497060">
        <w:t>se</w:t>
      </w:r>
      <w:r w:rsidR="00C3399F">
        <w:t xml:space="preserve"> </w:t>
      </w:r>
      <w:r w:rsidR="00135CE5">
        <w:t>curve progress into adulthood.  Severe curvature may lead to r</w:t>
      </w:r>
      <w:r w:rsidR="00135CE5" w:rsidRPr="00135CE5">
        <w:t xml:space="preserve">espiratory impairment </w:t>
      </w:r>
      <w:r w:rsidR="00135CE5">
        <w:t>due to</w:t>
      </w:r>
      <w:r w:rsidR="00135CE5" w:rsidRPr="00135CE5">
        <w:t xml:space="preserve"> rib deformit</w:t>
      </w:r>
      <w:r w:rsidR="00135CE5">
        <w:t>y.</w:t>
      </w:r>
    </w:p>
    <w:p w14:paraId="4A704BF7"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01F3AC18" w14:textId="411DBF1B" w:rsidR="007855E4" w:rsidRDefault="00C3399F" w:rsidP="007A2711">
      <w:pPr>
        <w:ind w:left="360"/>
      </w:pPr>
      <w:r w:rsidRPr="00C3399F">
        <w:t>V</w:t>
      </w:r>
      <w:r>
        <w:t>ertebral body tethering (V</w:t>
      </w:r>
      <w:r w:rsidRPr="00C3399F">
        <w:t>BT</w:t>
      </w:r>
      <w:r>
        <w:t>)</w:t>
      </w:r>
      <w:r w:rsidRPr="00C3399F">
        <w:t xml:space="preserve"> </w:t>
      </w:r>
      <w:r w:rsidR="007855E4" w:rsidRPr="007855E4">
        <w:t>is a form of scoliosis surgery that aims to preserve spinal mobility.</w:t>
      </w:r>
      <w:r w:rsidR="007855E4">
        <w:t xml:space="preserve">  It </w:t>
      </w:r>
      <w:r w:rsidRPr="00C3399F">
        <w:t xml:space="preserve">is a thoracoscopic, minimally-invasive technique in which screws are placed into the vertebral bodies </w:t>
      </w:r>
      <w:r w:rsidR="00497060">
        <w:t>(</w:t>
      </w:r>
      <w:r w:rsidR="00497060" w:rsidRPr="00497060">
        <w:t>the thick oval segment of bone forming the front of the vertebra</w:t>
      </w:r>
      <w:r w:rsidR="00497060">
        <w:t>)</w:t>
      </w:r>
      <w:r w:rsidR="00497060" w:rsidRPr="00497060">
        <w:t xml:space="preserve"> </w:t>
      </w:r>
      <w:r w:rsidRPr="00C3399F">
        <w:t xml:space="preserve">on the convex side of the coronal deformity. </w:t>
      </w:r>
      <w:r>
        <w:t xml:space="preserve"> </w:t>
      </w:r>
      <w:r w:rsidRPr="00C3399F">
        <w:t xml:space="preserve">The screws are placed into the middle of the vertebral body with bicortical purchase under fluoroscopic guidance. </w:t>
      </w:r>
      <w:r>
        <w:t xml:space="preserve"> </w:t>
      </w:r>
      <w:r w:rsidRPr="00C3399F">
        <w:t xml:space="preserve">A high-strength, braided polypropylene tether is then placed into the screw heads and sequentially secured to each screw after segmental compression. </w:t>
      </w:r>
      <w:r w:rsidR="007855E4">
        <w:t xml:space="preserve"> </w:t>
      </w:r>
      <w:r w:rsidRPr="00C3399F">
        <w:t xml:space="preserve">The technique achieves </w:t>
      </w:r>
      <w:r w:rsidR="007855E4">
        <w:t xml:space="preserve">immediate post-operative partial </w:t>
      </w:r>
      <w:r w:rsidRPr="00C3399F">
        <w:t>correction of the spinal def</w:t>
      </w:r>
      <w:r w:rsidR="007855E4">
        <w:t>ormity</w:t>
      </w:r>
      <w:r w:rsidRPr="00C3399F">
        <w:t>.</w:t>
      </w:r>
    </w:p>
    <w:p w14:paraId="088B039E" w14:textId="77777777" w:rsidR="007855E4" w:rsidRDefault="007855E4" w:rsidP="007A2711">
      <w:pPr>
        <w:ind w:left="360"/>
      </w:pPr>
      <w:r w:rsidRPr="007855E4">
        <w:t xml:space="preserve">The pressure from the </w:t>
      </w:r>
      <w:r>
        <w:t xml:space="preserve">tether </w:t>
      </w:r>
      <w:r w:rsidRPr="007855E4">
        <w:t>causes the vertebrae to grow denser and more slowly on the convex side of the curve</w:t>
      </w:r>
      <w:r>
        <w:t xml:space="preserve">, whilst </w:t>
      </w:r>
      <w:r w:rsidRPr="007855E4">
        <w:t xml:space="preserve">the concave side of </w:t>
      </w:r>
      <w:r>
        <w:t>the</w:t>
      </w:r>
      <w:r w:rsidRPr="007855E4">
        <w:t xml:space="preserve"> spine continue</w:t>
      </w:r>
      <w:r>
        <w:t>s</w:t>
      </w:r>
      <w:r w:rsidRPr="007855E4">
        <w:t xml:space="preserve"> to grow at a normal rate. </w:t>
      </w:r>
      <w:r>
        <w:t xml:space="preserve"> As such, the spine gradually straightens as the patient grows.</w:t>
      </w:r>
    </w:p>
    <w:p w14:paraId="3404C2C7" w14:textId="146442F1"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35B11DE4" w14:textId="77777777" w:rsidR="00753C44" w:rsidRDefault="00E55EB5" w:rsidP="007A2711">
      <w:pPr>
        <w:spacing w:before="0" w:after="0"/>
        <w:ind w:left="360"/>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B51D68">
        <w:rPr>
          <w:szCs w:val="20"/>
        </w:rPr>
      </w:r>
      <w:r w:rsidR="00B51D68">
        <w:rPr>
          <w:szCs w:val="20"/>
        </w:rPr>
        <w:fldChar w:fldCharType="separate"/>
      </w:r>
      <w:r>
        <w:rPr>
          <w:szCs w:val="20"/>
        </w:rPr>
        <w:fldChar w:fldCharType="end"/>
      </w:r>
      <w:bookmarkEnd w:id="2"/>
      <w:r w:rsidR="006B6390">
        <w:rPr>
          <w:szCs w:val="20"/>
        </w:rPr>
        <w:t xml:space="preserve"> Yes</w:t>
      </w:r>
    </w:p>
    <w:p w14:paraId="66D4863F" w14:textId="77777777" w:rsidR="00753C44" w:rsidRPr="00753C44" w:rsidRDefault="006B6390" w:rsidP="007A2711">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51D68">
        <w:rPr>
          <w:szCs w:val="20"/>
        </w:rPr>
      </w:r>
      <w:r w:rsidR="00B51D68">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022F179A"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63A913F5" w14:textId="77777777" w:rsidR="00753C44" w:rsidRDefault="006B6390" w:rsidP="007A2711">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51D68">
        <w:rPr>
          <w:szCs w:val="20"/>
        </w:rPr>
      </w:r>
      <w:r w:rsidR="00B51D68">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686F93DE" w14:textId="77777777" w:rsidR="00753C44" w:rsidRPr="00753C44" w:rsidRDefault="00E55EB5" w:rsidP="007A2711">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1D68">
        <w:rPr>
          <w:szCs w:val="20"/>
        </w:rPr>
      </w:r>
      <w:r w:rsidR="00B51D68">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1B8891C7"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614D48DF" w14:textId="0526EA77" w:rsidR="003D795C" w:rsidRPr="00CB12EC" w:rsidRDefault="00805001" w:rsidP="007A2711">
      <w:pPr>
        <w:ind w:left="284" w:firstLine="436"/>
      </w:pPr>
      <w:r>
        <w:t>N/A</w:t>
      </w:r>
    </w:p>
    <w:p w14:paraId="6CF17B16"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070BE04D" w14:textId="77777777" w:rsidR="002A270B" w:rsidRPr="00CB12EC" w:rsidRDefault="00105B01" w:rsidP="007A2711">
      <w:pPr>
        <w:ind w:left="284" w:firstLine="436"/>
      </w:pPr>
      <w:r>
        <w:t>N/A</w:t>
      </w:r>
    </w:p>
    <w:p w14:paraId="6DA88D43"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76403261"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51D68">
        <w:rPr>
          <w:b/>
          <w:szCs w:val="20"/>
        </w:rPr>
      </w:r>
      <w:r w:rsidR="00B51D68">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17D9BAF0" w14:textId="51138EFC" w:rsidR="006B6390" w:rsidRPr="00AA2CFE" w:rsidRDefault="00805001"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B51D68">
        <w:rPr>
          <w:b/>
          <w:szCs w:val="20"/>
        </w:rPr>
      </w:r>
      <w:r w:rsidR="00B51D68">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16E53ADE"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51D68">
        <w:rPr>
          <w:b/>
          <w:szCs w:val="20"/>
        </w:rPr>
      </w:r>
      <w:r w:rsidR="00B51D68">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73101A88"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51D68">
        <w:rPr>
          <w:b/>
          <w:szCs w:val="20"/>
        </w:rPr>
      </w:r>
      <w:r w:rsidR="00B51D68">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4BD6C2F9"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0902B622"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sidRPr="000A5B32">
        <w:rPr>
          <w:szCs w:val="20"/>
        </w:rPr>
        <w:t xml:space="preserve"> Yes</w:t>
      </w:r>
    </w:p>
    <w:p w14:paraId="1F2C6158" w14:textId="1257A79E" w:rsidR="00626365" w:rsidRPr="00626365" w:rsidRDefault="00805001" w:rsidP="00497060">
      <w:pPr>
        <w:spacing w:before="0" w:after="0"/>
        <w:ind w:left="284"/>
        <w:rPr>
          <w:rStyle w:val="Strong"/>
          <w:rFonts w:asciiTheme="minorHAnsi" w:eastAsiaTheme="minorHAnsi" w:hAnsiTheme="minorHAnsi" w:cstheme="minorBidi"/>
          <w:b w:val="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1D68">
        <w:rPr>
          <w:szCs w:val="20"/>
        </w:rPr>
      </w:r>
      <w:r w:rsidR="00B51D68">
        <w:rPr>
          <w:szCs w:val="20"/>
        </w:rPr>
        <w:fldChar w:fldCharType="separate"/>
      </w:r>
      <w:r>
        <w:rPr>
          <w:szCs w:val="20"/>
        </w:rPr>
        <w:fldChar w:fldCharType="end"/>
      </w:r>
      <w:r w:rsidR="000A5B32" w:rsidRPr="000A5B32">
        <w:rPr>
          <w:szCs w:val="20"/>
        </w:rPr>
        <w:t xml:space="preserve"> No</w:t>
      </w:r>
    </w:p>
    <w:p w14:paraId="049F3EB8"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6C35D2D6" w14:textId="343C9FCE" w:rsidR="000A5B32" w:rsidRPr="00855944" w:rsidRDefault="00805001" w:rsidP="00A6491A">
      <w:pPr>
        <w:ind w:left="284"/>
        <w:rPr>
          <w:rStyle w:val="Strong"/>
        </w:rPr>
      </w:pPr>
      <w:r>
        <w:t>N/A</w:t>
      </w:r>
    </w:p>
    <w:p w14:paraId="67E64C35" w14:textId="77777777" w:rsidR="000B3CD0" w:rsidRDefault="000B3CD0" w:rsidP="00730C04">
      <w:pPr>
        <w:pStyle w:val="Heading2"/>
      </w:pPr>
      <w:r w:rsidRPr="00154B00">
        <w:t>What is the type of service:</w:t>
      </w:r>
    </w:p>
    <w:p w14:paraId="09067FD3" w14:textId="77777777" w:rsidR="00A6594E" w:rsidRDefault="00E55EB5"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B51D68">
        <w:rPr>
          <w:b/>
          <w:szCs w:val="20"/>
        </w:rPr>
      </w:r>
      <w:r w:rsidR="00B51D68">
        <w:rPr>
          <w:b/>
          <w:szCs w:val="20"/>
        </w:rPr>
        <w:fldChar w:fldCharType="separate"/>
      </w:r>
      <w:r>
        <w:rPr>
          <w:b/>
          <w:szCs w:val="20"/>
        </w:rPr>
        <w:fldChar w:fldCharType="end"/>
      </w:r>
      <w:r w:rsidR="00A6594E" w:rsidRPr="0027105F">
        <w:rPr>
          <w:b/>
          <w:szCs w:val="20"/>
        </w:rPr>
        <w:t xml:space="preserve"> </w:t>
      </w:r>
      <w:r w:rsidR="00A6594E">
        <w:t>Therapeutic medical service</w:t>
      </w:r>
    </w:p>
    <w:p w14:paraId="59626AB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51D68">
        <w:rPr>
          <w:b/>
          <w:szCs w:val="20"/>
        </w:rPr>
      </w:r>
      <w:r w:rsidR="00B51D68">
        <w:rPr>
          <w:b/>
          <w:szCs w:val="20"/>
        </w:rPr>
        <w:fldChar w:fldCharType="separate"/>
      </w:r>
      <w:r w:rsidRPr="0027105F">
        <w:rPr>
          <w:b/>
          <w:szCs w:val="20"/>
        </w:rPr>
        <w:fldChar w:fldCharType="end"/>
      </w:r>
      <w:r w:rsidRPr="0027105F">
        <w:rPr>
          <w:b/>
          <w:szCs w:val="20"/>
        </w:rPr>
        <w:t xml:space="preserve"> </w:t>
      </w:r>
      <w:r>
        <w:t>Investigative medical service</w:t>
      </w:r>
    </w:p>
    <w:p w14:paraId="2FA4B6A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51D68">
        <w:rPr>
          <w:b/>
          <w:szCs w:val="20"/>
        </w:rPr>
      </w:r>
      <w:r w:rsidR="00B51D68">
        <w:rPr>
          <w:b/>
          <w:szCs w:val="20"/>
        </w:rPr>
        <w:fldChar w:fldCharType="separate"/>
      </w:r>
      <w:r w:rsidRPr="0027105F">
        <w:rPr>
          <w:b/>
          <w:szCs w:val="20"/>
        </w:rPr>
        <w:fldChar w:fldCharType="end"/>
      </w:r>
      <w:r w:rsidRPr="0027105F">
        <w:rPr>
          <w:b/>
          <w:szCs w:val="20"/>
        </w:rPr>
        <w:t xml:space="preserve"> </w:t>
      </w:r>
      <w:r>
        <w:t>Single consultation medical service</w:t>
      </w:r>
    </w:p>
    <w:p w14:paraId="5CFF61F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51D68">
        <w:rPr>
          <w:b/>
          <w:szCs w:val="20"/>
        </w:rPr>
      </w:r>
      <w:r w:rsidR="00B51D68">
        <w:rPr>
          <w:b/>
          <w:szCs w:val="20"/>
        </w:rPr>
        <w:fldChar w:fldCharType="separate"/>
      </w:r>
      <w:r w:rsidRPr="0027105F">
        <w:rPr>
          <w:b/>
          <w:szCs w:val="20"/>
        </w:rPr>
        <w:fldChar w:fldCharType="end"/>
      </w:r>
      <w:r w:rsidRPr="0027105F">
        <w:rPr>
          <w:b/>
          <w:szCs w:val="20"/>
        </w:rPr>
        <w:t xml:space="preserve"> </w:t>
      </w:r>
      <w:r>
        <w:t>Global consultation medical service</w:t>
      </w:r>
    </w:p>
    <w:p w14:paraId="4C5EC10F"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51D68">
        <w:rPr>
          <w:b/>
          <w:szCs w:val="20"/>
        </w:rPr>
      </w:r>
      <w:r w:rsidR="00B51D68">
        <w:rPr>
          <w:b/>
          <w:szCs w:val="20"/>
        </w:rPr>
        <w:fldChar w:fldCharType="separate"/>
      </w:r>
      <w:r w:rsidRPr="0027105F">
        <w:rPr>
          <w:b/>
          <w:szCs w:val="20"/>
        </w:rPr>
        <w:fldChar w:fldCharType="end"/>
      </w:r>
      <w:r w:rsidRPr="0027105F">
        <w:rPr>
          <w:b/>
          <w:szCs w:val="20"/>
        </w:rPr>
        <w:t xml:space="preserve"> </w:t>
      </w:r>
      <w:r>
        <w:t>Allied health service</w:t>
      </w:r>
    </w:p>
    <w:p w14:paraId="6A21455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51D68">
        <w:rPr>
          <w:b/>
          <w:szCs w:val="20"/>
        </w:rPr>
      </w:r>
      <w:r w:rsidR="00B51D68">
        <w:rPr>
          <w:b/>
          <w:szCs w:val="20"/>
        </w:rPr>
        <w:fldChar w:fldCharType="separate"/>
      </w:r>
      <w:r w:rsidRPr="0027105F">
        <w:rPr>
          <w:b/>
          <w:szCs w:val="20"/>
        </w:rPr>
        <w:fldChar w:fldCharType="end"/>
      </w:r>
      <w:r w:rsidRPr="0027105F">
        <w:rPr>
          <w:b/>
          <w:szCs w:val="20"/>
        </w:rPr>
        <w:t xml:space="preserve"> </w:t>
      </w:r>
      <w:r>
        <w:t>Co-dependent technology</w:t>
      </w:r>
    </w:p>
    <w:p w14:paraId="196E4C90"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51D68">
        <w:rPr>
          <w:b/>
          <w:szCs w:val="20"/>
        </w:rPr>
      </w:r>
      <w:r w:rsidR="00B51D68">
        <w:rPr>
          <w:b/>
          <w:szCs w:val="20"/>
        </w:rPr>
        <w:fldChar w:fldCharType="separate"/>
      </w:r>
      <w:r w:rsidRPr="0027105F">
        <w:rPr>
          <w:b/>
          <w:szCs w:val="20"/>
        </w:rPr>
        <w:fldChar w:fldCharType="end"/>
      </w:r>
      <w:r w:rsidRPr="0027105F">
        <w:rPr>
          <w:b/>
          <w:szCs w:val="20"/>
        </w:rPr>
        <w:t xml:space="preserve"> </w:t>
      </w:r>
      <w:r>
        <w:t>Hybrid health technology</w:t>
      </w:r>
    </w:p>
    <w:p w14:paraId="377BF300"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292613CE" w14:textId="77777777" w:rsidR="00A6594E" w:rsidRPr="00105B01" w:rsidRDefault="00105B01" w:rsidP="007A2711">
      <w:pPr>
        <w:spacing w:before="0" w:after="0"/>
        <w:ind w:firstLine="360"/>
        <w:rPr>
          <w:szCs w:val="20"/>
        </w:rPr>
      </w:pPr>
      <w:r w:rsidRPr="00105B01">
        <w:rPr>
          <w:szCs w:val="20"/>
        </w:rPr>
        <w:t>N/A</w:t>
      </w:r>
    </w:p>
    <w:p w14:paraId="34D28048"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0A9017B6" w14:textId="77777777" w:rsidR="00FE16C1" w:rsidRDefault="00FE16C1" w:rsidP="007A2711">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51D68">
        <w:rPr>
          <w:b/>
          <w:szCs w:val="20"/>
        </w:rPr>
      </w:r>
      <w:r w:rsidR="00B51D68">
        <w:rPr>
          <w:b/>
          <w:szCs w:val="20"/>
        </w:rPr>
        <w:fldChar w:fldCharType="separate"/>
      </w:r>
      <w:r w:rsidRPr="0027105F">
        <w:rPr>
          <w:b/>
          <w:szCs w:val="20"/>
        </w:rPr>
        <w:fldChar w:fldCharType="end"/>
      </w:r>
      <w:r w:rsidRPr="0027105F">
        <w:rPr>
          <w:b/>
          <w:szCs w:val="20"/>
        </w:rPr>
        <w:t xml:space="preserve"> </w:t>
      </w:r>
      <w:r>
        <w:t>Pharmaceutical / Biological</w:t>
      </w:r>
    </w:p>
    <w:p w14:paraId="54EA5484" w14:textId="77777777" w:rsidR="00FE16C1" w:rsidRDefault="00105B01" w:rsidP="007A2711">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B51D68">
        <w:rPr>
          <w:b/>
          <w:szCs w:val="20"/>
        </w:rPr>
      </w:r>
      <w:r w:rsidR="00B51D68">
        <w:rPr>
          <w:b/>
          <w:szCs w:val="20"/>
        </w:rPr>
        <w:fldChar w:fldCharType="separate"/>
      </w:r>
      <w:r>
        <w:rPr>
          <w:b/>
          <w:szCs w:val="20"/>
        </w:rPr>
        <w:fldChar w:fldCharType="end"/>
      </w:r>
      <w:r w:rsidR="00FE16C1" w:rsidRPr="0027105F">
        <w:rPr>
          <w:b/>
          <w:szCs w:val="20"/>
        </w:rPr>
        <w:t xml:space="preserve"> </w:t>
      </w:r>
      <w:r w:rsidR="00FE16C1">
        <w:t>Prosthesis or device</w:t>
      </w:r>
    </w:p>
    <w:p w14:paraId="3CB93D05" w14:textId="77777777" w:rsidR="00FE16C1" w:rsidRPr="00FE16C1" w:rsidRDefault="00FE16C1" w:rsidP="007A2711">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51D68">
        <w:rPr>
          <w:b/>
          <w:szCs w:val="20"/>
        </w:rPr>
      </w:r>
      <w:r w:rsidR="00B51D68">
        <w:rPr>
          <w:b/>
          <w:szCs w:val="20"/>
        </w:rPr>
        <w:fldChar w:fldCharType="separate"/>
      </w:r>
      <w:r w:rsidRPr="0027105F">
        <w:rPr>
          <w:b/>
          <w:szCs w:val="20"/>
        </w:rPr>
        <w:fldChar w:fldCharType="end"/>
      </w:r>
      <w:r w:rsidRPr="0027105F">
        <w:rPr>
          <w:b/>
          <w:szCs w:val="20"/>
        </w:rPr>
        <w:t xml:space="preserve"> </w:t>
      </w:r>
      <w:r>
        <w:t>No</w:t>
      </w:r>
    </w:p>
    <w:p w14:paraId="2966C654"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66D3525D" w14:textId="77777777" w:rsidR="00FE16C1" w:rsidRPr="00FE16C1" w:rsidRDefault="00105B01" w:rsidP="007A2711">
      <w:pPr>
        <w:spacing w:before="0" w:after="0"/>
        <w:ind w:firstLine="360"/>
        <w:rPr>
          <w:szCs w:val="20"/>
        </w:rPr>
      </w:pPr>
      <w:r>
        <w:rPr>
          <w:szCs w:val="20"/>
        </w:rPr>
        <w:t>N/A</w:t>
      </w:r>
    </w:p>
    <w:p w14:paraId="540BAF6C"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5F55A2D1" w14:textId="77777777" w:rsidR="007E39E4" w:rsidRPr="007E39E4" w:rsidRDefault="00105B01" w:rsidP="007A2711">
      <w:pPr>
        <w:ind w:firstLine="360"/>
        <w:rPr>
          <w:b/>
          <w:szCs w:val="20"/>
        </w:rPr>
      </w:pPr>
      <w:r>
        <w:t>N/A</w:t>
      </w:r>
    </w:p>
    <w:p w14:paraId="73540AEF" w14:textId="77777777" w:rsidR="00411735" w:rsidRPr="001E6958" w:rsidRDefault="00411735" w:rsidP="00530204">
      <w:pPr>
        <w:pStyle w:val="Heading2"/>
        <w:numPr>
          <w:ilvl w:val="0"/>
          <w:numId w:val="25"/>
        </w:numPr>
      </w:pPr>
      <w:r w:rsidRPr="001E6958">
        <w:lastRenderedPageBreak/>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7A3458F3" w14:textId="77777777" w:rsidR="001E6919" w:rsidRPr="007E39E4" w:rsidRDefault="00105B01" w:rsidP="007A2711">
      <w:pPr>
        <w:spacing w:before="0" w:after="0"/>
        <w:ind w:firstLine="360"/>
        <w:rPr>
          <w:szCs w:val="20"/>
        </w:rPr>
      </w:pPr>
      <w:r>
        <w:rPr>
          <w:szCs w:val="20"/>
        </w:rPr>
        <w:t>N/A</w:t>
      </w:r>
    </w:p>
    <w:p w14:paraId="4545524C"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0F72F65E" w14:textId="77777777" w:rsidR="001E6958" w:rsidRPr="001E6958" w:rsidRDefault="00105B01" w:rsidP="007A2711">
      <w:pPr>
        <w:spacing w:before="0" w:after="0"/>
        <w:ind w:firstLine="360"/>
      </w:pPr>
      <w:r>
        <w:t>N/A</w:t>
      </w:r>
    </w:p>
    <w:p w14:paraId="486235EF"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7ABBFE18" w14:textId="77777777" w:rsidR="001E6958" w:rsidRDefault="001E6958" w:rsidP="007A2711">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sidRPr="000A5B32">
        <w:rPr>
          <w:szCs w:val="20"/>
        </w:rPr>
        <w:t xml:space="preserve"> Yes</w:t>
      </w:r>
    </w:p>
    <w:p w14:paraId="6C68B7CC" w14:textId="124F9DD0" w:rsidR="001E6919" w:rsidRPr="001E6958" w:rsidRDefault="007855E4" w:rsidP="007A2711">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1D68">
        <w:rPr>
          <w:szCs w:val="20"/>
        </w:rPr>
      </w:r>
      <w:r w:rsidR="00B51D68">
        <w:rPr>
          <w:szCs w:val="20"/>
        </w:rPr>
        <w:fldChar w:fldCharType="separate"/>
      </w:r>
      <w:r>
        <w:rPr>
          <w:szCs w:val="20"/>
        </w:rPr>
        <w:fldChar w:fldCharType="end"/>
      </w:r>
      <w:r w:rsidR="00497060">
        <w:rPr>
          <w:szCs w:val="20"/>
        </w:rPr>
        <w:t xml:space="preserve"> No</w:t>
      </w:r>
    </w:p>
    <w:p w14:paraId="08600F43"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24B0FF50" w14:textId="5348AC08" w:rsidR="00AE2572" w:rsidRDefault="007855E4" w:rsidP="007A2711">
      <w:pPr>
        <w:spacing w:before="0" w:after="0"/>
        <w:ind w:left="284" w:firstLine="76"/>
      </w:pPr>
      <w:r>
        <w:t>N/A</w:t>
      </w:r>
    </w:p>
    <w:p w14:paraId="7B171BFA"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40994520"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sidRPr="000A5B32">
        <w:rPr>
          <w:szCs w:val="20"/>
        </w:rPr>
        <w:t xml:space="preserve"> Yes</w:t>
      </w:r>
    </w:p>
    <w:p w14:paraId="52FDA77A" w14:textId="47E22375" w:rsidR="001E6958" w:rsidRPr="009939DC" w:rsidRDefault="00AE6D2D"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1D68">
        <w:rPr>
          <w:szCs w:val="20"/>
        </w:rPr>
      </w:r>
      <w:r w:rsidR="00B51D68">
        <w:rPr>
          <w:szCs w:val="20"/>
        </w:rPr>
        <w:fldChar w:fldCharType="separate"/>
      </w:r>
      <w:r>
        <w:rPr>
          <w:szCs w:val="20"/>
        </w:rPr>
        <w:fldChar w:fldCharType="end"/>
      </w:r>
      <w:r w:rsidR="009939DC">
        <w:rPr>
          <w:szCs w:val="20"/>
        </w:rPr>
        <w:t xml:space="preserve"> No  </w:t>
      </w:r>
    </w:p>
    <w:p w14:paraId="69EC3E04" w14:textId="77777777" w:rsidR="007A2711" w:rsidRDefault="007A2711">
      <w:pPr>
        <w:spacing w:before="0" w:after="200" w:line="276" w:lineRule="auto"/>
        <w:rPr>
          <w:b/>
          <w:szCs w:val="20"/>
        </w:rPr>
      </w:pPr>
      <w:r>
        <w:br w:type="page"/>
      </w:r>
    </w:p>
    <w:p w14:paraId="680EDEC4" w14:textId="4774E118"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1D84F12D" w14:textId="195DE6C6" w:rsidR="009939DC" w:rsidRDefault="005B1F7F"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1D68">
        <w:rPr>
          <w:szCs w:val="20"/>
        </w:rPr>
      </w:r>
      <w:r w:rsidR="00B51D68">
        <w:rPr>
          <w:szCs w:val="20"/>
        </w:rPr>
        <w:fldChar w:fldCharType="separate"/>
      </w:r>
      <w:r>
        <w:rPr>
          <w:szCs w:val="20"/>
        </w:rPr>
        <w:fldChar w:fldCharType="end"/>
      </w:r>
      <w:r w:rsidR="009939DC" w:rsidRPr="000A5B32">
        <w:rPr>
          <w:szCs w:val="20"/>
        </w:rPr>
        <w:t xml:space="preserve"> Yes</w:t>
      </w:r>
    </w:p>
    <w:p w14:paraId="10251B60" w14:textId="1F451F1F" w:rsidR="009939DC" w:rsidRPr="001E6958" w:rsidRDefault="005B1F7F"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B51D68">
        <w:rPr>
          <w:szCs w:val="20"/>
        </w:rPr>
      </w:r>
      <w:r w:rsidR="00B51D68">
        <w:rPr>
          <w:szCs w:val="20"/>
        </w:rPr>
        <w:fldChar w:fldCharType="separate"/>
      </w:r>
      <w:r>
        <w:rPr>
          <w:szCs w:val="20"/>
        </w:rPr>
        <w:fldChar w:fldCharType="end"/>
      </w:r>
      <w:r w:rsidR="009939DC">
        <w:rPr>
          <w:szCs w:val="20"/>
        </w:rPr>
        <w:t xml:space="preserve"> No  </w:t>
      </w:r>
    </w:p>
    <w:p w14:paraId="7A97E50C"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303AFFE3" w14:textId="72574CD8" w:rsidR="00016B6E" w:rsidRPr="009939DC" w:rsidRDefault="005B1F7F" w:rsidP="00A6491A">
      <w:pPr>
        <w:ind w:left="284"/>
      </w:pPr>
      <w:r>
        <w:t>Globus Medical (REFLECT</w:t>
      </w:r>
      <w:r w:rsidRPr="005B1F7F">
        <w:rPr>
          <w:vertAlign w:val="superscript"/>
        </w:rPr>
        <w:t>TM</w:t>
      </w:r>
      <w:r>
        <w:t>).  However, the REFLECT</w:t>
      </w:r>
      <w:r w:rsidRPr="005B1F7F">
        <w:rPr>
          <w:vertAlign w:val="superscript"/>
        </w:rPr>
        <w:t>TM</w:t>
      </w:r>
      <w:r>
        <w:t xml:space="preserve"> cord (tether) is not on the Prostheses List.</w:t>
      </w:r>
    </w:p>
    <w:p w14:paraId="62776B20" w14:textId="77777777" w:rsidR="0084657B" w:rsidRPr="00CA36BE" w:rsidRDefault="00A9062D" w:rsidP="00530204">
      <w:pPr>
        <w:pStyle w:val="Heading2"/>
      </w:pPr>
      <w:r w:rsidRPr="00CA36BE">
        <w:t>P</w:t>
      </w:r>
      <w:r w:rsidR="0084657B" w:rsidRPr="00CA36BE">
        <w:t xml:space="preserve">lease identify </w:t>
      </w:r>
      <w:r w:rsidR="00E8649B" w:rsidRPr="00CA36BE">
        <w:t xml:space="preserve">any single </w:t>
      </w:r>
      <w:r w:rsidR="00016B6E" w:rsidRPr="00CA36BE">
        <w:t>and / or multi-</w:t>
      </w:r>
      <w:r w:rsidR="00E8649B" w:rsidRPr="00CA36BE">
        <w:t>use consumables</w:t>
      </w:r>
      <w:r w:rsidR="0084657B" w:rsidRPr="00CA36BE">
        <w:t xml:space="preserve"> </w:t>
      </w:r>
      <w:r w:rsidR="00E8649B" w:rsidRPr="00CA36BE">
        <w:t>delivered as part of the service?</w:t>
      </w:r>
    </w:p>
    <w:p w14:paraId="1A55854A" w14:textId="4079B9DE" w:rsidR="009939DC" w:rsidRPr="00CA36BE" w:rsidRDefault="009939DC" w:rsidP="00A6491A">
      <w:pPr>
        <w:spacing w:before="0" w:after="0"/>
        <w:ind w:left="284"/>
      </w:pPr>
      <w:r w:rsidRPr="00CA36BE">
        <w:t xml:space="preserve">Single use consumables: </w:t>
      </w:r>
      <w:r w:rsidR="00CA36BE">
        <w:t>N/A</w:t>
      </w:r>
    </w:p>
    <w:p w14:paraId="5DE7397A" w14:textId="15BDF499" w:rsidR="00F301F1" w:rsidRPr="00855944" w:rsidRDefault="009939DC" w:rsidP="00A6491A">
      <w:pPr>
        <w:spacing w:before="0" w:after="0"/>
        <w:ind w:left="284"/>
      </w:pPr>
      <w:r w:rsidRPr="00CA36BE">
        <w:t xml:space="preserve">Multi-use consumables: </w:t>
      </w:r>
      <w:r w:rsidR="00CA36BE">
        <w:t>N/A</w:t>
      </w:r>
      <w:r w:rsidR="00F301F1" w:rsidRPr="00855944">
        <w:br w:type="page"/>
      </w:r>
    </w:p>
    <w:p w14:paraId="0A94F61C"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0FB23C28"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43BA95E9" w14:textId="16A11C03" w:rsidR="00A26343" w:rsidRPr="00A26343" w:rsidRDefault="00A26343" w:rsidP="007A2711">
      <w:pPr>
        <w:spacing w:before="0" w:after="0"/>
        <w:ind w:left="284" w:firstLine="76"/>
        <w:rPr>
          <w:szCs w:val="20"/>
        </w:rPr>
      </w:pPr>
      <w:r w:rsidRPr="00A26343">
        <w:rPr>
          <w:szCs w:val="20"/>
        </w:rPr>
        <w:t>Type of therapeutic good</w:t>
      </w:r>
      <w:r>
        <w:rPr>
          <w:szCs w:val="20"/>
        </w:rPr>
        <w:t xml:space="preserve">: </w:t>
      </w:r>
      <w:r w:rsidR="000D0A99">
        <w:t>Vertebral body tethering system</w:t>
      </w:r>
      <w:r w:rsidR="005B1F7F">
        <w:t xml:space="preserve"> (The Tether</w:t>
      </w:r>
      <w:r w:rsidR="005B1F7F" w:rsidRPr="005B1F7F">
        <w:rPr>
          <w:vertAlign w:val="superscript"/>
        </w:rPr>
        <w:t>TM</w:t>
      </w:r>
      <w:r w:rsidR="005B1F7F">
        <w:t>)</w:t>
      </w:r>
    </w:p>
    <w:p w14:paraId="6815DB24" w14:textId="4D3701EE" w:rsidR="00A26343" w:rsidRPr="00A26343" w:rsidRDefault="00A26343" w:rsidP="007A2711">
      <w:pPr>
        <w:spacing w:before="0" w:after="0"/>
        <w:ind w:left="284" w:firstLine="76"/>
        <w:rPr>
          <w:szCs w:val="20"/>
        </w:rPr>
      </w:pPr>
      <w:r w:rsidRPr="00A26343">
        <w:rPr>
          <w:szCs w:val="20"/>
        </w:rPr>
        <w:t>Manufacturer’s name</w:t>
      </w:r>
      <w:r>
        <w:rPr>
          <w:szCs w:val="20"/>
        </w:rPr>
        <w:t xml:space="preserve">: </w:t>
      </w:r>
      <w:r w:rsidR="000D0A99">
        <w:t>Zimmer Biomet Spine Inc</w:t>
      </w:r>
    </w:p>
    <w:p w14:paraId="2984E991" w14:textId="168B64EE" w:rsidR="00A26343" w:rsidRPr="00A26343" w:rsidRDefault="00A26343" w:rsidP="007A2711">
      <w:pPr>
        <w:spacing w:before="0" w:after="0"/>
        <w:ind w:left="284" w:firstLine="76"/>
        <w:rPr>
          <w:szCs w:val="20"/>
        </w:rPr>
      </w:pPr>
      <w:r w:rsidRPr="00A26343">
        <w:rPr>
          <w:szCs w:val="20"/>
        </w:rPr>
        <w:t>Sponsor’s name</w:t>
      </w:r>
      <w:r>
        <w:rPr>
          <w:szCs w:val="20"/>
        </w:rPr>
        <w:t xml:space="preserve">: </w:t>
      </w:r>
      <w:r w:rsidR="000D0A99">
        <w:t>Zimmer Biomet Pty Ltd</w:t>
      </w:r>
    </w:p>
    <w:p w14:paraId="6B013252"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27F45B0B" w14:textId="77777777" w:rsidR="00615F42" w:rsidRPr="00615F42" w:rsidRDefault="00615F42" w:rsidP="007A2711">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sidRPr="000A5B32">
        <w:rPr>
          <w:szCs w:val="20"/>
        </w:rPr>
        <w:t xml:space="preserve"> </w:t>
      </w:r>
      <w:r w:rsidRPr="00615F42">
        <w:rPr>
          <w:szCs w:val="20"/>
        </w:rPr>
        <w:t>Class III</w:t>
      </w:r>
    </w:p>
    <w:p w14:paraId="64557429" w14:textId="77777777" w:rsidR="00615F42" w:rsidRPr="00615F42" w:rsidRDefault="00615F42" w:rsidP="007A2711">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sidRPr="000A5B32">
        <w:rPr>
          <w:szCs w:val="20"/>
        </w:rPr>
        <w:t xml:space="preserve"> </w:t>
      </w:r>
      <w:r w:rsidRPr="00615F42">
        <w:rPr>
          <w:szCs w:val="20"/>
        </w:rPr>
        <w:t>AIMD</w:t>
      </w:r>
    </w:p>
    <w:p w14:paraId="3D562774" w14:textId="09D9B5EB" w:rsidR="005E2CE3" w:rsidRPr="00154B00" w:rsidRDefault="000D0A99" w:rsidP="007A2711">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1D68">
        <w:rPr>
          <w:szCs w:val="20"/>
        </w:rPr>
      </w:r>
      <w:r w:rsidR="00B51D68">
        <w:rPr>
          <w:szCs w:val="20"/>
        </w:rPr>
        <w:fldChar w:fldCharType="separate"/>
      </w:r>
      <w:r>
        <w:rPr>
          <w:szCs w:val="20"/>
        </w:rPr>
        <w:fldChar w:fldCharType="end"/>
      </w:r>
      <w:r w:rsidR="00615F42" w:rsidRPr="000A5B32">
        <w:rPr>
          <w:szCs w:val="20"/>
        </w:rPr>
        <w:t xml:space="preserve"> </w:t>
      </w:r>
      <w:r w:rsidR="00615F42" w:rsidRPr="00615F42">
        <w:rPr>
          <w:szCs w:val="20"/>
        </w:rPr>
        <w:t>N/A</w:t>
      </w:r>
    </w:p>
    <w:p w14:paraId="2D346FD3"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4FB2AD98" w14:textId="77777777" w:rsidR="00615F42" w:rsidRDefault="00615F42" w:rsidP="007A2711">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14BA860D" w14:textId="228B4C91" w:rsidR="003421AE" w:rsidRPr="00615F42" w:rsidRDefault="000D0A99" w:rsidP="007A2711">
      <w:pPr>
        <w:spacing w:before="0" w:after="0"/>
        <w:ind w:left="360"/>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1D68">
        <w:rPr>
          <w:szCs w:val="20"/>
        </w:rPr>
      </w:r>
      <w:r w:rsidR="00B51D68">
        <w:rPr>
          <w:szCs w:val="20"/>
        </w:rPr>
        <w:fldChar w:fldCharType="separate"/>
      </w:r>
      <w:r>
        <w:rPr>
          <w:szCs w:val="20"/>
        </w:rPr>
        <w:fldChar w:fldCharType="end"/>
      </w:r>
      <w:r w:rsidR="00615F42">
        <w:rPr>
          <w:szCs w:val="20"/>
        </w:rPr>
        <w:t xml:space="preserve"> No</w:t>
      </w:r>
    </w:p>
    <w:p w14:paraId="52B54E6E"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108EA429" w14:textId="1ED1E87A" w:rsidR="0043654D" w:rsidRDefault="000D0A99" w:rsidP="007A2711">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1D68">
        <w:rPr>
          <w:szCs w:val="20"/>
        </w:rPr>
      </w:r>
      <w:r w:rsidR="00B51D68">
        <w:rPr>
          <w:szCs w:val="20"/>
        </w:rPr>
        <w:fldChar w:fldCharType="separate"/>
      </w:r>
      <w:r>
        <w:rPr>
          <w:szCs w:val="20"/>
        </w:rPr>
        <w:fldChar w:fldCharType="end"/>
      </w:r>
      <w:r w:rsidR="0043654D">
        <w:rPr>
          <w:szCs w:val="20"/>
        </w:rPr>
        <w:t xml:space="preserve"> Yes (if yes, please provide details below)</w:t>
      </w:r>
    </w:p>
    <w:p w14:paraId="4B3C7656" w14:textId="77777777" w:rsidR="0043654D" w:rsidRDefault="0043654D" w:rsidP="007A2711">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Pr>
          <w:szCs w:val="20"/>
        </w:rPr>
        <w:t xml:space="preserve"> No</w:t>
      </w:r>
    </w:p>
    <w:p w14:paraId="699498FB" w14:textId="77777777" w:rsidR="0043654D" w:rsidRPr="00615F42" w:rsidRDefault="0043654D" w:rsidP="0043654D">
      <w:pPr>
        <w:spacing w:before="0" w:after="0"/>
        <w:ind w:left="284"/>
        <w:rPr>
          <w:b/>
          <w:szCs w:val="20"/>
        </w:rPr>
      </w:pPr>
    </w:p>
    <w:p w14:paraId="04BDC9ED" w14:textId="0D1218C0" w:rsidR="0043654D" w:rsidRPr="0043654D" w:rsidRDefault="0043654D" w:rsidP="007A2711">
      <w:pPr>
        <w:spacing w:before="0" w:after="0"/>
        <w:ind w:left="360"/>
        <w:rPr>
          <w:szCs w:val="20"/>
        </w:rPr>
      </w:pPr>
      <w:r w:rsidRPr="0043654D">
        <w:rPr>
          <w:szCs w:val="20"/>
        </w:rPr>
        <w:t>ARTG listing, registration or inclusion number:</w:t>
      </w:r>
      <w:r>
        <w:rPr>
          <w:szCs w:val="20"/>
        </w:rPr>
        <w:t xml:space="preserve">  </w:t>
      </w:r>
      <w:r w:rsidR="000D0A99">
        <w:t>111775</w:t>
      </w:r>
    </w:p>
    <w:p w14:paraId="7FF83C6C" w14:textId="3481597B" w:rsidR="0043654D" w:rsidRPr="0043654D" w:rsidRDefault="0043654D" w:rsidP="007A2711">
      <w:pPr>
        <w:spacing w:before="0" w:after="0"/>
        <w:ind w:left="360"/>
        <w:rPr>
          <w:szCs w:val="20"/>
        </w:rPr>
      </w:pPr>
      <w:r w:rsidRPr="0043654D">
        <w:rPr>
          <w:szCs w:val="20"/>
        </w:rPr>
        <w:t>TGA approved indication(s), if applicable:</w:t>
      </w:r>
      <w:r>
        <w:rPr>
          <w:szCs w:val="20"/>
        </w:rPr>
        <w:t xml:space="preserve">  </w:t>
      </w:r>
      <w:r w:rsidR="000D0A99">
        <w:t>N/A</w:t>
      </w:r>
    </w:p>
    <w:p w14:paraId="7132E555" w14:textId="36208228" w:rsidR="00F301F1" w:rsidRPr="0043654D" w:rsidRDefault="0043654D" w:rsidP="007A2711">
      <w:pPr>
        <w:spacing w:before="0" w:after="0"/>
        <w:ind w:left="360"/>
        <w:rPr>
          <w:szCs w:val="20"/>
        </w:rPr>
      </w:pPr>
      <w:r w:rsidRPr="0043654D">
        <w:rPr>
          <w:szCs w:val="20"/>
        </w:rPr>
        <w:t>TGA approved purpose(s), if applicable:</w:t>
      </w:r>
      <w:r>
        <w:rPr>
          <w:szCs w:val="20"/>
        </w:rPr>
        <w:t xml:space="preserve">  </w:t>
      </w:r>
      <w:r w:rsidR="000D0A99" w:rsidRPr="000D0A99">
        <w:t>Implants used to stabili</w:t>
      </w:r>
      <w:r w:rsidR="000D0A99">
        <w:t>s</w:t>
      </w:r>
      <w:r w:rsidR="000D0A99" w:rsidRPr="000D0A99">
        <w:t>e,</w:t>
      </w:r>
      <w:r w:rsidR="000D0A99">
        <w:t xml:space="preserve"> </w:t>
      </w:r>
      <w:r w:rsidR="000D0A99" w:rsidRPr="000D0A99">
        <w:t>support or correct alignment of spinal vertebrae</w:t>
      </w:r>
    </w:p>
    <w:p w14:paraId="4894CF83"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03E4A70B" w14:textId="1781F13E" w:rsidR="003433D1" w:rsidRPr="0047581D" w:rsidRDefault="000D0A99" w:rsidP="007A2711">
      <w:pPr>
        <w:spacing w:before="0" w:after="0"/>
        <w:ind w:firstLine="360"/>
        <w:rPr>
          <w:szCs w:val="20"/>
        </w:rPr>
      </w:pPr>
      <w:r>
        <w:rPr>
          <w:szCs w:val="20"/>
        </w:rPr>
        <w:t>N/A</w:t>
      </w:r>
    </w:p>
    <w:p w14:paraId="75E910C2"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28A09022" w14:textId="5CCE29DB" w:rsidR="00971EDB" w:rsidRPr="00971EDB" w:rsidRDefault="000D0A99" w:rsidP="007A2711">
      <w:pPr>
        <w:spacing w:before="0" w:after="0"/>
        <w:ind w:firstLine="360"/>
        <w:rPr>
          <w:szCs w:val="20"/>
        </w:rPr>
      </w:pPr>
      <w:r>
        <w:rPr>
          <w:szCs w:val="20"/>
        </w:rPr>
        <w:t>N/A</w:t>
      </w:r>
    </w:p>
    <w:p w14:paraId="32C62F89" w14:textId="77777777" w:rsidR="00F83A9D" w:rsidRPr="00154B00" w:rsidRDefault="00F83A9D" w:rsidP="00F83A9D">
      <w:pPr>
        <w:rPr>
          <w:szCs w:val="20"/>
        </w:rPr>
      </w:pPr>
    </w:p>
    <w:p w14:paraId="781A63AC"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276EB393"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5CEBCC11" w14:textId="0E2C83F5" w:rsidR="00DD308E"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p w14:paraId="5CCF1722" w14:textId="603AC5F4" w:rsidR="00853225" w:rsidRPr="00853225" w:rsidRDefault="00853225" w:rsidP="00853225">
      <w:pPr>
        <w:ind w:left="284"/>
      </w:pPr>
      <w:r w:rsidRPr="00853225">
        <w:t>The list below includes full papers (no conference abstracts) of VBT studies conducted in more than ten patients that are not superseded by more recent publications.</w:t>
      </w:r>
    </w:p>
    <w:tbl>
      <w:tblPr>
        <w:tblStyle w:val="TableGrid"/>
        <w:tblW w:w="5336" w:type="pct"/>
        <w:tblInd w:w="-289" w:type="dxa"/>
        <w:tblLayout w:type="fixed"/>
        <w:tblLook w:val="04A0" w:firstRow="1" w:lastRow="0" w:firstColumn="1" w:lastColumn="0" w:noHBand="0" w:noVBand="1"/>
        <w:tblCaption w:val="Summary of Evidence - Published"/>
      </w:tblPr>
      <w:tblGrid>
        <w:gridCol w:w="430"/>
        <w:gridCol w:w="2009"/>
        <w:gridCol w:w="3233"/>
        <w:gridCol w:w="5528"/>
        <w:gridCol w:w="2411"/>
        <w:gridCol w:w="1274"/>
      </w:tblGrid>
      <w:tr w:rsidR="007A2711" w14:paraId="0235CB4D" w14:textId="77777777" w:rsidTr="007A2711">
        <w:trPr>
          <w:cantSplit/>
          <w:tblHeader/>
        </w:trPr>
        <w:tc>
          <w:tcPr>
            <w:tcW w:w="144" w:type="pct"/>
          </w:tcPr>
          <w:p w14:paraId="5D0094D2" w14:textId="77777777" w:rsidR="00DD308E" w:rsidRDefault="00DD308E" w:rsidP="00855944">
            <w:pPr>
              <w:pStyle w:val="TableHEADER"/>
            </w:pPr>
          </w:p>
        </w:tc>
        <w:tc>
          <w:tcPr>
            <w:tcW w:w="675" w:type="pct"/>
          </w:tcPr>
          <w:p w14:paraId="7A5A24A9" w14:textId="77777777" w:rsidR="00DD308E" w:rsidRDefault="00DD308E" w:rsidP="00855944">
            <w:pPr>
              <w:pStyle w:val="TableHEADER"/>
            </w:pPr>
            <w:r>
              <w:t>Type of study design*</w:t>
            </w:r>
          </w:p>
        </w:tc>
        <w:tc>
          <w:tcPr>
            <w:tcW w:w="1086" w:type="pct"/>
          </w:tcPr>
          <w:p w14:paraId="6F3D6891" w14:textId="77777777" w:rsidR="00DD308E" w:rsidRDefault="00DD308E" w:rsidP="00855944">
            <w:pPr>
              <w:pStyle w:val="TableHEADER"/>
            </w:pPr>
            <w:r>
              <w:t>Title of journal article  or research project (including any trial identifier or study lead if relevant)</w:t>
            </w:r>
          </w:p>
        </w:tc>
        <w:tc>
          <w:tcPr>
            <w:tcW w:w="1857" w:type="pct"/>
          </w:tcPr>
          <w:p w14:paraId="21E18893" w14:textId="77777777" w:rsidR="00DD308E" w:rsidRDefault="00DD308E" w:rsidP="00855944">
            <w:pPr>
              <w:pStyle w:val="TableHEADER"/>
            </w:pPr>
            <w:r>
              <w:t>Short description of research  (max 50 words)**</w:t>
            </w:r>
          </w:p>
        </w:tc>
        <w:tc>
          <w:tcPr>
            <w:tcW w:w="810" w:type="pct"/>
            <w:noWrap/>
          </w:tcPr>
          <w:p w14:paraId="644139A8" w14:textId="77777777" w:rsidR="00DD308E" w:rsidRDefault="00DD308E" w:rsidP="00855944">
            <w:pPr>
              <w:pStyle w:val="TableHEADER"/>
            </w:pPr>
            <w:r w:rsidRPr="00E82F54">
              <w:t xml:space="preserve">Website link to </w:t>
            </w:r>
            <w:r>
              <w:t>journal article or research (if available)</w:t>
            </w:r>
          </w:p>
        </w:tc>
        <w:tc>
          <w:tcPr>
            <w:tcW w:w="428" w:type="pct"/>
          </w:tcPr>
          <w:p w14:paraId="354DBC19" w14:textId="77777777" w:rsidR="00DD308E" w:rsidRDefault="00DD308E" w:rsidP="00855944">
            <w:pPr>
              <w:pStyle w:val="TableHEADER"/>
            </w:pPr>
            <w:r w:rsidRPr="00E82F54">
              <w:t>Date</w:t>
            </w:r>
            <w:r>
              <w:t xml:space="preserve"> of publication</w:t>
            </w:r>
            <w:r w:rsidRPr="00E82F54">
              <w:t>*</w:t>
            </w:r>
            <w:r>
              <w:t>**</w:t>
            </w:r>
          </w:p>
        </w:tc>
      </w:tr>
      <w:tr w:rsidR="007A2711" w14:paraId="424AF1A3" w14:textId="77777777" w:rsidTr="007A2711">
        <w:trPr>
          <w:cantSplit/>
        </w:trPr>
        <w:tc>
          <w:tcPr>
            <w:tcW w:w="144" w:type="pct"/>
          </w:tcPr>
          <w:p w14:paraId="64C4EFA2" w14:textId="77777777" w:rsidR="00DD308E" w:rsidRPr="00965B6B" w:rsidRDefault="00DD308E" w:rsidP="00DD308E">
            <w:pPr>
              <w:rPr>
                <w:szCs w:val="20"/>
              </w:rPr>
            </w:pPr>
            <w:r w:rsidRPr="00965B6B">
              <w:rPr>
                <w:szCs w:val="20"/>
              </w:rPr>
              <w:t>1</w:t>
            </w:r>
            <w:r>
              <w:rPr>
                <w:szCs w:val="20"/>
              </w:rPr>
              <w:t>.</w:t>
            </w:r>
          </w:p>
        </w:tc>
        <w:tc>
          <w:tcPr>
            <w:tcW w:w="675" w:type="pct"/>
          </w:tcPr>
          <w:p w14:paraId="722A0F90" w14:textId="77777777" w:rsidR="00DD308E" w:rsidRDefault="00BE0EF9" w:rsidP="00DD308E">
            <w:pPr>
              <w:rPr>
                <w:b/>
                <w:szCs w:val="20"/>
              </w:rPr>
            </w:pPr>
            <w:r>
              <w:t>Observational study (retrospective and prospective)</w:t>
            </w:r>
          </w:p>
        </w:tc>
        <w:tc>
          <w:tcPr>
            <w:tcW w:w="1086" w:type="pct"/>
          </w:tcPr>
          <w:p w14:paraId="52A405DE" w14:textId="77777777" w:rsidR="00DD308E" w:rsidRDefault="00BE0EF9" w:rsidP="00DD308E">
            <w:r>
              <w:t>IDE Study G150001</w:t>
            </w:r>
          </w:p>
          <w:p w14:paraId="7981E78B" w14:textId="77777777" w:rsidR="00BE0EF9" w:rsidRDefault="00BE0EF9" w:rsidP="00BE0EF9">
            <w:pPr>
              <w:rPr>
                <w:b/>
                <w:szCs w:val="20"/>
              </w:rPr>
            </w:pPr>
            <w:r>
              <w:t xml:space="preserve">Food and Drug Administration (2019), </w:t>
            </w:r>
            <w:r w:rsidRPr="00BE0EF9">
              <w:t>The Tether™ - Vertebral Body Tethering System - H190005</w:t>
            </w:r>
            <w:r>
              <w:t xml:space="preserve"> – Summary of Safety and Probable Benefit</w:t>
            </w:r>
          </w:p>
        </w:tc>
        <w:tc>
          <w:tcPr>
            <w:tcW w:w="1857" w:type="pct"/>
          </w:tcPr>
          <w:p w14:paraId="079CADCB" w14:textId="77777777" w:rsidR="00DD308E" w:rsidRDefault="00F131C2" w:rsidP="00F131C2">
            <w:pPr>
              <w:rPr>
                <w:b/>
                <w:szCs w:val="20"/>
              </w:rPr>
            </w:pPr>
            <w:r>
              <w:t xml:space="preserve">FDA registration study. Retrospective cohort study of 57 patients in the US with AIS (age </w:t>
            </w:r>
            <w:r>
              <w:rPr>
                <w:rFonts w:cstheme="minorHAnsi"/>
              </w:rPr>
              <w:t>≥</w:t>
            </w:r>
            <w:r>
              <w:t>10 years), f</w:t>
            </w:r>
            <w:r w:rsidRPr="00F131C2">
              <w:t>ailure of bracing (&gt;5° progression and/or intolerant)</w:t>
            </w:r>
            <w:r>
              <w:t xml:space="preserve">, </w:t>
            </w:r>
            <w:r w:rsidRPr="00F131C2">
              <w:t>Lenke type 1 curve</w:t>
            </w:r>
            <w:r>
              <w:t xml:space="preserve">, </w:t>
            </w:r>
            <w:r w:rsidRPr="00F131C2">
              <w:t>MT Cobb angle 30-65°</w:t>
            </w:r>
            <w:r>
              <w:t>, t</w:t>
            </w:r>
            <w:r w:rsidRPr="00F131C2">
              <w:t>horacic scoliometer reading ≤20°</w:t>
            </w:r>
            <w:r>
              <w:t>, t</w:t>
            </w:r>
            <w:r w:rsidRPr="00F131C2">
              <w:t>horacic curve corrected to ≤30° pre-op</w:t>
            </w:r>
            <w:r>
              <w:t>erative</w:t>
            </w:r>
            <w:r w:rsidRPr="00F131C2">
              <w:t xml:space="preserve"> on supine or standing side bending radiographs</w:t>
            </w:r>
            <w:r>
              <w:t xml:space="preserve">, </w:t>
            </w:r>
            <w:r w:rsidRPr="00F131C2">
              <w:t>Sanders stage ≤5 or Risser stage ≤3</w:t>
            </w:r>
            <w:r>
              <w:t>, undergoing VBT. Primary outcome was c</w:t>
            </w:r>
            <w:r w:rsidRPr="00185C3F">
              <w:t xml:space="preserve">hange in </w:t>
            </w:r>
            <w:r>
              <w:t xml:space="preserve">MT Cobb angle. Clinical success defined as major curve </w:t>
            </w:r>
            <w:r w:rsidRPr="00185C3F">
              <w:t>Cobb angle ≤</w:t>
            </w:r>
            <w:r>
              <w:t>40</w:t>
            </w:r>
            <w:r w:rsidRPr="00185C3F">
              <w:t xml:space="preserve">° at </w:t>
            </w:r>
            <w:r>
              <w:t>24 months. Follow-up was 2 years.</w:t>
            </w:r>
          </w:p>
        </w:tc>
        <w:tc>
          <w:tcPr>
            <w:tcW w:w="810" w:type="pct"/>
            <w:noWrap/>
          </w:tcPr>
          <w:p w14:paraId="20C4069C" w14:textId="77777777" w:rsidR="00DD308E" w:rsidRPr="00E82F54" w:rsidRDefault="00BE0EF9" w:rsidP="00DD308E">
            <w:pPr>
              <w:rPr>
                <w:b/>
                <w:szCs w:val="20"/>
              </w:rPr>
            </w:pPr>
            <w:r w:rsidRPr="00BE0EF9">
              <w:t>https://www.accessdata.fda.gov/cdrh_docs/pdf19/H190005b.pdf</w:t>
            </w:r>
          </w:p>
        </w:tc>
        <w:tc>
          <w:tcPr>
            <w:tcW w:w="428" w:type="pct"/>
          </w:tcPr>
          <w:p w14:paraId="1B3E5B8D" w14:textId="77777777" w:rsidR="00DD308E" w:rsidRPr="00E82F54" w:rsidRDefault="0060390F" w:rsidP="00DD308E">
            <w:pPr>
              <w:rPr>
                <w:b/>
                <w:szCs w:val="20"/>
              </w:rPr>
            </w:pPr>
            <w:r>
              <w:t>August 2019</w:t>
            </w:r>
          </w:p>
        </w:tc>
      </w:tr>
      <w:tr w:rsidR="007A2711" w14:paraId="743CBBC9" w14:textId="77777777" w:rsidTr="007A2711">
        <w:trPr>
          <w:cantSplit/>
        </w:trPr>
        <w:tc>
          <w:tcPr>
            <w:tcW w:w="144" w:type="pct"/>
          </w:tcPr>
          <w:p w14:paraId="5024C3A5" w14:textId="77777777" w:rsidR="00BE0EF9" w:rsidRPr="00965B6B" w:rsidRDefault="00BE0EF9" w:rsidP="00BE0EF9">
            <w:pPr>
              <w:rPr>
                <w:szCs w:val="20"/>
              </w:rPr>
            </w:pPr>
            <w:r>
              <w:rPr>
                <w:szCs w:val="20"/>
              </w:rPr>
              <w:t>2.</w:t>
            </w:r>
          </w:p>
        </w:tc>
        <w:tc>
          <w:tcPr>
            <w:tcW w:w="675" w:type="pct"/>
          </w:tcPr>
          <w:p w14:paraId="2D726B15" w14:textId="77777777" w:rsidR="00BE0EF9" w:rsidRDefault="00BE0EF9" w:rsidP="00BE0EF9">
            <w:r w:rsidRPr="003E61F9">
              <w:t>Observational study (retrospective)</w:t>
            </w:r>
          </w:p>
        </w:tc>
        <w:tc>
          <w:tcPr>
            <w:tcW w:w="1086" w:type="pct"/>
          </w:tcPr>
          <w:p w14:paraId="1982CBD0" w14:textId="77777777" w:rsidR="00BE0EF9" w:rsidRDefault="00BE0EF9" w:rsidP="00BE0EF9">
            <w:pPr>
              <w:rPr>
                <w:b/>
                <w:szCs w:val="20"/>
              </w:rPr>
            </w:pPr>
            <w:r w:rsidRPr="00BE0EF9">
              <w:t>Hoernschemeyer DG, et al, 2020, ‘Anterior vertebral body tethering for adolescent scoliosis with growth remaining – a retrospective review of 2 to 5-year postoperative results’, J Bone Joint Surg Am; 102: 1169-1176</w:t>
            </w:r>
          </w:p>
        </w:tc>
        <w:tc>
          <w:tcPr>
            <w:tcW w:w="1857" w:type="pct"/>
          </w:tcPr>
          <w:p w14:paraId="49D1B378" w14:textId="77777777" w:rsidR="00BE0EF9" w:rsidRDefault="00185C3F" w:rsidP="00185C3F">
            <w:pPr>
              <w:rPr>
                <w:b/>
                <w:szCs w:val="20"/>
              </w:rPr>
            </w:pPr>
            <w:r>
              <w:t>Retrospective cohort study of 31 patients in the US with AIS undergoing VBT. Primary outcomes were c</w:t>
            </w:r>
            <w:r w:rsidRPr="00185C3F">
              <w:t>hange</w:t>
            </w:r>
            <w:r>
              <w:t>s</w:t>
            </w:r>
            <w:r w:rsidRPr="00185C3F">
              <w:t xml:space="preserve"> in </w:t>
            </w:r>
            <w:r>
              <w:t xml:space="preserve">the coronal Cobb angles (proximal thoracic, MT, lumbar). Clinical success defined as </w:t>
            </w:r>
            <w:r w:rsidRPr="00185C3F">
              <w:t>Cobb angles ≤30° at skeletal maturity</w:t>
            </w:r>
            <w:r>
              <w:t>. Mean follow-up was 3.2 years (range: 2 to 5 years).</w:t>
            </w:r>
          </w:p>
        </w:tc>
        <w:tc>
          <w:tcPr>
            <w:tcW w:w="810" w:type="pct"/>
            <w:noWrap/>
          </w:tcPr>
          <w:p w14:paraId="0CDED252" w14:textId="77777777" w:rsidR="00BE0EF9" w:rsidRPr="00E82F54" w:rsidRDefault="00BE0EF9" w:rsidP="00BE0EF9">
            <w:pPr>
              <w:rPr>
                <w:b/>
                <w:szCs w:val="20"/>
              </w:rPr>
            </w:pPr>
            <w:r w:rsidRPr="00BE0EF9">
              <w:t>https://pubmed.ncbi.nlm.nih.gov/32618924/</w:t>
            </w:r>
          </w:p>
        </w:tc>
        <w:tc>
          <w:tcPr>
            <w:tcW w:w="428" w:type="pct"/>
          </w:tcPr>
          <w:p w14:paraId="5B375174" w14:textId="77777777" w:rsidR="00BE0EF9" w:rsidRPr="00E82F54" w:rsidRDefault="0060390F" w:rsidP="00BE0EF9">
            <w:pPr>
              <w:rPr>
                <w:b/>
                <w:szCs w:val="20"/>
              </w:rPr>
            </w:pPr>
            <w:r>
              <w:t>July 2020</w:t>
            </w:r>
          </w:p>
        </w:tc>
      </w:tr>
      <w:tr w:rsidR="007A2711" w14:paraId="2C54591B" w14:textId="77777777" w:rsidTr="007A2711">
        <w:trPr>
          <w:cantSplit/>
        </w:trPr>
        <w:tc>
          <w:tcPr>
            <w:tcW w:w="144" w:type="pct"/>
          </w:tcPr>
          <w:p w14:paraId="58FCF665" w14:textId="77777777" w:rsidR="00BE0EF9" w:rsidRPr="00965B6B" w:rsidRDefault="00BE0EF9" w:rsidP="00BE0EF9">
            <w:pPr>
              <w:rPr>
                <w:szCs w:val="20"/>
              </w:rPr>
            </w:pPr>
            <w:r>
              <w:rPr>
                <w:szCs w:val="20"/>
              </w:rPr>
              <w:t>3.</w:t>
            </w:r>
          </w:p>
        </w:tc>
        <w:tc>
          <w:tcPr>
            <w:tcW w:w="675" w:type="pct"/>
          </w:tcPr>
          <w:p w14:paraId="7B855B93" w14:textId="77777777" w:rsidR="00BE0EF9" w:rsidRDefault="00BE0EF9" w:rsidP="00BE0EF9">
            <w:r w:rsidRPr="003E61F9">
              <w:t>Observational study (retrospective)</w:t>
            </w:r>
          </w:p>
        </w:tc>
        <w:tc>
          <w:tcPr>
            <w:tcW w:w="1086" w:type="pct"/>
          </w:tcPr>
          <w:p w14:paraId="46172344" w14:textId="77777777" w:rsidR="00BE0EF9" w:rsidRDefault="00BE0EF9" w:rsidP="00BE0EF9">
            <w:pPr>
              <w:rPr>
                <w:b/>
                <w:szCs w:val="20"/>
              </w:rPr>
            </w:pPr>
            <w:r w:rsidRPr="00BE0EF9">
              <w:t>Newton PO, et al, 2018, ‘Anterior spinal growth tethering for skeletally immature patients with scoliosis – a retrospective look two to four years postoperatively’, J Bone Joint Surg Am; 100: 1691-1697</w:t>
            </w:r>
          </w:p>
        </w:tc>
        <w:tc>
          <w:tcPr>
            <w:tcW w:w="1857" w:type="pct"/>
          </w:tcPr>
          <w:p w14:paraId="00B0D421" w14:textId="77777777" w:rsidR="00BE0EF9" w:rsidRDefault="00185C3F" w:rsidP="00F131C2">
            <w:pPr>
              <w:rPr>
                <w:b/>
                <w:szCs w:val="20"/>
              </w:rPr>
            </w:pPr>
            <w:r>
              <w:t xml:space="preserve">Retrospective cohort study of 17 patients in the US with AIS, </w:t>
            </w:r>
            <w:r w:rsidRPr="00185C3F">
              <w:t xml:space="preserve">Risser stage </w:t>
            </w:r>
            <w:r>
              <w:t xml:space="preserve">0, primary thoracic curve </w:t>
            </w:r>
            <w:r w:rsidRPr="00185C3F">
              <w:t>&gt;</w:t>
            </w:r>
            <w:r>
              <w:t>40</w:t>
            </w:r>
            <w:r w:rsidRPr="00185C3F">
              <w:t>°</w:t>
            </w:r>
            <w:r>
              <w:t>, undergoing VBT. Primary outcomes were c</w:t>
            </w:r>
            <w:r w:rsidRPr="00185C3F">
              <w:t>hange</w:t>
            </w:r>
            <w:r>
              <w:t>s</w:t>
            </w:r>
            <w:r w:rsidRPr="00185C3F">
              <w:t xml:space="preserve"> in </w:t>
            </w:r>
            <w:r>
              <w:t>the thoracic and lumbar Cobb angle, T2-T12 kyphosis, thoracic a</w:t>
            </w:r>
            <w:r w:rsidR="00F131C2">
              <w:t xml:space="preserve">nd lumbar </w:t>
            </w:r>
            <w:r>
              <w:t>ATR. Clinical success defined as r</w:t>
            </w:r>
            <w:r w:rsidRPr="00185C3F">
              <w:t>esidual curve &lt;35° and no PSF indicated/performed</w:t>
            </w:r>
            <w:r>
              <w:t>. Mean follow-up was 2.5 years (range: 2 to 4 years).</w:t>
            </w:r>
          </w:p>
        </w:tc>
        <w:tc>
          <w:tcPr>
            <w:tcW w:w="810" w:type="pct"/>
            <w:noWrap/>
          </w:tcPr>
          <w:p w14:paraId="1AC6A319" w14:textId="77777777" w:rsidR="00BE0EF9" w:rsidRPr="00E82F54" w:rsidRDefault="00BE0EF9" w:rsidP="00BE0EF9">
            <w:pPr>
              <w:rPr>
                <w:b/>
                <w:szCs w:val="20"/>
              </w:rPr>
            </w:pPr>
            <w:r w:rsidRPr="00BE0EF9">
              <w:t>https://pubmed.ncbi.nlm.nih.gov/30277999/</w:t>
            </w:r>
          </w:p>
        </w:tc>
        <w:tc>
          <w:tcPr>
            <w:tcW w:w="428" w:type="pct"/>
          </w:tcPr>
          <w:p w14:paraId="516BB6E5" w14:textId="77777777" w:rsidR="00BE0EF9" w:rsidRPr="00E82F54" w:rsidRDefault="0060390F" w:rsidP="00BE0EF9">
            <w:pPr>
              <w:rPr>
                <w:b/>
                <w:szCs w:val="20"/>
              </w:rPr>
            </w:pPr>
            <w:r>
              <w:t>October 2018</w:t>
            </w:r>
          </w:p>
        </w:tc>
      </w:tr>
      <w:tr w:rsidR="007A2711" w14:paraId="20C4F0C1" w14:textId="77777777" w:rsidTr="007A2711">
        <w:trPr>
          <w:cantSplit/>
        </w:trPr>
        <w:tc>
          <w:tcPr>
            <w:tcW w:w="144" w:type="pct"/>
          </w:tcPr>
          <w:p w14:paraId="3AEB1DCD" w14:textId="77777777" w:rsidR="00BE0EF9" w:rsidRPr="00965B6B" w:rsidRDefault="00BE0EF9" w:rsidP="00BE0EF9">
            <w:pPr>
              <w:rPr>
                <w:szCs w:val="20"/>
              </w:rPr>
            </w:pPr>
            <w:r>
              <w:rPr>
                <w:szCs w:val="20"/>
              </w:rPr>
              <w:t>4.</w:t>
            </w:r>
          </w:p>
        </w:tc>
        <w:tc>
          <w:tcPr>
            <w:tcW w:w="675" w:type="pct"/>
          </w:tcPr>
          <w:p w14:paraId="68E315C4" w14:textId="77777777" w:rsidR="00BE0EF9" w:rsidRDefault="00BE0EF9" w:rsidP="00BE0EF9">
            <w:r w:rsidRPr="003E61F9">
              <w:t>Observational study (retrospective)</w:t>
            </w:r>
          </w:p>
        </w:tc>
        <w:tc>
          <w:tcPr>
            <w:tcW w:w="1086" w:type="pct"/>
          </w:tcPr>
          <w:p w14:paraId="6AC6E74D" w14:textId="77777777" w:rsidR="00BE0EF9" w:rsidRDefault="00BE0EF9" w:rsidP="00BE0EF9">
            <w:pPr>
              <w:rPr>
                <w:b/>
                <w:szCs w:val="20"/>
              </w:rPr>
            </w:pPr>
            <w:r w:rsidRPr="00BE0EF9">
              <w:t>Newton PO, et al, 2020, ‘Anterior spinal growth modulation in skeletally immature patients with idiopathic scoliosis – a comparison with posterior spinal fusion at 2 to 5 years postoperatively’, J Bone Joint Surg Am; 102: 769-777</w:t>
            </w:r>
          </w:p>
        </w:tc>
        <w:tc>
          <w:tcPr>
            <w:tcW w:w="1857" w:type="pct"/>
          </w:tcPr>
          <w:p w14:paraId="6BA472C6" w14:textId="77777777" w:rsidR="00BE0EF9" w:rsidRDefault="00185C3F" w:rsidP="00F131C2">
            <w:pPr>
              <w:rPr>
                <w:b/>
                <w:szCs w:val="20"/>
              </w:rPr>
            </w:pPr>
            <w:r>
              <w:t xml:space="preserve">Retrospective cohort study and matched cohort analysis of patients in the US with AIS, </w:t>
            </w:r>
            <w:r w:rsidRPr="00185C3F">
              <w:t xml:space="preserve">Risser stage </w:t>
            </w:r>
            <w:r>
              <w:rPr>
                <w:rFonts w:cstheme="minorHAnsi"/>
              </w:rPr>
              <w:t>≤</w:t>
            </w:r>
            <w:r>
              <w:t>1, and primary thoracic</w:t>
            </w:r>
            <w:r w:rsidR="00F131C2">
              <w:t xml:space="preserve"> </w:t>
            </w:r>
            <w:r>
              <w:t>curve 40-67</w:t>
            </w:r>
            <w:r w:rsidRPr="00185C3F">
              <w:t>°</w:t>
            </w:r>
            <w:r>
              <w:t xml:space="preserve"> undergoing VBT (n=23) or PSF (n=26). Primary outcomes were c</w:t>
            </w:r>
            <w:r w:rsidRPr="00185C3F">
              <w:t>hange</w:t>
            </w:r>
            <w:r>
              <w:t>s</w:t>
            </w:r>
            <w:r w:rsidRPr="00185C3F">
              <w:t xml:space="preserve"> in </w:t>
            </w:r>
            <w:r>
              <w:t>the upper thoracic, MT and lumbar Cobb angle, T2-T12 kyphosis, thoracic and lumbar angle trunk rotation (ATR)</w:t>
            </w:r>
            <w:r w:rsidR="00F131C2">
              <w:t>, coronal imbalance, shoulder height difference, thoracic curve &lt;50</w:t>
            </w:r>
            <w:r w:rsidR="00F131C2" w:rsidRPr="00185C3F">
              <w:t>°</w:t>
            </w:r>
            <w:r>
              <w:t xml:space="preserve">. Clinical success defined as </w:t>
            </w:r>
            <w:r w:rsidR="00F131C2">
              <w:t xml:space="preserve">thoracic </w:t>
            </w:r>
            <w:r w:rsidRPr="00185C3F">
              <w:t>curve &lt;35° and no PSF indicated/performed</w:t>
            </w:r>
            <w:r w:rsidR="00F131C2">
              <w:t>. Mean follow-up was 3.4</w:t>
            </w:r>
            <w:r>
              <w:t xml:space="preserve"> years (range: 2 to </w:t>
            </w:r>
            <w:r w:rsidR="00F131C2">
              <w:t>5</w:t>
            </w:r>
            <w:r>
              <w:t xml:space="preserve"> years).</w:t>
            </w:r>
          </w:p>
        </w:tc>
        <w:tc>
          <w:tcPr>
            <w:tcW w:w="810" w:type="pct"/>
            <w:noWrap/>
          </w:tcPr>
          <w:p w14:paraId="1ED4153C" w14:textId="77777777" w:rsidR="00BE0EF9" w:rsidRPr="00E82F54" w:rsidRDefault="00BE0EF9" w:rsidP="00BE0EF9">
            <w:pPr>
              <w:rPr>
                <w:b/>
                <w:szCs w:val="20"/>
              </w:rPr>
            </w:pPr>
            <w:r w:rsidRPr="00BE0EF9">
              <w:t>https://pubmed.ncbi.nlm.nih.gov/32379117/</w:t>
            </w:r>
          </w:p>
        </w:tc>
        <w:tc>
          <w:tcPr>
            <w:tcW w:w="428" w:type="pct"/>
          </w:tcPr>
          <w:p w14:paraId="493F69A6" w14:textId="77777777" w:rsidR="00BE0EF9" w:rsidRPr="00E82F54" w:rsidRDefault="0060390F" w:rsidP="00BE0EF9">
            <w:pPr>
              <w:rPr>
                <w:b/>
                <w:szCs w:val="20"/>
              </w:rPr>
            </w:pPr>
            <w:r>
              <w:t>May 2020</w:t>
            </w:r>
          </w:p>
        </w:tc>
      </w:tr>
      <w:tr w:rsidR="007A2711" w14:paraId="0E637728" w14:textId="77777777" w:rsidTr="007A2711">
        <w:trPr>
          <w:cantSplit/>
        </w:trPr>
        <w:tc>
          <w:tcPr>
            <w:tcW w:w="144" w:type="pct"/>
          </w:tcPr>
          <w:p w14:paraId="3E54E1B9" w14:textId="77777777" w:rsidR="00BE0EF9" w:rsidRPr="00965B6B" w:rsidRDefault="00BE0EF9" w:rsidP="00BE0EF9">
            <w:pPr>
              <w:rPr>
                <w:szCs w:val="20"/>
              </w:rPr>
            </w:pPr>
            <w:r>
              <w:rPr>
                <w:szCs w:val="20"/>
              </w:rPr>
              <w:t>5.</w:t>
            </w:r>
          </w:p>
        </w:tc>
        <w:tc>
          <w:tcPr>
            <w:tcW w:w="675" w:type="pct"/>
          </w:tcPr>
          <w:p w14:paraId="5964463B" w14:textId="77777777" w:rsidR="00BE0EF9" w:rsidRDefault="00BE0EF9" w:rsidP="00BE0EF9">
            <w:r w:rsidRPr="003E61F9">
              <w:t>Observational study (</w:t>
            </w:r>
            <w:r>
              <w:t>prospective</w:t>
            </w:r>
            <w:r w:rsidRPr="003E61F9">
              <w:t>)</w:t>
            </w:r>
          </w:p>
        </w:tc>
        <w:tc>
          <w:tcPr>
            <w:tcW w:w="1086" w:type="pct"/>
          </w:tcPr>
          <w:p w14:paraId="76E71EF8" w14:textId="77777777" w:rsidR="00BE0EF9" w:rsidRDefault="00BE0EF9" w:rsidP="00BE0EF9">
            <w:pPr>
              <w:rPr>
                <w:b/>
                <w:szCs w:val="20"/>
              </w:rPr>
            </w:pPr>
            <w:r w:rsidRPr="00BE0EF9">
              <w:t>Pehlivanoglu T, et al, 2020, ‘Thoracoscopic vertebral body tethering for adolescent idiopathic scoliosis: a minimum of 2 years’ results of 21 patients’, J Pediatr Orthop; ePub ahead of print</w:t>
            </w:r>
          </w:p>
        </w:tc>
        <w:tc>
          <w:tcPr>
            <w:tcW w:w="1857" w:type="pct"/>
          </w:tcPr>
          <w:p w14:paraId="1B9C129F" w14:textId="77777777" w:rsidR="00BE0EF9" w:rsidRDefault="00185C3F" w:rsidP="00185C3F">
            <w:pPr>
              <w:rPr>
                <w:b/>
                <w:szCs w:val="20"/>
              </w:rPr>
            </w:pPr>
            <w:r>
              <w:t xml:space="preserve">Prospective cohort study of 21 patients in Turkey with AIS (age 9 – 14 years), </w:t>
            </w:r>
            <w:r w:rsidRPr="00185C3F">
              <w:t>Risser stage ≤2</w:t>
            </w:r>
            <w:r>
              <w:t xml:space="preserve">, </w:t>
            </w:r>
            <w:r w:rsidRPr="00185C3F">
              <w:t>Sanders stage ≤4</w:t>
            </w:r>
            <w:r>
              <w:t>, f</w:t>
            </w:r>
            <w:r w:rsidRPr="00185C3F">
              <w:t xml:space="preserve">ailure of bracing after </w:t>
            </w:r>
            <w:r>
              <w:rPr>
                <w:rFonts w:cstheme="minorHAnsi"/>
              </w:rPr>
              <w:t>≥</w:t>
            </w:r>
            <w:r w:rsidRPr="00185C3F">
              <w:t>6 months</w:t>
            </w:r>
            <w:r>
              <w:t xml:space="preserve">, </w:t>
            </w:r>
            <w:r w:rsidRPr="00185C3F">
              <w:t>MT curve &gt;35°</w:t>
            </w:r>
            <w:r>
              <w:t>, m</w:t>
            </w:r>
            <w:r w:rsidRPr="00185C3F">
              <w:t>inimal curve flexibility 30%</w:t>
            </w:r>
            <w:r>
              <w:t>, undergoing VBT. Primary outcomes were c</w:t>
            </w:r>
            <w:r w:rsidRPr="00185C3F">
              <w:t>hange</w:t>
            </w:r>
            <w:r>
              <w:t>s</w:t>
            </w:r>
            <w:r w:rsidRPr="00185C3F">
              <w:t xml:space="preserve"> in </w:t>
            </w:r>
            <w:r>
              <w:t>the major thoracic</w:t>
            </w:r>
            <w:r w:rsidRPr="00185C3F">
              <w:t>, proximal thoracic and compensatory lumbar curve</w:t>
            </w:r>
            <w:r>
              <w:t>s. Mean follow-up was 2.3 years (range: 2 to 3.3 years).</w:t>
            </w:r>
          </w:p>
        </w:tc>
        <w:tc>
          <w:tcPr>
            <w:tcW w:w="810" w:type="pct"/>
          </w:tcPr>
          <w:p w14:paraId="4D83216C" w14:textId="77777777" w:rsidR="00BE0EF9" w:rsidRPr="00E82F54" w:rsidRDefault="00BE0EF9" w:rsidP="00BE0EF9">
            <w:pPr>
              <w:rPr>
                <w:b/>
                <w:szCs w:val="20"/>
              </w:rPr>
            </w:pPr>
            <w:r w:rsidRPr="00BE0EF9">
              <w:t>https://pubmed.ncbi.nlm.nih.gov/32427800/</w:t>
            </w:r>
          </w:p>
        </w:tc>
        <w:tc>
          <w:tcPr>
            <w:tcW w:w="428" w:type="pct"/>
          </w:tcPr>
          <w:p w14:paraId="3AA606E6" w14:textId="77777777" w:rsidR="00BE0EF9" w:rsidRPr="00E82F54" w:rsidRDefault="0060390F" w:rsidP="00BE0EF9">
            <w:pPr>
              <w:rPr>
                <w:b/>
                <w:szCs w:val="20"/>
              </w:rPr>
            </w:pPr>
            <w:r>
              <w:t>May 2020</w:t>
            </w:r>
          </w:p>
        </w:tc>
      </w:tr>
    </w:tbl>
    <w:p w14:paraId="18DEE598" w14:textId="77777777" w:rsidR="00F131C2" w:rsidRPr="00F131C2" w:rsidRDefault="00F131C2" w:rsidP="00F131C2">
      <w:pPr>
        <w:spacing w:after="0"/>
        <w:rPr>
          <w:szCs w:val="20"/>
        </w:rPr>
      </w:pPr>
      <w:r>
        <w:rPr>
          <w:szCs w:val="20"/>
        </w:rPr>
        <w:t xml:space="preserve">AIS, adolescent idiopathic scoliosis; ATR, angle trunk rotation; FDA, Food and Drug Administration; IDE, Investigative Drug Exemption; MT, major thoracic; PSF, posterior spinal fusion; US, United States; VBT, vertebral body tethering </w:t>
      </w:r>
    </w:p>
    <w:p w14:paraId="3A1AA434"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2B1A2A45"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60BC51CC" w14:textId="4DE47130" w:rsidR="00DD308E" w:rsidRDefault="00DD308E" w:rsidP="007A2711">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339AF81F" w14:textId="13FF487D" w:rsidR="00DD308E" w:rsidRPr="007A2711" w:rsidRDefault="00DD308E">
      <w:pPr>
        <w:rPr>
          <w:b/>
          <w:szCs w:val="20"/>
        </w:rPr>
      </w:pPr>
    </w:p>
    <w:p w14:paraId="24DC8DF9" w14:textId="77777777" w:rsidR="007A2711" w:rsidRDefault="007A2711" w:rsidP="007A2711">
      <w:pPr>
        <w:pStyle w:val="Heading2"/>
        <w:rPr>
          <w:i/>
        </w:rPr>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438CA9C5" w14:textId="2A560FAE" w:rsidR="007A2711" w:rsidRPr="007A2711" w:rsidRDefault="007A2711" w:rsidP="007A2711">
      <w:pPr>
        <w:ind w:left="284"/>
        <w:sectPr w:rsidR="007A2711" w:rsidRPr="007A2711" w:rsidSect="00DD308E">
          <w:pgSz w:w="16838" w:h="11906" w:orient="landscape"/>
          <w:pgMar w:top="1440" w:right="1440" w:bottom="1440" w:left="1440" w:header="708" w:footer="708" w:gutter="0"/>
          <w:cols w:space="708"/>
          <w:docGrid w:linePitch="360"/>
        </w:sectPr>
      </w:pPr>
      <w:r w:rsidRPr="00105B01">
        <w:t>None identified</w:t>
      </w:r>
    </w:p>
    <w:p w14:paraId="0B789019" w14:textId="604E9AC5" w:rsidR="00E82F54" w:rsidRPr="00C776B1" w:rsidRDefault="005C3AE7" w:rsidP="0056015F">
      <w:pPr>
        <w:pStyle w:val="Heading1"/>
      </w:pPr>
      <w:r>
        <w:t>PART 5</w:t>
      </w:r>
      <w:r w:rsidR="00F93784">
        <w:t xml:space="preserve"> – </w:t>
      </w:r>
      <w:r w:rsidR="00E82F54" w:rsidRPr="00C776B1">
        <w:t>CLINICAL ENDORSEMENT AND CONSUMER INFORMATION</w:t>
      </w:r>
    </w:p>
    <w:p w14:paraId="2B3CC75B"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55B8B158" w14:textId="07763F43" w:rsidR="00A727B6" w:rsidRDefault="00015577" w:rsidP="007A2711">
      <w:pPr>
        <w:ind w:firstLine="360"/>
      </w:pPr>
      <w:r>
        <w:t>Spine Society of Australia</w:t>
      </w:r>
      <w:r w:rsidR="00F1473D">
        <w:t xml:space="preserve"> (</w:t>
      </w:r>
      <w:r w:rsidR="005B0F47">
        <w:t xml:space="preserve">letter to be forwarded </w:t>
      </w:r>
      <w:r w:rsidR="00E9696F">
        <w:t>separately</w:t>
      </w:r>
      <w:r w:rsidR="00F1473D">
        <w:t>)</w:t>
      </w:r>
    </w:p>
    <w:p w14:paraId="0D213B6E" w14:textId="35276AE6" w:rsidR="00015577" w:rsidRPr="00A727B6" w:rsidRDefault="00DE0F1C" w:rsidP="007A2711">
      <w:pPr>
        <w:ind w:firstLine="360"/>
      </w:pPr>
      <w:r>
        <w:t>Scoliosis Australia</w:t>
      </w:r>
    </w:p>
    <w:p w14:paraId="29785B28"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094DCD60" w14:textId="7145031A" w:rsidR="00EA173C" w:rsidRDefault="00E9696F" w:rsidP="00A727B6">
      <w:pPr>
        <w:ind w:left="426"/>
      </w:pPr>
      <w:r>
        <w:t xml:space="preserve">As above </w:t>
      </w:r>
    </w:p>
    <w:p w14:paraId="08CC8610"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697603A9" w14:textId="31D2F5F1" w:rsidR="00F1473D" w:rsidRDefault="00F1473D" w:rsidP="00F1473D">
      <w:pPr>
        <w:ind w:left="360"/>
        <w:rPr>
          <w:color w:val="1F497D"/>
        </w:rPr>
      </w:pPr>
      <w:r>
        <w:t xml:space="preserve">Scoliosis Support Group – Australia (Facebook page) </w:t>
      </w:r>
    </w:p>
    <w:p w14:paraId="52CF8D0F" w14:textId="77777777" w:rsidR="00F1473D" w:rsidRDefault="00FB09E9" w:rsidP="00F1473D">
      <w:pPr>
        <w:ind w:left="360"/>
        <w:rPr>
          <w:color w:val="1F497D"/>
        </w:rPr>
      </w:pPr>
      <w:r>
        <w:t>Curvy Girls – Australia</w:t>
      </w:r>
      <w:r w:rsidR="00F1473D">
        <w:t xml:space="preserve"> </w:t>
      </w:r>
      <w:hyperlink r:id="rId17" w:history="1">
        <w:r w:rsidR="00F1473D">
          <w:rPr>
            <w:rStyle w:val="Hyperlink"/>
          </w:rPr>
          <w:t>https://www.curvygirlsscoliosis.com/</w:t>
        </w:r>
      </w:hyperlink>
      <w:r w:rsidR="00F1473D">
        <w:rPr>
          <w:color w:val="1F497D"/>
        </w:rPr>
        <w:t xml:space="preserve"> </w:t>
      </w:r>
    </w:p>
    <w:p w14:paraId="5EDA4041" w14:textId="77777777" w:rsidR="00F1473D" w:rsidRDefault="00773B54" w:rsidP="00F1473D">
      <w:pPr>
        <w:ind w:left="360"/>
        <w:rPr>
          <w:color w:val="1F497D"/>
        </w:rPr>
      </w:pPr>
      <w:r>
        <w:t>Beyond Scoliosis</w:t>
      </w:r>
      <w:r w:rsidR="00F1473D">
        <w:t xml:space="preserve"> </w:t>
      </w:r>
      <w:hyperlink r:id="rId18" w:history="1">
        <w:r w:rsidR="00F1473D">
          <w:rPr>
            <w:rStyle w:val="Hyperlink"/>
          </w:rPr>
          <w:t>https://beyondscoliosis.com/</w:t>
        </w:r>
      </w:hyperlink>
    </w:p>
    <w:p w14:paraId="5FE23AA2" w14:textId="343AAAB4" w:rsidR="00F1473D" w:rsidRDefault="00773B54" w:rsidP="00F1473D">
      <w:pPr>
        <w:ind w:left="360"/>
        <w:rPr>
          <w:color w:val="1F497D"/>
        </w:rPr>
      </w:pPr>
      <w:r>
        <w:t>Setting Scoliosis Straight</w:t>
      </w:r>
      <w:r w:rsidR="00F1473D">
        <w:t xml:space="preserve"> </w:t>
      </w:r>
      <w:hyperlink r:id="rId19" w:history="1">
        <w:r w:rsidR="00F1473D">
          <w:rPr>
            <w:rStyle w:val="Hyperlink"/>
          </w:rPr>
          <w:t>https://www.settingscoliosisstraight.org/</w:t>
        </w:r>
      </w:hyperlink>
      <w:r w:rsidR="00F1473D">
        <w:rPr>
          <w:color w:val="1F497D"/>
        </w:rPr>
        <w:t xml:space="preserve"> </w:t>
      </w:r>
    </w:p>
    <w:p w14:paraId="23F6390C" w14:textId="0EEE009E" w:rsidR="00773B54" w:rsidRDefault="00773B54" w:rsidP="00A727B6">
      <w:pPr>
        <w:ind w:left="426"/>
        <w:rPr>
          <w:szCs w:val="20"/>
        </w:rPr>
      </w:pPr>
    </w:p>
    <w:p w14:paraId="10514219"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18617F38" w14:textId="5E4EE310" w:rsidR="00EE6450" w:rsidRDefault="00C80720" w:rsidP="007A2711">
      <w:pPr>
        <w:ind w:left="284" w:firstLine="76"/>
        <w:rPr>
          <w:szCs w:val="20"/>
        </w:rPr>
      </w:pPr>
      <w:r>
        <w:t xml:space="preserve">Globus Medical.  </w:t>
      </w:r>
    </w:p>
    <w:p w14:paraId="73A65AEC" w14:textId="60CABBF0" w:rsidR="00A96329" w:rsidRPr="00A96329" w:rsidRDefault="00E82F54" w:rsidP="00A96329">
      <w:pPr>
        <w:pStyle w:val="Heading2"/>
      </w:pPr>
      <w:r w:rsidRPr="00154B00">
        <w:t>Nominate two experts who could be approached about the proposed medical service and the current clinical management of the service(s):</w:t>
      </w:r>
    </w:p>
    <w:p w14:paraId="2BC126AC" w14:textId="7B78CC81" w:rsidR="00987ABE" w:rsidRPr="00B626CD" w:rsidRDefault="00987ABE" w:rsidP="007A2711">
      <w:pPr>
        <w:ind w:left="426"/>
        <w:rPr>
          <w:szCs w:val="20"/>
        </w:rPr>
      </w:pPr>
      <w:r w:rsidRPr="00B626CD">
        <w:rPr>
          <w:szCs w:val="20"/>
        </w:rPr>
        <w:t xml:space="preserve">Name of expert 1: </w:t>
      </w:r>
      <w:r w:rsidR="007A2711" w:rsidRPr="007A2711">
        <w:rPr>
          <w:b/>
        </w:rPr>
        <w:t>REDACTED</w:t>
      </w:r>
    </w:p>
    <w:p w14:paraId="75645EC2" w14:textId="0BFBDE62" w:rsidR="00987ABE" w:rsidRPr="007A2711" w:rsidRDefault="00987ABE" w:rsidP="007A2711">
      <w:pPr>
        <w:ind w:left="426"/>
        <w:rPr>
          <w:szCs w:val="20"/>
        </w:rPr>
      </w:pPr>
      <w:r w:rsidRPr="00B626CD">
        <w:rPr>
          <w:szCs w:val="20"/>
        </w:rPr>
        <w:t xml:space="preserve">Name of expert 2: </w:t>
      </w:r>
      <w:r w:rsidR="007A2711" w:rsidRPr="007A2711">
        <w:rPr>
          <w:b/>
        </w:rPr>
        <w:t>REDACTED</w:t>
      </w:r>
    </w:p>
    <w:p w14:paraId="26943B61"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1FB6B84E" w14:textId="77777777" w:rsidR="003433D1" w:rsidRDefault="003433D1">
      <w:pPr>
        <w:rPr>
          <w:b/>
          <w:sz w:val="32"/>
          <w:szCs w:val="32"/>
        </w:rPr>
      </w:pPr>
      <w:r>
        <w:rPr>
          <w:b/>
          <w:sz w:val="32"/>
          <w:szCs w:val="32"/>
        </w:rPr>
        <w:br w:type="page"/>
      </w:r>
    </w:p>
    <w:p w14:paraId="3FC9476D"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27C5F831" w14:textId="77777777" w:rsidR="0021185D" w:rsidRPr="005C3AE7" w:rsidRDefault="005C3AE7" w:rsidP="007A2711">
      <w:pPr>
        <w:pStyle w:val="Subtitle"/>
        <w:ind w:left="0"/>
      </w:pPr>
      <w:r w:rsidRPr="005C3AE7">
        <w:t xml:space="preserve">PART 6a – </w:t>
      </w:r>
      <w:r w:rsidR="0021185D" w:rsidRPr="005C3AE7">
        <w:t>INFORMATION ABOUT THE PROPOSED POPULATION</w:t>
      </w:r>
    </w:p>
    <w:p w14:paraId="70CF303D"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1BA02DD9" w14:textId="148256DE" w:rsidR="001A0972" w:rsidRDefault="002D6378" w:rsidP="00E357B9">
      <w:pPr>
        <w:ind w:left="426"/>
      </w:pPr>
      <w:r w:rsidRPr="002D6378">
        <w:t>Scoliosis is defined as a lateral S- or C-shaped curvature of the spine in the coronal plane of more than 10°, as measured by the ‘Cobb angle’.  In the younger population, 85% of scoliosis cases ar</w:t>
      </w:r>
      <w:r w:rsidR="001A0972">
        <w:t xml:space="preserve">e idiopathic </w:t>
      </w:r>
      <w:r w:rsidRPr="002D6378">
        <w:t>after excluding congenital, syndromic, or neuromuscular causes</w:t>
      </w:r>
      <w:r w:rsidR="001A0972">
        <w:t xml:space="preserve">. </w:t>
      </w:r>
      <w:r w:rsidR="00022E3B">
        <w:t xml:space="preserve"> </w:t>
      </w:r>
      <w:r w:rsidR="001A0972" w:rsidRPr="002D6378">
        <w:t xml:space="preserve">The incidence of scoliosis is similar in males and females; however, females have up to a 10-fold greater risk of curve progression.  Adolescent idiopathic scoliosis (AIS) refers to scoliosis </w:t>
      </w:r>
      <w:r w:rsidR="004C0E49">
        <w:t>first identified in children when they are</w:t>
      </w:r>
      <w:r w:rsidR="001A0972">
        <w:t xml:space="preserve"> aged between 10 and 18 years.</w:t>
      </w:r>
      <w:r w:rsidR="001A0972">
        <w:rPr>
          <w:rStyle w:val="FootnoteReference"/>
        </w:rPr>
        <w:footnoteReference w:id="1"/>
      </w:r>
      <w:r w:rsidRPr="002D6378">
        <w:t xml:space="preserve">  </w:t>
      </w:r>
    </w:p>
    <w:p w14:paraId="1F467B1C" w14:textId="13DBD26F" w:rsidR="008764E4" w:rsidRDefault="004C0E49" w:rsidP="00E357B9">
      <w:pPr>
        <w:ind w:left="426"/>
      </w:pPr>
      <w:r>
        <w:t>Without treatment, there is progression of scoliosis and the extent of spinal curvature</w:t>
      </w:r>
      <w:r w:rsidR="008764E4">
        <w:t>, with the rate of progression being greater for more severe curves at the time of diagnosis</w:t>
      </w:r>
      <w:r>
        <w:t xml:space="preserve">. </w:t>
      </w:r>
      <w:r w:rsidR="00022E3B">
        <w:t xml:space="preserve"> </w:t>
      </w:r>
      <w:r>
        <w:t>Natural history studies have shown that, untreated, thoracic curves greater than 30</w:t>
      </w:r>
      <w:r>
        <w:rPr>
          <w:rFonts w:cstheme="minorHAnsi"/>
        </w:rPr>
        <w:t>°</w:t>
      </w:r>
      <w:r>
        <w:t xml:space="preserve"> progress on average by 19</w:t>
      </w:r>
      <w:r>
        <w:rPr>
          <w:rFonts w:cstheme="minorHAnsi"/>
        </w:rPr>
        <w:t>°</w:t>
      </w:r>
      <w:r>
        <w:t xml:space="preserve"> over a 40-year period</w:t>
      </w:r>
      <w:r w:rsidR="008764E4">
        <w:rPr>
          <w:rStyle w:val="FootnoteReference"/>
        </w:rPr>
        <w:footnoteReference w:id="2"/>
      </w:r>
      <w:r>
        <w:t>.</w:t>
      </w:r>
    </w:p>
    <w:p w14:paraId="577A7617" w14:textId="7AEEBFBA" w:rsidR="002A6753" w:rsidRPr="00154B00" w:rsidRDefault="002D6378" w:rsidP="00E357B9">
      <w:pPr>
        <w:ind w:left="426"/>
        <w:rPr>
          <w:szCs w:val="20"/>
        </w:rPr>
      </w:pPr>
      <w:r w:rsidRPr="002D6378">
        <w:t>Although AIS may not cause significant pain, it is associated with visible deformity, which is associated with emotional distr</w:t>
      </w:r>
      <w:r w:rsidR="001A0972">
        <w:t xml:space="preserve">ess and diminished self-image. </w:t>
      </w:r>
      <w:r w:rsidR="00022E3B">
        <w:t xml:space="preserve"> Detrimental impacts on quality of life have been reported for self-image (and pain) domains for patients who do not undergo surgery for AIS</w:t>
      </w:r>
      <w:r w:rsidR="00022E3B">
        <w:rPr>
          <w:rStyle w:val="FootnoteReference"/>
        </w:rPr>
        <w:footnoteReference w:id="3"/>
      </w:r>
      <w:r w:rsidR="00022E3B">
        <w:t xml:space="preserve">.  </w:t>
      </w:r>
      <w:r w:rsidRPr="002D6378">
        <w:t xml:space="preserve">Severe curvature </w:t>
      </w:r>
      <w:r w:rsidR="001A0972">
        <w:t xml:space="preserve">(Cobb angle </w:t>
      </w:r>
      <w:r w:rsidR="0073033B" w:rsidRPr="00E41B76">
        <w:rPr>
          <w:rFonts w:cstheme="minorHAnsi"/>
          <w:szCs w:val="20"/>
        </w:rPr>
        <w:t>≥</w:t>
      </w:r>
      <w:r w:rsidR="001A0972">
        <w:t>40</w:t>
      </w:r>
      <w:r w:rsidR="001A0972">
        <w:rPr>
          <w:rFonts w:cstheme="minorHAnsi"/>
        </w:rPr>
        <w:t>°</w:t>
      </w:r>
      <w:r w:rsidR="001A0972">
        <w:t xml:space="preserve">) </w:t>
      </w:r>
      <w:r w:rsidRPr="002D6378">
        <w:t xml:space="preserve">may </w:t>
      </w:r>
      <w:r w:rsidR="00022E3B">
        <w:t xml:space="preserve">also </w:t>
      </w:r>
      <w:r w:rsidRPr="002D6378">
        <w:t xml:space="preserve">lead to </w:t>
      </w:r>
      <w:r w:rsidR="001A0972">
        <w:t>impaired pulmonary function (shortness of breath) d</w:t>
      </w:r>
      <w:r w:rsidRPr="002D6378">
        <w:t>ue to rib deformity</w:t>
      </w:r>
      <w:r w:rsidR="00022E3B">
        <w:t>, which may affect the ability to perform daily activities</w:t>
      </w:r>
      <w:r w:rsidRPr="002D6378">
        <w:t>.</w:t>
      </w:r>
      <w:r w:rsidR="001A0972">
        <w:t xml:space="preserve"> </w:t>
      </w:r>
      <w:r w:rsidR="00022E3B">
        <w:t xml:space="preserve"> T</w:t>
      </w:r>
      <w:r w:rsidR="001A0972">
        <w:t>here is no evidence of increased mortality with AIS</w:t>
      </w:r>
      <w:r w:rsidR="001A0972">
        <w:rPr>
          <w:rStyle w:val="FootnoteReference"/>
        </w:rPr>
        <w:footnoteReference w:id="4"/>
      </w:r>
      <w:r w:rsidR="001A0972">
        <w:t>.</w:t>
      </w:r>
    </w:p>
    <w:p w14:paraId="101139C8"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7FE276EF" w14:textId="71E2B56B" w:rsidR="00AA5FDA" w:rsidRDefault="00A9780D" w:rsidP="00A9780D">
      <w:pPr>
        <w:ind w:left="426"/>
      </w:pPr>
      <w:r>
        <w:t xml:space="preserve">Patients with AIS are universally defined as having scoliosis (Cobb angle </w:t>
      </w:r>
      <w:r>
        <w:rPr>
          <w:rFonts w:cstheme="minorHAnsi"/>
        </w:rPr>
        <w:t>≥</w:t>
      </w:r>
      <w:r>
        <w:t>10</w:t>
      </w:r>
      <w:r>
        <w:rPr>
          <w:rFonts w:cstheme="minorHAnsi"/>
        </w:rPr>
        <w:t>°</w:t>
      </w:r>
      <w:r>
        <w:t xml:space="preserve">) of unknown cause and aged between 10 and 18 years.  Surgery </w:t>
      </w:r>
      <w:r w:rsidR="00943036">
        <w:t xml:space="preserve">– including VBT – </w:t>
      </w:r>
      <w:r>
        <w:t>is</w:t>
      </w:r>
      <w:r w:rsidR="00943036">
        <w:t xml:space="preserve"> </w:t>
      </w:r>
      <w:r>
        <w:t xml:space="preserve">generally recommended for patients with a Cobb angle </w:t>
      </w:r>
      <w:r>
        <w:rPr>
          <w:rFonts w:cstheme="minorHAnsi"/>
        </w:rPr>
        <w:t>≥</w:t>
      </w:r>
      <w:r>
        <w:t>40</w:t>
      </w:r>
      <w:r>
        <w:rPr>
          <w:rFonts w:cstheme="minorHAnsi"/>
        </w:rPr>
        <w:t>° who have failed conservative treatment such as external bracing</w:t>
      </w:r>
      <w:r>
        <w:t xml:space="preserve">.  </w:t>
      </w:r>
      <w:r w:rsidR="00022E3B">
        <w:t>In t</w:t>
      </w:r>
      <w:r w:rsidR="00943036">
        <w:t>he c</w:t>
      </w:r>
      <w:r>
        <w:t xml:space="preserve">linical </w:t>
      </w:r>
      <w:r>
        <w:lastRenderedPageBreak/>
        <w:t xml:space="preserve">studies of VBT </w:t>
      </w:r>
      <w:r w:rsidR="00943036">
        <w:t>presented in Part 4 of this Application Form</w:t>
      </w:r>
      <w:r w:rsidR="00022E3B">
        <w:t>,</w:t>
      </w:r>
      <w:r w:rsidR="00943036">
        <w:t xml:space="preserve"> </w:t>
      </w:r>
      <w:r>
        <w:t xml:space="preserve">surgery </w:t>
      </w:r>
      <w:r w:rsidR="00022E3B">
        <w:t>wa</w:t>
      </w:r>
      <w:r>
        <w:t>s performed at a mean age of 12 years.  Scoliosis which requires treatment is far less common in boys than in girls</w:t>
      </w:r>
      <w:r w:rsidR="00943036">
        <w:t xml:space="preserve"> (a</w:t>
      </w:r>
      <w:r>
        <w:t xml:space="preserve"> ratio of about 1 to 10</w:t>
      </w:r>
      <w:r w:rsidR="00943036">
        <w:t>)</w:t>
      </w:r>
      <w:r>
        <w:t>.</w:t>
      </w:r>
    </w:p>
    <w:p w14:paraId="764BCE83" w14:textId="25584507" w:rsidR="00A9780D" w:rsidRPr="002D6378" w:rsidRDefault="00943036" w:rsidP="002D6378">
      <w:pPr>
        <w:ind w:left="426"/>
      </w:pPr>
      <w:r>
        <w:t>The possibility of s</w:t>
      </w:r>
      <w:r w:rsidR="00A9780D">
        <w:t xml:space="preserve">coliosis </w:t>
      </w:r>
      <w:r>
        <w:t xml:space="preserve">is initially </w:t>
      </w:r>
      <w:r w:rsidR="00A9780D">
        <w:t xml:space="preserve">detected via ‘outward signs’ when </w:t>
      </w:r>
      <w:r w:rsidR="00022E3B">
        <w:t xml:space="preserve">the subject is </w:t>
      </w:r>
      <w:r w:rsidR="00A9780D">
        <w:t>standing</w:t>
      </w:r>
      <w:r>
        <w:t>,</w:t>
      </w:r>
      <w:r w:rsidR="00A9780D">
        <w:t xml:space="preserve"> including: head not centred over body; one shoulder higher; one shoulder blade higher and possibly more prominent; unusual gaps between arms and trunk; spine obviously curved; one hip more prominent.  The ‘forward bend test’ is </w:t>
      </w:r>
      <w:r>
        <w:t xml:space="preserve">subsequently </w:t>
      </w:r>
      <w:r w:rsidR="00A9780D">
        <w:t xml:space="preserve">used to </w:t>
      </w:r>
      <w:r>
        <w:t xml:space="preserve">clinically </w:t>
      </w:r>
      <w:r w:rsidR="00A9780D">
        <w:t>diagnose scoliosis.  The adolescent stands with their feet together and parallel</w:t>
      </w:r>
      <w:r>
        <w:t>,</w:t>
      </w:r>
      <w:r w:rsidR="00A9780D">
        <w:t xml:space="preserve"> and bends forward as far as they can go with their hands, palms facing each other, pointed between the</w:t>
      </w:r>
      <w:r w:rsidR="00022E3B">
        <w:t xml:space="preserve"> </w:t>
      </w:r>
      <w:r w:rsidR="00A9780D">
        <w:t xml:space="preserve">big toes.  </w:t>
      </w:r>
      <w:r>
        <w:t>With</w:t>
      </w:r>
      <w:r w:rsidR="00A9780D">
        <w:t xml:space="preserve"> scoliosis, one side of the upper chest (thoracic) region or the lower back (lumbar) region will be more than </w:t>
      </w:r>
      <w:r w:rsidR="00022E3B">
        <w:t>one</w:t>
      </w:r>
      <w:r w:rsidR="00A9780D">
        <w:t xml:space="preserve"> ce</w:t>
      </w:r>
      <w:r w:rsidR="002D6378">
        <w:t>ntimetre higher than the other.</w:t>
      </w:r>
      <w:r w:rsidR="002D6378">
        <w:rPr>
          <w:rStyle w:val="FootnoteReference"/>
        </w:rPr>
        <w:footnoteReference w:id="5"/>
      </w:r>
    </w:p>
    <w:p w14:paraId="37154326" w14:textId="0A66D493" w:rsidR="00A9780D" w:rsidRPr="00154B00" w:rsidRDefault="00A9780D" w:rsidP="00082BA8">
      <w:pPr>
        <w:ind w:left="426"/>
        <w:rPr>
          <w:szCs w:val="20"/>
        </w:rPr>
      </w:pPr>
      <w:r>
        <w:rPr>
          <w:szCs w:val="20"/>
        </w:rPr>
        <w:t xml:space="preserve">After a </w:t>
      </w:r>
      <w:r w:rsidRPr="00A9780D">
        <w:rPr>
          <w:szCs w:val="20"/>
        </w:rPr>
        <w:t>clinical diagnosis of scoliosis</w:t>
      </w:r>
      <w:r w:rsidR="00082BA8">
        <w:rPr>
          <w:szCs w:val="20"/>
        </w:rPr>
        <w:t>, x-ray examinations are performed at regular (e.g., four-monthly) intervals to measure changes in the patient’s Cobb angle</w:t>
      </w:r>
      <w:r w:rsidRPr="00A9780D">
        <w:rPr>
          <w:szCs w:val="20"/>
        </w:rPr>
        <w:t>.</w:t>
      </w:r>
      <w:r w:rsidR="00082BA8">
        <w:rPr>
          <w:szCs w:val="20"/>
        </w:rPr>
        <w:t xml:space="preserve">  </w:t>
      </w:r>
      <w:r w:rsidR="00943036">
        <w:rPr>
          <w:szCs w:val="20"/>
        </w:rPr>
        <w:t>External bracing</w:t>
      </w:r>
      <w:r w:rsidR="00082BA8" w:rsidRPr="00082BA8">
        <w:rPr>
          <w:szCs w:val="20"/>
        </w:rPr>
        <w:t xml:space="preserve"> </w:t>
      </w:r>
      <w:r w:rsidR="0073033B">
        <w:rPr>
          <w:szCs w:val="20"/>
        </w:rPr>
        <w:t>is often used with the aim of</w:t>
      </w:r>
      <w:r w:rsidR="00082BA8" w:rsidRPr="00082BA8">
        <w:rPr>
          <w:szCs w:val="20"/>
        </w:rPr>
        <w:t xml:space="preserve"> </w:t>
      </w:r>
      <w:r w:rsidR="00943036">
        <w:rPr>
          <w:szCs w:val="20"/>
        </w:rPr>
        <w:t>maintain</w:t>
      </w:r>
      <w:r w:rsidR="0073033B">
        <w:rPr>
          <w:szCs w:val="20"/>
        </w:rPr>
        <w:t>ing the</w:t>
      </w:r>
      <w:r w:rsidR="00082BA8" w:rsidRPr="00082BA8">
        <w:rPr>
          <w:szCs w:val="20"/>
        </w:rPr>
        <w:t xml:space="preserve"> curve at an acceptable angle </w:t>
      </w:r>
      <w:r w:rsidR="00943036">
        <w:rPr>
          <w:szCs w:val="20"/>
        </w:rPr>
        <w:t>during t</w:t>
      </w:r>
      <w:r w:rsidR="00082BA8">
        <w:rPr>
          <w:szCs w:val="20"/>
        </w:rPr>
        <w:t xml:space="preserve">he </w:t>
      </w:r>
      <w:r w:rsidR="0073033B">
        <w:rPr>
          <w:szCs w:val="20"/>
        </w:rPr>
        <w:t xml:space="preserve">patient’s adolescent </w:t>
      </w:r>
      <w:r w:rsidR="00082BA8">
        <w:rPr>
          <w:szCs w:val="20"/>
        </w:rPr>
        <w:t xml:space="preserve">growth phase. </w:t>
      </w:r>
      <w:r w:rsidR="00943036">
        <w:rPr>
          <w:szCs w:val="20"/>
        </w:rPr>
        <w:t xml:space="preserve"> </w:t>
      </w:r>
      <w:r w:rsidR="00082BA8">
        <w:rPr>
          <w:szCs w:val="20"/>
        </w:rPr>
        <w:t>I</w:t>
      </w:r>
      <w:r w:rsidR="00082BA8" w:rsidRPr="00082BA8">
        <w:rPr>
          <w:szCs w:val="20"/>
        </w:rPr>
        <w:t xml:space="preserve">n suitable candidates </w:t>
      </w:r>
      <w:r w:rsidR="00943036">
        <w:rPr>
          <w:szCs w:val="20"/>
        </w:rPr>
        <w:t>w</w:t>
      </w:r>
      <w:r w:rsidR="00082BA8" w:rsidRPr="00082BA8">
        <w:rPr>
          <w:szCs w:val="20"/>
        </w:rPr>
        <w:t>ho are compliant</w:t>
      </w:r>
      <w:r w:rsidR="00943036">
        <w:rPr>
          <w:szCs w:val="20"/>
        </w:rPr>
        <w:t xml:space="preserve">, </w:t>
      </w:r>
      <w:r w:rsidR="00082BA8" w:rsidRPr="00082BA8">
        <w:rPr>
          <w:szCs w:val="20"/>
        </w:rPr>
        <w:t xml:space="preserve">the success rate </w:t>
      </w:r>
      <w:r w:rsidR="00943036">
        <w:rPr>
          <w:szCs w:val="20"/>
        </w:rPr>
        <w:t xml:space="preserve">with bracing in avoiding surgery </w:t>
      </w:r>
      <w:r w:rsidR="00082BA8" w:rsidRPr="00082BA8">
        <w:rPr>
          <w:szCs w:val="20"/>
        </w:rPr>
        <w:t xml:space="preserve">is </w:t>
      </w:r>
      <w:r w:rsidR="00943036">
        <w:rPr>
          <w:szCs w:val="20"/>
        </w:rPr>
        <w:t>around 80%</w:t>
      </w:r>
      <w:r w:rsidR="00082BA8" w:rsidRPr="00082BA8">
        <w:rPr>
          <w:szCs w:val="20"/>
        </w:rPr>
        <w:t>.</w:t>
      </w:r>
      <w:r w:rsidR="00082BA8">
        <w:rPr>
          <w:szCs w:val="20"/>
        </w:rPr>
        <w:t xml:space="preserve">  </w:t>
      </w:r>
      <w:r w:rsidR="00943036">
        <w:rPr>
          <w:szCs w:val="20"/>
        </w:rPr>
        <w:t xml:space="preserve">It is </w:t>
      </w:r>
      <w:r w:rsidR="00082BA8" w:rsidRPr="00082BA8">
        <w:rPr>
          <w:szCs w:val="20"/>
        </w:rPr>
        <w:t>general</w:t>
      </w:r>
      <w:r w:rsidR="00943036">
        <w:rPr>
          <w:szCs w:val="20"/>
        </w:rPr>
        <w:t>ly</w:t>
      </w:r>
      <w:r w:rsidR="00082BA8" w:rsidRPr="00082BA8">
        <w:rPr>
          <w:szCs w:val="20"/>
        </w:rPr>
        <w:t xml:space="preserve"> agree</w:t>
      </w:r>
      <w:r w:rsidR="00943036">
        <w:rPr>
          <w:szCs w:val="20"/>
        </w:rPr>
        <w:t>d</w:t>
      </w:r>
      <w:r w:rsidR="00082BA8" w:rsidRPr="00082BA8">
        <w:rPr>
          <w:szCs w:val="20"/>
        </w:rPr>
        <w:t xml:space="preserve"> that in skeletally immature patient</w:t>
      </w:r>
      <w:r w:rsidR="00943036">
        <w:rPr>
          <w:szCs w:val="20"/>
        </w:rPr>
        <w:t xml:space="preserve">s, </w:t>
      </w:r>
      <w:r w:rsidR="00082BA8" w:rsidRPr="00082BA8">
        <w:rPr>
          <w:szCs w:val="20"/>
        </w:rPr>
        <w:t xml:space="preserve">bracing </w:t>
      </w:r>
      <w:r w:rsidR="00943036">
        <w:rPr>
          <w:szCs w:val="20"/>
        </w:rPr>
        <w:t xml:space="preserve">is </w:t>
      </w:r>
      <w:r w:rsidR="00082BA8" w:rsidRPr="00082BA8">
        <w:rPr>
          <w:szCs w:val="20"/>
        </w:rPr>
        <w:t>purposeful</w:t>
      </w:r>
      <w:r w:rsidR="00943036">
        <w:rPr>
          <w:szCs w:val="20"/>
        </w:rPr>
        <w:t xml:space="preserve"> for</w:t>
      </w:r>
      <w:r w:rsidR="00082BA8" w:rsidRPr="00082BA8">
        <w:rPr>
          <w:szCs w:val="20"/>
        </w:rPr>
        <w:t xml:space="preserve"> </w:t>
      </w:r>
      <w:r w:rsidR="00E41B76">
        <w:rPr>
          <w:szCs w:val="20"/>
        </w:rPr>
        <w:t>patients with a Cobb angle between 2</w:t>
      </w:r>
      <w:r w:rsidR="00082BA8" w:rsidRPr="00082BA8">
        <w:rPr>
          <w:szCs w:val="20"/>
        </w:rPr>
        <w:t>0</w:t>
      </w:r>
      <w:r w:rsidR="00E41B76">
        <w:rPr>
          <w:rFonts w:cstheme="minorHAnsi"/>
          <w:szCs w:val="20"/>
        </w:rPr>
        <w:t>°</w:t>
      </w:r>
      <w:r w:rsidR="00E41B76">
        <w:rPr>
          <w:szCs w:val="20"/>
        </w:rPr>
        <w:t xml:space="preserve"> and </w:t>
      </w:r>
      <w:r w:rsidR="00082BA8" w:rsidRPr="00082BA8">
        <w:rPr>
          <w:szCs w:val="20"/>
        </w:rPr>
        <w:t>40</w:t>
      </w:r>
      <w:r w:rsidR="00082BA8">
        <w:rPr>
          <w:rFonts w:cstheme="minorHAnsi"/>
          <w:szCs w:val="20"/>
        </w:rPr>
        <w:t>°</w:t>
      </w:r>
      <w:r w:rsidR="00943036">
        <w:rPr>
          <w:szCs w:val="20"/>
        </w:rPr>
        <w:t>, and w</w:t>
      </w:r>
      <w:r w:rsidR="00082BA8" w:rsidRPr="00082BA8">
        <w:rPr>
          <w:szCs w:val="20"/>
        </w:rPr>
        <w:t xml:space="preserve">here </w:t>
      </w:r>
      <w:r w:rsidR="00943036">
        <w:rPr>
          <w:szCs w:val="20"/>
        </w:rPr>
        <w:t xml:space="preserve">there is a </w:t>
      </w:r>
      <w:r w:rsidR="00082BA8" w:rsidRPr="00082BA8">
        <w:rPr>
          <w:szCs w:val="20"/>
        </w:rPr>
        <w:t xml:space="preserve">documented progression of </w:t>
      </w:r>
      <w:r w:rsidR="00943036">
        <w:rPr>
          <w:rFonts w:cstheme="minorHAnsi"/>
          <w:szCs w:val="20"/>
        </w:rPr>
        <w:t>≥</w:t>
      </w:r>
      <w:r w:rsidR="00082BA8">
        <w:rPr>
          <w:szCs w:val="20"/>
        </w:rPr>
        <w:t>5</w:t>
      </w:r>
      <w:r w:rsidR="00082BA8">
        <w:rPr>
          <w:rFonts w:cstheme="minorHAnsi"/>
          <w:szCs w:val="20"/>
        </w:rPr>
        <w:t>°</w:t>
      </w:r>
      <w:r w:rsidR="00082BA8">
        <w:rPr>
          <w:szCs w:val="20"/>
        </w:rPr>
        <w:t>.  Surgery</w:t>
      </w:r>
      <w:r w:rsidR="00943036">
        <w:rPr>
          <w:szCs w:val="20"/>
        </w:rPr>
        <w:t xml:space="preserve"> – </w:t>
      </w:r>
      <w:r w:rsidR="00082BA8">
        <w:rPr>
          <w:szCs w:val="20"/>
        </w:rPr>
        <w:t>including</w:t>
      </w:r>
      <w:r w:rsidR="00943036">
        <w:rPr>
          <w:szCs w:val="20"/>
        </w:rPr>
        <w:t xml:space="preserve"> </w:t>
      </w:r>
      <w:r w:rsidR="00082BA8">
        <w:rPr>
          <w:szCs w:val="20"/>
        </w:rPr>
        <w:t>VBT</w:t>
      </w:r>
      <w:r w:rsidR="00943036">
        <w:rPr>
          <w:szCs w:val="20"/>
        </w:rPr>
        <w:t xml:space="preserve"> – </w:t>
      </w:r>
      <w:r w:rsidR="00082BA8">
        <w:rPr>
          <w:szCs w:val="20"/>
        </w:rPr>
        <w:t>is</w:t>
      </w:r>
      <w:r w:rsidR="00943036">
        <w:rPr>
          <w:szCs w:val="20"/>
        </w:rPr>
        <w:t xml:space="preserve"> </w:t>
      </w:r>
      <w:r w:rsidR="00082BA8">
        <w:rPr>
          <w:szCs w:val="20"/>
        </w:rPr>
        <w:t xml:space="preserve">indicated where bracing </w:t>
      </w:r>
      <w:r w:rsidR="00943036">
        <w:rPr>
          <w:szCs w:val="20"/>
        </w:rPr>
        <w:t xml:space="preserve">has </w:t>
      </w:r>
      <w:r w:rsidR="00082BA8">
        <w:rPr>
          <w:szCs w:val="20"/>
        </w:rPr>
        <w:t>fail</w:t>
      </w:r>
      <w:r w:rsidR="00943036">
        <w:rPr>
          <w:szCs w:val="20"/>
        </w:rPr>
        <w:t>ed</w:t>
      </w:r>
      <w:r w:rsidR="00082BA8">
        <w:rPr>
          <w:szCs w:val="20"/>
        </w:rPr>
        <w:t xml:space="preserve"> to control curve progression and </w:t>
      </w:r>
      <w:r w:rsidR="00943036">
        <w:rPr>
          <w:szCs w:val="20"/>
        </w:rPr>
        <w:t xml:space="preserve">where </w:t>
      </w:r>
      <w:r w:rsidR="00082BA8">
        <w:rPr>
          <w:szCs w:val="20"/>
        </w:rPr>
        <w:t>the Cobb angle</w:t>
      </w:r>
      <w:r w:rsidR="0073033B">
        <w:rPr>
          <w:szCs w:val="20"/>
        </w:rPr>
        <w:t xml:space="preserve"> is at least </w:t>
      </w:r>
      <w:r w:rsidR="00082BA8">
        <w:rPr>
          <w:szCs w:val="20"/>
        </w:rPr>
        <w:t>40</w:t>
      </w:r>
      <w:r w:rsidR="00082BA8">
        <w:rPr>
          <w:rFonts w:cstheme="minorHAnsi"/>
          <w:szCs w:val="20"/>
        </w:rPr>
        <w:t>°</w:t>
      </w:r>
      <w:r w:rsidR="002D6378">
        <w:rPr>
          <w:rFonts w:cstheme="minorHAnsi"/>
          <w:szCs w:val="20"/>
        </w:rPr>
        <w:t>.</w:t>
      </w:r>
      <w:r w:rsidR="002D6378">
        <w:rPr>
          <w:rStyle w:val="FootnoteReference"/>
          <w:rFonts w:cstheme="minorHAnsi"/>
          <w:szCs w:val="20"/>
        </w:rPr>
        <w:footnoteReference w:id="6"/>
      </w:r>
    </w:p>
    <w:p w14:paraId="2DF9A164"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0096F1A0" w14:textId="1912737E" w:rsidR="007F30BC" w:rsidRDefault="00E41B76" w:rsidP="00D73646">
      <w:pPr>
        <w:ind w:left="426"/>
      </w:pPr>
      <w:r>
        <w:t xml:space="preserve">As </w:t>
      </w:r>
      <w:r w:rsidR="007F30BC">
        <w:t>described in Q25 above</w:t>
      </w:r>
      <w:r>
        <w:t xml:space="preserve">, the clinical management pathway before patients would be eligible for VBT sequentially </w:t>
      </w:r>
      <w:r w:rsidR="007F30BC">
        <w:t>involves:</w:t>
      </w:r>
    </w:p>
    <w:p w14:paraId="0F83AEB2" w14:textId="7CD7D733" w:rsidR="007F30BC" w:rsidRDefault="005B1ABC" w:rsidP="005B1ABC">
      <w:pPr>
        <w:pStyle w:val="ListParagraph"/>
        <w:numPr>
          <w:ilvl w:val="0"/>
          <w:numId w:val="38"/>
        </w:numPr>
      </w:pPr>
      <w:r>
        <w:t>S</w:t>
      </w:r>
      <w:r w:rsidR="007F30BC">
        <w:t>elf-detection (‘outward signs’);</w:t>
      </w:r>
    </w:p>
    <w:p w14:paraId="6A4492BC" w14:textId="0485191D" w:rsidR="007F30BC" w:rsidRDefault="005B1ABC" w:rsidP="005B1ABC">
      <w:pPr>
        <w:pStyle w:val="ListParagraph"/>
        <w:numPr>
          <w:ilvl w:val="0"/>
          <w:numId w:val="38"/>
        </w:numPr>
      </w:pPr>
      <w:r>
        <w:t>F</w:t>
      </w:r>
      <w:r w:rsidR="007F30BC">
        <w:t>orward standing test (clinical diagnosis);</w:t>
      </w:r>
    </w:p>
    <w:p w14:paraId="76661B99" w14:textId="2A42B9E2" w:rsidR="007F30BC" w:rsidRDefault="005B1ABC" w:rsidP="005B1ABC">
      <w:pPr>
        <w:pStyle w:val="ListParagraph"/>
        <w:numPr>
          <w:ilvl w:val="0"/>
          <w:numId w:val="38"/>
        </w:numPr>
      </w:pPr>
      <w:r>
        <w:t>X</w:t>
      </w:r>
      <w:r w:rsidR="007F30BC">
        <w:t>-ray examination (radiological diagnosis);</w:t>
      </w:r>
    </w:p>
    <w:p w14:paraId="35225741" w14:textId="4C591056" w:rsidR="007F30BC" w:rsidRDefault="005B1ABC" w:rsidP="005B1ABC">
      <w:pPr>
        <w:pStyle w:val="ListParagraph"/>
        <w:numPr>
          <w:ilvl w:val="0"/>
          <w:numId w:val="38"/>
        </w:numPr>
      </w:pPr>
      <w:r>
        <w:t>E</w:t>
      </w:r>
      <w:r w:rsidR="007F30BC">
        <w:t>xternal bracing</w:t>
      </w:r>
      <w:r w:rsidR="009A2A5F">
        <w:t xml:space="preserve"> (where Cobb angle </w:t>
      </w:r>
      <w:r w:rsidR="009A2A5F" w:rsidRPr="00E41B76">
        <w:rPr>
          <w:rFonts w:cstheme="minorHAnsi"/>
          <w:szCs w:val="20"/>
        </w:rPr>
        <w:t>≥</w:t>
      </w:r>
      <w:r w:rsidR="009A2A5F" w:rsidRPr="00E41B76">
        <w:rPr>
          <w:szCs w:val="20"/>
        </w:rPr>
        <w:t>30</w:t>
      </w:r>
      <w:r w:rsidR="009A2A5F" w:rsidRPr="00E41B76">
        <w:rPr>
          <w:rFonts w:cstheme="minorHAnsi"/>
          <w:szCs w:val="20"/>
        </w:rPr>
        <w:t>°)</w:t>
      </w:r>
      <w:r w:rsidR="00E41B76">
        <w:rPr>
          <w:rFonts w:cstheme="minorHAnsi"/>
          <w:szCs w:val="20"/>
        </w:rPr>
        <w:t>;</w:t>
      </w:r>
    </w:p>
    <w:p w14:paraId="5CB148D3" w14:textId="338512D3" w:rsidR="00BC424B" w:rsidRPr="00E41B76" w:rsidRDefault="005B1ABC" w:rsidP="005B1ABC">
      <w:pPr>
        <w:pStyle w:val="ListParagraph"/>
        <w:numPr>
          <w:ilvl w:val="0"/>
          <w:numId w:val="38"/>
        </w:numPr>
      </w:pPr>
      <w:r>
        <w:t>S</w:t>
      </w:r>
      <w:r w:rsidR="007F30BC">
        <w:t xml:space="preserve">urgery (on failure of bracing </w:t>
      </w:r>
      <w:r w:rsidR="0073033B">
        <w:t xml:space="preserve">and </w:t>
      </w:r>
      <w:r w:rsidR="007F30BC">
        <w:t xml:space="preserve">where the Cobb angle </w:t>
      </w:r>
      <w:r w:rsidR="007F30BC" w:rsidRPr="00E41B76">
        <w:rPr>
          <w:rFonts w:cstheme="minorHAnsi"/>
          <w:szCs w:val="20"/>
        </w:rPr>
        <w:t>≥</w:t>
      </w:r>
      <w:r w:rsidR="007F30BC" w:rsidRPr="00E41B76">
        <w:rPr>
          <w:szCs w:val="20"/>
        </w:rPr>
        <w:t>40</w:t>
      </w:r>
      <w:r w:rsidR="007F30BC" w:rsidRPr="00E41B76">
        <w:rPr>
          <w:rFonts w:cstheme="minorHAnsi"/>
          <w:szCs w:val="20"/>
        </w:rPr>
        <w:t>°)</w:t>
      </w:r>
      <w:r w:rsidR="00E41B76">
        <w:rPr>
          <w:rFonts w:cstheme="minorHAnsi"/>
          <w:szCs w:val="20"/>
        </w:rPr>
        <w:t>.</w:t>
      </w:r>
    </w:p>
    <w:p w14:paraId="29139375" w14:textId="7F455709" w:rsidR="003205A3" w:rsidRDefault="00E41B76" w:rsidP="007A2711">
      <w:pPr>
        <w:ind w:left="426"/>
      </w:pPr>
      <w:r>
        <w:t>Currently these patients typically undergo spinal fusion as discussed in Part 6c below.</w:t>
      </w:r>
    </w:p>
    <w:p w14:paraId="1843BC25" w14:textId="0FE8D4F6" w:rsidR="002A50FD" w:rsidRPr="00881F93" w:rsidRDefault="005C3AE7" w:rsidP="007A2711">
      <w:pPr>
        <w:pStyle w:val="Subtitle"/>
        <w:spacing w:before="240"/>
        <w:ind w:left="0"/>
      </w:pPr>
      <w:r>
        <w:lastRenderedPageBreak/>
        <w:t xml:space="preserve">PART 6b – </w:t>
      </w:r>
      <w:r w:rsidR="002A50FD" w:rsidRPr="00881F93">
        <w:t>INFORMATION ABOUT THE INTERVENTION</w:t>
      </w:r>
    </w:p>
    <w:p w14:paraId="799583B9"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77EB3775" w14:textId="730C9078" w:rsidR="002A50FD" w:rsidRDefault="0049247C" w:rsidP="0049247C">
      <w:pPr>
        <w:ind w:left="426"/>
      </w:pPr>
      <w:r>
        <w:t>V</w:t>
      </w:r>
      <w:r w:rsidR="0073033B">
        <w:t xml:space="preserve">ertebral body tethering to correct AIS </w:t>
      </w:r>
      <w:r>
        <w:t>is performed by an orthopaedic</w:t>
      </w:r>
      <w:r w:rsidR="0073033B">
        <w:t>/spinal</w:t>
      </w:r>
      <w:r>
        <w:t xml:space="preserve"> surgeon and general (access) surgeon.  After the </w:t>
      </w:r>
      <w:r w:rsidR="0073033B">
        <w:t xml:space="preserve">patient </w:t>
      </w:r>
      <w:r>
        <w:t>is administered general anaesthesia, the surgeons will access the spine through small incisions in the side of the chest.  The surgeons then use a fibre-optic video camera to help place titanium screws into the con</w:t>
      </w:r>
      <w:r w:rsidR="0073033B">
        <w:t xml:space="preserve">vex side of the vertebrae.  </w:t>
      </w:r>
      <w:r>
        <w:t xml:space="preserve">A flexible cable made of synthetic polymer </w:t>
      </w:r>
      <w:r w:rsidR="0073033B">
        <w:t>(‘</w:t>
      </w:r>
      <w:r>
        <w:t>tether</w:t>
      </w:r>
      <w:r w:rsidR="0073033B">
        <w:t>’)</w:t>
      </w:r>
      <w:r>
        <w:t xml:space="preserve"> connects the screws and is secured along the side of the child’s vertebrae. The tether is pulled taut, which then guides the child’s future growth.</w:t>
      </w:r>
    </w:p>
    <w:p w14:paraId="5D69E738" w14:textId="138F7FEF" w:rsidR="0049247C" w:rsidRPr="00154B00" w:rsidRDefault="0049247C" w:rsidP="0049247C">
      <w:pPr>
        <w:ind w:left="426"/>
        <w:rPr>
          <w:szCs w:val="20"/>
        </w:rPr>
      </w:pPr>
      <w:r>
        <w:t>Typically, a patient will spend around one day in the intensive care unit (ICU) and a further four days in hospital before being discharged with oral pain medication.</w:t>
      </w:r>
    </w:p>
    <w:p w14:paraId="15BB6909"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51B9368A" w14:textId="05845351" w:rsidR="002A6753" w:rsidRPr="00154B00" w:rsidRDefault="0070662E" w:rsidP="00E357B9">
      <w:pPr>
        <w:ind w:left="426"/>
        <w:rPr>
          <w:szCs w:val="20"/>
        </w:rPr>
      </w:pPr>
      <w:r>
        <w:t xml:space="preserve">The proposed medical service </w:t>
      </w:r>
      <w:r w:rsidR="0073033B">
        <w:t>(VBT</w:t>
      </w:r>
      <w:r>
        <w:t>) does not include a registered trademark component.</w:t>
      </w:r>
    </w:p>
    <w:p w14:paraId="496E35C8"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241217D8" w14:textId="04AA2318" w:rsidR="00DF0C51" w:rsidRDefault="0070662E" w:rsidP="00E357B9">
      <w:pPr>
        <w:ind w:left="426"/>
        <w:rPr>
          <w:b/>
          <w:szCs w:val="20"/>
        </w:rPr>
      </w:pPr>
      <w:r>
        <w:t xml:space="preserve">Vertebral body tethering </w:t>
      </w:r>
      <w:r w:rsidR="0073033B">
        <w:t>is a</w:t>
      </w:r>
      <w:r>
        <w:t xml:space="preserve"> less invasive approach to </w:t>
      </w:r>
      <w:r w:rsidR="0073033B">
        <w:t xml:space="preserve">treating </w:t>
      </w:r>
      <w:r>
        <w:t xml:space="preserve">AIS compared with spinal fusion, and enables patients to retain a greater range of motion following surgery.  Currently, spinal fusion is generally performed for patients with AIS who have failed conservative treatment (external bracing) and have a Cobb angle </w:t>
      </w:r>
      <w:r w:rsidR="0073033B" w:rsidRPr="00E41B76">
        <w:rPr>
          <w:rFonts w:cstheme="minorHAnsi"/>
          <w:szCs w:val="20"/>
        </w:rPr>
        <w:t>≥</w:t>
      </w:r>
      <w:r>
        <w:t>40</w:t>
      </w:r>
      <w:r>
        <w:rPr>
          <w:rFonts w:cstheme="minorHAnsi"/>
        </w:rPr>
        <w:t>°</w:t>
      </w:r>
      <w:r>
        <w:t>.  This is also the intended population for VBT.</w:t>
      </w:r>
    </w:p>
    <w:p w14:paraId="6529794E"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031F9C40" w14:textId="09556EB8" w:rsidR="00CC09D7" w:rsidRPr="00154B00" w:rsidRDefault="0070662E" w:rsidP="00E357B9">
      <w:pPr>
        <w:ind w:left="426"/>
        <w:rPr>
          <w:szCs w:val="20"/>
        </w:rPr>
      </w:pPr>
      <w:r>
        <w:t xml:space="preserve">VBT is intended for patients who have not yet reached skeletal maturity.  </w:t>
      </w:r>
      <w:r w:rsidRPr="0070662E">
        <w:t xml:space="preserve">In most cases, the implants used in </w:t>
      </w:r>
      <w:r>
        <w:t xml:space="preserve">VBT </w:t>
      </w:r>
      <w:r w:rsidRPr="0070662E">
        <w:t>do not need to be removed</w:t>
      </w:r>
      <w:r>
        <w:t xml:space="preserve"> and </w:t>
      </w:r>
      <w:r w:rsidRPr="0070662E">
        <w:t xml:space="preserve">remain in </w:t>
      </w:r>
      <w:r>
        <w:t>the</w:t>
      </w:r>
      <w:r w:rsidRPr="0070662E">
        <w:t xml:space="preserve"> child’s spine through</w:t>
      </w:r>
      <w:r>
        <w:t>out</w:t>
      </w:r>
      <w:r w:rsidRPr="0070662E">
        <w:t xml:space="preserve"> their lifetime.</w:t>
      </w:r>
    </w:p>
    <w:p w14:paraId="6EBA00D7"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70BF1DC8" w14:textId="19E3DB50" w:rsidR="00791C8D" w:rsidRPr="00154B00" w:rsidRDefault="008A3478" w:rsidP="00884E69">
      <w:pPr>
        <w:ind w:left="426"/>
        <w:rPr>
          <w:szCs w:val="20"/>
        </w:rPr>
      </w:pPr>
      <w:r>
        <w:t>No other healthcare resources need to be delivered at the same time as VBT.</w:t>
      </w:r>
    </w:p>
    <w:p w14:paraId="6EE68527"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78FB2CF3" w14:textId="242ED0EF" w:rsidR="008A3478" w:rsidRDefault="008A3478" w:rsidP="00884E69">
      <w:pPr>
        <w:ind w:left="426"/>
      </w:pPr>
      <w:r>
        <w:t xml:space="preserve">An orthopaedic/spinal surgeon performs the </w:t>
      </w:r>
      <w:r w:rsidR="0073033B">
        <w:t xml:space="preserve">VBT </w:t>
      </w:r>
      <w:r>
        <w:t>procedure.</w:t>
      </w:r>
    </w:p>
    <w:p w14:paraId="1C8F20FB" w14:textId="1721AE45" w:rsidR="00B17E26" w:rsidRPr="00154B00" w:rsidRDefault="008A3478" w:rsidP="00884E69">
      <w:pPr>
        <w:ind w:left="426"/>
        <w:rPr>
          <w:szCs w:val="20"/>
        </w:rPr>
      </w:pPr>
      <w:r>
        <w:t xml:space="preserve">An assisting “access surgeon” may also be required for anterior exposure of the spine.  This service is </w:t>
      </w:r>
      <w:r w:rsidR="0073033B">
        <w:t xml:space="preserve">already </w:t>
      </w:r>
      <w:r>
        <w:t>covered by MBS items 51160 and 51165.  The procedure is performed under general anaesthetic – therefore, an anaesthetist will be required (MBS item 20670).</w:t>
      </w:r>
    </w:p>
    <w:p w14:paraId="39F101BE" w14:textId="77777777" w:rsidR="00B17E26" w:rsidRPr="00154B00" w:rsidRDefault="00B17E26" w:rsidP="00530204">
      <w:pPr>
        <w:pStyle w:val="Heading2"/>
      </w:pPr>
      <w:r w:rsidRPr="00154B00">
        <w:lastRenderedPageBreak/>
        <w:t xml:space="preserve">If applicable, advise whether the proposed medical service could be delegated or referred to another professional </w:t>
      </w:r>
      <w:r w:rsidRPr="0073597B">
        <w:t>for</w:t>
      </w:r>
      <w:r w:rsidRPr="00154B00">
        <w:t xml:space="preserve"> delive</w:t>
      </w:r>
      <w:r w:rsidR="00AE1188">
        <w:t>ry:</w:t>
      </w:r>
    </w:p>
    <w:p w14:paraId="6DDCB794" w14:textId="16605A86" w:rsidR="00B17E26" w:rsidRPr="00154B00" w:rsidRDefault="008A3478" w:rsidP="00884E69">
      <w:pPr>
        <w:ind w:left="426"/>
        <w:rPr>
          <w:szCs w:val="20"/>
        </w:rPr>
      </w:pPr>
      <w:r>
        <w:t>The VBT procedure cannot be delegated.</w:t>
      </w:r>
    </w:p>
    <w:p w14:paraId="477B95A3"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6B286534" w14:textId="02B45CF3" w:rsidR="00EA0E25" w:rsidRPr="00154B00" w:rsidRDefault="002C247B" w:rsidP="00BC424B">
      <w:pPr>
        <w:ind w:left="426"/>
        <w:rPr>
          <w:szCs w:val="20"/>
        </w:rPr>
      </w:pPr>
      <w:r w:rsidRPr="002C247B">
        <w:t xml:space="preserve">There are no limitations </w:t>
      </w:r>
      <w:r w:rsidR="0073033B">
        <w:t xml:space="preserve">on performing VBT </w:t>
      </w:r>
      <w:r w:rsidRPr="002C247B">
        <w:t>beyond being qualified as an orthopaedic/spinal surgeon.</w:t>
      </w:r>
    </w:p>
    <w:p w14:paraId="07BF77AD"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575EDE05" w14:textId="7D8EA081" w:rsidR="00EA0E25" w:rsidRPr="00154B00" w:rsidRDefault="002C247B" w:rsidP="0073597B">
      <w:pPr>
        <w:ind w:left="426"/>
        <w:rPr>
          <w:szCs w:val="20"/>
        </w:rPr>
      </w:pPr>
      <w:r>
        <w:t xml:space="preserve">There is no specific training or qualifications for surgeons </w:t>
      </w:r>
      <w:r w:rsidR="0073033B">
        <w:t xml:space="preserve">for performing VBT </w:t>
      </w:r>
      <w:r>
        <w:t>beyond the g</w:t>
      </w:r>
      <w:r w:rsidR="0073033B">
        <w:t>eneral spine fellowship or post-</w:t>
      </w:r>
      <w:r>
        <w:t>orthopaedic speciality training.</w:t>
      </w:r>
    </w:p>
    <w:p w14:paraId="6D784C2A"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3B0EEC1B" w14:textId="5CD0196E" w:rsidR="000A478F" w:rsidRDefault="003E6F48"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B51D68">
        <w:rPr>
          <w:szCs w:val="20"/>
        </w:rPr>
      </w:r>
      <w:r w:rsidR="00B51D68">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4684A398" w14:textId="57CC28A5" w:rsidR="000A478F" w:rsidRDefault="003E6F48"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B51D68">
        <w:rPr>
          <w:szCs w:val="20"/>
        </w:rPr>
      </w:r>
      <w:r w:rsidR="00B51D68">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6984EB9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2B4FC75E"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Pr>
          <w:szCs w:val="20"/>
        </w:rPr>
        <w:t xml:space="preserve"> Public outpatient clinic</w:t>
      </w:r>
    </w:p>
    <w:p w14:paraId="2EA0391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Pr>
          <w:szCs w:val="20"/>
        </w:rPr>
        <w:t xml:space="preserve"> </w:t>
      </w:r>
      <w:r>
        <w:t>Emergency Department</w:t>
      </w:r>
    </w:p>
    <w:p w14:paraId="53BBF0D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6C124F40"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Pr>
          <w:szCs w:val="20"/>
        </w:rPr>
        <w:t xml:space="preserve"> Private consulting rooms – specialist</w:t>
      </w:r>
    </w:p>
    <w:p w14:paraId="1577357A"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Pr>
          <w:szCs w:val="20"/>
        </w:rPr>
        <w:t xml:space="preserve"> Private consulting rooms – other health practitioner (nurse or allied health)</w:t>
      </w:r>
    </w:p>
    <w:p w14:paraId="194B3A1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7600B46F"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Pr>
          <w:szCs w:val="20"/>
        </w:rPr>
        <w:t xml:space="preserve"> Private day surgery clinic (non-admitted patient)</w:t>
      </w:r>
    </w:p>
    <w:p w14:paraId="141700FC"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Pr>
          <w:szCs w:val="20"/>
        </w:rPr>
        <w:t xml:space="preserve"> Public day surgery clinic (admitted patient)</w:t>
      </w:r>
    </w:p>
    <w:p w14:paraId="518D845C"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Pr>
          <w:szCs w:val="20"/>
        </w:rPr>
        <w:t xml:space="preserve"> Public day surgery clinic (non-admitted patient)</w:t>
      </w:r>
    </w:p>
    <w:p w14:paraId="3D1B9BD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Pr>
          <w:szCs w:val="20"/>
        </w:rPr>
        <w:t xml:space="preserve"> </w:t>
      </w:r>
      <w:r>
        <w:t>Residential aged care facility</w:t>
      </w:r>
    </w:p>
    <w:p w14:paraId="67360F1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Pr>
          <w:szCs w:val="20"/>
        </w:rPr>
        <w:t xml:space="preserve"> </w:t>
      </w:r>
      <w:r>
        <w:t>Patient’s home</w:t>
      </w:r>
    </w:p>
    <w:p w14:paraId="1FEF02D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Pr>
          <w:szCs w:val="20"/>
        </w:rPr>
        <w:t xml:space="preserve"> </w:t>
      </w:r>
      <w:r>
        <w:t>Laboratory</w:t>
      </w:r>
    </w:p>
    <w:p w14:paraId="2F4BA447"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51D68">
        <w:rPr>
          <w:szCs w:val="20"/>
        </w:rPr>
      </w:r>
      <w:r w:rsidR="00B51D68">
        <w:rPr>
          <w:szCs w:val="20"/>
        </w:rPr>
        <w:fldChar w:fldCharType="separate"/>
      </w:r>
      <w:r w:rsidRPr="000A5B32">
        <w:rPr>
          <w:szCs w:val="20"/>
        </w:rPr>
        <w:fldChar w:fldCharType="end"/>
      </w:r>
      <w:r>
        <w:rPr>
          <w:szCs w:val="20"/>
        </w:rPr>
        <w:t xml:space="preserve"> </w:t>
      </w:r>
      <w:r>
        <w:t>Other – please specify below</w:t>
      </w:r>
    </w:p>
    <w:p w14:paraId="03EA12E9" w14:textId="71182FE0" w:rsidR="005F3F07" w:rsidRDefault="0073033B" w:rsidP="0073597B">
      <w:pPr>
        <w:ind w:left="426"/>
        <w:rPr>
          <w:b/>
          <w:szCs w:val="20"/>
        </w:rPr>
      </w:pPr>
      <w:r>
        <w:t xml:space="preserve">The VBT procedure can only be performed on an admitted/inpatient basis. </w:t>
      </w:r>
    </w:p>
    <w:p w14:paraId="45E42353"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5C2C0736" w14:textId="104C1D6C" w:rsidR="0073597B" w:rsidRDefault="008A3478" w:rsidP="0073597B">
      <w:pPr>
        <w:ind w:left="426"/>
        <w:rPr>
          <w:b/>
          <w:szCs w:val="20"/>
        </w:rPr>
      </w:pPr>
      <w:r>
        <w:t xml:space="preserve">The </w:t>
      </w:r>
      <w:r w:rsidR="0073033B">
        <w:t xml:space="preserve">VBT </w:t>
      </w:r>
      <w:r>
        <w:t>procedure may be performed in a public or private hospital.</w:t>
      </w:r>
    </w:p>
    <w:p w14:paraId="201D7737" w14:textId="77777777" w:rsidR="003E30FB" w:rsidRDefault="003E30FB" w:rsidP="00530204">
      <w:pPr>
        <w:pStyle w:val="Heading2"/>
      </w:pPr>
      <w:r>
        <w:t xml:space="preserve">Is the </w:t>
      </w:r>
      <w:r w:rsidRPr="001B29A1">
        <w:t>proposed</w:t>
      </w:r>
      <w:r>
        <w:t xml:space="preserve"> medical service intended to be entirely rendered in Australia?</w:t>
      </w:r>
    </w:p>
    <w:p w14:paraId="25732F3B" w14:textId="6680D0D7" w:rsidR="000A478F" w:rsidRDefault="003E6F48"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1D68">
        <w:rPr>
          <w:szCs w:val="20"/>
        </w:rPr>
      </w:r>
      <w:r w:rsidR="00B51D68">
        <w:rPr>
          <w:szCs w:val="20"/>
        </w:rPr>
        <w:fldChar w:fldCharType="separate"/>
      </w:r>
      <w:r>
        <w:rPr>
          <w:szCs w:val="20"/>
        </w:rPr>
        <w:fldChar w:fldCharType="end"/>
      </w:r>
      <w:r w:rsidR="000A478F">
        <w:rPr>
          <w:szCs w:val="20"/>
        </w:rPr>
        <w:t xml:space="preserve"> Yes</w:t>
      </w:r>
    </w:p>
    <w:p w14:paraId="4EE7B164"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51D68">
        <w:rPr>
          <w:szCs w:val="20"/>
        </w:rPr>
      </w:r>
      <w:r w:rsidR="00B51D68">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269F1964" w14:textId="02C60521" w:rsidR="000A478F" w:rsidRDefault="000A478F" w:rsidP="00881F93">
      <w:pPr>
        <w:rPr>
          <w:b/>
          <w:i/>
          <w:szCs w:val="20"/>
          <w:u w:val="single"/>
        </w:rPr>
      </w:pPr>
    </w:p>
    <w:p w14:paraId="409DCDDF" w14:textId="77777777" w:rsidR="00E60529" w:rsidRPr="00881F93" w:rsidRDefault="005C3AE7" w:rsidP="007A2711">
      <w:pPr>
        <w:pStyle w:val="Subtitle"/>
        <w:ind w:left="0"/>
      </w:pPr>
      <w:r>
        <w:lastRenderedPageBreak/>
        <w:t xml:space="preserve">PART 6c – </w:t>
      </w:r>
      <w:r w:rsidR="00E60529" w:rsidRPr="00881F93">
        <w:t>INFORMATION ABOUT THE COMPARATOR</w:t>
      </w:r>
      <w:r w:rsidR="00A83EC6" w:rsidRPr="00881F93">
        <w:t>(S)</w:t>
      </w:r>
    </w:p>
    <w:p w14:paraId="00EFB4DD"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06FA3564" w14:textId="1811AF81" w:rsidR="00E60529" w:rsidRPr="00154B00" w:rsidRDefault="009E0C03" w:rsidP="001B29A1">
      <w:pPr>
        <w:ind w:left="426"/>
        <w:rPr>
          <w:szCs w:val="20"/>
        </w:rPr>
      </w:pPr>
      <w:r>
        <w:t xml:space="preserve">Currently patients in Australia with AIS and </w:t>
      </w:r>
      <w:r w:rsidR="00CB4A3E">
        <w:t xml:space="preserve">a </w:t>
      </w:r>
      <w:r>
        <w:t>major</w:t>
      </w:r>
      <w:r w:rsidR="0073033B">
        <w:t xml:space="preserve"> </w:t>
      </w:r>
      <w:r w:rsidR="00CB4A3E">
        <w:t xml:space="preserve">thoracic </w:t>
      </w:r>
      <w:r w:rsidR="0073033B">
        <w:t xml:space="preserve">Cobb angle </w:t>
      </w:r>
      <w:r w:rsidR="0073033B" w:rsidRPr="00E41B76">
        <w:rPr>
          <w:rFonts w:cstheme="minorHAnsi"/>
          <w:szCs w:val="20"/>
        </w:rPr>
        <w:t>≥</w:t>
      </w:r>
      <w:r>
        <w:t>40</w:t>
      </w:r>
      <w:r>
        <w:rPr>
          <w:rFonts w:cstheme="minorHAnsi"/>
        </w:rPr>
        <w:t xml:space="preserve">° despite bracing </w:t>
      </w:r>
      <w:r>
        <w:t xml:space="preserve">undergo spinal fusion.  </w:t>
      </w:r>
      <w:r w:rsidR="00605404">
        <w:t>A bone graft (</w:t>
      </w:r>
      <w:r w:rsidR="00CB4A3E">
        <w:t xml:space="preserve">taken </w:t>
      </w:r>
      <w:r w:rsidR="00605404">
        <w:t xml:space="preserve">from the patient, bone bank or an artificial bone substitute) is used to fuse the vertebrae together.  </w:t>
      </w:r>
      <w:r>
        <w:t xml:space="preserve">This is generally performed using the posterior approach </w:t>
      </w:r>
      <w:r w:rsidR="00605404">
        <w:t xml:space="preserve">(approaching the spine and making an incision in the back) </w:t>
      </w:r>
      <w:r w:rsidR="00CB4A3E">
        <w:t xml:space="preserve">and </w:t>
      </w:r>
      <w:r>
        <w:t xml:space="preserve">with pedicle screw instrumentation.  </w:t>
      </w:r>
      <w:r w:rsidR="00605404" w:rsidRPr="00605404">
        <w:t xml:space="preserve">Pedicle screws are used </w:t>
      </w:r>
      <w:r w:rsidR="00605404">
        <w:t xml:space="preserve">to </w:t>
      </w:r>
      <w:r w:rsidR="00605404" w:rsidRPr="00605404">
        <w:t xml:space="preserve">add extra support and strength to the </w:t>
      </w:r>
      <w:r w:rsidR="00605404">
        <w:t xml:space="preserve">spinal </w:t>
      </w:r>
      <w:r w:rsidR="00605404" w:rsidRPr="00605404">
        <w:t>fusion while it heals</w:t>
      </w:r>
      <w:r w:rsidR="00605404">
        <w:t>, and a</w:t>
      </w:r>
      <w:r w:rsidR="00605404" w:rsidRPr="00605404">
        <w:t xml:space="preserve">re placed above and below the </w:t>
      </w:r>
      <w:r w:rsidR="00CB4A3E">
        <w:t xml:space="preserve">fused </w:t>
      </w:r>
      <w:r w:rsidR="00605404" w:rsidRPr="00605404">
        <w:t xml:space="preserve">vertebrae. </w:t>
      </w:r>
      <w:r w:rsidR="00605404">
        <w:t xml:space="preserve"> </w:t>
      </w:r>
      <w:r w:rsidR="00605404" w:rsidRPr="00605404">
        <w:t xml:space="preserve">A rod is used to connect the screws which prevents movement and allows the bone graft to heal. </w:t>
      </w:r>
      <w:r w:rsidR="00605404">
        <w:t xml:space="preserve"> </w:t>
      </w:r>
      <w:r w:rsidR="00605404" w:rsidRPr="00605404">
        <w:t>After the fusion is completely healed, the screws and rods can be removed</w:t>
      </w:r>
      <w:r w:rsidR="00605404">
        <w:t xml:space="preserve"> if they </w:t>
      </w:r>
      <w:r w:rsidR="00605404" w:rsidRPr="00605404">
        <w:t>cause</w:t>
      </w:r>
      <w:r w:rsidR="00605404">
        <w:t xml:space="preserve"> d</w:t>
      </w:r>
      <w:r w:rsidR="00605404" w:rsidRPr="00605404">
        <w:t xml:space="preserve">iscomfort. </w:t>
      </w:r>
      <w:r>
        <w:t xml:space="preserve">No </w:t>
      </w:r>
      <w:r w:rsidR="00605404">
        <w:t xml:space="preserve">other </w:t>
      </w:r>
      <w:r>
        <w:t>healthcare resources need to be delivered at the same time as PSF.</w:t>
      </w:r>
    </w:p>
    <w:p w14:paraId="47DEEC29"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4E16B407" w14:textId="50BF8C9B" w:rsidR="006A1038" w:rsidRDefault="003E6F48"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1D68">
        <w:rPr>
          <w:szCs w:val="20"/>
        </w:rPr>
      </w:r>
      <w:r w:rsidR="00B51D68">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58054B81"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51D68">
        <w:rPr>
          <w:szCs w:val="20"/>
        </w:rPr>
      </w:r>
      <w:r w:rsidR="00B51D68">
        <w:rPr>
          <w:szCs w:val="20"/>
        </w:rPr>
        <w:fldChar w:fldCharType="separate"/>
      </w:r>
      <w:r w:rsidRPr="00753C44">
        <w:rPr>
          <w:szCs w:val="20"/>
        </w:rPr>
        <w:fldChar w:fldCharType="end"/>
      </w:r>
      <w:r>
        <w:rPr>
          <w:szCs w:val="20"/>
        </w:rPr>
        <w:t xml:space="preserve"> No  </w:t>
      </w:r>
    </w:p>
    <w:p w14:paraId="5E2E8155" w14:textId="28AF44E9" w:rsidR="000159B9" w:rsidRDefault="00CB4A3E" w:rsidP="001B29A1">
      <w:pPr>
        <w:ind w:left="426"/>
      </w:pPr>
      <w:r>
        <w:t xml:space="preserve">The </w:t>
      </w:r>
      <w:r w:rsidR="002C3566">
        <w:t xml:space="preserve">MBS items for </w:t>
      </w:r>
      <w:r>
        <w:t xml:space="preserve">performing </w:t>
      </w:r>
      <w:r w:rsidR="002C3566">
        <w:t xml:space="preserve">PSF in </w:t>
      </w:r>
      <w:r>
        <w:t xml:space="preserve">patients with </w:t>
      </w:r>
      <w:r w:rsidR="002C3566">
        <w:t xml:space="preserve">AIS </w:t>
      </w:r>
      <w:r>
        <w:t>are</w:t>
      </w:r>
      <w:r w:rsidR="002C3566">
        <w:t>:</w:t>
      </w:r>
    </w:p>
    <w:p w14:paraId="2772C9AD" w14:textId="12F184A3" w:rsidR="002C3566" w:rsidRPr="002C3566" w:rsidRDefault="002C3566" w:rsidP="001B29A1">
      <w:pPr>
        <w:ind w:left="426"/>
        <w:rPr>
          <w:u w:val="single"/>
        </w:rPr>
      </w:pPr>
      <w:r w:rsidRPr="002C3566">
        <w:rPr>
          <w:u w:val="single"/>
        </w:rPr>
        <w:t>MBS item # 50644</w:t>
      </w:r>
    </w:p>
    <w:p w14:paraId="59D552C3" w14:textId="77777777" w:rsidR="002C3566" w:rsidRDefault="002C3566" w:rsidP="001B29A1">
      <w:pPr>
        <w:ind w:left="426"/>
      </w:pPr>
      <w:r w:rsidRPr="002C3566">
        <w:t>SPINE, bone graft to, for a child or adolescent, associated with surgery for correction of scoliosis or kyphosis or both</w:t>
      </w:r>
    </w:p>
    <w:p w14:paraId="30F87598" w14:textId="6A65C6C3" w:rsidR="002C3566" w:rsidRDefault="002C3566" w:rsidP="001B29A1">
      <w:pPr>
        <w:ind w:left="426"/>
      </w:pPr>
      <w:r>
        <w:t>Fee: $2,174.85</w:t>
      </w:r>
    </w:p>
    <w:p w14:paraId="1CC128F9" w14:textId="75CE2B6E" w:rsidR="002C3566" w:rsidRPr="002C3566" w:rsidRDefault="002C3566" w:rsidP="002C3566">
      <w:pPr>
        <w:ind w:left="426"/>
        <w:rPr>
          <w:u w:val="single"/>
        </w:rPr>
      </w:pPr>
      <w:r w:rsidRPr="002C3566">
        <w:rPr>
          <w:u w:val="single"/>
        </w:rPr>
        <w:t>MBS item # 50608</w:t>
      </w:r>
    </w:p>
    <w:p w14:paraId="4A0E196A" w14:textId="77777777" w:rsidR="002C3566" w:rsidRDefault="002C3566" w:rsidP="002C3566">
      <w:pPr>
        <w:ind w:left="426"/>
      </w:pPr>
      <w:r w:rsidRPr="002C3566">
        <w:t>SCOLIOSIS OR KYPHOSIS, in a child or adolescent, treatment by segmental instrumentation and fusion of the spine</w:t>
      </w:r>
    </w:p>
    <w:p w14:paraId="6F573D7C" w14:textId="586BDFC1" w:rsidR="002C3566" w:rsidRDefault="002C3566" w:rsidP="002C3566">
      <w:pPr>
        <w:ind w:left="426"/>
      </w:pPr>
      <w:r>
        <w:t>Fee: $3,534.05</w:t>
      </w:r>
    </w:p>
    <w:p w14:paraId="5467D837" w14:textId="680516AD" w:rsidR="002C3566" w:rsidRPr="002C3566" w:rsidRDefault="002C3566" w:rsidP="002C3566">
      <w:pPr>
        <w:ind w:left="426"/>
        <w:rPr>
          <w:u w:val="single"/>
        </w:rPr>
      </w:pPr>
      <w:r w:rsidRPr="002C3566">
        <w:rPr>
          <w:u w:val="single"/>
        </w:rPr>
        <w:t>MBS item # 506</w:t>
      </w:r>
      <w:r>
        <w:rPr>
          <w:u w:val="single"/>
        </w:rPr>
        <w:t>04</w:t>
      </w:r>
    </w:p>
    <w:p w14:paraId="13702625" w14:textId="77777777" w:rsidR="002C3566" w:rsidRDefault="002C3566" w:rsidP="002C3566">
      <w:pPr>
        <w:ind w:left="426"/>
      </w:pPr>
      <w:r w:rsidRPr="002C3566">
        <w:t>Scoliosis or kyphosis, in a child or adolescent, spinal fusion for (without instrumentation)</w:t>
      </w:r>
    </w:p>
    <w:p w14:paraId="2C5150AD" w14:textId="706A2DE6" w:rsidR="002C3566" w:rsidRDefault="002C3566" w:rsidP="002C3566">
      <w:pPr>
        <w:ind w:left="426"/>
      </w:pPr>
      <w:r>
        <w:t>Fee: $1,902.65</w:t>
      </w:r>
    </w:p>
    <w:p w14:paraId="3EE7264D" w14:textId="2C8A0B82" w:rsidR="002C3566" w:rsidRPr="002C3566" w:rsidRDefault="002C3566" w:rsidP="002C3566">
      <w:pPr>
        <w:ind w:left="426"/>
        <w:rPr>
          <w:u w:val="single"/>
        </w:rPr>
      </w:pPr>
      <w:r w:rsidRPr="002C3566">
        <w:rPr>
          <w:u w:val="single"/>
        </w:rPr>
        <w:t>MBS item # 506</w:t>
      </w:r>
      <w:r>
        <w:rPr>
          <w:u w:val="single"/>
        </w:rPr>
        <w:t>40</w:t>
      </w:r>
    </w:p>
    <w:p w14:paraId="7962DBFE" w14:textId="77777777" w:rsidR="002C3566" w:rsidRDefault="002C3566" w:rsidP="002C3566">
      <w:pPr>
        <w:ind w:left="426"/>
      </w:pPr>
      <w:r w:rsidRPr="002C3566">
        <w:t>SCOLIOSIS, in a child or adolescent, congenital, resection and fusion of abnormal vertebra via an anterior or posterior approach</w:t>
      </w:r>
    </w:p>
    <w:p w14:paraId="50463CB9" w14:textId="7513508F" w:rsidR="002C3566" w:rsidRPr="002C3566" w:rsidRDefault="002C3566" w:rsidP="002C3566">
      <w:pPr>
        <w:ind w:left="426"/>
      </w:pPr>
      <w:r>
        <w:t>Fee: $2,254.05</w:t>
      </w:r>
    </w:p>
    <w:p w14:paraId="3924822E"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 xml:space="preserve">icting the </w:t>
      </w:r>
      <w:r w:rsidRPr="00154B00">
        <w:lastRenderedPageBreak/>
        <w:t>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48A2F28E" w14:textId="69BB9699" w:rsidR="003433D1" w:rsidRDefault="00381F5A" w:rsidP="001B29A1">
      <w:pPr>
        <w:ind w:left="426"/>
        <w:rPr>
          <w:b/>
          <w:szCs w:val="20"/>
        </w:rPr>
      </w:pPr>
      <w:r>
        <w:t>Following PSF</w:t>
      </w:r>
      <w:r w:rsidR="00EC7E50">
        <w:t>,</w:t>
      </w:r>
      <w:r>
        <w:t xml:space="preserve"> patients are typically discharged fr</w:t>
      </w:r>
      <w:r w:rsidR="00EC7E50">
        <w:t>om hospital after five</w:t>
      </w:r>
      <w:r>
        <w:t xml:space="preserve"> to </w:t>
      </w:r>
      <w:r w:rsidR="00EC7E50">
        <w:t>seven</w:t>
      </w:r>
      <w:r>
        <w:t xml:space="preserve"> days.  </w:t>
      </w:r>
      <w:r w:rsidR="00EC7E50">
        <w:t>These p</w:t>
      </w:r>
      <w:r>
        <w:t xml:space="preserve">atients receive oral pain medication </w:t>
      </w:r>
      <w:r w:rsidR="008C4E16">
        <w:t>and typically have follow-up appointment</w:t>
      </w:r>
      <w:r w:rsidR="002C247B">
        <w:t>s</w:t>
      </w:r>
      <w:r w:rsidR="008C4E16">
        <w:t xml:space="preserve"> at six</w:t>
      </w:r>
      <w:r w:rsidR="002C247B">
        <w:t>, 12, 24 and 48</w:t>
      </w:r>
      <w:r w:rsidR="008C4E16">
        <w:t xml:space="preserve"> weeks (with further appointments as required</w:t>
      </w:r>
      <w:r w:rsidR="0049247C">
        <w:t xml:space="preserve"> to assess changes in scoliosis until the child stops growing</w:t>
      </w:r>
      <w:r w:rsidR="008C4E16">
        <w:t>).  Some patients</w:t>
      </w:r>
      <w:r w:rsidR="00EC7E50">
        <w:t xml:space="preserve"> require a </w:t>
      </w:r>
      <w:r w:rsidR="008C4E16">
        <w:t xml:space="preserve">re-operation, primarily due to infection, symptomatic implants, pseudoarthrosis (failure of fusion), </w:t>
      </w:r>
      <w:r w:rsidR="009E0C03">
        <w:t>pedicle screw misplacement</w:t>
      </w:r>
      <w:r w:rsidR="008C4E16">
        <w:t>, or progressive deformity</w:t>
      </w:r>
      <w:r w:rsidR="00EC7E50">
        <w:rPr>
          <w:rStyle w:val="FootnoteReference"/>
        </w:rPr>
        <w:footnoteReference w:id="7"/>
      </w:r>
      <w:r w:rsidR="008C4E16">
        <w:t xml:space="preserve">. </w:t>
      </w:r>
    </w:p>
    <w:p w14:paraId="2E40153E"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6B7BB553"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51D68">
        <w:rPr>
          <w:szCs w:val="20"/>
        </w:rPr>
      </w:r>
      <w:r w:rsidR="00B51D68">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03E82E23" w14:textId="5FCC4144" w:rsidR="001B29A1" w:rsidRDefault="003E6F48"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1D68">
        <w:rPr>
          <w:szCs w:val="20"/>
        </w:rPr>
      </w:r>
      <w:r w:rsidR="00B51D68">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7D3EA74A"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67A4B306" w14:textId="21136B1D" w:rsidR="003433D1" w:rsidRPr="009C58F0" w:rsidRDefault="009C58F0" w:rsidP="001B29A1">
      <w:pPr>
        <w:ind w:left="426"/>
        <w:rPr>
          <w:szCs w:val="20"/>
        </w:rPr>
      </w:pPr>
      <w:r w:rsidRPr="009C58F0">
        <w:t>Redacted</w:t>
      </w:r>
    </w:p>
    <w:p w14:paraId="3474D1CF"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37FD23E6" w14:textId="0892F4D9" w:rsidR="001B29A1" w:rsidRPr="007A2711" w:rsidRDefault="005861CB" w:rsidP="007A2711">
      <w:pPr>
        <w:pStyle w:val="ListParagraph"/>
        <w:ind w:left="360"/>
        <w:rPr>
          <w:b/>
          <w:szCs w:val="20"/>
        </w:rPr>
      </w:pPr>
      <w:r>
        <w:t xml:space="preserve">The clinical management pathway is expected to be similar following VBT compared to PSF.  However, recovery time </w:t>
      </w:r>
      <w:r w:rsidR="003205A3">
        <w:t xml:space="preserve">is expected to </w:t>
      </w:r>
      <w:r>
        <w:t>be quicker</w:t>
      </w:r>
      <w:r w:rsidR="00381F5A">
        <w:t xml:space="preserve"> since the procedure is less invasive</w:t>
      </w:r>
      <w:r>
        <w:t xml:space="preserve">.  </w:t>
      </w:r>
      <w:r w:rsidR="003205A3">
        <w:t>S</w:t>
      </w:r>
      <w:r>
        <w:t xml:space="preserve">ome patients may require </w:t>
      </w:r>
      <w:r w:rsidR="003205A3">
        <w:t xml:space="preserve">a </w:t>
      </w:r>
      <w:r>
        <w:t>revision of their VBT procedure in the future to remove, replace or tighten screws, or to replace or adjust the tether.  Patients who undergo VBT may eventually require spinal fusion if the initial procedure is not deemed to be successful</w:t>
      </w:r>
      <w:r w:rsidR="003205A3">
        <w:t xml:space="preserve"> (see Q41b)</w:t>
      </w:r>
      <w:r>
        <w:t>.</w:t>
      </w:r>
    </w:p>
    <w:p w14:paraId="0556FD62" w14:textId="77777777" w:rsidR="00DF0D47" w:rsidRPr="00881F93" w:rsidRDefault="005C3AE7" w:rsidP="007A2711">
      <w:pPr>
        <w:pStyle w:val="Subtitle"/>
        <w:ind w:left="0"/>
      </w:pPr>
      <w:r>
        <w:t xml:space="preserve">PART 6d – </w:t>
      </w:r>
      <w:r w:rsidR="00DF0D47" w:rsidRPr="00881F93">
        <w:t xml:space="preserve">INFORMATION ABOUT THE </w:t>
      </w:r>
      <w:r w:rsidR="00CF5AD8" w:rsidRPr="00881F93">
        <w:t xml:space="preserve">CLINICAL </w:t>
      </w:r>
      <w:r w:rsidR="00DF0D47" w:rsidRPr="00881F93">
        <w:t>OUTCOME</w:t>
      </w:r>
    </w:p>
    <w:p w14:paraId="75434F5F"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3248E740" w14:textId="1747197C" w:rsidR="004E3CC7" w:rsidRPr="00154B00" w:rsidRDefault="003854CC" w:rsidP="001B29A1">
      <w:pPr>
        <w:ind w:left="426"/>
        <w:rPr>
          <w:szCs w:val="20"/>
        </w:rPr>
      </w:pPr>
      <w:r>
        <w:t xml:space="preserve">VBT is non-inferior to PSF for the management of AIS in terms of spinal curvature correction.  VBT also has similar safety (adverse event rates) compared with PSF.  However, quality of life is superior with VBT compared with PSF. </w:t>
      </w:r>
    </w:p>
    <w:p w14:paraId="31DC3FEB"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698CE0A7" w14:textId="1945EC60" w:rsidR="001B29A1" w:rsidRPr="001B29A1" w:rsidRDefault="003854CC"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51D68">
        <w:rPr>
          <w:szCs w:val="20"/>
        </w:rPr>
      </w:r>
      <w:r w:rsidR="00B51D68">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5C934F0B"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B51D68">
        <w:rPr>
          <w:szCs w:val="20"/>
        </w:rPr>
      </w:r>
      <w:r w:rsidR="00B51D68">
        <w:rPr>
          <w:szCs w:val="20"/>
        </w:rPr>
        <w:fldChar w:fldCharType="separate"/>
      </w:r>
      <w:r w:rsidRPr="001B29A1">
        <w:rPr>
          <w:szCs w:val="20"/>
        </w:rPr>
        <w:fldChar w:fldCharType="end"/>
      </w:r>
      <w:r w:rsidRPr="001B29A1">
        <w:rPr>
          <w:szCs w:val="20"/>
        </w:rPr>
        <w:t xml:space="preserve"> Non-inferiority</w:t>
      </w:r>
      <w:r w:rsidRPr="001B29A1">
        <w:rPr>
          <w:szCs w:val="20"/>
        </w:rPr>
        <w:tab/>
      </w:r>
    </w:p>
    <w:p w14:paraId="1A4C33D0"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4CB2E791" w14:textId="77777777" w:rsidR="004767F6"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sidR="004767F6">
        <w:rPr>
          <w:b/>
          <w:szCs w:val="20"/>
        </w:rPr>
        <w:t>:</w:t>
      </w:r>
    </w:p>
    <w:p w14:paraId="786C6BBB" w14:textId="07C70CA5" w:rsidR="001B29A1" w:rsidRDefault="004767F6" w:rsidP="001B29A1">
      <w:pPr>
        <w:pBdr>
          <w:top w:val="single" w:sz="4" w:space="1" w:color="auto"/>
          <w:left w:val="single" w:sz="4" w:space="4" w:color="auto"/>
          <w:bottom w:val="single" w:sz="4" w:space="1" w:color="auto"/>
          <w:right w:val="single" w:sz="4" w:space="4" w:color="auto"/>
        </w:pBdr>
      </w:pPr>
      <w:r>
        <w:t>Overall adverse events</w:t>
      </w:r>
      <w:r w:rsidR="008412B9">
        <w:t xml:space="preserve"> (AEs)</w:t>
      </w:r>
      <w:r w:rsidR="003205A3">
        <w:t xml:space="preserve"> (rate)</w:t>
      </w:r>
    </w:p>
    <w:p w14:paraId="6062D62C" w14:textId="7B9A8C7C" w:rsidR="004767F6" w:rsidRDefault="004767F6" w:rsidP="001B29A1">
      <w:pPr>
        <w:pBdr>
          <w:top w:val="single" w:sz="4" w:space="1" w:color="auto"/>
          <w:left w:val="single" w:sz="4" w:space="4" w:color="auto"/>
          <w:bottom w:val="single" w:sz="4" w:space="1" w:color="auto"/>
          <w:right w:val="single" w:sz="4" w:space="4" w:color="auto"/>
        </w:pBdr>
      </w:pPr>
      <w:r>
        <w:t xml:space="preserve">Serious </w:t>
      </w:r>
      <w:r w:rsidR="008412B9">
        <w:t>AEs</w:t>
      </w:r>
      <w:r w:rsidR="003205A3">
        <w:t xml:space="preserve"> (rate)</w:t>
      </w:r>
    </w:p>
    <w:p w14:paraId="5F0C8672" w14:textId="444290A0" w:rsidR="004767F6" w:rsidRDefault="004767F6" w:rsidP="001B29A1">
      <w:pPr>
        <w:pBdr>
          <w:top w:val="single" w:sz="4" w:space="1" w:color="auto"/>
          <w:left w:val="single" w:sz="4" w:space="4" w:color="auto"/>
          <w:bottom w:val="single" w:sz="4" w:space="1" w:color="auto"/>
          <w:right w:val="single" w:sz="4" w:space="4" w:color="auto"/>
        </w:pBdr>
      </w:pPr>
      <w:r>
        <w:t>Infections</w:t>
      </w:r>
      <w:r w:rsidR="003205A3">
        <w:t xml:space="preserve"> (rate)</w:t>
      </w:r>
    </w:p>
    <w:p w14:paraId="726DD579" w14:textId="7F510D6A" w:rsidR="001B29A1" w:rsidRPr="001B29A1" w:rsidRDefault="004767F6" w:rsidP="001B29A1">
      <w:pPr>
        <w:pBdr>
          <w:top w:val="single" w:sz="4" w:space="1" w:color="auto"/>
          <w:left w:val="single" w:sz="4" w:space="4" w:color="auto"/>
          <w:bottom w:val="single" w:sz="4" w:space="1" w:color="auto"/>
          <w:right w:val="single" w:sz="4" w:space="4" w:color="auto"/>
        </w:pBdr>
        <w:rPr>
          <w:b/>
          <w:szCs w:val="20"/>
        </w:rPr>
      </w:pPr>
      <w:r>
        <w:t>Neurological complications</w:t>
      </w:r>
      <w:r w:rsidR="003205A3">
        <w:t xml:space="preserve"> (rate)</w:t>
      </w:r>
    </w:p>
    <w:p w14:paraId="17D5F7CA" w14:textId="77777777" w:rsidR="004767F6"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sidR="004767F6">
        <w:rPr>
          <w:b/>
          <w:szCs w:val="20"/>
        </w:rPr>
        <w:t>:</w:t>
      </w:r>
    </w:p>
    <w:p w14:paraId="4A14FC11" w14:textId="1594B50E" w:rsidR="003205A3" w:rsidRDefault="003205A3" w:rsidP="001B29A1">
      <w:pPr>
        <w:pBdr>
          <w:top w:val="single" w:sz="4" w:space="1" w:color="auto"/>
          <w:left w:val="single" w:sz="4" w:space="4" w:color="auto"/>
          <w:bottom w:val="single" w:sz="4" w:space="1" w:color="auto"/>
          <w:right w:val="single" w:sz="4" w:space="4" w:color="auto"/>
        </w:pBdr>
      </w:pPr>
      <w:r>
        <w:t>Absolute c</w:t>
      </w:r>
      <w:r w:rsidR="004767F6">
        <w:t xml:space="preserve">hange in major thoracic </w:t>
      </w:r>
      <w:r w:rsidR="002C3566">
        <w:t xml:space="preserve">(MT) </w:t>
      </w:r>
      <w:r w:rsidR="004767F6">
        <w:t>Cobb angle</w:t>
      </w:r>
      <w:r>
        <w:t xml:space="preserve"> (degrees)</w:t>
      </w:r>
    </w:p>
    <w:p w14:paraId="0B74C85D" w14:textId="17CC1E27" w:rsidR="004767F6" w:rsidRDefault="003205A3" w:rsidP="001B29A1">
      <w:pPr>
        <w:pBdr>
          <w:top w:val="single" w:sz="4" w:space="1" w:color="auto"/>
          <w:left w:val="single" w:sz="4" w:space="4" w:color="auto"/>
          <w:bottom w:val="single" w:sz="4" w:space="1" w:color="auto"/>
          <w:right w:val="single" w:sz="4" w:space="4" w:color="auto"/>
        </w:pBdr>
      </w:pPr>
      <w:r>
        <w:t xml:space="preserve">Proportional change </w:t>
      </w:r>
      <w:r w:rsidR="004767F6">
        <w:t>in MT Cobb angle (‘correction’</w:t>
      </w:r>
      <w:r>
        <w:t>, percentage</w:t>
      </w:r>
      <w:r w:rsidR="004767F6">
        <w:t>)</w:t>
      </w:r>
    </w:p>
    <w:p w14:paraId="1CF06CA9" w14:textId="788D610B" w:rsidR="004767F6" w:rsidRDefault="004767F6" w:rsidP="001B29A1">
      <w:pPr>
        <w:pBdr>
          <w:top w:val="single" w:sz="4" w:space="1" w:color="auto"/>
          <w:left w:val="single" w:sz="4" w:space="4" w:color="auto"/>
          <w:bottom w:val="single" w:sz="4" w:space="1" w:color="auto"/>
          <w:right w:val="single" w:sz="4" w:space="4" w:color="auto"/>
        </w:pBdr>
      </w:pPr>
      <w:r>
        <w:t xml:space="preserve">Clinical success (as defined </w:t>
      </w:r>
      <w:r w:rsidR="003205A3">
        <w:t>in each study, rate)</w:t>
      </w:r>
    </w:p>
    <w:p w14:paraId="3BE0142A" w14:textId="7028203B" w:rsidR="004767F6" w:rsidRDefault="008412B9" w:rsidP="001B29A1">
      <w:pPr>
        <w:pBdr>
          <w:top w:val="single" w:sz="4" w:space="1" w:color="auto"/>
          <w:left w:val="single" w:sz="4" w:space="4" w:color="auto"/>
          <w:bottom w:val="single" w:sz="4" w:space="1" w:color="auto"/>
          <w:right w:val="single" w:sz="4" w:space="4" w:color="auto"/>
        </w:pBdr>
      </w:pPr>
      <w:r>
        <w:t>Change in proximal (upper) thoracic curve</w:t>
      </w:r>
      <w:r w:rsidR="003205A3">
        <w:t xml:space="preserve"> (degrees)</w:t>
      </w:r>
    </w:p>
    <w:p w14:paraId="01FD9163" w14:textId="7BC16BAA" w:rsidR="008412B9" w:rsidRDefault="008412B9" w:rsidP="001B29A1">
      <w:pPr>
        <w:pBdr>
          <w:top w:val="single" w:sz="4" w:space="1" w:color="auto"/>
          <w:left w:val="single" w:sz="4" w:space="4" w:color="auto"/>
          <w:bottom w:val="single" w:sz="4" w:space="1" w:color="auto"/>
          <w:right w:val="single" w:sz="4" w:space="4" w:color="auto"/>
        </w:pBdr>
      </w:pPr>
      <w:r>
        <w:t>Change in lumbar (thoracolumbar) curve</w:t>
      </w:r>
      <w:r w:rsidR="003205A3">
        <w:t xml:space="preserve"> (degrees)</w:t>
      </w:r>
    </w:p>
    <w:p w14:paraId="75A47563" w14:textId="490402B8" w:rsidR="008412B9" w:rsidRDefault="008412B9" w:rsidP="001B29A1">
      <w:pPr>
        <w:pBdr>
          <w:top w:val="single" w:sz="4" w:space="1" w:color="auto"/>
          <w:left w:val="single" w:sz="4" w:space="4" w:color="auto"/>
          <w:bottom w:val="single" w:sz="4" w:space="1" w:color="auto"/>
          <w:right w:val="single" w:sz="4" w:space="4" w:color="auto"/>
        </w:pBdr>
      </w:pPr>
      <w:r>
        <w:t>Thoracic angle of trunk rotation (ATR</w:t>
      </w:r>
      <w:r w:rsidR="003205A3">
        <w:t>, degrees)</w:t>
      </w:r>
    </w:p>
    <w:p w14:paraId="091BBF34" w14:textId="20C1444F" w:rsidR="003E6F48" w:rsidRDefault="008412B9" w:rsidP="001B29A1">
      <w:pPr>
        <w:pBdr>
          <w:top w:val="single" w:sz="4" w:space="1" w:color="auto"/>
          <w:left w:val="single" w:sz="4" w:space="4" w:color="auto"/>
          <w:bottom w:val="single" w:sz="4" w:space="1" w:color="auto"/>
          <w:right w:val="single" w:sz="4" w:space="4" w:color="auto"/>
        </w:pBdr>
      </w:pPr>
      <w:r>
        <w:t>Lumbar ATR</w:t>
      </w:r>
      <w:r w:rsidR="003205A3">
        <w:t xml:space="preserve"> (degrees)</w:t>
      </w:r>
    </w:p>
    <w:p w14:paraId="6E3C6228" w14:textId="6EAEE3C9" w:rsidR="003E6F48" w:rsidRPr="002C3566" w:rsidRDefault="002C3566" w:rsidP="001B29A1">
      <w:pPr>
        <w:pBdr>
          <w:top w:val="single" w:sz="4" w:space="1" w:color="auto"/>
          <w:left w:val="single" w:sz="4" w:space="4" w:color="auto"/>
          <w:bottom w:val="single" w:sz="4" w:space="1" w:color="auto"/>
          <w:right w:val="single" w:sz="4" w:space="4" w:color="auto"/>
        </w:pBdr>
        <w:rPr>
          <w:b/>
          <w:szCs w:val="20"/>
        </w:rPr>
      </w:pPr>
      <w:r w:rsidRPr="002C3566">
        <w:rPr>
          <w:b/>
          <w:szCs w:val="20"/>
        </w:rPr>
        <w:t>Healthcare R</w:t>
      </w:r>
      <w:r w:rsidR="003E6F48" w:rsidRPr="002C3566">
        <w:rPr>
          <w:b/>
          <w:szCs w:val="20"/>
        </w:rPr>
        <w:t>esources:</w:t>
      </w:r>
    </w:p>
    <w:p w14:paraId="6CEE9905" w14:textId="27D26536" w:rsidR="001B29A1" w:rsidRDefault="002C3566" w:rsidP="001B29A1">
      <w:pPr>
        <w:pBdr>
          <w:top w:val="single" w:sz="4" w:space="1" w:color="auto"/>
          <w:left w:val="single" w:sz="4" w:space="4" w:color="auto"/>
          <w:bottom w:val="single" w:sz="4" w:space="1" w:color="auto"/>
          <w:right w:val="single" w:sz="4" w:space="4" w:color="auto"/>
        </w:pBdr>
      </w:pPr>
      <w:r>
        <w:t>Surgical time</w:t>
      </w:r>
      <w:r w:rsidR="003205A3">
        <w:t xml:space="preserve"> (minutes)</w:t>
      </w:r>
    </w:p>
    <w:p w14:paraId="7D5CA562" w14:textId="455AF048" w:rsidR="002C3566" w:rsidRDefault="002C3566" w:rsidP="001B29A1">
      <w:pPr>
        <w:pBdr>
          <w:top w:val="single" w:sz="4" w:space="1" w:color="auto"/>
          <w:left w:val="single" w:sz="4" w:space="4" w:color="auto"/>
          <w:bottom w:val="single" w:sz="4" w:space="1" w:color="auto"/>
          <w:right w:val="single" w:sz="4" w:space="4" w:color="auto"/>
        </w:pBdr>
      </w:pPr>
      <w:r>
        <w:t>Length of stay</w:t>
      </w:r>
      <w:r w:rsidR="003205A3">
        <w:t xml:space="preserve"> (days)</w:t>
      </w:r>
    </w:p>
    <w:p w14:paraId="188DBC7B" w14:textId="5FF50704" w:rsidR="002C3566" w:rsidRPr="002C3566" w:rsidRDefault="002C3566" w:rsidP="001B29A1">
      <w:pPr>
        <w:pBdr>
          <w:top w:val="single" w:sz="4" w:space="1" w:color="auto"/>
          <w:left w:val="single" w:sz="4" w:space="4" w:color="auto"/>
          <w:bottom w:val="single" w:sz="4" w:space="1" w:color="auto"/>
          <w:right w:val="single" w:sz="4" w:space="4" w:color="auto"/>
        </w:pBdr>
      </w:pPr>
      <w:r>
        <w:t>Secondary surgeries, including VBT re-operations and spinal fusions</w:t>
      </w:r>
      <w:r w:rsidR="003205A3">
        <w:t xml:space="preserve"> (rates)</w:t>
      </w:r>
    </w:p>
    <w:p w14:paraId="187146A3"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4CAF8B65"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058373AB" w14:textId="374B527C" w:rsidR="006C74B1" w:rsidRPr="00154B00" w:rsidRDefault="00CE15B1" w:rsidP="00AE1188">
      <w:pPr>
        <w:ind w:left="426"/>
        <w:rPr>
          <w:szCs w:val="20"/>
        </w:rPr>
      </w:pPr>
      <w:r>
        <w:t>A review of 20 published studies</w:t>
      </w:r>
      <w:r w:rsidR="006B3239">
        <w:t xml:space="preserve"> from various countries in the N</w:t>
      </w:r>
      <w:r>
        <w:t xml:space="preserve">orthern </w:t>
      </w:r>
      <w:r w:rsidR="006B3239">
        <w:t>H</w:t>
      </w:r>
      <w:r>
        <w:t xml:space="preserve">emisphere reports the prevalence of AIS (defined by Cobb angle </w:t>
      </w:r>
      <w:r>
        <w:rPr>
          <w:rFonts w:cstheme="minorHAnsi"/>
        </w:rPr>
        <w:t>≥</w:t>
      </w:r>
      <w:r>
        <w:t>10</w:t>
      </w:r>
      <w:r>
        <w:rPr>
          <w:rFonts w:cstheme="minorHAnsi"/>
        </w:rPr>
        <w:t>°</w:t>
      </w:r>
      <w:r>
        <w:t>) amongst girls aged 10 to 14 years to be</w:t>
      </w:r>
      <w:r w:rsidR="006B3239">
        <w:t xml:space="preserve"> between 2% and 3%</w:t>
      </w:r>
      <w:r w:rsidR="006B3239">
        <w:rPr>
          <w:rStyle w:val="FootnoteReference"/>
        </w:rPr>
        <w:footnoteReference w:id="8"/>
      </w:r>
      <w:r>
        <w:t xml:space="preserve">.  Scoliosis Australia </w:t>
      </w:r>
      <w:r w:rsidR="006B3239">
        <w:t>a</w:t>
      </w:r>
      <w:r>
        <w:t xml:space="preserve">lso report this prevalence </w:t>
      </w:r>
      <w:r w:rsidR="006B3239">
        <w:t xml:space="preserve">rate </w:t>
      </w:r>
      <w:r>
        <w:t xml:space="preserve">but </w:t>
      </w:r>
      <w:r w:rsidR="006B3239">
        <w:t xml:space="preserve">also state </w:t>
      </w:r>
      <w:r>
        <w:t>that the preval</w:t>
      </w:r>
      <w:r w:rsidR="0073033B">
        <w:t xml:space="preserve">ence of severe AIS (Cobb angle </w:t>
      </w:r>
      <w:r w:rsidR="0073033B" w:rsidRPr="00E41B76">
        <w:rPr>
          <w:rFonts w:cstheme="minorHAnsi"/>
          <w:szCs w:val="20"/>
        </w:rPr>
        <w:t>≥</w:t>
      </w:r>
      <w:r>
        <w:t>40</w:t>
      </w:r>
      <w:r>
        <w:rPr>
          <w:rFonts w:cstheme="minorHAnsi"/>
        </w:rPr>
        <w:t>°</w:t>
      </w:r>
      <w:r>
        <w:t>) is only 0.1%</w:t>
      </w:r>
      <w:r w:rsidR="006B3239">
        <w:rPr>
          <w:rStyle w:val="FootnoteReference"/>
        </w:rPr>
        <w:footnoteReference w:id="9"/>
      </w:r>
      <w:r w:rsidR="006B3239">
        <w:t>.</w:t>
      </w:r>
    </w:p>
    <w:p w14:paraId="1EF90FA9"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53DA8422" w14:textId="77777777" w:rsidR="00382407" w:rsidRPr="00154B00" w:rsidRDefault="00D50345" w:rsidP="00AE1188">
      <w:pPr>
        <w:ind w:left="426"/>
        <w:rPr>
          <w:szCs w:val="20"/>
        </w:rPr>
      </w:pPr>
      <w:r w:rsidRPr="00D50345">
        <w:t xml:space="preserve">It is anticipated that the </w:t>
      </w:r>
      <w:r>
        <w:t xml:space="preserve">VBT procedure </w:t>
      </w:r>
      <w:r w:rsidRPr="00D50345">
        <w:t>would only be delivered once per patient.</w:t>
      </w:r>
      <w:r>
        <w:t xml:space="preserve">  However, revisions to the index VBT procedure may be required in order to replace/tighten/remove screws or adjust the cord.</w:t>
      </w:r>
    </w:p>
    <w:p w14:paraId="010BFFF8"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44678AFC" w14:textId="47548A37" w:rsidR="00382407" w:rsidRPr="00D50345" w:rsidRDefault="00D50345" w:rsidP="00D50345">
      <w:pPr>
        <w:ind w:left="426"/>
        <w:rPr>
          <w:szCs w:val="20"/>
        </w:rPr>
      </w:pPr>
      <w:r>
        <w:t>As noted above</w:t>
      </w:r>
      <w:r w:rsidR="0068480E">
        <w:t>,</w:t>
      </w:r>
      <w:r>
        <w:t xml:space="preserve"> i</w:t>
      </w:r>
      <w:r w:rsidRPr="00D50345">
        <w:t xml:space="preserve">t is anticipated that the </w:t>
      </w:r>
      <w:r>
        <w:t xml:space="preserve">VBT procedure </w:t>
      </w:r>
      <w:r w:rsidRPr="00D50345">
        <w:t>would only be delivered once per patient.</w:t>
      </w:r>
      <w:r w:rsidR="0068480E">
        <w:t xml:space="preserve">  </w:t>
      </w:r>
      <w:r>
        <w:t xml:space="preserve">However, revisions to the index VBT procedure </w:t>
      </w:r>
      <w:r w:rsidR="008351F9">
        <w:t xml:space="preserve">(e.g., cord or screw adjustments/replacement) </w:t>
      </w:r>
      <w:r>
        <w:t>may be performed up to the age at which the patient reaches skeletal maturity.</w:t>
      </w:r>
      <w:r w:rsidR="008351F9">
        <w:t xml:space="preserve"> </w:t>
      </w:r>
      <w:r w:rsidR="0068480E">
        <w:t xml:space="preserve"> </w:t>
      </w:r>
      <w:r w:rsidR="008351F9">
        <w:t>Potentially, if there is substantial curve progression</w:t>
      </w:r>
      <w:r w:rsidR="0068480E">
        <w:t>,</w:t>
      </w:r>
      <w:r w:rsidR="008351F9">
        <w:t xml:space="preserve"> a surgeon may remove the VBT construct and proceed to spinal fusion. </w:t>
      </w:r>
      <w:r w:rsidR="0068480E">
        <w:t xml:space="preserve"> </w:t>
      </w:r>
      <w:r w:rsidR="008351F9">
        <w:t xml:space="preserve">It is also </w:t>
      </w:r>
      <w:r w:rsidR="0068480E">
        <w:t xml:space="preserve">possible </w:t>
      </w:r>
      <w:r w:rsidR="008351F9">
        <w:t>that the VBT construct may be removed after the patient reached skeletal maturity if</w:t>
      </w:r>
      <w:r w:rsidR="00294056">
        <w:t xml:space="preserve"> the tether breaks, for example.</w:t>
      </w:r>
      <w:bookmarkStart w:id="3" w:name="_GoBack"/>
      <w:bookmarkEnd w:id="3"/>
    </w:p>
    <w:p w14:paraId="534BC0BC"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2F5CF640" w14:textId="4669767F" w:rsidR="002D332D" w:rsidRDefault="00D50345" w:rsidP="00AE1188">
      <w:pPr>
        <w:ind w:left="426"/>
      </w:pPr>
      <w:r>
        <w:t>The number of PSF procedures for s</w:t>
      </w:r>
      <w:r w:rsidR="0068480E">
        <w:t xml:space="preserve">coliosis claimed under the MBS can be </w:t>
      </w:r>
      <w:r>
        <w:t xml:space="preserve">used to estimate the number of patients who would be eligible for the proposed VBT service.  In 2019, MBS items </w:t>
      </w:r>
      <w:r w:rsidR="00A73CE9">
        <w:t xml:space="preserve">for spinal fusion of scoliosis </w:t>
      </w:r>
      <w:r>
        <w:t xml:space="preserve">were claimed </w:t>
      </w:r>
      <w:r w:rsidR="00A73CE9">
        <w:t>397</w:t>
      </w:r>
      <w:r>
        <w:t xml:space="preserve"> times</w:t>
      </w:r>
      <w:r w:rsidR="0068480E">
        <w:t xml:space="preserve"> as shown in the table below</w:t>
      </w:r>
      <w:r>
        <w:t xml:space="preserve">.  </w:t>
      </w:r>
      <w:r w:rsidR="00A73CE9">
        <w:t>Based on the five-year average</w:t>
      </w:r>
      <w:r w:rsidR="0068480E">
        <w:t xml:space="preserve"> service volumes </w:t>
      </w:r>
      <w:r w:rsidR="00A73CE9">
        <w:t>for these MBS items, i</w:t>
      </w:r>
      <w:r>
        <w:t xml:space="preserve">t is estimated that </w:t>
      </w:r>
      <w:r w:rsidR="00A73CE9">
        <w:t>47</w:t>
      </w:r>
      <w:r w:rsidR="0068480E">
        <w:t>1</w:t>
      </w:r>
      <w:r>
        <w:t xml:space="preserve"> patients would be eligible for the proposed VBT service in 2022.  This may be an overestimate since the </w:t>
      </w:r>
      <w:r w:rsidR="00A73CE9">
        <w:t xml:space="preserve">MBS volumes </w:t>
      </w:r>
      <w:r>
        <w:t>will include some re</w:t>
      </w:r>
      <w:r w:rsidR="00A73CE9">
        <w:t xml:space="preserve">peat </w:t>
      </w:r>
      <w:r>
        <w:t>fusion procedures for the same patient.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1700"/>
        <w:gridCol w:w="709"/>
        <w:gridCol w:w="709"/>
        <w:gridCol w:w="709"/>
        <w:gridCol w:w="644"/>
        <w:gridCol w:w="581"/>
      </w:tblGrid>
      <w:tr w:rsidR="00A73CE9" w:rsidRPr="004754B1" w14:paraId="4C7153B9" w14:textId="45BB4C78" w:rsidTr="00A73CE9">
        <w:trPr>
          <w:trHeight w:val="99"/>
        </w:trPr>
        <w:tc>
          <w:tcPr>
            <w:tcW w:w="2198" w:type="pct"/>
          </w:tcPr>
          <w:p w14:paraId="0001AE1B" w14:textId="1EAB850A" w:rsidR="00A73CE9" w:rsidRPr="004754B1" w:rsidRDefault="00A73CE9" w:rsidP="002D332D">
            <w:pPr>
              <w:autoSpaceDE w:val="0"/>
              <w:autoSpaceDN w:val="0"/>
              <w:adjustRightInd w:val="0"/>
              <w:spacing w:before="0" w:after="0" w:line="360" w:lineRule="auto"/>
              <w:rPr>
                <w:rFonts w:ascii="Arial Narrow" w:hAnsi="Arial Narrow" w:cs="Calibri"/>
                <w:color w:val="000000"/>
                <w:szCs w:val="20"/>
                <w:lang w:val="en-US"/>
              </w:rPr>
            </w:pPr>
            <w:r>
              <w:rPr>
                <w:rFonts w:ascii="Arial Narrow" w:hAnsi="Arial Narrow" w:cs="Calibri"/>
                <w:b/>
                <w:bCs/>
                <w:color w:val="000000"/>
                <w:szCs w:val="20"/>
                <w:lang w:val="en-US"/>
              </w:rPr>
              <w:t>Descriptor</w:t>
            </w:r>
            <w:r w:rsidRPr="004754B1">
              <w:rPr>
                <w:rFonts w:ascii="Arial Narrow" w:hAnsi="Arial Narrow" w:cs="Calibri"/>
                <w:b/>
                <w:bCs/>
                <w:color w:val="000000"/>
                <w:szCs w:val="20"/>
                <w:lang w:val="en-US"/>
              </w:rPr>
              <w:t xml:space="preserve"> </w:t>
            </w:r>
          </w:p>
        </w:tc>
        <w:tc>
          <w:tcPr>
            <w:tcW w:w="943" w:type="pct"/>
          </w:tcPr>
          <w:p w14:paraId="5B80EE77" w14:textId="77777777" w:rsidR="00A73CE9" w:rsidRPr="004754B1"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sidRPr="004754B1">
              <w:rPr>
                <w:rFonts w:ascii="Arial Narrow" w:hAnsi="Arial Narrow" w:cs="Calibri"/>
                <w:b/>
                <w:bCs/>
                <w:color w:val="000000"/>
                <w:szCs w:val="20"/>
                <w:lang w:val="en-US"/>
              </w:rPr>
              <w:t>MBS Item Number</w:t>
            </w:r>
          </w:p>
        </w:tc>
        <w:tc>
          <w:tcPr>
            <w:tcW w:w="393" w:type="pct"/>
          </w:tcPr>
          <w:p w14:paraId="7C492EF5" w14:textId="56AD526E" w:rsidR="00A73CE9" w:rsidRPr="004754B1"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
                <w:bCs/>
                <w:color w:val="000000"/>
                <w:szCs w:val="20"/>
                <w:lang w:val="en-US"/>
              </w:rPr>
              <w:t>2015</w:t>
            </w:r>
          </w:p>
        </w:tc>
        <w:tc>
          <w:tcPr>
            <w:tcW w:w="393" w:type="pct"/>
          </w:tcPr>
          <w:p w14:paraId="1E9B7201" w14:textId="742B0754" w:rsidR="00A73CE9" w:rsidRPr="004754B1"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
                <w:bCs/>
                <w:color w:val="000000"/>
                <w:szCs w:val="20"/>
                <w:lang w:val="en-US"/>
              </w:rPr>
              <w:t>2016</w:t>
            </w:r>
          </w:p>
        </w:tc>
        <w:tc>
          <w:tcPr>
            <w:tcW w:w="393" w:type="pct"/>
          </w:tcPr>
          <w:p w14:paraId="390F3B88" w14:textId="3B66B4B6" w:rsidR="00A73CE9" w:rsidRPr="004754B1" w:rsidRDefault="00A73CE9" w:rsidP="002D332D">
            <w:pPr>
              <w:autoSpaceDE w:val="0"/>
              <w:autoSpaceDN w:val="0"/>
              <w:adjustRightInd w:val="0"/>
              <w:spacing w:before="0" w:after="0" w:line="360" w:lineRule="auto"/>
              <w:jc w:val="center"/>
              <w:rPr>
                <w:rFonts w:ascii="Arial Narrow" w:hAnsi="Arial Narrow" w:cs="Calibri"/>
                <w:b/>
                <w:bCs/>
                <w:color w:val="000000"/>
                <w:szCs w:val="20"/>
                <w:lang w:val="en-US"/>
              </w:rPr>
            </w:pPr>
            <w:r>
              <w:rPr>
                <w:rFonts w:ascii="Arial Narrow" w:hAnsi="Arial Narrow" w:cs="Calibri"/>
                <w:b/>
                <w:bCs/>
                <w:color w:val="000000"/>
                <w:szCs w:val="20"/>
                <w:lang w:val="en-US"/>
              </w:rPr>
              <w:t>2017</w:t>
            </w:r>
          </w:p>
        </w:tc>
        <w:tc>
          <w:tcPr>
            <w:tcW w:w="357" w:type="pct"/>
          </w:tcPr>
          <w:p w14:paraId="186BA0F5" w14:textId="18419244" w:rsidR="00A73CE9" w:rsidRPr="004754B1" w:rsidRDefault="00A73CE9" w:rsidP="002D332D">
            <w:pPr>
              <w:autoSpaceDE w:val="0"/>
              <w:autoSpaceDN w:val="0"/>
              <w:adjustRightInd w:val="0"/>
              <w:spacing w:before="0" w:after="0" w:line="360" w:lineRule="auto"/>
              <w:jc w:val="center"/>
              <w:rPr>
                <w:rFonts w:ascii="Arial Narrow" w:hAnsi="Arial Narrow" w:cs="Calibri"/>
                <w:b/>
                <w:bCs/>
                <w:color w:val="000000"/>
                <w:szCs w:val="20"/>
                <w:lang w:val="en-US"/>
              </w:rPr>
            </w:pPr>
            <w:r>
              <w:rPr>
                <w:rFonts w:ascii="Arial Narrow" w:hAnsi="Arial Narrow" w:cs="Calibri"/>
                <w:b/>
                <w:bCs/>
                <w:color w:val="000000"/>
                <w:szCs w:val="20"/>
                <w:lang w:val="en-US"/>
              </w:rPr>
              <w:t>2018</w:t>
            </w:r>
          </w:p>
        </w:tc>
        <w:tc>
          <w:tcPr>
            <w:tcW w:w="322" w:type="pct"/>
          </w:tcPr>
          <w:p w14:paraId="3D717002" w14:textId="6CE35538" w:rsidR="00A73CE9" w:rsidRDefault="00A73CE9" w:rsidP="002D332D">
            <w:pPr>
              <w:autoSpaceDE w:val="0"/>
              <w:autoSpaceDN w:val="0"/>
              <w:adjustRightInd w:val="0"/>
              <w:spacing w:before="0" w:after="0" w:line="360" w:lineRule="auto"/>
              <w:jc w:val="center"/>
              <w:rPr>
                <w:rFonts w:ascii="Arial Narrow" w:hAnsi="Arial Narrow" w:cs="Calibri"/>
                <w:b/>
                <w:bCs/>
                <w:color w:val="000000"/>
                <w:szCs w:val="20"/>
                <w:lang w:val="en-US"/>
              </w:rPr>
            </w:pPr>
            <w:r>
              <w:rPr>
                <w:rFonts w:ascii="Arial Narrow" w:hAnsi="Arial Narrow" w:cs="Calibri"/>
                <w:b/>
                <w:bCs/>
                <w:color w:val="000000"/>
                <w:szCs w:val="20"/>
                <w:lang w:val="en-US"/>
              </w:rPr>
              <w:t>2019</w:t>
            </w:r>
          </w:p>
        </w:tc>
      </w:tr>
      <w:tr w:rsidR="00A73CE9" w:rsidRPr="004754B1" w14:paraId="77DB0F36" w14:textId="723CB41A" w:rsidTr="00A73CE9">
        <w:trPr>
          <w:trHeight w:val="285"/>
        </w:trPr>
        <w:tc>
          <w:tcPr>
            <w:tcW w:w="2198" w:type="pct"/>
            <w:vAlign w:val="bottom"/>
          </w:tcPr>
          <w:p w14:paraId="32A5C55D" w14:textId="17E9B0A5" w:rsidR="00A73CE9" w:rsidRPr="002D332D" w:rsidRDefault="00A73CE9" w:rsidP="002D332D">
            <w:pPr>
              <w:autoSpaceDE w:val="0"/>
              <w:autoSpaceDN w:val="0"/>
              <w:adjustRightInd w:val="0"/>
              <w:spacing w:before="0" w:after="0" w:line="360" w:lineRule="auto"/>
              <w:rPr>
                <w:rFonts w:ascii="Arial Narrow" w:hAnsi="Arial Narrow" w:cs="Calibri"/>
                <w:bCs/>
                <w:color w:val="000000"/>
                <w:szCs w:val="20"/>
                <w:lang w:val="en-US"/>
              </w:rPr>
            </w:pPr>
            <w:r w:rsidRPr="002D332D">
              <w:rPr>
                <w:rFonts w:ascii="Arial Narrow" w:hAnsi="Arial Narrow" w:cs="Calibri"/>
                <w:bCs/>
                <w:color w:val="000000"/>
                <w:szCs w:val="20"/>
                <w:lang w:val="en-US"/>
              </w:rPr>
              <w:t>SPINE, bone graft to, for a child or adolescent, associated with surgery for correction of scoliosis or kyphosis or both</w:t>
            </w:r>
          </w:p>
        </w:tc>
        <w:tc>
          <w:tcPr>
            <w:tcW w:w="943" w:type="pct"/>
          </w:tcPr>
          <w:p w14:paraId="1C913C81" w14:textId="566FE17F" w:rsidR="00A73CE9" w:rsidRPr="004754B1"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50644</w:t>
            </w:r>
          </w:p>
        </w:tc>
        <w:tc>
          <w:tcPr>
            <w:tcW w:w="393" w:type="pct"/>
          </w:tcPr>
          <w:p w14:paraId="0ACAF1CA" w14:textId="6A1E8F50" w:rsidR="00A73CE9" w:rsidRPr="004754B1"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298</w:t>
            </w:r>
          </w:p>
        </w:tc>
        <w:tc>
          <w:tcPr>
            <w:tcW w:w="393" w:type="pct"/>
          </w:tcPr>
          <w:p w14:paraId="26AA8C74" w14:textId="05921143" w:rsidR="00A73CE9" w:rsidRPr="004754B1"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257</w:t>
            </w:r>
          </w:p>
        </w:tc>
        <w:tc>
          <w:tcPr>
            <w:tcW w:w="393" w:type="pct"/>
          </w:tcPr>
          <w:p w14:paraId="54F370E5" w14:textId="0DA05E6F" w:rsidR="00A73CE9"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287</w:t>
            </w:r>
          </w:p>
        </w:tc>
        <w:tc>
          <w:tcPr>
            <w:tcW w:w="357" w:type="pct"/>
          </w:tcPr>
          <w:p w14:paraId="1A3EEDC4" w14:textId="6F9AD939" w:rsidR="00A73CE9"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260</w:t>
            </w:r>
          </w:p>
        </w:tc>
        <w:tc>
          <w:tcPr>
            <w:tcW w:w="322" w:type="pct"/>
          </w:tcPr>
          <w:p w14:paraId="1DD636EB" w14:textId="08B999C9" w:rsidR="00A73CE9"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224</w:t>
            </w:r>
          </w:p>
        </w:tc>
      </w:tr>
      <w:tr w:rsidR="00A73CE9" w:rsidRPr="004754B1" w14:paraId="2CF73887" w14:textId="778D6569" w:rsidTr="00A73CE9">
        <w:trPr>
          <w:trHeight w:val="99"/>
        </w:trPr>
        <w:tc>
          <w:tcPr>
            <w:tcW w:w="2198" w:type="pct"/>
            <w:vAlign w:val="bottom"/>
          </w:tcPr>
          <w:p w14:paraId="29E378FD" w14:textId="2756951E" w:rsidR="00A73CE9" w:rsidRPr="002D332D" w:rsidRDefault="00A73CE9" w:rsidP="002D332D">
            <w:pPr>
              <w:autoSpaceDE w:val="0"/>
              <w:autoSpaceDN w:val="0"/>
              <w:adjustRightInd w:val="0"/>
              <w:spacing w:before="0" w:after="0" w:line="360" w:lineRule="auto"/>
              <w:rPr>
                <w:rFonts w:ascii="Arial Narrow" w:hAnsi="Arial Narrow" w:cs="Calibri"/>
                <w:bCs/>
                <w:color w:val="000000"/>
                <w:szCs w:val="20"/>
                <w:lang w:val="en-US"/>
              </w:rPr>
            </w:pPr>
            <w:r w:rsidRPr="002D332D">
              <w:rPr>
                <w:rFonts w:ascii="Arial Narrow" w:hAnsi="Arial Narrow" w:cs="Calibri"/>
                <w:bCs/>
                <w:color w:val="000000"/>
                <w:szCs w:val="20"/>
                <w:lang w:val="en-US"/>
              </w:rPr>
              <w:t>SCOLIOSIS OR KYPHOSIS, in a child or adolescent, treatment by segmental instrumentation and fusion of the spine</w:t>
            </w:r>
          </w:p>
        </w:tc>
        <w:tc>
          <w:tcPr>
            <w:tcW w:w="943" w:type="pct"/>
          </w:tcPr>
          <w:p w14:paraId="16A54AD1" w14:textId="06920B93" w:rsidR="00A73CE9" w:rsidRPr="004754B1"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50608</w:t>
            </w:r>
          </w:p>
        </w:tc>
        <w:tc>
          <w:tcPr>
            <w:tcW w:w="393" w:type="pct"/>
          </w:tcPr>
          <w:p w14:paraId="5E3403A6" w14:textId="0E6D86DE" w:rsidR="00A73CE9" w:rsidRPr="004754B1"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229</w:t>
            </w:r>
          </w:p>
        </w:tc>
        <w:tc>
          <w:tcPr>
            <w:tcW w:w="393" w:type="pct"/>
          </w:tcPr>
          <w:p w14:paraId="0C7CDB56" w14:textId="1AF65D6F" w:rsidR="00A73CE9" w:rsidRPr="004754B1"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189</w:t>
            </w:r>
          </w:p>
        </w:tc>
        <w:tc>
          <w:tcPr>
            <w:tcW w:w="393" w:type="pct"/>
          </w:tcPr>
          <w:p w14:paraId="1C9ED6D3" w14:textId="15C64FE6" w:rsidR="00A73CE9" w:rsidRDefault="00A73CE9" w:rsidP="002D332D">
            <w:pPr>
              <w:autoSpaceDE w:val="0"/>
              <w:autoSpaceDN w:val="0"/>
              <w:adjustRightInd w:val="0"/>
              <w:spacing w:before="0" w:after="0" w:line="360" w:lineRule="auto"/>
              <w:jc w:val="center"/>
              <w:rPr>
                <w:rFonts w:ascii="Arial Narrow" w:hAnsi="Arial Narrow" w:cs="Calibri"/>
                <w:bCs/>
                <w:color w:val="000000"/>
                <w:szCs w:val="20"/>
                <w:lang w:val="en-US"/>
              </w:rPr>
            </w:pPr>
            <w:r>
              <w:rPr>
                <w:rFonts w:ascii="Arial Narrow" w:hAnsi="Arial Narrow" w:cs="Calibri"/>
                <w:bCs/>
                <w:color w:val="000000"/>
                <w:szCs w:val="20"/>
                <w:lang w:val="en-US"/>
              </w:rPr>
              <w:t>224</w:t>
            </w:r>
          </w:p>
        </w:tc>
        <w:tc>
          <w:tcPr>
            <w:tcW w:w="357" w:type="pct"/>
          </w:tcPr>
          <w:p w14:paraId="14A41587" w14:textId="3BFFB0AD" w:rsidR="00A73CE9" w:rsidRDefault="00A73CE9" w:rsidP="002D332D">
            <w:pPr>
              <w:autoSpaceDE w:val="0"/>
              <w:autoSpaceDN w:val="0"/>
              <w:adjustRightInd w:val="0"/>
              <w:spacing w:before="0" w:after="0" w:line="360" w:lineRule="auto"/>
              <w:jc w:val="center"/>
              <w:rPr>
                <w:rFonts w:ascii="Arial Narrow" w:hAnsi="Arial Narrow" w:cs="Calibri"/>
                <w:bCs/>
                <w:color w:val="000000"/>
                <w:szCs w:val="20"/>
                <w:lang w:val="en-US"/>
              </w:rPr>
            </w:pPr>
            <w:r>
              <w:rPr>
                <w:rFonts w:ascii="Arial Narrow" w:hAnsi="Arial Narrow" w:cs="Calibri"/>
                <w:bCs/>
                <w:color w:val="000000"/>
                <w:szCs w:val="20"/>
                <w:lang w:val="en-US"/>
              </w:rPr>
              <w:t>201</w:t>
            </w:r>
          </w:p>
        </w:tc>
        <w:tc>
          <w:tcPr>
            <w:tcW w:w="322" w:type="pct"/>
          </w:tcPr>
          <w:p w14:paraId="0678730C" w14:textId="4DCBCF0F" w:rsidR="00A73CE9" w:rsidRDefault="00A73CE9" w:rsidP="002D332D">
            <w:pPr>
              <w:autoSpaceDE w:val="0"/>
              <w:autoSpaceDN w:val="0"/>
              <w:adjustRightInd w:val="0"/>
              <w:spacing w:before="0" w:after="0" w:line="360" w:lineRule="auto"/>
              <w:jc w:val="center"/>
              <w:rPr>
                <w:rFonts w:ascii="Arial Narrow" w:hAnsi="Arial Narrow" w:cs="Calibri"/>
                <w:bCs/>
                <w:color w:val="000000"/>
                <w:szCs w:val="20"/>
                <w:lang w:val="en-US"/>
              </w:rPr>
            </w:pPr>
            <w:r>
              <w:rPr>
                <w:rFonts w:ascii="Arial Narrow" w:hAnsi="Arial Narrow" w:cs="Calibri"/>
                <w:bCs/>
                <w:color w:val="000000"/>
                <w:szCs w:val="20"/>
                <w:lang w:val="en-US"/>
              </w:rPr>
              <w:t>171</w:t>
            </w:r>
          </w:p>
        </w:tc>
      </w:tr>
      <w:tr w:rsidR="00A73CE9" w:rsidRPr="004754B1" w14:paraId="553379BC" w14:textId="626E6C50" w:rsidTr="00A73CE9">
        <w:trPr>
          <w:trHeight w:val="99"/>
        </w:trPr>
        <w:tc>
          <w:tcPr>
            <w:tcW w:w="2198" w:type="pct"/>
            <w:vAlign w:val="bottom"/>
          </w:tcPr>
          <w:p w14:paraId="2340550F" w14:textId="7A34FF5A" w:rsidR="00A73CE9" w:rsidRPr="002D332D" w:rsidRDefault="00A73CE9" w:rsidP="002D332D">
            <w:pPr>
              <w:autoSpaceDE w:val="0"/>
              <w:autoSpaceDN w:val="0"/>
              <w:adjustRightInd w:val="0"/>
              <w:spacing w:before="0" w:after="0" w:line="360" w:lineRule="auto"/>
              <w:rPr>
                <w:rFonts w:ascii="Arial Narrow" w:hAnsi="Arial Narrow" w:cs="Calibri"/>
                <w:bCs/>
                <w:color w:val="000000"/>
                <w:szCs w:val="20"/>
                <w:lang w:val="en-US"/>
              </w:rPr>
            </w:pPr>
            <w:r w:rsidRPr="002D332D">
              <w:rPr>
                <w:rFonts w:ascii="Arial Narrow" w:hAnsi="Arial Narrow" w:cs="Calibri"/>
                <w:bCs/>
                <w:color w:val="000000"/>
                <w:szCs w:val="20"/>
                <w:lang w:val="en-US"/>
              </w:rPr>
              <w:t>Scoliosis or kyphosis, in a child or adolescent, spinal fusion for (without instrumentation)</w:t>
            </w:r>
          </w:p>
        </w:tc>
        <w:tc>
          <w:tcPr>
            <w:tcW w:w="943" w:type="pct"/>
          </w:tcPr>
          <w:p w14:paraId="760BD4E5" w14:textId="73A565CC" w:rsidR="00A73CE9" w:rsidRPr="004754B1"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50604</w:t>
            </w:r>
          </w:p>
        </w:tc>
        <w:tc>
          <w:tcPr>
            <w:tcW w:w="393" w:type="pct"/>
          </w:tcPr>
          <w:p w14:paraId="3EF35B17" w14:textId="115DACE9" w:rsidR="00A73CE9" w:rsidRPr="004754B1"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2</w:t>
            </w:r>
          </w:p>
        </w:tc>
        <w:tc>
          <w:tcPr>
            <w:tcW w:w="393" w:type="pct"/>
          </w:tcPr>
          <w:p w14:paraId="18FA4B9D" w14:textId="6C52A711" w:rsidR="00A73CE9" w:rsidRPr="004754B1"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2</w:t>
            </w:r>
          </w:p>
        </w:tc>
        <w:tc>
          <w:tcPr>
            <w:tcW w:w="393" w:type="pct"/>
          </w:tcPr>
          <w:p w14:paraId="5BFA5BE9" w14:textId="2765AA29" w:rsidR="00A73CE9" w:rsidRDefault="00A73CE9" w:rsidP="002D332D">
            <w:pPr>
              <w:autoSpaceDE w:val="0"/>
              <w:autoSpaceDN w:val="0"/>
              <w:adjustRightInd w:val="0"/>
              <w:spacing w:before="0" w:after="0" w:line="360" w:lineRule="auto"/>
              <w:jc w:val="center"/>
              <w:rPr>
                <w:rFonts w:ascii="Arial Narrow" w:hAnsi="Arial Narrow" w:cs="Calibri"/>
                <w:bCs/>
                <w:color w:val="000000"/>
                <w:szCs w:val="20"/>
                <w:lang w:val="en-US"/>
              </w:rPr>
            </w:pPr>
            <w:r>
              <w:rPr>
                <w:rFonts w:ascii="Arial Narrow" w:hAnsi="Arial Narrow" w:cs="Calibri"/>
                <w:bCs/>
                <w:color w:val="000000"/>
                <w:szCs w:val="20"/>
                <w:lang w:val="en-US"/>
              </w:rPr>
              <w:t>0</w:t>
            </w:r>
          </w:p>
        </w:tc>
        <w:tc>
          <w:tcPr>
            <w:tcW w:w="357" w:type="pct"/>
          </w:tcPr>
          <w:p w14:paraId="2EA4E2EC" w14:textId="5BB47845" w:rsidR="00A73CE9" w:rsidRDefault="00A73CE9" w:rsidP="002D332D">
            <w:pPr>
              <w:autoSpaceDE w:val="0"/>
              <w:autoSpaceDN w:val="0"/>
              <w:adjustRightInd w:val="0"/>
              <w:spacing w:before="0" w:after="0" w:line="360" w:lineRule="auto"/>
              <w:jc w:val="center"/>
              <w:rPr>
                <w:rFonts w:ascii="Arial Narrow" w:hAnsi="Arial Narrow" w:cs="Calibri"/>
                <w:bCs/>
                <w:color w:val="000000"/>
                <w:szCs w:val="20"/>
                <w:lang w:val="en-US"/>
              </w:rPr>
            </w:pPr>
            <w:r>
              <w:rPr>
                <w:rFonts w:ascii="Arial Narrow" w:hAnsi="Arial Narrow" w:cs="Calibri"/>
                <w:bCs/>
                <w:color w:val="000000"/>
                <w:szCs w:val="20"/>
                <w:lang w:val="en-US"/>
              </w:rPr>
              <w:t>1</w:t>
            </w:r>
          </w:p>
        </w:tc>
        <w:tc>
          <w:tcPr>
            <w:tcW w:w="322" w:type="pct"/>
          </w:tcPr>
          <w:p w14:paraId="413E1FA4" w14:textId="6CD70390" w:rsidR="00A73CE9" w:rsidRDefault="00A73CE9" w:rsidP="002D332D">
            <w:pPr>
              <w:autoSpaceDE w:val="0"/>
              <w:autoSpaceDN w:val="0"/>
              <w:adjustRightInd w:val="0"/>
              <w:spacing w:before="0" w:after="0" w:line="360" w:lineRule="auto"/>
              <w:jc w:val="center"/>
              <w:rPr>
                <w:rFonts w:ascii="Arial Narrow" w:hAnsi="Arial Narrow" w:cs="Calibri"/>
                <w:bCs/>
                <w:color w:val="000000"/>
                <w:szCs w:val="20"/>
                <w:lang w:val="en-US"/>
              </w:rPr>
            </w:pPr>
            <w:r>
              <w:rPr>
                <w:rFonts w:ascii="Arial Narrow" w:hAnsi="Arial Narrow" w:cs="Calibri"/>
                <w:bCs/>
                <w:color w:val="000000"/>
                <w:szCs w:val="20"/>
                <w:lang w:val="en-US"/>
              </w:rPr>
              <w:t>0</w:t>
            </w:r>
          </w:p>
        </w:tc>
      </w:tr>
      <w:tr w:rsidR="00A73CE9" w:rsidRPr="004754B1" w14:paraId="3E7C7000" w14:textId="3BA140A9" w:rsidTr="00A73CE9">
        <w:trPr>
          <w:trHeight w:val="287"/>
        </w:trPr>
        <w:tc>
          <w:tcPr>
            <w:tcW w:w="2198" w:type="pct"/>
            <w:vAlign w:val="bottom"/>
          </w:tcPr>
          <w:p w14:paraId="32D207E0" w14:textId="7515FEFD" w:rsidR="00A73CE9" w:rsidRPr="002D332D" w:rsidRDefault="00A73CE9" w:rsidP="002D332D">
            <w:pPr>
              <w:autoSpaceDE w:val="0"/>
              <w:autoSpaceDN w:val="0"/>
              <w:adjustRightInd w:val="0"/>
              <w:spacing w:before="0" w:after="0" w:line="360" w:lineRule="auto"/>
              <w:rPr>
                <w:rFonts w:ascii="Arial Narrow" w:hAnsi="Arial Narrow" w:cs="Calibri"/>
                <w:bCs/>
                <w:color w:val="000000"/>
                <w:szCs w:val="20"/>
                <w:lang w:val="en-US"/>
              </w:rPr>
            </w:pPr>
            <w:r w:rsidRPr="002D332D">
              <w:rPr>
                <w:rFonts w:ascii="Arial Narrow" w:hAnsi="Arial Narrow" w:cs="Calibri"/>
                <w:bCs/>
                <w:color w:val="000000"/>
                <w:szCs w:val="20"/>
                <w:lang w:val="en-US"/>
              </w:rPr>
              <w:t>SCOLIOSIS, in a child or adolescent, congenital, resection and fusion of abnormal vertebra via an anterior or posterior approach</w:t>
            </w:r>
          </w:p>
        </w:tc>
        <w:tc>
          <w:tcPr>
            <w:tcW w:w="943" w:type="pct"/>
          </w:tcPr>
          <w:p w14:paraId="3E84E967" w14:textId="0E90F357" w:rsidR="00A73CE9" w:rsidRPr="004754B1"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50640</w:t>
            </w:r>
          </w:p>
        </w:tc>
        <w:tc>
          <w:tcPr>
            <w:tcW w:w="393" w:type="pct"/>
          </w:tcPr>
          <w:p w14:paraId="0BFAE3C5" w14:textId="5AD73E01" w:rsidR="00A73CE9" w:rsidRPr="004754B1"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3</w:t>
            </w:r>
          </w:p>
        </w:tc>
        <w:tc>
          <w:tcPr>
            <w:tcW w:w="393" w:type="pct"/>
          </w:tcPr>
          <w:p w14:paraId="3300BDC1" w14:textId="65E8B622" w:rsidR="00A73CE9" w:rsidRPr="004754B1" w:rsidRDefault="00A73CE9"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3</w:t>
            </w:r>
          </w:p>
        </w:tc>
        <w:tc>
          <w:tcPr>
            <w:tcW w:w="393" w:type="pct"/>
          </w:tcPr>
          <w:p w14:paraId="178E5AB6" w14:textId="20F539A6" w:rsidR="00A73CE9" w:rsidRDefault="00A73CE9" w:rsidP="002D332D">
            <w:pPr>
              <w:autoSpaceDE w:val="0"/>
              <w:autoSpaceDN w:val="0"/>
              <w:adjustRightInd w:val="0"/>
              <w:spacing w:before="0" w:after="0" w:line="360" w:lineRule="auto"/>
              <w:jc w:val="center"/>
              <w:rPr>
                <w:rFonts w:ascii="Arial Narrow" w:hAnsi="Arial Narrow" w:cs="Calibri"/>
                <w:bCs/>
                <w:color w:val="000000"/>
                <w:szCs w:val="20"/>
                <w:lang w:val="en-US"/>
              </w:rPr>
            </w:pPr>
            <w:r>
              <w:rPr>
                <w:rFonts w:ascii="Arial Narrow" w:hAnsi="Arial Narrow" w:cs="Calibri"/>
                <w:bCs/>
                <w:color w:val="000000"/>
                <w:szCs w:val="20"/>
                <w:lang w:val="en-US"/>
              </w:rPr>
              <w:t>1</w:t>
            </w:r>
          </w:p>
        </w:tc>
        <w:tc>
          <w:tcPr>
            <w:tcW w:w="357" w:type="pct"/>
          </w:tcPr>
          <w:p w14:paraId="4B3AC6CB" w14:textId="31878245" w:rsidR="00A73CE9" w:rsidRDefault="00A73CE9" w:rsidP="002D332D">
            <w:pPr>
              <w:autoSpaceDE w:val="0"/>
              <w:autoSpaceDN w:val="0"/>
              <w:adjustRightInd w:val="0"/>
              <w:spacing w:before="0" w:after="0" w:line="360" w:lineRule="auto"/>
              <w:jc w:val="center"/>
              <w:rPr>
                <w:rFonts w:ascii="Arial Narrow" w:hAnsi="Arial Narrow" w:cs="Calibri"/>
                <w:bCs/>
                <w:color w:val="000000"/>
                <w:szCs w:val="20"/>
                <w:lang w:val="en-US"/>
              </w:rPr>
            </w:pPr>
            <w:r>
              <w:rPr>
                <w:rFonts w:ascii="Arial Narrow" w:hAnsi="Arial Narrow" w:cs="Calibri"/>
                <w:bCs/>
                <w:color w:val="000000"/>
                <w:szCs w:val="20"/>
                <w:lang w:val="en-US"/>
              </w:rPr>
              <w:t>2</w:t>
            </w:r>
          </w:p>
        </w:tc>
        <w:tc>
          <w:tcPr>
            <w:tcW w:w="322" w:type="pct"/>
          </w:tcPr>
          <w:p w14:paraId="343A5495" w14:textId="435F9A7E" w:rsidR="00A73CE9" w:rsidRDefault="00A73CE9" w:rsidP="002D332D">
            <w:pPr>
              <w:autoSpaceDE w:val="0"/>
              <w:autoSpaceDN w:val="0"/>
              <w:adjustRightInd w:val="0"/>
              <w:spacing w:before="0" w:after="0" w:line="360" w:lineRule="auto"/>
              <w:jc w:val="center"/>
              <w:rPr>
                <w:rFonts w:ascii="Arial Narrow" w:hAnsi="Arial Narrow" w:cs="Calibri"/>
                <w:bCs/>
                <w:color w:val="000000"/>
                <w:szCs w:val="20"/>
                <w:lang w:val="en-US"/>
              </w:rPr>
            </w:pPr>
            <w:r>
              <w:rPr>
                <w:rFonts w:ascii="Arial Narrow" w:hAnsi="Arial Narrow" w:cs="Calibri"/>
                <w:bCs/>
                <w:color w:val="000000"/>
                <w:szCs w:val="20"/>
                <w:lang w:val="en-US"/>
              </w:rPr>
              <w:t>2</w:t>
            </w:r>
          </w:p>
        </w:tc>
      </w:tr>
      <w:tr w:rsidR="00C85310" w:rsidRPr="004754B1" w14:paraId="0FF99735" w14:textId="6D9F86F4" w:rsidTr="00C85310">
        <w:trPr>
          <w:trHeight w:val="99"/>
        </w:trPr>
        <w:tc>
          <w:tcPr>
            <w:tcW w:w="3141" w:type="pct"/>
            <w:gridSpan w:val="2"/>
          </w:tcPr>
          <w:p w14:paraId="093E086C" w14:textId="21E4C5C3" w:rsidR="00C85310" w:rsidRPr="004754B1" w:rsidRDefault="00C85310" w:rsidP="00C85310">
            <w:pPr>
              <w:autoSpaceDE w:val="0"/>
              <w:autoSpaceDN w:val="0"/>
              <w:adjustRightInd w:val="0"/>
              <w:spacing w:before="0" w:after="0" w:line="360" w:lineRule="auto"/>
              <w:rPr>
                <w:rFonts w:ascii="Arial Narrow" w:hAnsi="Arial Narrow" w:cs="Calibri"/>
                <w:color w:val="000000"/>
                <w:szCs w:val="20"/>
                <w:lang w:val="en-US"/>
              </w:rPr>
            </w:pPr>
            <w:r>
              <w:rPr>
                <w:rFonts w:ascii="Arial Narrow" w:hAnsi="Arial Narrow" w:cs="Calibri"/>
                <w:bCs/>
                <w:color w:val="000000"/>
                <w:szCs w:val="20"/>
                <w:lang w:val="en-US"/>
              </w:rPr>
              <w:t>Total</w:t>
            </w:r>
          </w:p>
        </w:tc>
        <w:tc>
          <w:tcPr>
            <w:tcW w:w="393" w:type="pct"/>
          </w:tcPr>
          <w:p w14:paraId="2BD5DCEB" w14:textId="7171672F" w:rsidR="00C85310" w:rsidRPr="004754B1" w:rsidRDefault="00C85310"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532</w:t>
            </w:r>
          </w:p>
        </w:tc>
        <w:tc>
          <w:tcPr>
            <w:tcW w:w="393" w:type="pct"/>
          </w:tcPr>
          <w:p w14:paraId="4688FA5D" w14:textId="136754C7" w:rsidR="00C85310" w:rsidRPr="004754B1" w:rsidRDefault="00C85310"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451</w:t>
            </w:r>
          </w:p>
        </w:tc>
        <w:tc>
          <w:tcPr>
            <w:tcW w:w="393" w:type="pct"/>
          </w:tcPr>
          <w:p w14:paraId="13D4A588" w14:textId="4BB29170" w:rsidR="00C85310" w:rsidRDefault="00C85310"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512</w:t>
            </w:r>
          </w:p>
        </w:tc>
        <w:tc>
          <w:tcPr>
            <w:tcW w:w="357" w:type="pct"/>
          </w:tcPr>
          <w:p w14:paraId="5FDF0F2C" w14:textId="029FE672" w:rsidR="00C85310" w:rsidRDefault="00C85310"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464</w:t>
            </w:r>
          </w:p>
        </w:tc>
        <w:tc>
          <w:tcPr>
            <w:tcW w:w="322" w:type="pct"/>
          </w:tcPr>
          <w:p w14:paraId="1C092B10" w14:textId="76EBE493" w:rsidR="00C85310" w:rsidRDefault="00C85310" w:rsidP="002D332D">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397</w:t>
            </w:r>
          </w:p>
        </w:tc>
      </w:tr>
    </w:tbl>
    <w:p w14:paraId="1C2DD3C6" w14:textId="38EAE740" w:rsidR="00AE1188" w:rsidRPr="00C85310" w:rsidRDefault="00C85310" w:rsidP="00C85310">
      <w:pPr>
        <w:spacing w:before="0"/>
        <w:rPr>
          <w:rFonts w:ascii="Arial Narrow" w:hAnsi="Arial Narrow"/>
          <w:szCs w:val="20"/>
        </w:rPr>
      </w:pPr>
      <w:r>
        <w:rPr>
          <w:rFonts w:ascii="Arial Narrow" w:hAnsi="Arial Narrow"/>
          <w:szCs w:val="20"/>
        </w:rPr>
        <w:lastRenderedPageBreak/>
        <w:t>Source: Services Australia (</w:t>
      </w:r>
      <w:r w:rsidRPr="00C85310">
        <w:rPr>
          <w:rFonts w:ascii="Arial Narrow" w:hAnsi="Arial Narrow"/>
          <w:szCs w:val="20"/>
        </w:rPr>
        <w:t>http://medicarestatistics.humanservices.gov.au/statistics/mbs_item.jsp</w:t>
      </w:r>
      <w:r>
        <w:rPr>
          <w:rFonts w:ascii="Arial Narrow" w:hAnsi="Arial Narrow"/>
          <w:szCs w:val="20"/>
        </w:rPr>
        <w:t xml:space="preserve">, </w:t>
      </w:r>
      <w:r w:rsidRPr="00C85310">
        <w:rPr>
          <w:rFonts w:ascii="Arial Narrow" w:hAnsi="Arial Narrow"/>
          <w:szCs w:val="20"/>
        </w:rPr>
        <w:t xml:space="preserve">accessed </w:t>
      </w:r>
      <w:r>
        <w:rPr>
          <w:rFonts w:ascii="Arial Narrow" w:hAnsi="Arial Narrow"/>
          <w:szCs w:val="20"/>
        </w:rPr>
        <w:t>14</w:t>
      </w:r>
      <w:r w:rsidRPr="00C85310">
        <w:rPr>
          <w:rFonts w:ascii="Arial Narrow" w:hAnsi="Arial Narrow"/>
          <w:szCs w:val="20"/>
        </w:rPr>
        <w:t xml:space="preserve"> </w:t>
      </w:r>
      <w:r>
        <w:rPr>
          <w:rFonts w:ascii="Arial Narrow" w:hAnsi="Arial Narrow"/>
          <w:szCs w:val="20"/>
        </w:rPr>
        <w:t>October 2020)</w:t>
      </w:r>
    </w:p>
    <w:p w14:paraId="252226DA"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2A393D75" w14:textId="48091820" w:rsidR="001B171D" w:rsidRPr="000A760A" w:rsidRDefault="00205E3E" w:rsidP="00C85310">
      <w:pPr>
        <w:ind w:left="426"/>
        <w:rPr>
          <w:strike/>
          <w:szCs w:val="20"/>
        </w:rPr>
      </w:pPr>
      <w:r w:rsidRPr="00205E3E">
        <w:rPr>
          <w:szCs w:val="20"/>
        </w:rPr>
        <w:t>R</w:t>
      </w:r>
      <w:r>
        <w:rPr>
          <w:szCs w:val="20"/>
        </w:rPr>
        <w:t>edacted.</w:t>
      </w:r>
      <w:r w:rsidR="00C85310" w:rsidRPr="00205E3E">
        <w:rPr>
          <w:szCs w:val="20"/>
        </w:rPr>
        <w:t xml:space="preserve"> </w:t>
      </w:r>
      <w:r w:rsidR="00C85310" w:rsidRPr="000A760A">
        <w:rPr>
          <w:szCs w:val="20"/>
        </w:rPr>
        <w:t xml:space="preserve">The eligible population in each year </w:t>
      </w:r>
      <w:r w:rsidR="0019643D" w:rsidRPr="000A760A">
        <w:rPr>
          <w:szCs w:val="20"/>
        </w:rPr>
        <w:t xml:space="preserve">– </w:t>
      </w:r>
      <w:r w:rsidR="00C85310" w:rsidRPr="000A760A">
        <w:rPr>
          <w:szCs w:val="20"/>
        </w:rPr>
        <w:t xml:space="preserve">defined by patients who currently undergo PSF (see above) – is assumed to increase </w:t>
      </w:r>
      <w:r w:rsidR="0019643D" w:rsidRPr="000A760A">
        <w:rPr>
          <w:szCs w:val="20"/>
        </w:rPr>
        <w:t xml:space="preserve">in line with </w:t>
      </w:r>
      <w:r w:rsidR="00C85310" w:rsidRPr="000A760A">
        <w:rPr>
          <w:szCs w:val="20"/>
        </w:rPr>
        <w:t xml:space="preserve">the </w:t>
      </w:r>
      <w:r w:rsidR="0019643D" w:rsidRPr="000A760A">
        <w:rPr>
          <w:szCs w:val="20"/>
        </w:rPr>
        <w:t xml:space="preserve">underlying Australian population </w:t>
      </w:r>
      <w:r w:rsidR="00C85310" w:rsidRPr="000A760A">
        <w:rPr>
          <w:szCs w:val="20"/>
        </w:rPr>
        <w:t xml:space="preserve">aged 12 years (mean age </w:t>
      </w:r>
      <w:r w:rsidR="0019643D" w:rsidRPr="000A760A">
        <w:rPr>
          <w:szCs w:val="20"/>
        </w:rPr>
        <w:t xml:space="preserve">for performing </w:t>
      </w:r>
      <w:r w:rsidR="00C85310" w:rsidRPr="000A760A">
        <w:rPr>
          <w:szCs w:val="20"/>
        </w:rPr>
        <w:t>VBT</w:t>
      </w:r>
      <w:r w:rsidR="0019643D" w:rsidRPr="000A760A">
        <w:rPr>
          <w:szCs w:val="20"/>
        </w:rPr>
        <w:t xml:space="preserve"> in patients with AIS</w:t>
      </w:r>
      <w:r w:rsidR="00C85310" w:rsidRPr="000A760A">
        <w:rPr>
          <w:szCs w:val="20"/>
        </w:rPr>
        <w:t>).  The underlying prevalence rate of AIS is not assumed to change over time</w:t>
      </w:r>
      <w:r w:rsidR="00C85310" w:rsidRPr="00205E3E">
        <w:rPr>
          <w:szCs w:val="20"/>
        </w:rPr>
        <w:t>.</w:t>
      </w:r>
      <w:r w:rsidR="0019643D" w:rsidRPr="00205E3E">
        <w:rPr>
          <w:szCs w:val="20"/>
        </w:rPr>
        <w:t xml:space="preserve">  </w:t>
      </w:r>
      <w:r w:rsidRPr="00205E3E">
        <w:rPr>
          <w:szCs w:val="20"/>
        </w:rPr>
        <w:t>Redacted</w:t>
      </w:r>
      <w:r w:rsidR="0019643D" w:rsidRPr="00205E3E">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1919"/>
        <w:gridCol w:w="1920"/>
        <w:gridCol w:w="1920"/>
      </w:tblGrid>
      <w:tr w:rsidR="00726322" w:rsidRPr="00E57E67" w14:paraId="1CA762CF" w14:textId="77777777" w:rsidTr="00726322">
        <w:trPr>
          <w:trHeight w:val="99"/>
        </w:trPr>
        <w:tc>
          <w:tcPr>
            <w:tcW w:w="1806" w:type="pct"/>
          </w:tcPr>
          <w:p w14:paraId="4AD2F8BA" w14:textId="05B19989" w:rsidR="00726322" w:rsidRPr="00E57E67" w:rsidRDefault="00E57E67" w:rsidP="00016242">
            <w:pPr>
              <w:autoSpaceDE w:val="0"/>
              <w:autoSpaceDN w:val="0"/>
              <w:adjustRightInd w:val="0"/>
              <w:spacing w:before="0" w:after="0" w:line="360" w:lineRule="auto"/>
              <w:rPr>
                <w:rFonts w:ascii="Arial Narrow" w:hAnsi="Arial Narrow" w:cs="Calibri"/>
                <w:b/>
                <w:color w:val="000000"/>
                <w:szCs w:val="20"/>
                <w:lang w:val="en-US"/>
              </w:rPr>
            </w:pPr>
            <w:r w:rsidRPr="00E57E67">
              <w:rPr>
                <w:rFonts w:ascii="Arial Narrow" w:hAnsi="Arial Narrow" w:cs="Calibri"/>
                <w:b/>
                <w:color w:val="000000"/>
                <w:szCs w:val="20"/>
                <w:lang w:val="en-US"/>
              </w:rPr>
              <w:t>Year</w:t>
            </w:r>
          </w:p>
        </w:tc>
        <w:tc>
          <w:tcPr>
            <w:tcW w:w="1064" w:type="pct"/>
          </w:tcPr>
          <w:p w14:paraId="0F119B31" w14:textId="2A1B4453" w:rsidR="00726322" w:rsidRPr="00E57E67" w:rsidRDefault="00726322" w:rsidP="00726322">
            <w:pPr>
              <w:autoSpaceDE w:val="0"/>
              <w:autoSpaceDN w:val="0"/>
              <w:adjustRightInd w:val="0"/>
              <w:spacing w:before="0" w:after="0" w:line="360" w:lineRule="auto"/>
              <w:jc w:val="center"/>
              <w:rPr>
                <w:rFonts w:ascii="Arial Narrow" w:hAnsi="Arial Narrow" w:cs="Calibri"/>
                <w:color w:val="000000"/>
                <w:szCs w:val="20"/>
                <w:lang w:val="en-US"/>
              </w:rPr>
            </w:pPr>
            <w:r w:rsidRPr="00E57E67">
              <w:rPr>
                <w:rFonts w:ascii="Arial Narrow" w:hAnsi="Arial Narrow" w:cs="Calibri"/>
                <w:b/>
                <w:bCs/>
                <w:color w:val="000000"/>
                <w:szCs w:val="20"/>
                <w:lang w:val="en-US"/>
              </w:rPr>
              <w:t>2022</w:t>
            </w:r>
            <w:r w:rsidR="00EE0376">
              <w:rPr>
                <w:rFonts w:ascii="Arial Narrow" w:hAnsi="Arial Narrow" w:cs="Calibri"/>
                <w:b/>
                <w:bCs/>
                <w:color w:val="000000"/>
                <w:szCs w:val="20"/>
                <w:lang w:val="en-US"/>
              </w:rPr>
              <w:t xml:space="preserve"> (Y1)</w:t>
            </w:r>
          </w:p>
        </w:tc>
        <w:tc>
          <w:tcPr>
            <w:tcW w:w="1065" w:type="pct"/>
          </w:tcPr>
          <w:p w14:paraId="317B587B" w14:textId="43AE8CCF" w:rsidR="00726322" w:rsidRPr="00E57E67" w:rsidRDefault="00726322" w:rsidP="00016242">
            <w:pPr>
              <w:autoSpaceDE w:val="0"/>
              <w:autoSpaceDN w:val="0"/>
              <w:adjustRightInd w:val="0"/>
              <w:spacing w:before="0" w:after="0" w:line="360" w:lineRule="auto"/>
              <w:jc w:val="center"/>
              <w:rPr>
                <w:rFonts w:ascii="Arial Narrow" w:hAnsi="Arial Narrow" w:cs="Calibri"/>
                <w:color w:val="000000"/>
                <w:szCs w:val="20"/>
                <w:lang w:val="en-US"/>
              </w:rPr>
            </w:pPr>
            <w:r w:rsidRPr="00E57E67">
              <w:rPr>
                <w:rFonts w:ascii="Arial Narrow" w:hAnsi="Arial Narrow" w:cs="Calibri"/>
                <w:b/>
                <w:bCs/>
                <w:color w:val="000000"/>
                <w:szCs w:val="20"/>
                <w:lang w:val="en-US"/>
              </w:rPr>
              <w:t>2023</w:t>
            </w:r>
            <w:r w:rsidR="00EE0376">
              <w:rPr>
                <w:rFonts w:ascii="Arial Narrow" w:hAnsi="Arial Narrow" w:cs="Calibri"/>
                <w:b/>
                <w:bCs/>
                <w:color w:val="000000"/>
                <w:szCs w:val="20"/>
                <w:lang w:val="en-US"/>
              </w:rPr>
              <w:t xml:space="preserve"> (Y2)</w:t>
            </w:r>
          </w:p>
        </w:tc>
        <w:tc>
          <w:tcPr>
            <w:tcW w:w="1065" w:type="pct"/>
          </w:tcPr>
          <w:p w14:paraId="63FE2A91" w14:textId="1C95B56F" w:rsidR="00726322" w:rsidRPr="00E57E67" w:rsidRDefault="00726322" w:rsidP="00016242">
            <w:pPr>
              <w:autoSpaceDE w:val="0"/>
              <w:autoSpaceDN w:val="0"/>
              <w:adjustRightInd w:val="0"/>
              <w:spacing w:before="0" w:after="0" w:line="360" w:lineRule="auto"/>
              <w:jc w:val="center"/>
              <w:rPr>
                <w:rFonts w:ascii="Arial Narrow" w:hAnsi="Arial Narrow" w:cs="Calibri"/>
                <w:b/>
                <w:bCs/>
                <w:color w:val="000000"/>
                <w:szCs w:val="20"/>
                <w:lang w:val="en-US"/>
              </w:rPr>
            </w:pPr>
            <w:r w:rsidRPr="00E57E67">
              <w:rPr>
                <w:rFonts w:ascii="Arial Narrow" w:hAnsi="Arial Narrow" w:cs="Calibri"/>
                <w:b/>
                <w:bCs/>
                <w:color w:val="000000"/>
                <w:szCs w:val="20"/>
                <w:lang w:val="en-US"/>
              </w:rPr>
              <w:t>2024</w:t>
            </w:r>
            <w:r w:rsidR="00EE0376">
              <w:rPr>
                <w:rFonts w:ascii="Arial Narrow" w:hAnsi="Arial Narrow" w:cs="Calibri"/>
                <w:b/>
                <w:bCs/>
                <w:color w:val="000000"/>
                <w:szCs w:val="20"/>
                <w:lang w:val="en-US"/>
              </w:rPr>
              <w:t xml:space="preserve"> (Y3)</w:t>
            </w:r>
          </w:p>
        </w:tc>
      </w:tr>
      <w:tr w:rsidR="00205E3E" w:rsidRPr="00E57E67" w14:paraId="68DCB709" w14:textId="77777777" w:rsidTr="00726322">
        <w:trPr>
          <w:trHeight w:val="285"/>
        </w:trPr>
        <w:tc>
          <w:tcPr>
            <w:tcW w:w="1806" w:type="pct"/>
            <w:vAlign w:val="bottom"/>
          </w:tcPr>
          <w:p w14:paraId="5C8666FB" w14:textId="3F09162C" w:rsidR="00205E3E" w:rsidRPr="00E57E67" w:rsidRDefault="00205E3E" w:rsidP="00205E3E">
            <w:pPr>
              <w:autoSpaceDE w:val="0"/>
              <w:autoSpaceDN w:val="0"/>
              <w:adjustRightInd w:val="0"/>
              <w:spacing w:before="0" w:after="0" w:line="360" w:lineRule="auto"/>
              <w:rPr>
                <w:rFonts w:ascii="Arial Narrow" w:hAnsi="Arial Narrow" w:cs="Calibri"/>
                <w:bCs/>
                <w:color w:val="000000"/>
                <w:szCs w:val="20"/>
                <w:lang w:val="en-US"/>
              </w:rPr>
            </w:pPr>
            <w:r w:rsidRPr="00E57E67">
              <w:rPr>
                <w:rFonts w:ascii="Arial Narrow" w:hAnsi="Arial Narrow" w:cs="Calibri"/>
                <w:bCs/>
                <w:color w:val="000000"/>
                <w:szCs w:val="20"/>
                <w:lang w:val="en-US"/>
              </w:rPr>
              <w:t>Eligible population</w:t>
            </w:r>
          </w:p>
        </w:tc>
        <w:tc>
          <w:tcPr>
            <w:tcW w:w="1064" w:type="pct"/>
          </w:tcPr>
          <w:p w14:paraId="72F24813" w14:textId="1328CE9C" w:rsidR="00205E3E" w:rsidRPr="00205E3E" w:rsidRDefault="00205E3E" w:rsidP="00205E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Redacted</w:t>
            </w:r>
          </w:p>
        </w:tc>
        <w:tc>
          <w:tcPr>
            <w:tcW w:w="1065" w:type="pct"/>
          </w:tcPr>
          <w:p w14:paraId="53C3E7EE" w14:textId="0871E65D" w:rsidR="00205E3E" w:rsidRPr="00205E3E" w:rsidRDefault="00205E3E" w:rsidP="00205E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Redacted</w:t>
            </w:r>
          </w:p>
        </w:tc>
        <w:tc>
          <w:tcPr>
            <w:tcW w:w="1065" w:type="pct"/>
          </w:tcPr>
          <w:p w14:paraId="1DA56603" w14:textId="6E9BCCE6" w:rsidR="00205E3E" w:rsidRPr="00205E3E" w:rsidRDefault="00205E3E" w:rsidP="00205E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Redacted</w:t>
            </w:r>
          </w:p>
        </w:tc>
      </w:tr>
      <w:tr w:rsidR="00205E3E" w:rsidRPr="00E57E67" w14:paraId="1DF2FFBC" w14:textId="77777777" w:rsidTr="00726322">
        <w:trPr>
          <w:trHeight w:val="99"/>
        </w:trPr>
        <w:tc>
          <w:tcPr>
            <w:tcW w:w="1806" w:type="pct"/>
            <w:vAlign w:val="bottom"/>
          </w:tcPr>
          <w:p w14:paraId="7666B5AC" w14:textId="4E6D833C" w:rsidR="00205E3E" w:rsidRPr="00E57E67" w:rsidRDefault="00205E3E" w:rsidP="00205E3E">
            <w:pPr>
              <w:autoSpaceDE w:val="0"/>
              <w:autoSpaceDN w:val="0"/>
              <w:adjustRightInd w:val="0"/>
              <w:spacing w:before="0" w:after="0" w:line="360" w:lineRule="auto"/>
              <w:rPr>
                <w:rFonts w:ascii="Arial Narrow" w:hAnsi="Arial Narrow" w:cs="Calibri"/>
                <w:bCs/>
                <w:color w:val="000000"/>
                <w:szCs w:val="20"/>
                <w:lang w:val="en-US"/>
              </w:rPr>
            </w:pPr>
            <w:r w:rsidRPr="00E57E67">
              <w:rPr>
                <w:rFonts w:ascii="Arial Narrow" w:hAnsi="Arial Narrow" w:cs="Calibri"/>
                <w:bCs/>
                <w:color w:val="000000"/>
                <w:szCs w:val="20"/>
                <w:lang w:val="en-US"/>
              </w:rPr>
              <w:t xml:space="preserve">Uptake rate </w:t>
            </w:r>
          </w:p>
        </w:tc>
        <w:tc>
          <w:tcPr>
            <w:tcW w:w="1064" w:type="pct"/>
          </w:tcPr>
          <w:p w14:paraId="0FA9B3E5" w14:textId="32428B7D" w:rsidR="00205E3E" w:rsidRPr="00205E3E" w:rsidRDefault="00205E3E" w:rsidP="00205E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Redacted</w:t>
            </w:r>
          </w:p>
        </w:tc>
        <w:tc>
          <w:tcPr>
            <w:tcW w:w="1065" w:type="pct"/>
          </w:tcPr>
          <w:p w14:paraId="7C67067E" w14:textId="7884F9FC" w:rsidR="00205E3E" w:rsidRPr="00205E3E" w:rsidRDefault="00205E3E" w:rsidP="00205E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Redacted</w:t>
            </w:r>
          </w:p>
        </w:tc>
        <w:tc>
          <w:tcPr>
            <w:tcW w:w="1065" w:type="pct"/>
          </w:tcPr>
          <w:p w14:paraId="177119B8" w14:textId="49DCDE21" w:rsidR="00205E3E" w:rsidRPr="00205E3E" w:rsidRDefault="00205E3E" w:rsidP="00205E3E">
            <w:pPr>
              <w:autoSpaceDE w:val="0"/>
              <w:autoSpaceDN w:val="0"/>
              <w:adjustRightInd w:val="0"/>
              <w:spacing w:before="0" w:after="0" w:line="360" w:lineRule="auto"/>
              <w:jc w:val="center"/>
              <w:rPr>
                <w:rFonts w:ascii="Arial Narrow" w:hAnsi="Arial Narrow" w:cs="Calibri"/>
                <w:bCs/>
                <w:color w:val="000000"/>
                <w:szCs w:val="20"/>
                <w:lang w:val="en-US"/>
              </w:rPr>
            </w:pPr>
            <w:r>
              <w:rPr>
                <w:rFonts w:ascii="Arial Narrow" w:hAnsi="Arial Narrow" w:cs="Calibri"/>
                <w:color w:val="000000"/>
                <w:szCs w:val="20"/>
                <w:lang w:val="en-US"/>
              </w:rPr>
              <w:t>Redacted</w:t>
            </w:r>
          </w:p>
        </w:tc>
      </w:tr>
      <w:tr w:rsidR="00205E3E" w:rsidRPr="004754B1" w14:paraId="3D8D34BC" w14:textId="77777777" w:rsidTr="00726322">
        <w:trPr>
          <w:trHeight w:val="99"/>
        </w:trPr>
        <w:tc>
          <w:tcPr>
            <w:tcW w:w="1806" w:type="pct"/>
            <w:vAlign w:val="bottom"/>
          </w:tcPr>
          <w:p w14:paraId="0E499DFA" w14:textId="40BF7CCA" w:rsidR="00205E3E" w:rsidRPr="00E57E67" w:rsidRDefault="00205E3E" w:rsidP="00205E3E">
            <w:pPr>
              <w:autoSpaceDE w:val="0"/>
              <w:autoSpaceDN w:val="0"/>
              <w:adjustRightInd w:val="0"/>
              <w:spacing w:before="0" w:after="0" w:line="360" w:lineRule="auto"/>
              <w:rPr>
                <w:rFonts w:ascii="Arial Narrow" w:hAnsi="Arial Narrow" w:cs="Calibri"/>
                <w:bCs/>
                <w:color w:val="000000"/>
                <w:szCs w:val="20"/>
                <w:lang w:val="en-US"/>
              </w:rPr>
            </w:pPr>
            <w:r w:rsidRPr="00E57E67">
              <w:rPr>
                <w:rFonts w:ascii="Arial Narrow" w:hAnsi="Arial Narrow" w:cs="Calibri"/>
                <w:bCs/>
                <w:color w:val="000000"/>
                <w:szCs w:val="20"/>
                <w:lang w:val="en-US"/>
              </w:rPr>
              <w:t>VBT procedures</w:t>
            </w:r>
          </w:p>
        </w:tc>
        <w:tc>
          <w:tcPr>
            <w:tcW w:w="1064" w:type="pct"/>
          </w:tcPr>
          <w:p w14:paraId="20AA8EA6" w14:textId="51DE45B4" w:rsidR="00205E3E" w:rsidRPr="00205E3E" w:rsidRDefault="00205E3E" w:rsidP="00205E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Redacted</w:t>
            </w:r>
          </w:p>
        </w:tc>
        <w:tc>
          <w:tcPr>
            <w:tcW w:w="1065" w:type="pct"/>
          </w:tcPr>
          <w:p w14:paraId="4A2F3312" w14:textId="0E87A874" w:rsidR="00205E3E" w:rsidRPr="00205E3E" w:rsidRDefault="00205E3E" w:rsidP="00205E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Redacted</w:t>
            </w:r>
          </w:p>
        </w:tc>
        <w:tc>
          <w:tcPr>
            <w:tcW w:w="1065" w:type="pct"/>
          </w:tcPr>
          <w:p w14:paraId="0FC71F4C" w14:textId="54FDF841" w:rsidR="00205E3E" w:rsidRPr="00205E3E" w:rsidRDefault="00205E3E" w:rsidP="00205E3E">
            <w:pPr>
              <w:autoSpaceDE w:val="0"/>
              <w:autoSpaceDN w:val="0"/>
              <w:adjustRightInd w:val="0"/>
              <w:spacing w:before="0" w:after="0" w:line="360" w:lineRule="auto"/>
              <w:jc w:val="center"/>
              <w:rPr>
                <w:rFonts w:ascii="Arial Narrow" w:hAnsi="Arial Narrow" w:cs="Calibri"/>
                <w:bCs/>
                <w:color w:val="000000"/>
                <w:szCs w:val="20"/>
                <w:lang w:val="en-US"/>
              </w:rPr>
            </w:pPr>
            <w:r>
              <w:rPr>
                <w:rFonts w:ascii="Arial Narrow" w:hAnsi="Arial Narrow" w:cs="Calibri"/>
                <w:color w:val="000000"/>
                <w:szCs w:val="20"/>
                <w:lang w:val="en-US"/>
              </w:rPr>
              <w:t>Redacted</w:t>
            </w:r>
          </w:p>
        </w:tc>
      </w:tr>
    </w:tbl>
    <w:p w14:paraId="6B0B5295" w14:textId="77777777" w:rsidR="00E57E67" w:rsidRDefault="00C85310" w:rsidP="00C85310">
      <w:pPr>
        <w:spacing w:before="0"/>
        <w:rPr>
          <w:rFonts w:ascii="Arial Narrow" w:hAnsi="Arial Narrow"/>
          <w:szCs w:val="20"/>
        </w:rPr>
      </w:pPr>
      <w:r>
        <w:rPr>
          <w:rFonts w:ascii="Arial Narrow" w:hAnsi="Arial Narrow"/>
          <w:szCs w:val="20"/>
        </w:rPr>
        <w:t xml:space="preserve">Source: </w:t>
      </w:r>
      <w:r w:rsidRPr="00C85310">
        <w:rPr>
          <w:rFonts w:ascii="Arial Narrow" w:hAnsi="Arial Narrow"/>
          <w:szCs w:val="20"/>
        </w:rPr>
        <w:t>ABS population projections, Australia (Series B)</w:t>
      </w:r>
    </w:p>
    <w:p w14:paraId="5D164F38" w14:textId="48417AA1" w:rsidR="00E57E67" w:rsidRPr="002F4BB3" w:rsidRDefault="00E57E67" w:rsidP="002F4BB3">
      <w:pPr>
        <w:ind w:left="426"/>
        <w:rPr>
          <w:szCs w:val="20"/>
        </w:rPr>
      </w:pPr>
      <w:r w:rsidRPr="002F4BB3">
        <w:rPr>
          <w:szCs w:val="20"/>
        </w:rPr>
        <w:t>It is possible that there may be some leakage to of the service to</w:t>
      </w:r>
      <w:r w:rsidR="002F4BB3">
        <w:rPr>
          <w:szCs w:val="20"/>
        </w:rPr>
        <w:t xml:space="preserve"> children with early</w:t>
      </w:r>
      <w:r w:rsidR="002F4BB3" w:rsidRPr="002F4BB3">
        <w:rPr>
          <w:szCs w:val="20"/>
        </w:rPr>
        <w:t xml:space="preserve"> </w:t>
      </w:r>
      <w:r w:rsidRPr="002F4BB3">
        <w:rPr>
          <w:szCs w:val="20"/>
        </w:rPr>
        <w:t>onset scoliosis</w:t>
      </w:r>
      <w:r w:rsidR="002F4BB3">
        <w:rPr>
          <w:szCs w:val="20"/>
        </w:rPr>
        <w:t xml:space="preserve"> (age &lt;10 years)</w:t>
      </w:r>
      <w:r w:rsidR="002F4BB3" w:rsidRPr="002F4BB3">
        <w:rPr>
          <w:szCs w:val="20"/>
        </w:rPr>
        <w:t xml:space="preserve"> or to </w:t>
      </w:r>
      <w:r w:rsidR="002F4BB3">
        <w:rPr>
          <w:szCs w:val="20"/>
        </w:rPr>
        <w:t xml:space="preserve">adolescents </w:t>
      </w:r>
      <w:r w:rsidR="002F4BB3" w:rsidRPr="002F4BB3">
        <w:rPr>
          <w:szCs w:val="20"/>
        </w:rPr>
        <w:t xml:space="preserve">with Cobb angles less severe than those typically indicated for surgery </w:t>
      </w:r>
      <w:r w:rsidR="002F4BB3">
        <w:rPr>
          <w:szCs w:val="20"/>
        </w:rPr>
        <w:t>(e.g. less than 40</w:t>
      </w:r>
      <w:r w:rsidR="002F4BB3">
        <w:rPr>
          <w:rFonts w:cstheme="minorHAnsi"/>
          <w:szCs w:val="20"/>
        </w:rPr>
        <w:t>°</w:t>
      </w:r>
      <w:r w:rsidR="002F4BB3">
        <w:rPr>
          <w:szCs w:val="20"/>
        </w:rPr>
        <w:t xml:space="preserve">) </w:t>
      </w:r>
      <w:r w:rsidR="002F4BB3" w:rsidRPr="002F4BB3">
        <w:rPr>
          <w:szCs w:val="20"/>
        </w:rPr>
        <w:t>given the less invasive nature of V</w:t>
      </w:r>
      <w:r w:rsidR="002F4BB3">
        <w:rPr>
          <w:szCs w:val="20"/>
        </w:rPr>
        <w:t>B</w:t>
      </w:r>
      <w:r w:rsidR="002F4BB3" w:rsidRPr="002F4BB3">
        <w:rPr>
          <w:szCs w:val="20"/>
        </w:rPr>
        <w:t>T relative to spinal fusion.</w:t>
      </w:r>
    </w:p>
    <w:p w14:paraId="70F7772F" w14:textId="10991DBB" w:rsidR="003433D1" w:rsidRDefault="003433D1" w:rsidP="00C85310">
      <w:pPr>
        <w:spacing w:before="0"/>
        <w:rPr>
          <w:b/>
          <w:sz w:val="32"/>
          <w:szCs w:val="32"/>
        </w:rPr>
      </w:pPr>
      <w:r>
        <w:rPr>
          <w:b/>
          <w:sz w:val="32"/>
          <w:szCs w:val="32"/>
        </w:rPr>
        <w:br w:type="page"/>
      </w:r>
    </w:p>
    <w:p w14:paraId="60A4436D"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18BBA875"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723A4DA5" w14:textId="2E97CFFB" w:rsidR="00AF44C3" w:rsidRDefault="0049663E" w:rsidP="00AF44C3">
      <w:pPr>
        <w:ind w:left="426"/>
      </w:pPr>
      <w:r>
        <w:t xml:space="preserve">The estimated cost of the VBT procedure is provided </w:t>
      </w:r>
      <w:r w:rsidR="0019643D">
        <w:t xml:space="preserve">in the tables </w:t>
      </w:r>
      <w:r>
        <w:t>below</w:t>
      </w:r>
      <w:r w:rsidR="0019643D">
        <w:t xml:space="preserve">, which are </w:t>
      </w:r>
      <w:r w:rsidR="00AF44C3">
        <w:t>separated into the MBS fees for the procedure (total = $4,923) and the proposed costs of the equipment (total = $42,571)</w:t>
      </w:r>
      <w:r>
        <w:t>.</w:t>
      </w:r>
      <w:r w:rsidR="00AF44C3">
        <w:t xml:space="preserve">  The overall cost is therefore $47,494.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414"/>
        <w:gridCol w:w="1417"/>
        <w:gridCol w:w="1507"/>
      </w:tblGrid>
      <w:tr w:rsidR="0049663E" w:rsidRPr="004754B1" w14:paraId="55A73F82" w14:textId="77777777" w:rsidTr="002F4BB3">
        <w:trPr>
          <w:trHeight w:val="99"/>
        </w:trPr>
        <w:tc>
          <w:tcPr>
            <w:tcW w:w="2594" w:type="pct"/>
          </w:tcPr>
          <w:p w14:paraId="41C1952C" w14:textId="77777777" w:rsidR="0049663E" w:rsidRPr="004754B1" w:rsidRDefault="0049663E" w:rsidP="0049663E">
            <w:pPr>
              <w:autoSpaceDE w:val="0"/>
              <w:autoSpaceDN w:val="0"/>
              <w:adjustRightInd w:val="0"/>
              <w:spacing w:before="0" w:after="0" w:line="360" w:lineRule="auto"/>
              <w:rPr>
                <w:rFonts w:ascii="Arial Narrow" w:hAnsi="Arial Narrow" w:cs="Calibri"/>
                <w:color w:val="000000"/>
                <w:szCs w:val="20"/>
                <w:lang w:val="en-US"/>
              </w:rPr>
            </w:pPr>
            <w:r w:rsidRPr="004754B1">
              <w:rPr>
                <w:rFonts w:ascii="Arial Narrow" w:hAnsi="Arial Narrow" w:cs="Calibri"/>
                <w:b/>
                <w:bCs/>
                <w:color w:val="000000"/>
                <w:szCs w:val="20"/>
                <w:lang w:val="en-US"/>
              </w:rPr>
              <w:t xml:space="preserve">Cost Item </w:t>
            </w:r>
          </w:p>
        </w:tc>
        <w:tc>
          <w:tcPr>
            <w:tcW w:w="784" w:type="pct"/>
          </w:tcPr>
          <w:p w14:paraId="3A8497EB" w14:textId="53A39AFC" w:rsidR="0049663E" w:rsidRPr="004754B1" w:rsidRDefault="002F4BB3" w:rsidP="004966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
                <w:bCs/>
                <w:color w:val="000000"/>
                <w:szCs w:val="20"/>
                <w:lang w:val="en-US"/>
              </w:rPr>
              <w:t>MBS Item #</w:t>
            </w:r>
          </w:p>
        </w:tc>
        <w:tc>
          <w:tcPr>
            <w:tcW w:w="786" w:type="pct"/>
          </w:tcPr>
          <w:p w14:paraId="0BC4F189"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sidRPr="004754B1">
              <w:rPr>
                <w:rFonts w:ascii="Arial Narrow" w:hAnsi="Arial Narrow" w:cs="Calibri"/>
                <w:b/>
                <w:bCs/>
                <w:color w:val="000000"/>
                <w:szCs w:val="20"/>
                <w:lang w:val="en-US"/>
              </w:rPr>
              <w:t>100% MBS Fee</w:t>
            </w:r>
          </w:p>
        </w:tc>
        <w:tc>
          <w:tcPr>
            <w:tcW w:w="836" w:type="pct"/>
          </w:tcPr>
          <w:p w14:paraId="1D72BC1C"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sidRPr="004754B1">
              <w:rPr>
                <w:rFonts w:ascii="Arial Narrow" w:hAnsi="Arial Narrow" w:cs="Calibri"/>
                <w:b/>
                <w:bCs/>
                <w:color w:val="000000"/>
                <w:szCs w:val="20"/>
                <w:lang w:val="en-US"/>
              </w:rPr>
              <w:t>75% Benefit</w:t>
            </w:r>
          </w:p>
        </w:tc>
      </w:tr>
      <w:tr w:rsidR="0049663E" w:rsidRPr="004754B1" w14:paraId="28580D40" w14:textId="77777777" w:rsidTr="002F4BB3">
        <w:trPr>
          <w:trHeight w:val="285"/>
        </w:trPr>
        <w:tc>
          <w:tcPr>
            <w:tcW w:w="2594" w:type="pct"/>
          </w:tcPr>
          <w:p w14:paraId="0C3C470E" w14:textId="77777777" w:rsidR="0049663E" w:rsidRPr="004754B1" w:rsidRDefault="0049663E" w:rsidP="0049663E">
            <w:pPr>
              <w:autoSpaceDE w:val="0"/>
              <w:autoSpaceDN w:val="0"/>
              <w:adjustRightInd w:val="0"/>
              <w:spacing w:before="0" w:after="0" w:line="360" w:lineRule="auto"/>
              <w:rPr>
                <w:rFonts w:ascii="Arial Narrow" w:hAnsi="Arial Narrow" w:cs="Calibri"/>
                <w:color w:val="000000"/>
                <w:szCs w:val="20"/>
                <w:lang w:val="en-US"/>
              </w:rPr>
            </w:pPr>
            <w:r>
              <w:rPr>
                <w:rFonts w:ascii="Arial Narrow" w:hAnsi="Arial Narrow" w:cs="Calibri"/>
                <w:bCs/>
                <w:color w:val="000000"/>
                <w:szCs w:val="20"/>
                <w:lang w:val="en-US"/>
              </w:rPr>
              <w:t>VBT procedure</w:t>
            </w:r>
            <w:r w:rsidRPr="004754B1">
              <w:rPr>
                <w:rFonts w:ascii="Arial Narrow" w:hAnsi="Arial Narrow" w:cs="Calibri"/>
                <w:bCs/>
                <w:color w:val="000000"/>
                <w:szCs w:val="20"/>
                <w:lang w:val="en-US"/>
              </w:rPr>
              <w:t xml:space="preserve"> </w:t>
            </w:r>
            <w:r>
              <w:rPr>
                <w:rFonts w:ascii="Arial Narrow" w:hAnsi="Arial Narrow" w:cs="Calibri"/>
                <w:bCs/>
                <w:color w:val="000000"/>
                <w:szCs w:val="20"/>
                <w:lang w:val="en-US"/>
              </w:rPr>
              <w:t>(proposed fee)</w:t>
            </w:r>
          </w:p>
        </w:tc>
        <w:tc>
          <w:tcPr>
            <w:tcW w:w="784" w:type="pct"/>
          </w:tcPr>
          <w:p w14:paraId="7F7E9BFB"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TBC</w:t>
            </w:r>
          </w:p>
        </w:tc>
        <w:tc>
          <w:tcPr>
            <w:tcW w:w="786" w:type="pct"/>
          </w:tcPr>
          <w:p w14:paraId="3732D95B"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$3,534.05</w:t>
            </w:r>
          </w:p>
        </w:tc>
        <w:tc>
          <w:tcPr>
            <w:tcW w:w="836" w:type="pct"/>
          </w:tcPr>
          <w:p w14:paraId="34C94490"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$2,650.54</w:t>
            </w:r>
          </w:p>
        </w:tc>
      </w:tr>
      <w:tr w:rsidR="0049663E" w:rsidRPr="004754B1" w14:paraId="26174C37" w14:textId="77777777" w:rsidTr="002F4BB3">
        <w:trPr>
          <w:trHeight w:val="99"/>
        </w:trPr>
        <w:tc>
          <w:tcPr>
            <w:tcW w:w="2594" w:type="pct"/>
          </w:tcPr>
          <w:p w14:paraId="550107EC" w14:textId="77777777" w:rsidR="0049663E" w:rsidRPr="004754B1" w:rsidRDefault="0049663E" w:rsidP="0049663E">
            <w:pPr>
              <w:autoSpaceDE w:val="0"/>
              <w:autoSpaceDN w:val="0"/>
              <w:adjustRightInd w:val="0"/>
              <w:spacing w:before="0" w:after="0" w:line="360" w:lineRule="auto"/>
              <w:rPr>
                <w:rFonts w:ascii="Arial Narrow" w:hAnsi="Arial Narrow" w:cs="Calibri"/>
                <w:color w:val="000000"/>
                <w:szCs w:val="20"/>
                <w:lang w:val="en-US"/>
              </w:rPr>
            </w:pPr>
            <w:r w:rsidRPr="004754B1">
              <w:rPr>
                <w:rFonts w:ascii="Arial Narrow" w:hAnsi="Arial Narrow" w:cs="Calibri"/>
                <w:bCs/>
                <w:color w:val="000000"/>
                <w:szCs w:val="20"/>
                <w:lang w:val="en-US"/>
              </w:rPr>
              <w:t xml:space="preserve">Assistant* </w:t>
            </w:r>
          </w:p>
        </w:tc>
        <w:tc>
          <w:tcPr>
            <w:tcW w:w="784" w:type="pct"/>
          </w:tcPr>
          <w:p w14:paraId="2399C101"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sidRPr="004754B1">
              <w:rPr>
                <w:rFonts w:ascii="Arial Narrow" w:hAnsi="Arial Narrow" w:cs="Calibri"/>
                <w:bCs/>
                <w:color w:val="000000"/>
                <w:szCs w:val="20"/>
                <w:lang w:val="en-US"/>
              </w:rPr>
              <w:t>51303</w:t>
            </w:r>
          </w:p>
        </w:tc>
        <w:tc>
          <w:tcPr>
            <w:tcW w:w="786" w:type="pct"/>
          </w:tcPr>
          <w:p w14:paraId="5C8DF5CA"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sidRPr="004754B1">
              <w:rPr>
                <w:rFonts w:ascii="Arial Narrow" w:hAnsi="Arial Narrow" w:cs="Calibri"/>
                <w:bCs/>
                <w:color w:val="000000"/>
                <w:szCs w:val="20"/>
                <w:lang w:val="en-US"/>
              </w:rPr>
              <w:t>$</w:t>
            </w:r>
            <w:r>
              <w:rPr>
                <w:rFonts w:ascii="Arial Narrow" w:hAnsi="Arial Narrow" w:cs="Calibri"/>
                <w:bCs/>
                <w:color w:val="000000"/>
                <w:szCs w:val="20"/>
                <w:lang w:val="en-US"/>
              </w:rPr>
              <w:t>706.81</w:t>
            </w:r>
          </w:p>
        </w:tc>
        <w:tc>
          <w:tcPr>
            <w:tcW w:w="836" w:type="pct"/>
          </w:tcPr>
          <w:p w14:paraId="4D1B2996"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$530.11</w:t>
            </w:r>
          </w:p>
        </w:tc>
      </w:tr>
      <w:tr w:rsidR="0049663E" w:rsidRPr="004754B1" w14:paraId="00665120" w14:textId="77777777" w:rsidTr="002F4BB3">
        <w:trPr>
          <w:trHeight w:val="99"/>
        </w:trPr>
        <w:tc>
          <w:tcPr>
            <w:tcW w:w="2594" w:type="pct"/>
          </w:tcPr>
          <w:p w14:paraId="66D3A2F5" w14:textId="77777777" w:rsidR="0049663E" w:rsidRPr="004754B1" w:rsidRDefault="0049663E" w:rsidP="0049663E">
            <w:pPr>
              <w:autoSpaceDE w:val="0"/>
              <w:autoSpaceDN w:val="0"/>
              <w:adjustRightInd w:val="0"/>
              <w:spacing w:before="0" w:after="0" w:line="360" w:lineRule="auto"/>
              <w:rPr>
                <w:rFonts w:ascii="Arial Narrow" w:hAnsi="Arial Narrow" w:cs="Calibri"/>
                <w:color w:val="000000"/>
                <w:szCs w:val="20"/>
                <w:lang w:val="en-US"/>
              </w:rPr>
            </w:pPr>
            <w:r>
              <w:rPr>
                <w:rFonts w:ascii="Arial Narrow" w:hAnsi="Arial Narrow" w:cs="Calibri"/>
                <w:bCs/>
                <w:color w:val="000000"/>
                <w:szCs w:val="20"/>
                <w:lang w:val="en-US"/>
              </w:rPr>
              <w:t>INITIATION OF MANAGEMENT OF ANAESTHESIA for extensive spine and/or spinal cord procedures</w:t>
            </w:r>
            <w:r w:rsidRPr="004754B1">
              <w:rPr>
                <w:rFonts w:ascii="Arial Narrow" w:hAnsi="Arial Narrow" w:cs="Calibri"/>
                <w:bCs/>
                <w:color w:val="000000"/>
                <w:szCs w:val="20"/>
                <w:lang w:val="en-US"/>
              </w:rPr>
              <w:t xml:space="preserve"> </w:t>
            </w:r>
          </w:p>
        </w:tc>
        <w:tc>
          <w:tcPr>
            <w:tcW w:w="784" w:type="pct"/>
          </w:tcPr>
          <w:p w14:paraId="601F8E0F"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20670</w:t>
            </w:r>
          </w:p>
        </w:tc>
        <w:tc>
          <w:tcPr>
            <w:tcW w:w="786" w:type="pct"/>
          </w:tcPr>
          <w:p w14:paraId="3599B55C"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$261.30</w:t>
            </w:r>
          </w:p>
        </w:tc>
        <w:tc>
          <w:tcPr>
            <w:tcW w:w="836" w:type="pct"/>
          </w:tcPr>
          <w:p w14:paraId="64CF5114"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$195.98</w:t>
            </w:r>
          </w:p>
        </w:tc>
      </w:tr>
      <w:tr w:rsidR="0049663E" w:rsidRPr="004754B1" w14:paraId="20688642" w14:textId="77777777" w:rsidTr="002F4BB3">
        <w:trPr>
          <w:trHeight w:val="287"/>
        </w:trPr>
        <w:tc>
          <w:tcPr>
            <w:tcW w:w="2594" w:type="pct"/>
          </w:tcPr>
          <w:p w14:paraId="7042D878" w14:textId="77777777" w:rsidR="0049663E" w:rsidRPr="004754B1" w:rsidRDefault="0049663E" w:rsidP="0049663E">
            <w:pPr>
              <w:autoSpaceDE w:val="0"/>
              <w:autoSpaceDN w:val="0"/>
              <w:adjustRightInd w:val="0"/>
              <w:spacing w:before="0" w:after="0" w:line="360" w:lineRule="auto"/>
              <w:rPr>
                <w:rFonts w:ascii="Arial Narrow" w:hAnsi="Arial Narrow" w:cs="Calibri"/>
                <w:color w:val="000000"/>
                <w:szCs w:val="20"/>
                <w:lang w:val="en-US"/>
              </w:rPr>
            </w:pPr>
            <w:r w:rsidRPr="004754B1">
              <w:rPr>
                <w:rFonts w:ascii="Arial Narrow" w:hAnsi="Arial Narrow" w:cs="Calibri"/>
                <w:bCs/>
                <w:color w:val="000000"/>
                <w:szCs w:val="20"/>
                <w:lang w:val="en-US"/>
              </w:rPr>
              <w:t xml:space="preserve">Anaesthesia Time Units </w:t>
            </w:r>
            <w:r>
              <w:rPr>
                <w:rFonts w:ascii="Arial Narrow" w:hAnsi="Arial Narrow" w:cs="Calibri"/>
                <w:bCs/>
                <w:color w:val="000000"/>
                <w:szCs w:val="20"/>
                <w:lang w:val="en-US"/>
              </w:rPr>
              <w:t>3:11 to 3:20 hours</w:t>
            </w:r>
          </w:p>
        </w:tc>
        <w:tc>
          <w:tcPr>
            <w:tcW w:w="784" w:type="pct"/>
          </w:tcPr>
          <w:p w14:paraId="4F775500"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sidRPr="004754B1">
              <w:rPr>
                <w:rFonts w:ascii="Arial Narrow" w:hAnsi="Arial Narrow" w:cs="Calibri"/>
                <w:bCs/>
                <w:color w:val="000000"/>
                <w:szCs w:val="20"/>
                <w:lang w:val="en-US"/>
              </w:rPr>
              <w:t>2</w:t>
            </w:r>
            <w:r>
              <w:rPr>
                <w:rFonts w:ascii="Arial Narrow" w:hAnsi="Arial Narrow" w:cs="Calibri"/>
                <w:bCs/>
                <w:color w:val="000000"/>
                <w:szCs w:val="20"/>
                <w:lang w:val="en-US"/>
              </w:rPr>
              <w:t>3116</w:t>
            </w:r>
          </w:p>
        </w:tc>
        <w:tc>
          <w:tcPr>
            <w:tcW w:w="786" w:type="pct"/>
          </w:tcPr>
          <w:p w14:paraId="3004CE52"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$321.60</w:t>
            </w:r>
          </w:p>
        </w:tc>
        <w:tc>
          <w:tcPr>
            <w:tcW w:w="836" w:type="pct"/>
          </w:tcPr>
          <w:p w14:paraId="436BFA27"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$241.20</w:t>
            </w:r>
          </w:p>
        </w:tc>
      </w:tr>
      <w:tr w:rsidR="0049663E" w:rsidRPr="004754B1" w14:paraId="56677A0C" w14:textId="77777777" w:rsidTr="002F4BB3">
        <w:trPr>
          <w:trHeight w:val="99"/>
        </w:trPr>
        <w:tc>
          <w:tcPr>
            <w:tcW w:w="2594" w:type="pct"/>
          </w:tcPr>
          <w:p w14:paraId="64F34E84" w14:textId="77777777" w:rsidR="0049663E" w:rsidRPr="004754B1" w:rsidRDefault="0049663E" w:rsidP="0049663E">
            <w:pPr>
              <w:autoSpaceDE w:val="0"/>
              <w:autoSpaceDN w:val="0"/>
              <w:adjustRightInd w:val="0"/>
              <w:spacing w:before="0" w:after="0" w:line="360" w:lineRule="auto"/>
              <w:rPr>
                <w:rFonts w:ascii="Arial Narrow" w:hAnsi="Arial Narrow" w:cs="Calibri"/>
                <w:color w:val="000000"/>
                <w:szCs w:val="20"/>
                <w:lang w:val="en-US"/>
              </w:rPr>
            </w:pPr>
            <w:r w:rsidRPr="0049663E">
              <w:rPr>
                <w:rFonts w:ascii="Arial Narrow" w:hAnsi="Arial Narrow" w:cs="Calibri"/>
                <w:bCs/>
                <w:color w:val="000000"/>
                <w:szCs w:val="20"/>
                <w:lang w:val="en-US"/>
              </w:rPr>
              <w:t>FLUOROSCOPY using a mobile image intensifier, in conjunction with a surgical procedure lasting 1 hour or more</w:t>
            </w:r>
          </w:p>
        </w:tc>
        <w:tc>
          <w:tcPr>
            <w:tcW w:w="784" w:type="pct"/>
          </w:tcPr>
          <w:p w14:paraId="65181529"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60509</w:t>
            </w:r>
          </w:p>
        </w:tc>
        <w:tc>
          <w:tcPr>
            <w:tcW w:w="786" w:type="pct"/>
          </w:tcPr>
          <w:p w14:paraId="67F0C5B8"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$98.90</w:t>
            </w:r>
          </w:p>
        </w:tc>
        <w:tc>
          <w:tcPr>
            <w:tcW w:w="836" w:type="pct"/>
          </w:tcPr>
          <w:p w14:paraId="1ADE1F67" w14:textId="77777777" w:rsidR="0049663E" w:rsidRPr="004754B1" w:rsidRDefault="0049663E" w:rsidP="004966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$74.18</w:t>
            </w:r>
          </w:p>
        </w:tc>
      </w:tr>
      <w:tr w:rsidR="0019643D" w:rsidRPr="004754B1" w14:paraId="4403C3D7" w14:textId="77777777" w:rsidTr="002F4BB3">
        <w:trPr>
          <w:trHeight w:val="99"/>
        </w:trPr>
        <w:tc>
          <w:tcPr>
            <w:tcW w:w="3378" w:type="pct"/>
            <w:gridSpan w:val="2"/>
          </w:tcPr>
          <w:p w14:paraId="6215E343" w14:textId="759C1A10" w:rsidR="0019643D" w:rsidRPr="004754B1" w:rsidRDefault="0019643D" w:rsidP="0019643D">
            <w:pPr>
              <w:autoSpaceDE w:val="0"/>
              <w:autoSpaceDN w:val="0"/>
              <w:adjustRightInd w:val="0"/>
              <w:spacing w:before="0" w:after="0" w:line="360" w:lineRule="auto"/>
              <w:rPr>
                <w:rFonts w:ascii="Arial Narrow" w:hAnsi="Arial Narrow" w:cs="Calibri"/>
                <w:color w:val="000000"/>
                <w:szCs w:val="20"/>
                <w:lang w:val="en-US"/>
              </w:rPr>
            </w:pPr>
            <w:r>
              <w:rPr>
                <w:rFonts w:ascii="Arial Narrow" w:hAnsi="Arial Narrow" w:cs="Calibri"/>
                <w:bCs/>
                <w:color w:val="000000"/>
                <w:szCs w:val="20"/>
                <w:lang w:val="en-US"/>
              </w:rPr>
              <w:t>Total</w:t>
            </w:r>
          </w:p>
        </w:tc>
        <w:tc>
          <w:tcPr>
            <w:tcW w:w="786" w:type="pct"/>
          </w:tcPr>
          <w:p w14:paraId="7CBC679D" w14:textId="77777777" w:rsidR="0019643D" w:rsidRPr="004754B1" w:rsidRDefault="0019643D" w:rsidP="004966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$4,922.66</w:t>
            </w:r>
          </w:p>
        </w:tc>
        <w:tc>
          <w:tcPr>
            <w:tcW w:w="836" w:type="pct"/>
          </w:tcPr>
          <w:p w14:paraId="62DFEFEA" w14:textId="77777777" w:rsidR="0019643D" w:rsidRPr="004754B1" w:rsidRDefault="0019643D" w:rsidP="0049663E">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color w:val="000000"/>
                <w:szCs w:val="20"/>
                <w:lang w:val="en-US"/>
              </w:rPr>
              <w:t>$3,692.00</w:t>
            </w:r>
          </w:p>
        </w:tc>
      </w:tr>
    </w:tbl>
    <w:p w14:paraId="5F7CF528" w14:textId="77777777" w:rsidR="00AF44C3" w:rsidRDefault="0049663E" w:rsidP="0049663E">
      <w:pPr>
        <w:spacing w:before="0"/>
        <w:rPr>
          <w:rFonts w:ascii="Arial Narrow" w:hAnsi="Arial Narrow"/>
          <w:szCs w:val="20"/>
        </w:rPr>
      </w:pPr>
      <w:r w:rsidRPr="004754B1">
        <w:rPr>
          <w:rFonts w:ascii="Arial Narrow" w:hAnsi="Arial Narrow"/>
          <w:szCs w:val="20"/>
        </w:rPr>
        <w:t>*</w:t>
      </w:r>
      <w:r w:rsidR="000F5990">
        <w:rPr>
          <w:rFonts w:ascii="Arial Narrow" w:hAnsi="Arial Narrow"/>
          <w:szCs w:val="20"/>
        </w:rPr>
        <w:t>C</w:t>
      </w:r>
      <w:r w:rsidRPr="004754B1">
        <w:rPr>
          <w:rFonts w:ascii="Arial Narrow" w:hAnsi="Arial Narrow"/>
          <w:szCs w:val="20"/>
        </w:rPr>
        <w:t xml:space="preserve">osts calculated from 20% of the fee of the </w:t>
      </w:r>
      <w:r>
        <w:rPr>
          <w:rFonts w:ascii="Arial Narrow" w:hAnsi="Arial Narrow"/>
          <w:szCs w:val="20"/>
        </w:rPr>
        <w:t>VBT</w:t>
      </w:r>
      <w:r w:rsidRPr="004754B1">
        <w:rPr>
          <w:rFonts w:ascii="Arial Narrow" w:hAnsi="Arial Narrow"/>
          <w:szCs w:val="20"/>
        </w:rPr>
        <w:t xml:space="preserve">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9"/>
        <w:gridCol w:w="1639"/>
        <w:gridCol w:w="1639"/>
        <w:gridCol w:w="1639"/>
      </w:tblGrid>
      <w:tr w:rsidR="00472CD8" w:rsidRPr="004754B1" w14:paraId="5EA9EECB" w14:textId="77777777" w:rsidTr="00AF44C3">
        <w:trPr>
          <w:trHeight w:val="99"/>
        </w:trPr>
        <w:tc>
          <w:tcPr>
            <w:tcW w:w="2273" w:type="pct"/>
          </w:tcPr>
          <w:p w14:paraId="57D5E881" w14:textId="77777777" w:rsidR="00472CD8" w:rsidRPr="00D11A60" w:rsidRDefault="00472CD8" w:rsidP="00185C3F">
            <w:pPr>
              <w:autoSpaceDE w:val="0"/>
              <w:autoSpaceDN w:val="0"/>
              <w:adjustRightInd w:val="0"/>
              <w:spacing w:before="0" w:after="0" w:line="360" w:lineRule="auto"/>
              <w:rPr>
                <w:rFonts w:ascii="Arial Narrow" w:hAnsi="Arial Narrow" w:cs="Calibri"/>
                <w:color w:val="000000"/>
                <w:szCs w:val="20"/>
                <w:lang w:val="en-US"/>
              </w:rPr>
            </w:pPr>
            <w:r w:rsidRPr="00D11A60">
              <w:rPr>
                <w:rFonts w:ascii="Arial Narrow" w:hAnsi="Arial Narrow" w:cs="Calibri"/>
                <w:b/>
                <w:bCs/>
                <w:color w:val="000000"/>
                <w:szCs w:val="20"/>
                <w:lang w:val="en-US"/>
              </w:rPr>
              <w:t xml:space="preserve">Description </w:t>
            </w:r>
          </w:p>
        </w:tc>
        <w:tc>
          <w:tcPr>
            <w:tcW w:w="909" w:type="pct"/>
          </w:tcPr>
          <w:p w14:paraId="4445890F" w14:textId="77777777" w:rsidR="00472CD8" w:rsidRPr="00D11A60" w:rsidRDefault="00472CD8" w:rsidP="00185C3F">
            <w:pPr>
              <w:autoSpaceDE w:val="0"/>
              <w:autoSpaceDN w:val="0"/>
              <w:adjustRightInd w:val="0"/>
              <w:spacing w:before="0" w:after="0" w:line="360" w:lineRule="auto"/>
              <w:jc w:val="center"/>
              <w:rPr>
                <w:rFonts w:ascii="Arial Narrow" w:hAnsi="Arial Narrow" w:cs="Calibri"/>
                <w:color w:val="000000"/>
                <w:szCs w:val="20"/>
                <w:lang w:val="en-US"/>
              </w:rPr>
            </w:pPr>
            <w:r w:rsidRPr="00D11A60">
              <w:rPr>
                <w:rFonts w:ascii="Arial Narrow" w:hAnsi="Arial Narrow" w:cs="Calibri"/>
                <w:b/>
                <w:bCs/>
                <w:color w:val="000000"/>
                <w:szCs w:val="20"/>
                <w:lang w:val="en-US"/>
              </w:rPr>
              <w:t>Unit cost</w:t>
            </w:r>
          </w:p>
        </w:tc>
        <w:tc>
          <w:tcPr>
            <w:tcW w:w="909" w:type="pct"/>
          </w:tcPr>
          <w:p w14:paraId="3AA7E961" w14:textId="77777777" w:rsidR="00472CD8" w:rsidRPr="00D11A60" w:rsidRDefault="00472CD8" w:rsidP="00185C3F">
            <w:pPr>
              <w:autoSpaceDE w:val="0"/>
              <w:autoSpaceDN w:val="0"/>
              <w:adjustRightInd w:val="0"/>
              <w:spacing w:before="0" w:after="0" w:line="360" w:lineRule="auto"/>
              <w:jc w:val="center"/>
              <w:rPr>
                <w:rFonts w:ascii="Arial Narrow" w:hAnsi="Arial Narrow" w:cs="Calibri"/>
                <w:color w:val="000000"/>
                <w:szCs w:val="20"/>
                <w:lang w:val="en-US"/>
              </w:rPr>
            </w:pPr>
            <w:r w:rsidRPr="00D11A60">
              <w:rPr>
                <w:rFonts w:ascii="Arial Narrow" w:hAnsi="Arial Narrow" w:cs="Calibri"/>
                <w:b/>
                <w:bCs/>
                <w:color w:val="000000"/>
                <w:szCs w:val="20"/>
                <w:lang w:val="en-US"/>
              </w:rPr>
              <w:t>Quantity</w:t>
            </w:r>
            <w:r w:rsidR="000F5990" w:rsidRPr="00D11A60">
              <w:rPr>
                <w:rFonts w:ascii="Arial Narrow" w:hAnsi="Arial Narrow" w:cs="Calibri"/>
                <w:b/>
                <w:bCs/>
                <w:color w:val="000000"/>
                <w:szCs w:val="20"/>
                <w:lang w:val="en-US"/>
              </w:rPr>
              <w:t>*</w:t>
            </w:r>
          </w:p>
        </w:tc>
        <w:tc>
          <w:tcPr>
            <w:tcW w:w="909" w:type="pct"/>
          </w:tcPr>
          <w:p w14:paraId="56B0FB6A" w14:textId="77777777" w:rsidR="00472CD8" w:rsidRPr="00D11A60" w:rsidRDefault="00472CD8" w:rsidP="00185C3F">
            <w:pPr>
              <w:autoSpaceDE w:val="0"/>
              <w:autoSpaceDN w:val="0"/>
              <w:adjustRightInd w:val="0"/>
              <w:spacing w:before="0" w:after="0" w:line="360" w:lineRule="auto"/>
              <w:jc w:val="center"/>
              <w:rPr>
                <w:rFonts w:ascii="Arial Narrow" w:hAnsi="Arial Narrow" w:cs="Calibri"/>
                <w:color w:val="000000"/>
                <w:szCs w:val="20"/>
                <w:lang w:val="en-US"/>
              </w:rPr>
            </w:pPr>
            <w:r w:rsidRPr="00D11A60">
              <w:rPr>
                <w:rFonts w:ascii="Arial Narrow" w:hAnsi="Arial Narrow" w:cs="Calibri"/>
                <w:b/>
                <w:bCs/>
                <w:color w:val="000000"/>
                <w:szCs w:val="20"/>
                <w:lang w:val="en-US"/>
              </w:rPr>
              <w:t>Total cost</w:t>
            </w:r>
          </w:p>
        </w:tc>
      </w:tr>
      <w:tr w:rsidR="00D11A60" w:rsidRPr="004754B1" w14:paraId="5B5E3818" w14:textId="77777777" w:rsidTr="00AF44C3">
        <w:trPr>
          <w:trHeight w:val="285"/>
        </w:trPr>
        <w:tc>
          <w:tcPr>
            <w:tcW w:w="2273" w:type="pct"/>
          </w:tcPr>
          <w:p w14:paraId="383AC10E" w14:textId="77777777" w:rsidR="00D11A60" w:rsidRPr="00D11A60" w:rsidRDefault="00D11A60" w:rsidP="00D11A60">
            <w:pPr>
              <w:autoSpaceDE w:val="0"/>
              <w:autoSpaceDN w:val="0"/>
              <w:adjustRightInd w:val="0"/>
              <w:spacing w:before="0" w:after="0" w:line="360" w:lineRule="auto"/>
              <w:rPr>
                <w:rFonts w:ascii="Arial Narrow" w:hAnsi="Arial Narrow" w:cs="Calibri"/>
                <w:color w:val="000000"/>
                <w:szCs w:val="20"/>
                <w:lang w:val="en-US"/>
              </w:rPr>
            </w:pPr>
            <w:r w:rsidRPr="00D11A60">
              <w:rPr>
                <w:rFonts w:ascii="Arial Narrow" w:hAnsi="Arial Narrow" w:cs="Calibri"/>
                <w:bCs/>
                <w:color w:val="000000"/>
                <w:szCs w:val="20"/>
                <w:lang w:val="en-US"/>
              </w:rPr>
              <w:t>Vertebral body screws</w:t>
            </w:r>
          </w:p>
        </w:tc>
        <w:tc>
          <w:tcPr>
            <w:tcW w:w="909" w:type="pct"/>
          </w:tcPr>
          <w:p w14:paraId="410D11B9" w14:textId="751B2742" w:rsidR="00D11A60" w:rsidRPr="00D11A60" w:rsidRDefault="00D11A60" w:rsidP="00D11A60">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Redacted</w:t>
            </w:r>
          </w:p>
        </w:tc>
        <w:tc>
          <w:tcPr>
            <w:tcW w:w="909" w:type="pct"/>
          </w:tcPr>
          <w:p w14:paraId="2D6DC5AB" w14:textId="6728F369" w:rsidR="00D11A60" w:rsidRPr="00D11A60" w:rsidRDefault="00D11A60" w:rsidP="00D11A60">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Redacted</w:t>
            </w:r>
          </w:p>
        </w:tc>
        <w:tc>
          <w:tcPr>
            <w:tcW w:w="909" w:type="pct"/>
          </w:tcPr>
          <w:p w14:paraId="6744F454" w14:textId="076CB6C1" w:rsidR="00D11A60" w:rsidRPr="00D11A60" w:rsidRDefault="00D11A60" w:rsidP="00D11A60">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Redacted</w:t>
            </w:r>
          </w:p>
        </w:tc>
      </w:tr>
      <w:tr w:rsidR="00D11A60" w:rsidRPr="004754B1" w14:paraId="61CF2B7E" w14:textId="77777777" w:rsidTr="00AF44C3">
        <w:trPr>
          <w:trHeight w:val="99"/>
        </w:trPr>
        <w:tc>
          <w:tcPr>
            <w:tcW w:w="2273" w:type="pct"/>
          </w:tcPr>
          <w:p w14:paraId="489ADB0B" w14:textId="77777777" w:rsidR="00D11A60" w:rsidRPr="00D11A60" w:rsidRDefault="00D11A60" w:rsidP="00D11A60">
            <w:pPr>
              <w:autoSpaceDE w:val="0"/>
              <w:autoSpaceDN w:val="0"/>
              <w:adjustRightInd w:val="0"/>
              <w:spacing w:before="0" w:after="0" w:line="360" w:lineRule="auto"/>
              <w:rPr>
                <w:rFonts w:ascii="Arial Narrow" w:hAnsi="Arial Narrow" w:cs="Calibri"/>
                <w:color w:val="000000"/>
                <w:szCs w:val="20"/>
                <w:lang w:val="en-US"/>
              </w:rPr>
            </w:pPr>
            <w:r w:rsidRPr="00D11A60">
              <w:rPr>
                <w:rFonts w:ascii="Arial Narrow" w:hAnsi="Arial Narrow" w:cs="Calibri"/>
                <w:bCs/>
                <w:color w:val="000000"/>
                <w:szCs w:val="20"/>
                <w:lang w:val="en-US"/>
              </w:rPr>
              <w:t xml:space="preserve">Anchor </w:t>
            </w:r>
          </w:p>
        </w:tc>
        <w:tc>
          <w:tcPr>
            <w:tcW w:w="909" w:type="pct"/>
          </w:tcPr>
          <w:p w14:paraId="77D2052B" w14:textId="6CFC930B" w:rsidR="00D11A60" w:rsidRPr="00D11A60" w:rsidRDefault="00D11A60" w:rsidP="00D11A60">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Redacted</w:t>
            </w:r>
          </w:p>
        </w:tc>
        <w:tc>
          <w:tcPr>
            <w:tcW w:w="909" w:type="pct"/>
          </w:tcPr>
          <w:p w14:paraId="4F1D2A19" w14:textId="69C8CAB2" w:rsidR="00D11A60" w:rsidRPr="00D11A60" w:rsidRDefault="00D11A60" w:rsidP="00D11A60">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Redacted</w:t>
            </w:r>
          </w:p>
        </w:tc>
        <w:tc>
          <w:tcPr>
            <w:tcW w:w="909" w:type="pct"/>
          </w:tcPr>
          <w:p w14:paraId="2CE4D514" w14:textId="4AAE163F" w:rsidR="00D11A60" w:rsidRPr="00D11A60" w:rsidRDefault="00D11A60" w:rsidP="00D11A60">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Redacted</w:t>
            </w:r>
          </w:p>
        </w:tc>
      </w:tr>
      <w:tr w:rsidR="00D11A60" w:rsidRPr="004754B1" w14:paraId="4C55A8B5" w14:textId="77777777" w:rsidTr="00AF44C3">
        <w:trPr>
          <w:trHeight w:val="99"/>
        </w:trPr>
        <w:tc>
          <w:tcPr>
            <w:tcW w:w="2273" w:type="pct"/>
          </w:tcPr>
          <w:p w14:paraId="63C468B2" w14:textId="77777777" w:rsidR="00D11A60" w:rsidRPr="00D11A60" w:rsidRDefault="00D11A60" w:rsidP="00D11A60">
            <w:pPr>
              <w:autoSpaceDE w:val="0"/>
              <w:autoSpaceDN w:val="0"/>
              <w:adjustRightInd w:val="0"/>
              <w:spacing w:before="0" w:after="0" w:line="360" w:lineRule="auto"/>
              <w:rPr>
                <w:rFonts w:ascii="Arial Narrow" w:hAnsi="Arial Narrow" w:cs="Calibri"/>
                <w:color w:val="000000"/>
                <w:szCs w:val="20"/>
                <w:lang w:val="en-US"/>
              </w:rPr>
            </w:pPr>
            <w:r w:rsidRPr="00D11A60">
              <w:rPr>
                <w:rFonts w:ascii="Arial Narrow" w:hAnsi="Arial Narrow" w:cs="Calibri"/>
                <w:bCs/>
                <w:color w:val="000000"/>
                <w:szCs w:val="20"/>
                <w:lang w:val="en-US"/>
              </w:rPr>
              <w:t xml:space="preserve">Cord </w:t>
            </w:r>
          </w:p>
        </w:tc>
        <w:tc>
          <w:tcPr>
            <w:tcW w:w="909" w:type="pct"/>
          </w:tcPr>
          <w:p w14:paraId="00F17266" w14:textId="460B4D9D" w:rsidR="00D11A60" w:rsidRPr="00D11A60" w:rsidRDefault="00D11A60" w:rsidP="00D11A60">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Redacted</w:t>
            </w:r>
          </w:p>
        </w:tc>
        <w:tc>
          <w:tcPr>
            <w:tcW w:w="909" w:type="pct"/>
          </w:tcPr>
          <w:p w14:paraId="49BE5E96" w14:textId="77777777" w:rsidR="00D11A60" w:rsidRPr="00D11A60" w:rsidRDefault="00D11A60" w:rsidP="00D11A60">
            <w:pPr>
              <w:autoSpaceDE w:val="0"/>
              <w:autoSpaceDN w:val="0"/>
              <w:adjustRightInd w:val="0"/>
              <w:spacing w:before="0" w:after="0" w:line="360" w:lineRule="auto"/>
              <w:jc w:val="center"/>
              <w:rPr>
                <w:rFonts w:ascii="Arial Narrow" w:hAnsi="Arial Narrow" w:cs="Calibri"/>
                <w:color w:val="000000"/>
                <w:szCs w:val="20"/>
                <w:lang w:val="en-US"/>
              </w:rPr>
            </w:pPr>
            <w:r w:rsidRPr="00D11A60">
              <w:rPr>
                <w:rFonts w:ascii="Arial Narrow" w:hAnsi="Arial Narrow" w:cs="Calibri"/>
                <w:bCs/>
                <w:color w:val="000000"/>
                <w:szCs w:val="20"/>
                <w:lang w:val="en-US"/>
              </w:rPr>
              <w:t>1</w:t>
            </w:r>
          </w:p>
        </w:tc>
        <w:tc>
          <w:tcPr>
            <w:tcW w:w="909" w:type="pct"/>
          </w:tcPr>
          <w:p w14:paraId="273F8ECA" w14:textId="0F3EC9F0" w:rsidR="00D11A60" w:rsidRPr="00D11A60" w:rsidRDefault="00D11A60" w:rsidP="00D11A60">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Redacted</w:t>
            </w:r>
          </w:p>
        </w:tc>
      </w:tr>
      <w:tr w:rsidR="00D11A60" w:rsidRPr="004754B1" w14:paraId="64D5D144" w14:textId="77777777" w:rsidTr="0019643D">
        <w:trPr>
          <w:trHeight w:val="99"/>
        </w:trPr>
        <w:tc>
          <w:tcPr>
            <w:tcW w:w="4091" w:type="pct"/>
            <w:gridSpan w:val="3"/>
          </w:tcPr>
          <w:p w14:paraId="2CA0FBDA" w14:textId="7587F69B" w:rsidR="00D11A60" w:rsidRPr="00D11A60" w:rsidRDefault="00D11A60" w:rsidP="00D11A60">
            <w:pPr>
              <w:autoSpaceDE w:val="0"/>
              <w:autoSpaceDN w:val="0"/>
              <w:adjustRightInd w:val="0"/>
              <w:spacing w:before="0" w:after="0" w:line="360" w:lineRule="auto"/>
              <w:rPr>
                <w:rFonts w:ascii="Arial Narrow" w:hAnsi="Arial Narrow" w:cs="Calibri"/>
                <w:color w:val="000000"/>
                <w:szCs w:val="20"/>
                <w:lang w:val="en-US"/>
              </w:rPr>
            </w:pPr>
            <w:r w:rsidRPr="00D11A60">
              <w:rPr>
                <w:rFonts w:ascii="Arial Narrow" w:hAnsi="Arial Narrow" w:cs="Calibri"/>
                <w:bCs/>
                <w:color w:val="000000"/>
                <w:szCs w:val="20"/>
                <w:lang w:val="en-US"/>
              </w:rPr>
              <w:t>Total</w:t>
            </w:r>
          </w:p>
        </w:tc>
        <w:tc>
          <w:tcPr>
            <w:tcW w:w="909" w:type="pct"/>
          </w:tcPr>
          <w:p w14:paraId="36EAB2B0" w14:textId="32BDFF56" w:rsidR="00D11A60" w:rsidRPr="00D11A60" w:rsidRDefault="00D11A60" w:rsidP="00D11A60">
            <w:pPr>
              <w:autoSpaceDE w:val="0"/>
              <w:autoSpaceDN w:val="0"/>
              <w:adjustRightInd w:val="0"/>
              <w:spacing w:before="0" w:after="0" w:line="360" w:lineRule="auto"/>
              <w:jc w:val="center"/>
              <w:rPr>
                <w:rFonts w:ascii="Arial Narrow" w:hAnsi="Arial Narrow" w:cs="Calibri"/>
                <w:color w:val="000000"/>
                <w:szCs w:val="20"/>
                <w:lang w:val="en-US"/>
              </w:rPr>
            </w:pPr>
            <w:r>
              <w:rPr>
                <w:rFonts w:ascii="Arial Narrow" w:hAnsi="Arial Narrow" w:cs="Calibri"/>
                <w:bCs/>
                <w:color w:val="000000"/>
                <w:szCs w:val="20"/>
                <w:lang w:val="en-US"/>
              </w:rPr>
              <w:t>Redacted</w:t>
            </w:r>
          </w:p>
        </w:tc>
      </w:tr>
    </w:tbl>
    <w:p w14:paraId="79CA1AE8" w14:textId="4A0A37F9" w:rsidR="00472CD8" w:rsidRPr="00D11A60" w:rsidRDefault="000F5990" w:rsidP="0049663E">
      <w:pPr>
        <w:spacing w:before="0"/>
        <w:rPr>
          <w:rFonts w:ascii="Arial Narrow" w:hAnsi="Arial Narrow"/>
          <w:szCs w:val="20"/>
        </w:rPr>
      </w:pPr>
      <w:r>
        <w:rPr>
          <w:rFonts w:ascii="Arial Narrow" w:hAnsi="Arial Narrow"/>
          <w:szCs w:val="20"/>
        </w:rPr>
        <w:t>*</w:t>
      </w:r>
      <w:r w:rsidR="00D11A60">
        <w:rPr>
          <w:rFonts w:ascii="Arial Narrow" w:hAnsi="Arial Narrow"/>
          <w:szCs w:val="20"/>
        </w:rPr>
        <w:t xml:space="preserve">Redacted. </w:t>
      </w:r>
    </w:p>
    <w:p w14:paraId="59772420"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4AB1C48E" w14:textId="01AC2038" w:rsidR="00951933" w:rsidRDefault="00472CD8" w:rsidP="00AE1188">
      <w:pPr>
        <w:ind w:left="426"/>
        <w:rPr>
          <w:b/>
          <w:szCs w:val="20"/>
        </w:rPr>
      </w:pPr>
      <w:r>
        <w:t xml:space="preserve">The </w:t>
      </w:r>
      <w:r w:rsidR="0019643D">
        <w:t xml:space="preserve">VBT </w:t>
      </w:r>
      <w:r>
        <w:t>procedure typically takes 3 – 3.5 hours</w:t>
      </w:r>
      <w:r w:rsidR="0019643D">
        <w:rPr>
          <w:rStyle w:val="FootnoteReference"/>
        </w:rPr>
        <w:footnoteReference w:id="10"/>
      </w:r>
      <w:r>
        <w:t>.</w:t>
      </w:r>
    </w:p>
    <w:p w14:paraId="20CE48C4"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24CA3E21" w14:textId="78482DF2" w:rsidR="00472CD8" w:rsidRPr="00472CD8" w:rsidRDefault="00472CD8" w:rsidP="00472CD8">
      <w:r>
        <w:t xml:space="preserve">The proposed item descriptor for </w:t>
      </w:r>
      <w:r w:rsidR="00EC1D14">
        <w:t xml:space="preserve">the </w:t>
      </w:r>
      <w:r>
        <w:t>VBT procedure is provided below.</w:t>
      </w:r>
    </w:p>
    <w:p w14:paraId="7DBE30EE" w14:textId="77777777" w:rsidR="00AE1188" w:rsidRPr="00AE1188" w:rsidRDefault="00AE1188" w:rsidP="002F4BB3">
      <w:pPr>
        <w:pBdr>
          <w:top w:val="single" w:sz="4" w:space="1" w:color="auto"/>
          <w:left w:val="single" w:sz="4" w:space="4" w:color="auto"/>
          <w:bottom w:val="single" w:sz="4" w:space="0" w:color="auto"/>
          <w:right w:val="single" w:sz="4" w:space="4" w:color="auto"/>
          <w:between w:val="single" w:sz="4" w:space="1" w:color="auto"/>
          <w:bar w:val="single" w:sz="4" w:color="auto"/>
        </w:pBdr>
        <w:rPr>
          <w:szCs w:val="20"/>
        </w:rPr>
      </w:pPr>
      <w:r>
        <w:rPr>
          <w:szCs w:val="20"/>
        </w:rPr>
        <w:t xml:space="preserve">Category </w:t>
      </w:r>
      <w:r w:rsidR="00472CD8">
        <w:rPr>
          <w:szCs w:val="20"/>
        </w:rPr>
        <w:t>3</w:t>
      </w:r>
      <w:r w:rsidRPr="00AE1188">
        <w:rPr>
          <w:szCs w:val="20"/>
        </w:rPr>
        <w:t xml:space="preserve"> – </w:t>
      </w:r>
      <w:r w:rsidR="00472CD8">
        <w:t>Therapeutic Procedures – Surgical Operations</w:t>
      </w:r>
      <w:r w:rsidRPr="00AE1188">
        <w:rPr>
          <w:szCs w:val="20"/>
        </w:rPr>
        <w:t xml:space="preserve"> </w:t>
      </w:r>
    </w:p>
    <w:p w14:paraId="04681C77" w14:textId="77777777" w:rsidR="00AE1188" w:rsidRPr="00AE1188" w:rsidRDefault="00AE1188" w:rsidP="002F4BB3">
      <w:pPr>
        <w:pBdr>
          <w:top w:val="single" w:sz="4" w:space="1" w:color="auto"/>
          <w:left w:val="single" w:sz="4" w:space="4" w:color="auto"/>
          <w:bottom w:val="single" w:sz="4" w:space="0" w:color="auto"/>
          <w:right w:val="single" w:sz="4" w:space="4" w:color="auto"/>
        </w:pBdr>
        <w:rPr>
          <w:szCs w:val="20"/>
        </w:rPr>
      </w:pPr>
      <w:r w:rsidRPr="00472CD8">
        <w:rPr>
          <w:b/>
          <w:szCs w:val="20"/>
        </w:rPr>
        <w:t>Proposed item descriptor</w:t>
      </w:r>
      <w:r>
        <w:rPr>
          <w:szCs w:val="20"/>
        </w:rPr>
        <w:t xml:space="preserve">: </w:t>
      </w:r>
      <w:r w:rsidR="00472CD8" w:rsidRPr="00472CD8">
        <w:t>SCOLIOSIS, in a child or adolescent, anterior correction of, with vertebral body tethering</w:t>
      </w:r>
    </w:p>
    <w:p w14:paraId="2918BA67" w14:textId="77777777" w:rsidR="00AE1188" w:rsidRPr="00AE1188" w:rsidRDefault="00472CD8" w:rsidP="002F4BB3">
      <w:pPr>
        <w:pBdr>
          <w:top w:val="single" w:sz="4" w:space="1" w:color="auto"/>
          <w:left w:val="single" w:sz="4" w:space="4" w:color="auto"/>
          <w:bottom w:val="single" w:sz="4" w:space="0" w:color="auto"/>
          <w:right w:val="single" w:sz="4" w:space="4" w:color="auto"/>
        </w:pBdr>
        <w:rPr>
          <w:szCs w:val="20"/>
        </w:rPr>
      </w:pPr>
      <w:r>
        <w:rPr>
          <w:szCs w:val="20"/>
        </w:rPr>
        <w:t>Proposed f</w:t>
      </w:r>
      <w:r w:rsidR="00AE1188" w:rsidRPr="00AE1188">
        <w:rPr>
          <w:szCs w:val="20"/>
        </w:rPr>
        <w:t>ee:  $</w:t>
      </w:r>
      <w:r>
        <w:t>3,534.05</w:t>
      </w:r>
    </w:p>
    <w:p w14:paraId="34B3CB99" w14:textId="758FC6BF" w:rsidR="00472CD8" w:rsidRDefault="00472CD8" w:rsidP="00472CD8">
      <w:r>
        <w:t xml:space="preserve">The existing MBS item 50616 is </w:t>
      </w:r>
      <w:r w:rsidR="00EC1D14">
        <w:t xml:space="preserve">believed </w:t>
      </w:r>
      <w:r>
        <w:t>to alrea</w:t>
      </w:r>
      <w:r w:rsidR="002F4BB3">
        <w:t xml:space="preserve">dy cover revisions to the index </w:t>
      </w:r>
      <w:r>
        <w:t>VBT procedure.  However,</w:t>
      </w:r>
      <w:r w:rsidR="00EC1D14">
        <w:t xml:space="preserve"> a proposed item descriptor (</w:t>
      </w:r>
      <w:r>
        <w:t xml:space="preserve">a modification of MBS item 501616 with the same fee) is </w:t>
      </w:r>
      <w:r w:rsidR="002F4BB3">
        <w:t xml:space="preserve">provided </w:t>
      </w:r>
      <w:r>
        <w:t xml:space="preserve">below </w:t>
      </w:r>
      <w:r w:rsidR="00EC1D14">
        <w:t xml:space="preserve">if </w:t>
      </w:r>
      <w:r>
        <w:t>required.</w:t>
      </w:r>
    </w:p>
    <w:p w14:paraId="70967FAD" w14:textId="77777777" w:rsidR="00472CD8" w:rsidRPr="00AE1188" w:rsidRDefault="00472CD8" w:rsidP="00472CD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Category 3</w:t>
      </w:r>
      <w:r w:rsidRPr="00AE1188">
        <w:rPr>
          <w:szCs w:val="20"/>
        </w:rPr>
        <w:t xml:space="preserve"> – </w:t>
      </w:r>
      <w:r>
        <w:t>Therapeutic Procedures – Surgical Operations</w:t>
      </w:r>
      <w:r w:rsidRPr="00AE1188">
        <w:rPr>
          <w:szCs w:val="20"/>
        </w:rPr>
        <w:t xml:space="preserve"> </w:t>
      </w:r>
    </w:p>
    <w:p w14:paraId="58ACFA8B" w14:textId="77777777" w:rsidR="00472CD8" w:rsidRPr="00AE1188" w:rsidRDefault="00472CD8" w:rsidP="00472CD8">
      <w:pPr>
        <w:pBdr>
          <w:top w:val="single" w:sz="4" w:space="1" w:color="auto"/>
          <w:left w:val="single" w:sz="4" w:space="4" w:color="auto"/>
          <w:bottom w:val="single" w:sz="4" w:space="1" w:color="auto"/>
          <w:right w:val="single" w:sz="4" w:space="4" w:color="auto"/>
        </w:pBdr>
        <w:rPr>
          <w:szCs w:val="20"/>
        </w:rPr>
      </w:pPr>
      <w:r w:rsidRPr="00472CD8">
        <w:rPr>
          <w:b/>
          <w:szCs w:val="20"/>
        </w:rPr>
        <w:t>Proposed item descriptor</w:t>
      </w:r>
      <w:r>
        <w:rPr>
          <w:szCs w:val="20"/>
        </w:rPr>
        <w:t xml:space="preserve">: </w:t>
      </w:r>
      <w:r w:rsidRPr="00472CD8">
        <w:t xml:space="preserve">SCOLIOSIS, in a child or adolescent, re-exploration for adjustment or removal of </w:t>
      </w:r>
      <w:r w:rsidRPr="00472CD8">
        <w:rPr>
          <w:strike/>
        </w:rPr>
        <w:t>segmental instrumentation</w:t>
      </w:r>
      <w:r w:rsidRPr="00472CD8">
        <w:t xml:space="preserve"> vertebral body tethering instrumentation used for correction of spine deformity</w:t>
      </w:r>
    </w:p>
    <w:p w14:paraId="6A41C9CF" w14:textId="592A3CE6" w:rsidR="007A2711" w:rsidRDefault="00472CD8" w:rsidP="007A2711">
      <w:pPr>
        <w:pBdr>
          <w:top w:val="single" w:sz="4" w:space="1" w:color="auto"/>
          <w:left w:val="single" w:sz="4" w:space="4" w:color="auto"/>
          <w:bottom w:val="single" w:sz="4" w:space="1" w:color="auto"/>
          <w:right w:val="single" w:sz="4" w:space="4" w:color="auto"/>
        </w:pBdr>
        <w:rPr>
          <w:szCs w:val="20"/>
        </w:rPr>
      </w:pPr>
      <w:r>
        <w:rPr>
          <w:szCs w:val="20"/>
        </w:rPr>
        <w:t>Proposed fee</w:t>
      </w:r>
      <w:r w:rsidRPr="00AE1188">
        <w:rPr>
          <w:szCs w:val="20"/>
        </w:rPr>
        <w:t>:  $</w:t>
      </w:r>
      <w:r>
        <w:t>3,534.05</w:t>
      </w:r>
    </w:p>
    <w:sectPr w:rsidR="007A2711"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03DA2" w14:textId="77777777" w:rsidR="00964B89" w:rsidRDefault="00964B89" w:rsidP="00CF2DFA">
      <w:pPr>
        <w:spacing w:after="0"/>
      </w:pPr>
      <w:r>
        <w:separator/>
      </w:r>
    </w:p>
  </w:endnote>
  <w:endnote w:type="continuationSeparator" w:id="0">
    <w:p w14:paraId="5D368B5B" w14:textId="77777777" w:rsidR="00964B89" w:rsidRDefault="00964B89"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B3A9" w14:textId="77777777" w:rsidR="00B51D68" w:rsidRDefault="00B51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FD1EB01" w14:textId="38FB01D9" w:rsidR="00B626CD" w:rsidRDefault="00B626CD">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B51D68" w:rsidRPr="00B51D68">
          <w:rPr>
            <w:b/>
            <w:bCs/>
            <w:noProof/>
            <w:sz w:val="18"/>
            <w:szCs w:val="18"/>
          </w:rPr>
          <w:t>8</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13317635" w14:textId="77777777" w:rsidR="00B626CD" w:rsidRPr="003F7CB9" w:rsidRDefault="00B626CD"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6678E" w14:textId="77777777" w:rsidR="00B51D68" w:rsidRDefault="00B51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BF6F4" w14:textId="77777777" w:rsidR="00964B89" w:rsidRDefault="00964B89" w:rsidP="00CF2DFA">
      <w:pPr>
        <w:spacing w:after="0"/>
      </w:pPr>
      <w:r>
        <w:separator/>
      </w:r>
    </w:p>
  </w:footnote>
  <w:footnote w:type="continuationSeparator" w:id="0">
    <w:p w14:paraId="0686ECAB" w14:textId="77777777" w:rsidR="00964B89" w:rsidRDefault="00964B89" w:rsidP="00CF2DFA">
      <w:pPr>
        <w:spacing w:after="0"/>
      </w:pPr>
      <w:r>
        <w:continuationSeparator/>
      </w:r>
    </w:p>
  </w:footnote>
  <w:footnote w:id="1">
    <w:p w14:paraId="7323E6CC" w14:textId="36F21C7D" w:rsidR="00B626CD" w:rsidRDefault="00B626CD">
      <w:pPr>
        <w:pStyle w:val="FootnoteText"/>
      </w:pPr>
      <w:r>
        <w:rPr>
          <w:rStyle w:val="FootnoteReference"/>
        </w:rPr>
        <w:footnoteRef/>
      </w:r>
      <w:r>
        <w:t xml:space="preserve"> Horne JP, 2014, </w:t>
      </w:r>
      <w:r w:rsidRPr="001A0972">
        <w:t>Am Fam Physician</w:t>
      </w:r>
      <w:r>
        <w:t>;</w:t>
      </w:r>
      <w:r w:rsidRPr="001A0972">
        <w:t>89(3):193-198</w:t>
      </w:r>
    </w:p>
  </w:footnote>
  <w:footnote w:id="2">
    <w:p w14:paraId="11E4E270" w14:textId="28A7A92D" w:rsidR="00B626CD" w:rsidRDefault="00B626CD" w:rsidP="008764E4">
      <w:pPr>
        <w:pStyle w:val="FootnoteText"/>
      </w:pPr>
      <w:r>
        <w:rPr>
          <w:rStyle w:val="FootnoteReference"/>
        </w:rPr>
        <w:footnoteRef/>
      </w:r>
      <w:r>
        <w:t xml:space="preserve"> Weinstein SL, 1983, J Bone Joint Surg Am;65(4):447-455.</w:t>
      </w:r>
    </w:p>
  </w:footnote>
  <w:footnote w:id="3">
    <w:p w14:paraId="6B354D87" w14:textId="1F454327" w:rsidR="00B626CD" w:rsidRDefault="00B626CD" w:rsidP="00022E3B">
      <w:pPr>
        <w:pStyle w:val="FootnoteText"/>
      </w:pPr>
      <w:r>
        <w:rPr>
          <w:rStyle w:val="FootnoteReference"/>
        </w:rPr>
        <w:footnoteRef/>
      </w:r>
      <w:r>
        <w:t xml:space="preserve"> Rushton PRP, 2013, Spine;38(9):786-794.</w:t>
      </w:r>
    </w:p>
  </w:footnote>
  <w:footnote w:id="4">
    <w:p w14:paraId="59FD49E0" w14:textId="5A513158" w:rsidR="00B626CD" w:rsidRDefault="00B626CD" w:rsidP="001A0972">
      <w:pPr>
        <w:pStyle w:val="FootnoteText"/>
      </w:pPr>
      <w:r>
        <w:rPr>
          <w:rStyle w:val="FootnoteReference"/>
        </w:rPr>
        <w:footnoteRef/>
      </w:r>
      <w:r>
        <w:t xml:space="preserve"> Weinstein SL, 2019, J Pediatr Orthop;39:S44-S46.</w:t>
      </w:r>
    </w:p>
  </w:footnote>
  <w:footnote w:id="5">
    <w:p w14:paraId="55E72C1D" w14:textId="68A2011A" w:rsidR="00B626CD" w:rsidRDefault="00B626CD">
      <w:pPr>
        <w:pStyle w:val="FootnoteText"/>
      </w:pPr>
      <w:r>
        <w:rPr>
          <w:rStyle w:val="FootnoteReference"/>
        </w:rPr>
        <w:footnoteRef/>
      </w:r>
      <w:r>
        <w:t xml:space="preserve"> </w:t>
      </w:r>
      <w:r w:rsidRPr="002D6378">
        <w:t>https://www.scoliosis-australia.org/wp-content/uploads/Self-Detection_FactSheet.pdf</w:t>
      </w:r>
    </w:p>
  </w:footnote>
  <w:footnote w:id="6">
    <w:p w14:paraId="193D7730" w14:textId="347396BF" w:rsidR="00B626CD" w:rsidRDefault="00B626CD">
      <w:pPr>
        <w:pStyle w:val="FootnoteText"/>
      </w:pPr>
      <w:r>
        <w:rPr>
          <w:rStyle w:val="FootnoteReference"/>
        </w:rPr>
        <w:footnoteRef/>
      </w:r>
      <w:r>
        <w:t xml:space="preserve"> </w:t>
      </w:r>
      <w:r w:rsidRPr="002D6378">
        <w:t>https://www.scoliosis-australia.org/about-scoliosis/</w:t>
      </w:r>
      <w:r>
        <w:t>adolescent-idiopathic-scoliosis</w:t>
      </w:r>
    </w:p>
  </w:footnote>
  <w:footnote w:id="7">
    <w:p w14:paraId="5C8D5574" w14:textId="3BA256C6" w:rsidR="00B626CD" w:rsidRDefault="00B626CD">
      <w:pPr>
        <w:pStyle w:val="FootnoteText"/>
      </w:pPr>
      <w:r>
        <w:rPr>
          <w:rStyle w:val="FootnoteReference"/>
        </w:rPr>
        <w:footnoteRef/>
      </w:r>
      <w:r>
        <w:t xml:space="preserve"> Mignemi M, 2018, </w:t>
      </w:r>
      <w:r w:rsidRPr="00EC7E50">
        <w:t>Spine Deformity</w:t>
      </w:r>
      <w:r>
        <w:t>;6:409-</w:t>
      </w:r>
      <w:r w:rsidRPr="00EC7E50">
        <w:t>416</w:t>
      </w:r>
      <w:r>
        <w:t>.</w:t>
      </w:r>
    </w:p>
  </w:footnote>
  <w:footnote w:id="8">
    <w:p w14:paraId="4125033A" w14:textId="4ABDD46E" w:rsidR="00B626CD" w:rsidRDefault="00B626CD">
      <w:pPr>
        <w:pStyle w:val="FootnoteText"/>
      </w:pPr>
      <w:r>
        <w:rPr>
          <w:rStyle w:val="FootnoteReference"/>
        </w:rPr>
        <w:footnoteRef/>
      </w:r>
      <w:r>
        <w:t xml:space="preserve"> Grivas TB, 2006, Scoliosis;1:9.</w:t>
      </w:r>
    </w:p>
  </w:footnote>
  <w:footnote w:id="9">
    <w:p w14:paraId="5FA838CF" w14:textId="7F8C2097" w:rsidR="00B626CD" w:rsidRDefault="00B626CD">
      <w:pPr>
        <w:pStyle w:val="FootnoteText"/>
      </w:pPr>
      <w:r>
        <w:rPr>
          <w:rStyle w:val="FootnoteReference"/>
        </w:rPr>
        <w:footnoteRef/>
      </w:r>
      <w:r>
        <w:t xml:space="preserve"> </w:t>
      </w:r>
      <w:r w:rsidRPr="006B3239">
        <w:t>https://www.scoliosis-australia.org/policies-programs/role-of-the-family-doctor</w:t>
      </w:r>
    </w:p>
  </w:footnote>
  <w:footnote w:id="10">
    <w:p w14:paraId="435CC23C" w14:textId="162CEEDA" w:rsidR="00B626CD" w:rsidRDefault="00B626CD">
      <w:pPr>
        <w:pStyle w:val="FootnoteText"/>
      </w:pPr>
      <w:r>
        <w:rPr>
          <w:rStyle w:val="FootnoteReference"/>
        </w:rPr>
        <w:footnoteRef/>
      </w:r>
      <w:r>
        <w:t xml:space="preserve"> Newton PO, 2020, </w:t>
      </w:r>
      <w:r w:rsidRPr="0019643D">
        <w:t>J Bone Joint Surg Am</w:t>
      </w:r>
      <w:r>
        <w:t>;</w:t>
      </w:r>
      <w:r w:rsidRPr="0019643D">
        <w:t>102:769-</w:t>
      </w:r>
      <w:r>
        <w:t>7</w:t>
      </w:r>
      <w:r w:rsidRPr="0019643D">
        <w:t>77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62668" w14:textId="77777777" w:rsidR="00B51D68" w:rsidRDefault="00B51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7B8C9" w14:textId="77777777" w:rsidR="00B51D68" w:rsidRDefault="00B51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84DB" w14:textId="77777777" w:rsidR="00B51D68" w:rsidRDefault="00B51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3D360DC"/>
    <w:multiLevelType w:val="hybridMultilevel"/>
    <w:tmpl w:val="483A362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C16F75"/>
    <w:multiLevelType w:val="hybridMultilevel"/>
    <w:tmpl w:val="7744EB3C"/>
    <w:lvl w:ilvl="0" w:tplc="0409000F">
      <w:start w:val="1"/>
      <w:numFmt w:val="decimal"/>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2"/>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7"/>
  </w:num>
  <w:num w:numId="26">
    <w:abstractNumId w:val="3"/>
  </w:num>
  <w:num w:numId="27">
    <w:abstractNumId w:val="14"/>
  </w:num>
  <w:num w:numId="28">
    <w:abstractNumId w:val="10"/>
  </w:num>
  <w:num w:numId="29">
    <w:abstractNumId w:val="18"/>
  </w:num>
  <w:num w:numId="30">
    <w:abstractNumId w:val="2"/>
  </w:num>
  <w:num w:numId="31">
    <w:abstractNumId w:val="16"/>
  </w:num>
  <w:num w:numId="32">
    <w:abstractNumId w:val="6"/>
  </w:num>
  <w:num w:numId="33">
    <w:abstractNumId w:val="15"/>
  </w:num>
  <w:num w:numId="34">
    <w:abstractNumId w:val="5"/>
  </w:num>
  <w:num w:numId="35">
    <w:abstractNumId w:val="11"/>
  </w:num>
  <w:num w:numId="36">
    <w:abstractNumId w:val="0"/>
  </w:num>
  <w:num w:numId="37">
    <w:abstractNumId w:val="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5577"/>
    <w:rsid w:val="000158AA"/>
    <w:rsid w:val="000159B9"/>
    <w:rsid w:val="00016242"/>
    <w:rsid w:val="00016B6E"/>
    <w:rsid w:val="00022E3B"/>
    <w:rsid w:val="00023E21"/>
    <w:rsid w:val="00025ABC"/>
    <w:rsid w:val="00026412"/>
    <w:rsid w:val="00031F6F"/>
    <w:rsid w:val="00034D6E"/>
    <w:rsid w:val="0005089D"/>
    <w:rsid w:val="000525BC"/>
    <w:rsid w:val="00073222"/>
    <w:rsid w:val="000770BA"/>
    <w:rsid w:val="00082BA8"/>
    <w:rsid w:val="00092580"/>
    <w:rsid w:val="000955E7"/>
    <w:rsid w:val="000A110D"/>
    <w:rsid w:val="000A478F"/>
    <w:rsid w:val="000A5B32"/>
    <w:rsid w:val="000A760A"/>
    <w:rsid w:val="000B3CD0"/>
    <w:rsid w:val="000C5343"/>
    <w:rsid w:val="000D066E"/>
    <w:rsid w:val="000D0831"/>
    <w:rsid w:val="000D0A99"/>
    <w:rsid w:val="000E47E7"/>
    <w:rsid w:val="000E5439"/>
    <w:rsid w:val="000F5990"/>
    <w:rsid w:val="00102686"/>
    <w:rsid w:val="00105B01"/>
    <w:rsid w:val="0011036E"/>
    <w:rsid w:val="001130B0"/>
    <w:rsid w:val="0011369B"/>
    <w:rsid w:val="0011742E"/>
    <w:rsid w:val="00123D10"/>
    <w:rsid w:val="00126B33"/>
    <w:rsid w:val="00135CE5"/>
    <w:rsid w:val="00154B00"/>
    <w:rsid w:val="00157832"/>
    <w:rsid w:val="001644E9"/>
    <w:rsid w:val="0018164E"/>
    <w:rsid w:val="001845D9"/>
    <w:rsid w:val="00185C3F"/>
    <w:rsid w:val="0018630F"/>
    <w:rsid w:val="001906CD"/>
    <w:rsid w:val="00191B99"/>
    <w:rsid w:val="0019643D"/>
    <w:rsid w:val="0019694B"/>
    <w:rsid w:val="00197D29"/>
    <w:rsid w:val="001A02E3"/>
    <w:rsid w:val="001A0972"/>
    <w:rsid w:val="001A1ADF"/>
    <w:rsid w:val="001A365C"/>
    <w:rsid w:val="001A5B67"/>
    <w:rsid w:val="001B171D"/>
    <w:rsid w:val="001B29A1"/>
    <w:rsid w:val="001B5169"/>
    <w:rsid w:val="001B6164"/>
    <w:rsid w:val="001D77ED"/>
    <w:rsid w:val="001E1180"/>
    <w:rsid w:val="001E23EA"/>
    <w:rsid w:val="001E6919"/>
    <w:rsid w:val="001E6958"/>
    <w:rsid w:val="00201924"/>
    <w:rsid w:val="00202473"/>
    <w:rsid w:val="002053F2"/>
    <w:rsid w:val="00205E3E"/>
    <w:rsid w:val="00206D63"/>
    <w:rsid w:val="0021185D"/>
    <w:rsid w:val="00216A79"/>
    <w:rsid w:val="00226777"/>
    <w:rsid w:val="00235BD1"/>
    <w:rsid w:val="00242B0E"/>
    <w:rsid w:val="00247DF0"/>
    <w:rsid w:val="002530E6"/>
    <w:rsid w:val="00254813"/>
    <w:rsid w:val="00257FF2"/>
    <w:rsid w:val="00265822"/>
    <w:rsid w:val="0027105F"/>
    <w:rsid w:val="002711FB"/>
    <w:rsid w:val="002712E1"/>
    <w:rsid w:val="00282BE8"/>
    <w:rsid w:val="00283318"/>
    <w:rsid w:val="00285525"/>
    <w:rsid w:val="00294056"/>
    <w:rsid w:val="00294CD8"/>
    <w:rsid w:val="002A270B"/>
    <w:rsid w:val="002A50FD"/>
    <w:rsid w:val="002A6753"/>
    <w:rsid w:val="002B28D7"/>
    <w:rsid w:val="002B7EB6"/>
    <w:rsid w:val="002C0B61"/>
    <w:rsid w:val="002C15E6"/>
    <w:rsid w:val="002C247B"/>
    <w:rsid w:val="002C247D"/>
    <w:rsid w:val="002C3345"/>
    <w:rsid w:val="002C3566"/>
    <w:rsid w:val="002D332D"/>
    <w:rsid w:val="002D409A"/>
    <w:rsid w:val="002D6378"/>
    <w:rsid w:val="002F30E7"/>
    <w:rsid w:val="002F4BB3"/>
    <w:rsid w:val="00300EEB"/>
    <w:rsid w:val="003013A9"/>
    <w:rsid w:val="00301958"/>
    <w:rsid w:val="003020B5"/>
    <w:rsid w:val="003027BB"/>
    <w:rsid w:val="00310A10"/>
    <w:rsid w:val="003205A3"/>
    <w:rsid w:val="00327D25"/>
    <w:rsid w:val="003319A7"/>
    <w:rsid w:val="00334FE3"/>
    <w:rsid w:val="003421AE"/>
    <w:rsid w:val="003433D1"/>
    <w:rsid w:val="00344B24"/>
    <w:rsid w:val="003456B9"/>
    <w:rsid w:val="0035067D"/>
    <w:rsid w:val="00353A16"/>
    <w:rsid w:val="0035776D"/>
    <w:rsid w:val="00364FD9"/>
    <w:rsid w:val="00367C1B"/>
    <w:rsid w:val="00376B61"/>
    <w:rsid w:val="00381F5A"/>
    <w:rsid w:val="00382407"/>
    <w:rsid w:val="003854CC"/>
    <w:rsid w:val="00386A64"/>
    <w:rsid w:val="00386FA1"/>
    <w:rsid w:val="00390142"/>
    <w:rsid w:val="003904AC"/>
    <w:rsid w:val="00392F00"/>
    <w:rsid w:val="00397377"/>
    <w:rsid w:val="003A22DE"/>
    <w:rsid w:val="003A2860"/>
    <w:rsid w:val="003A3C35"/>
    <w:rsid w:val="003A751C"/>
    <w:rsid w:val="003A7D30"/>
    <w:rsid w:val="003B3C5C"/>
    <w:rsid w:val="003C47CA"/>
    <w:rsid w:val="003D6DE1"/>
    <w:rsid w:val="003D795C"/>
    <w:rsid w:val="003E30FB"/>
    <w:rsid w:val="003E6F48"/>
    <w:rsid w:val="003F2711"/>
    <w:rsid w:val="003F6C70"/>
    <w:rsid w:val="003F7CB9"/>
    <w:rsid w:val="00403333"/>
    <w:rsid w:val="00411735"/>
    <w:rsid w:val="00415C74"/>
    <w:rsid w:val="0043654D"/>
    <w:rsid w:val="00437F60"/>
    <w:rsid w:val="00451840"/>
    <w:rsid w:val="00460C9A"/>
    <w:rsid w:val="00464924"/>
    <w:rsid w:val="00472CD8"/>
    <w:rsid w:val="0047581D"/>
    <w:rsid w:val="004762A5"/>
    <w:rsid w:val="004767F6"/>
    <w:rsid w:val="00480289"/>
    <w:rsid w:val="00481279"/>
    <w:rsid w:val="00483368"/>
    <w:rsid w:val="0049247C"/>
    <w:rsid w:val="00494011"/>
    <w:rsid w:val="0049663E"/>
    <w:rsid w:val="00496B92"/>
    <w:rsid w:val="00497060"/>
    <w:rsid w:val="004A0BF4"/>
    <w:rsid w:val="004A263B"/>
    <w:rsid w:val="004B68AE"/>
    <w:rsid w:val="004C0E49"/>
    <w:rsid w:val="004C35B0"/>
    <w:rsid w:val="004C49EF"/>
    <w:rsid w:val="004C4A19"/>
    <w:rsid w:val="004C5570"/>
    <w:rsid w:val="004D00C9"/>
    <w:rsid w:val="004E16F5"/>
    <w:rsid w:val="004E3CC7"/>
    <w:rsid w:val="004E5B69"/>
    <w:rsid w:val="004F2A87"/>
    <w:rsid w:val="004F5513"/>
    <w:rsid w:val="00506EA3"/>
    <w:rsid w:val="00507C56"/>
    <w:rsid w:val="0052344E"/>
    <w:rsid w:val="00526478"/>
    <w:rsid w:val="00530204"/>
    <w:rsid w:val="00534C5F"/>
    <w:rsid w:val="00540257"/>
    <w:rsid w:val="0054192F"/>
    <w:rsid w:val="00544EB3"/>
    <w:rsid w:val="0054594B"/>
    <w:rsid w:val="0054749B"/>
    <w:rsid w:val="00551CC6"/>
    <w:rsid w:val="00554E7A"/>
    <w:rsid w:val="0056015F"/>
    <w:rsid w:val="00560541"/>
    <w:rsid w:val="005672D0"/>
    <w:rsid w:val="00570CFC"/>
    <w:rsid w:val="00572CEB"/>
    <w:rsid w:val="005834C9"/>
    <w:rsid w:val="005861CB"/>
    <w:rsid w:val="005A58BA"/>
    <w:rsid w:val="005A5D30"/>
    <w:rsid w:val="005A6AB9"/>
    <w:rsid w:val="005B0F47"/>
    <w:rsid w:val="005B1ABC"/>
    <w:rsid w:val="005B1F7F"/>
    <w:rsid w:val="005C333E"/>
    <w:rsid w:val="005C3AE7"/>
    <w:rsid w:val="005D0677"/>
    <w:rsid w:val="005E294C"/>
    <w:rsid w:val="005E2CE3"/>
    <w:rsid w:val="005F3F07"/>
    <w:rsid w:val="0060390F"/>
    <w:rsid w:val="00603D04"/>
    <w:rsid w:val="00605404"/>
    <w:rsid w:val="00606857"/>
    <w:rsid w:val="00615F42"/>
    <w:rsid w:val="006258C2"/>
    <w:rsid w:val="00626365"/>
    <w:rsid w:val="00630E22"/>
    <w:rsid w:val="0064168C"/>
    <w:rsid w:val="0065421A"/>
    <w:rsid w:val="00657B46"/>
    <w:rsid w:val="006764EC"/>
    <w:rsid w:val="006835FE"/>
    <w:rsid w:val="0068480E"/>
    <w:rsid w:val="00693BFD"/>
    <w:rsid w:val="00695065"/>
    <w:rsid w:val="006A1038"/>
    <w:rsid w:val="006A649A"/>
    <w:rsid w:val="006B1B49"/>
    <w:rsid w:val="006B3239"/>
    <w:rsid w:val="006B6390"/>
    <w:rsid w:val="006C0356"/>
    <w:rsid w:val="006C0843"/>
    <w:rsid w:val="006C74B1"/>
    <w:rsid w:val="006D4475"/>
    <w:rsid w:val="006E57AA"/>
    <w:rsid w:val="006F20CF"/>
    <w:rsid w:val="006F38ED"/>
    <w:rsid w:val="0070662E"/>
    <w:rsid w:val="00707D4D"/>
    <w:rsid w:val="00723446"/>
    <w:rsid w:val="00723503"/>
    <w:rsid w:val="00725905"/>
    <w:rsid w:val="00726322"/>
    <w:rsid w:val="0073033B"/>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3B54"/>
    <w:rsid w:val="00775A6A"/>
    <w:rsid w:val="0077789B"/>
    <w:rsid w:val="00780D29"/>
    <w:rsid w:val="007855E4"/>
    <w:rsid w:val="00791C8D"/>
    <w:rsid w:val="0079354C"/>
    <w:rsid w:val="00794181"/>
    <w:rsid w:val="007A2711"/>
    <w:rsid w:val="007A5895"/>
    <w:rsid w:val="007A7F6F"/>
    <w:rsid w:val="007B4C76"/>
    <w:rsid w:val="007C2260"/>
    <w:rsid w:val="007D1E52"/>
    <w:rsid w:val="007D2358"/>
    <w:rsid w:val="007E39E4"/>
    <w:rsid w:val="007E6FB3"/>
    <w:rsid w:val="007F21B4"/>
    <w:rsid w:val="007F30BC"/>
    <w:rsid w:val="00802553"/>
    <w:rsid w:val="00803EAB"/>
    <w:rsid w:val="008046B5"/>
    <w:rsid w:val="00805001"/>
    <w:rsid w:val="00810224"/>
    <w:rsid w:val="008127C0"/>
    <w:rsid w:val="00812EDD"/>
    <w:rsid w:val="008139C5"/>
    <w:rsid w:val="0081650F"/>
    <w:rsid w:val="00832B31"/>
    <w:rsid w:val="008351F9"/>
    <w:rsid w:val="008403E0"/>
    <w:rsid w:val="008412B9"/>
    <w:rsid w:val="0084657B"/>
    <w:rsid w:val="00853225"/>
    <w:rsid w:val="00855944"/>
    <w:rsid w:val="00864A18"/>
    <w:rsid w:val="00870833"/>
    <w:rsid w:val="00874571"/>
    <w:rsid w:val="008764E4"/>
    <w:rsid w:val="0088158C"/>
    <w:rsid w:val="00881F93"/>
    <w:rsid w:val="00882CB5"/>
    <w:rsid w:val="00883641"/>
    <w:rsid w:val="00884E69"/>
    <w:rsid w:val="00890082"/>
    <w:rsid w:val="008A3478"/>
    <w:rsid w:val="008A48D2"/>
    <w:rsid w:val="008A7423"/>
    <w:rsid w:val="008B2610"/>
    <w:rsid w:val="008B471D"/>
    <w:rsid w:val="008B49E4"/>
    <w:rsid w:val="008B729C"/>
    <w:rsid w:val="008C4A93"/>
    <w:rsid w:val="008C4E16"/>
    <w:rsid w:val="008E0E49"/>
    <w:rsid w:val="008E35FD"/>
    <w:rsid w:val="008E6227"/>
    <w:rsid w:val="008E78B9"/>
    <w:rsid w:val="008F0894"/>
    <w:rsid w:val="00901F1C"/>
    <w:rsid w:val="0090543D"/>
    <w:rsid w:val="009056C5"/>
    <w:rsid w:val="009262F2"/>
    <w:rsid w:val="00930023"/>
    <w:rsid w:val="00937791"/>
    <w:rsid w:val="00943036"/>
    <w:rsid w:val="00950FBB"/>
    <w:rsid w:val="00951933"/>
    <w:rsid w:val="00954343"/>
    <w:rsid w:val="00955271"/>
    <w:rsid w:val="00963C9C"/>
    <w:rsid w:val="00964B89"/>
    <w:rsid w:val="00965B6B"/>
    <w:rsid w:val="00971EDB"/>
    <w:rsid w:val="00974D50"/>
    <w:rsid w:val="00987ABE"/>
    <w:rsid w:val="00991EE4"/>
    <w:rsid w:val="009939DC"/>
    <w:rsid w:val="00993B9C"/>
    <w:rsid w:val="009A2A5F"/>
    <w:rsid w:val="009B4E1E"/>
    <w:rsid w:val="009C03FB"/>
    <w:rsid w:val="009C4B4F"/>
    <w:rsid w:val="009C58F0"/>
    <w:rsid w:val="009E0C03"/>
    <w:rsid w:val="009F0C02"/>
    <w:rsid w:val="009F5758"/>
    <w:rsid w:val="00A0283F"/>
    <w:rsid w:val="00A04F4A"/>
    <w:rsid w:val="00A16E83"/>
    <w:rsid w:val="00A26343"/>
    <w:rsid w:val="00A408B5"/>
    <w:rsid w:val="00A529E2"/>
    <w:rsid w:val="00A539F8"/>
    <w:rsid w:val="00A6491A"/>
    <w:rsid w:val="00A6594E"/>
    <w:rsid w:val="00A727B6"/>
    <w:rsid w:val="00A73CE9"/>
    <w:rsid w:val="00A81CC6"/>
    <w:rsid w:val="00A83EC6"/>
    <w:rsid w:val="00A8732C"/>
    <w:rsid w:val="00A9062D"/>
    <w:rsid w:val="00A93F58"/>
    <w:rsid w:val="00A96329"/>
    <w:rsid w:val="00A9780D"/>
    <w:rsid w:val="00AA134B"/>
    <w:rsid w:val="00AA2CFE"/>
    <w:rsid w:val="00AA35EA"/>
    <w:rsid w:val="00AA5FDA"/>
    <w:rsid w:val="00AA6291"/>
    <w:rsid w:val="00AB554C"/>
    <w:rsid w:val="00AC0C91"/>
    <w:rsid w:val="00AD37D4"/>
    <w:rsid w:val="00AD7986"/>
    <w:rsid w:val="00AE1188"/>
    <w:rsid w:val="00AE2572"/>
    <w:rsid w:val="00AE6D2D"/>
    <w:rsid w:val="00AE738C"/>
    <w:rsid w:val="00AF1046"/>
    <w:rsid w:val="00AF4466"/>
    <w:rsid w:val="00AF44C3"/>
    <w:rsid w:val="00AF5D1E"/>
    <w:rsid w:val="00B040A9"/>
    <w:rsid w:val="00B1711E"/>
    <w:rsid w:val="00B17CBE"/>
    <w:rsid w:val="00B17E26"/>
    <w:rsid w:val="00B231A4"/>
    <w:rsid w:val="00B25D20"/>
    <w:rsid w:val="00B31C99"/>
    <w:rsid w:val="00B51D68"/>
    <w:rsid w:val="00B53BA6"/>
    <w:rsid w:val="00B5731D"/>
    <w:rsid w:val="00B626CD"/>
    <w:rsid w:val="00B6378B"/>
    <w:rsid w:val="00B63E3A"/>
    <w:rsid w:val="00B75965"/>
    <w:rsid w:val="00B771AD"/>
    <w:rsid w:val="00B814CB"/>
    <w:rsid w:val="00BA0CF8"/>
    <w:rsid w:val="00BA1ADF"/>
    <w:rsid w:val="00BA51FC"/>
    <w:rsid w:val="00BB003A"/>
    <w:rsid w:val="00BB3358"/>
    <w:rsid w:val="00BB3382"/>
    <w:rsid w:val="00BB3643"/>
    <w:rsid w:val="00BC3DA0"/>
    <w:rsid w:val="00BC424B"/>
    <w:rsid w:val="00BE0EF9"/>
    <w:rsid w:val="00BE0FDE"/>
    <w:rsid w:val="00BE2E82"/>
    <w:rsid w:val="00BF6AC5"/>
    <w:rsid w:val="00C01121"/>
    <w:rsid w:val="00C030A5"/>
    <w:rsid w:val="00C05A45"/>
    <w:rsid w:val="00C0796F"/>
    <w:rsid w:val="00C11B34"/>
    <w:rsid w:val="00C12C5C"/>
    <w:rsid w:val="00C171FB"/>
    <w:rsid w:val="00C209C2"/>
    <w:rsid w:val="00C2267F"/>
    <w:rsid w:val="00C22AD8"/>
    <w:rsid w:val="00C3399F"/>
    <w:rsid w:val="00C3557E"/>
    <w:rsid w:val="00C3594B"/>
    <w:rsid w:val="00C43102"/>
    <w:rsid w:val="00C4696B"/>
    <w:rsid w:val="00C50513"/>
    <w:rsid w:val="00C54503"/>
    <w:rsid w:val="00C63055"/>
    <w:rsid w:val="00C73B62"/>
    <w:rsid w:val="00C776B1"/>
    <w:rsid w:val="00C80720"/>
    <w:rsid w:val="00C815FE"/>
    <w:rsid w:val="00C81FA0"/>
    <w:rsid w:val="00C847AE"/>
    <w:rsid w:val="00C85310"/>
    <w:rsid w:val="00CA04C6"/>
    <w:rsid w:val="00CA26DD"/>
    <w:rsid w:val="00CA36BE"/>
    <w:rsid w:val="00CB12EC"/>
    <w:rsid w:val="00CB4A3E"/>
    <w:rsid w:val="00CC09D7"/>
    <w:rsid w:val="00CC12B8"/>
    <w:rsid w:val="00CC5AB1"/>
    <w:rsid w:val="00CD22E3"/>
    <w:rsid w:val="00CD4E44"/>
    <w:rsid w:val="00CD5AE4"/>
    <w:rsid w:val="00CD7A7D"/>
    <w:rsid w:val="00CE15B1"/>
    <w:rsid w:val="00CF2D8E"/>
    <w:rsid w:val="00CF2DFA"/>
    <w:rsid w:val="00CF44DC"/>
    <w:rsid w:val="00CF5AD8"/>
    <w:rsid w:val="00D00122"/>
    <w:rsid w:val="00D01D2A"/>
    <w:rsid w:val="00D10B47"/>
    <w:rsid w:val="00D11A60"/>
    <w:rsid w:val="00D11EB1"/>
    <w:rsid w:val="00D17F17"/>
    <w:rsid w:val="00D23597"/>
    <w:rsid w:val="00D30BDC"/>
    <w:rsid w:val="00D30F4A"/>
    <w:rsid w:val="00D50022"/>
    <w:rsid w:val="00D50345"/>
    <w:rsid w:val="00D57F88"/>
    <w:rsid w:val="00D7105C"/>
    <w:rsid w:val="00D73646"/>
    <w:rsid w:val="00D777B4"/>
    <w:rsid w:val="00D77A90"/>
    <w:rsid w:val="00D8360B"/>
    <w:rsid w:val="00D85676"/>
    <w:rsid w:val="00D87720"/>
    <w:rsid w:val="00D96ADA"/>
    <w:rsid w:val="00DA2886"/>
    <w:rsid w:val="00DA5E50"/>
    <w:rsid w:val="00DA7D0C"/>
    <w:rsid w:val="00DB311C"/>
    <w:rsid w:val="00DB432D"/>
    <w:rsid w:val="00DB519B"/>
    <w:rsid w:val="00DC7694"/>
    <w:rsid w:val="00DC7FBE"/>
    <w:rsid w:val="00DD130E"/>
    <w:rsid w:val="00DD308E"/>
    <w:rsid w:val="00DE0F1C"/>
    <w:rsid w:val="00DF0C51"/>
    <w:rsid w:val="00DF0D47"/>
    <w:rsid w:val="00DF1652"/>
    <w:rsid w:val="00DF6D37"/>
    <w:rsid w:val="00E048ED"/>
    <w:rsid w:val="00E04FB3"/>
    <w:rsid w:val="00E058F2"/>
    <w:rsid w:val="00E05D9C"/>
    <w:rsid w:val="00E06102"/>
    <w:rsid w:val="00E23E71"/>
    <w:rsid w:val="00E30F19"/>
    <w:rsid w:val="00E33C4A"/>
    <w:rsid w:val="00E357B9"/>
    <w:rsid w:val="00E41B76"/>
    <w:rsid w:val="00E4321E"/>
    <w:rsid w:val="00E44B80"/>
    <w:rsid w:val="00E47623"/>
    <w:rsid w:val="00E55EB5"/>
    <w:rsid w:val="00E57E67"/>
    <w:rsid w:val="00E60529"/>
    <w:rsid w:val="00E641EF"/>
    <w:rsid w:val="00E70D86"/>
    <w:rsid w:val="00E7628E"/>
    <w:rsid w:val="00E82F54"/>
    <w:rsid w:val="00E83310"/>
    <w:rsid w:val="00E8649B"/>
    <w:rsid w:val="00E871CD"/>
    <w:rsid w:val="00E90990"/>
    <w:rsid w:val="00E95D3D"/>
    <w:rsid w:val="00E9696F"/>
    <w:rsid w:val="00EA0E25"/>
    <w:rsid w:val="00EA173C"/>
    <w:rsid w:val="00EC127A"/>
    <w:rsid w:val="00EC1D14"/>
    <w:rsid w:val="00EC1FF9"/>
    <w:rsid w:val="00EC2737"/>
    <w:rsid w:val="00EC7E50"/>
    <w:rsid w:val="00EE0376"/>
    <w:rsid w:val="00EE2716"/>
    <w:rsid w:val="00EE30E0"/>
    <w:rsid w:val="00EE6450"/>
    <w:rsid w:val="00F01C2C"/>
    <w:rsid w:val="00F10ED8"/>
    <w:rsid w:val="00F131C2"/>
    <w:rsid w:val="00F1473D"/>
    <w:rsid w:val="00F222BE"/>
    <w:rsid w:val="00F24179"/>
    <w:rsid w:val="00F301F1"/>
    <w:rsid w:val="00F30C22"/>
    <w:rsid w:val="00F33F1A"/>
    <w:rsid w:val="00F547F7"/>
    <w:rsid w:val="00F54CCF"/>
    <w:rsid w:val="00F61D7A"/>
    <w:rsid w:val="00F637B3"/>
    <w:rsid w:val="00F64479"/>
    <w:rsid w:val="00F66CF7"/>
    <w:rsid w:val="00F67BCB"/>
    <w:rsid w:val="00F77C57"/>
    <w:rsid w:val="00F813C7"/>
    <w:rsid w:val="00F83566"/>
    <w:rsid w:val="00F83A9D"/>
    <w:rsid w:val="00F906B5"/>
    <w:rsid w:val="00F93784"/>
    <w:rsid w:val="00F971CC"/>
    <w:rsid w:val="00FA2CAA"/>
    <w:rsid w:val="00FA3DA1"/>
    <w:rsid w:val="00FA6554"/>
    <w:rsid w:val="00FB09E9"/>
    <w:rsid w:val="00FE16C1"/>
    <w:rsid w:val="00FE19FF"/>
    <w:rsid w:val="00FE33A6"/>
    <w:rsid w:val="00FE47FF"/>
    <w:rsid w:val="00FE5452"/>
    <w:rsid w:val="00FE5E34"/>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3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FootnoteText">
    <w:name w:val="footnote text"/>
    <w:basedOn w:val="Normal"/>
    <w:link w:val="FootnoteTextChar"/>
    <w:uiPriority w:val="99"/>
    <w:semiHidden/>
    <w:unhideWhenUsed/>
    <w:rsid w:val="002D6378"/>
    <w:pPr>
      <w:spacing w:before="0" w:after="0"/>
    </w:pPr>
    <w:rPr>
      <w:szCs w:val="20"/>
    </w:rPr>
  </w:style>
  <w:style w:type="character" w:customStyle="1" w:styleId="FootnoteTextChar">
    <w:name w:val="Footnote Text Char"/>
    <w:basedOn w:val="DefaultParagraphFont"/>
    <w:link w:val="FootnoteText"/>
    <w:uiPriority w:val="99"/>
    <w:semiHidden/>
    <w:rsid w:val="002D6378"/>
    <w:rPr>
      <w:sz w:val="20"/>
      <w:szCs w:val="20"/>
    </w:rPr>
  </w:style>
  <w:style w:type="character" w:styleId="FootnoteReference">
    <w:name w:val="footnote reference"/>
    <w:basedOn w:val="DefaultParagraphFont"/>
    <w:uiPriority w:val="99"/>
    <w:semiHidden/>
    <w:unhideWhenUsed/>
    <w:rsid w:val="002D6378"/>
    <w:rPr>
      <w:vertAlign w:val="superscript"/>
    </w:rPr>
  </w:style>
  <w:style w:type="character" w:styleId="FollowedHyperlink">
    <w:name w:val="FollowedHyperlink"/>
    <w:basedOn w:val="DefaultParagraphFont"/>
    <w:uiPriority w:val="99"/>
    <w:semiHidden/>
    <w:unhideWhenUsed/>
    <w:rsid w:val="00F147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15838239">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beyondscoliosi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urvygirlsscoliosis.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19" Type="http://schemas.openxmlformats.org/officeDocument/2006/relationships/hyperlink" Target="https://www.settingscoliosisstraight.org/"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57B66-D93A-4F8F-BA24-0B40F0FC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5564</Words>
  <Characters>31720</Characters>
  <Application>Microsoft Office Word</Application>
  <DocSecurity>0</DocSecurity>
  <Lines>264</Lines>
  <Paragraphs>74</Paragraphs>
  <ScaleCrop>false</ScaleCrop>
  <Company/>
  <LinksUpToDate>false</LinksUpToDate>
  <CharactersWithSpaces>37210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2021-01-19T05:30:00Z</dcterms:created>
  <dcterms:modified xsi:type="dcterms:W3CDTF">2021-01-19T05:30:00Z</dcterms:modified>
</cp:coreProperties>
</file>