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5"/>
        <w:gridCol w:w="10129"/>
        <w:gridCol w:w="412"/>
      </w:tblGrid>
      <w:tr w:rsidR="00A25E54" w14:paraId="4ACFF546" w14:textId="77777777">
        <w:trPr>
          <w:trHeight w:val="100"/>
        </w:trPr>
        <w:tc>
          <w:tcPr>
            <w:tcW w:w="315" w:type="dxa"/>
          </w:tcPr>
          <w:p w14:paraId="4ACFF543" w14:textId="77777777" w:rsidR="00A25E54" w:rsidRDefault="00A25E54">
            <w:pPr>
              <w:pStyle w:val="EmptyCellLayoutStyle"/>
              <w:spacing w:after="0" w:line="240" w:lineRule="auto"/>
            </w:pPr>
          </w:p>
        </w:tc>
        <w:tc>
          <w:tcPr>
            <w:tcW w:w="10129" w:type="dxa"/>
          </w:tcPr>
          <w:p w14:paraId="4ACFF544" w14:textId="77777777" w:rsidR="00A25E54" w:rsidRDefault="00A25E54">
            <w:pPr>
              <w:pStyle w:val="EmptyCellLayoutStyle"/>
              <w:spacing w:after="0" w:line="240" w:lineRule="auto"/>
            </w:pPr>
          </w:p>
        </w:tc>
        <w:tc>
          <w:tcPr>
            <w:tcW w:w="412" w:type="dxa"/>
          </w:tcPr>
          <w:p w14:paraId="4ACFF545" w14:textId="77777777" w:rsidR="00A25E54" w:rsidRDefault="00A25E54">
            <w:pPr>
              <w:pStyle w:val="EmptyCellLayoutStyle"/>
              <w:spacing w:after="0" w:line="240" w:lineRule="auto"/>
            </w:pPr>
          </w:p>
        </w:tc>
      </w:tr>
      <w:tr w:rsidR="00A25E54" w14:paraId="4ACFF558" w14:textId="77777777">
        <w:tc>
          <w:tcPr>
            <w:tcW w:w="315" w:type="dxa"/>
          </w:tcPr>
          <w:p w14:paraId="4ACFF547"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A25E54" w14:paraId="4ACFF549" w14:textId="77777777">
              <w:trPr>
                <w:trHeight w:val="482"/>
              </w:trPr>
              <w:tc>
                <w:tcPr>
                  <w:tcW w:w="10129" w:type="dxa"/>
                  <w:tcBorders>
                    <w:top w:val="nil"/>
                    <w:left w:val="nil"/>
                    <w:bottom w:val="nil"/>
                    <w:right w:val="nil"/>
                  </w:tcBorders>
                  <w:tcMar>
                    <w:top w:w="39" w:type="dxa"/>
                    <w:left w:w="39" w:type="dxa"/>
                    <w:bottom w:w="39" w:type="dxa"/>
                    <w:right w:w="39" w:type="dxa"/>
                  </w:tcMar>
                </w:tcPr>
                <w:p w14:paraId="4ACFF548" w14:textId="77777777" w:rsidR="00A25E54" w:rsidRDefault="007A5068">
                  <w:pPr>
                    <w:spacing w:after="0" w:line="240" w:lineRule="auto"/>
                  </w:pPr>
                  <w:r>
                    <w:rPr>
                      <w:rFonts w:ascii="Segoe UI" w:eastAsia="Segoe UI" w:hAnsi="Segoe UI"/>
                      <w:b/>
                      <w:color w:val="000000"/>
                      <w:sz w:val="32"/>
                    </w:rPr>
                    <w:t>Application or referral for other medical service or health technology</w:t>
                  </w:r>
                </w:p>
              </w:tc>
            </w:tr>
            <w:tr w:rsidR="00A25E54" w14:paraId="4ACFF54C" w14:textId="77777777">
              <w:trPr>
                <w:trHeight w:val="277"/>
              </w:trPr>
              <w:tc>
                <w:tcPr>
                  <w:tcW w:w="10129" w:type="dxa"/>
                  <w:tcBorders>
                    <w:top w:val="nil"/>
                    <w:left w:val="nil"/>
                    <w:bottom w:val="nil"/>
                    <w:right w:val="nil"/>
                  </w:tcBorders>
                  <w:tcMar>
                    <w:top w:w="39" w:type="dxa"/>
                    <w:left w:w="479" w:type="dxa"/>
                    <w:bottom w:w="39" w:type="dxa"/>
                    <w:right w:w="39" w:type="dxa"/>
                  </w:tcMar>
                </w:tcPr>
                <w:p w14:paraId="4ACFF54A" w14:textId="77777777" w:rsidR="00A25E54" w:rsidRDefault="007A5068">
                  <w:pPr>
                    <w:spacing w:after="0" w:line="240" w:lineRule="auto"/>
                  </w:pPr>
                  <w:r>
                    <w:rPr>
                      <w:rFonts w:ascii="Segoe UI" w:eastAsia="Segoe UI" w:hAnsi="Segoe UI"/>
                      <w:b/>
                      <w:color w:val="000000"/>
                      <w:sz w:val="22"/>
                    </w:rPr>
                    <w:t xml:space="preserve">Application ID: </w:t>
                  </w:r>
                </w:p>
                <w:p w14:paraId="4ACFF54B" w14:textId="77777777" w:rsidR="00A25E54" w:rsidRDefault="007A5068">
                  <w:pPr>
                    <w:spacing w:after="0" w:line="240" w:lineRule="auto"/>
                  </w:pPr>
                  <w:r>
                    <w:rPr>
                      <w:rFonts w:ascii="Segoe UI" w:eastAsia="Segoe UI" w:hAnsi="Segoe UI"/>
                      <w:color w:val="000000"/>
                      <w:sz w:val="22"/>
                    </w:rPr>
                    <w:t>HPP200111</w:t>
                  </w:r>
                </w:p>
              </w:tc>
            </w:tr>
            <w:tr w:rsidR="00A25E54" w14:paraId="4ACFF54F"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4D" w14:textId="77777777" w:rsidR="00A25E54" w:rsidRDefault="007A5068">
                  <w:pPr>
                    <w:spacing w:after="0" w:line="240" w:lineRule="auto"/>
                  </w:pPr>
                  <w:r>
                    <w:rPr>
                      <w:rFonts w:ascii="Segoe UI" w:eastAsia="Segoe UI" w:hAnsi="Segoe UI"/>
                      <w:b/>
                      <w:color w:val="000000"/>
                      <w:sz w:val="22"/>
                    </w:rPr>
                    <w:t>Application title:</w:t>
                  </w:r>
                  <w:r>
                    <w:rPr>
                      <w:rFonts w:ascii="Segoe UI" w:eastAsia="Segoe UI" w:hAnsi="Segoe UI"/>
                      <w:color w:val="000000"/>
                      <w:sz w:val="22"/>
                    </w:rPr>
                    <w:t xml:space="preserve"> </w:t>
                  </w:r>
                </w:p>
                <w:p w14:paraId="4ACFF54E" w14:textId="77777777" w:rsidR="00A25E54" w:rsidRDefault="007A5068">
                  <w:pPr>
                    <w:spacing w:after="0" w:line="240" w:lineRule="auto"/>
                  </w:pPr>
                  <w:r>
                    <w:rPr>
                      <w:rFonts w:ascii="Segoe UI" w:eastAsia="Segoe UI" w:hAnsi="Segoe UI"/>
                      <w:color w:val="000000"/>
                      <w:sz w:val="22"/>
                    </w:rPr>
                    <w:t>1732.1 – Imlifidase as a desensitisation treatment to enable kidney transplant in highly sensitised adult transplant candidates.</w:t>
                  </w:r>
                </w:p>
              </w:tc>
            </w:tr>
            <w:tr w:rsidR="00A25E54" w14:paraId="4ACFF552" w14:textId="77777777">
              <w:trPr>
                <w:trHeight w:val="277"/>
              </w:trPr>
              <w:tc>
                <w:tcPr>
                  <w:tcW w:w="10129" w:type="dxa"/>
                  <w:tcBorders>
                    <w:top w:val="nil"/>
                    <w:left w:val="nil"/>
                    <w:bottom w:val="nil"/>
                    <w:right w:val="nil"/>
                  </w:tcBorders>
                  <w:tcMar>
                    <w:top w:w="39" w:type="dxa"/>
                    <w:left w:w="479" w:type="dxa"/>
                    <w:bottom w:w="39" w:type="dxa"/>
                    <w:right w:w="39" w:type="dxa"/>
                  </w:tcMar>
                </w:tcPr>
                <w:p w14:paraId="4ACFF550" w14:textId="77777777" w:rsidR="00A25E54" w:rsidRDefault="007A5068">
                  <w:pPr>
                    <w:spacing w:after="0" w:line="240" w:lineRule="auto"/>
                  </w:pPr>
                  <w:r>
                    <w:rPr>
                      <w:rFonts w:ascii="Segoe UI" w:eastAsia="Segoe UI" w:hAnsi="Segoe UI"/>
                      <w:b/>
                      <w:color w:val="000000"/>
                      <w:sz w:val="22"/>
                    </w:rPr>
                    <w:t xml:space="preserve">Submitting organisation: </w:t>
                  </w:r>
                </w:p>
                <w:p w14:paraId="4ACFF551" w14:textId="77777777" w:rsidR="00A25E54" w:rsidRDefault="007A5068">
                  <w:pPr>
                    <w:spacing w:after="0" w:line="240" w:lineRule="auto"/>
                  </w:pPr>
                  <w:r>
                    <w:rPr>
                      <w:rFonts w:ascii="Segoe UI" w:eastAsia="Segoe UI" w:hAnsi="Segoe UI"/>
                      <w:color w:val="000000"/>
                      <w:sz w:val="22"/>
                    </w:rPr>
                    <w:t>HANSA BIOPHARMA (AUSTRALIA) PTY LTD</w:t>
                  </w:r>
                </w:p>
              </w:tc>
            </w:tr>
            <w:tr w:rsidR="00A25E54" w14:paraId="4ACFF555" w14:textId="77777777">
              <w:trPr>
                <w:trHeight w:val="307"/>
              </w:trPr>
              <w:tc>
                <w:tcPr>
                  <w:tcW w:w="10129" w:type="dxa"/>
                  <w:tcBorders>
                    <w:top w:val="nil"/>
                    <w:left w:val="nil"/>
                    <w:bottom w:val="nil"/>
                    <w:right w:val="nil"/>
                  </w:tcBorders>
                  <w:tcMar>
                    <w:top w:w="39" w:type="dxa"/>
                    <w:left w:w="479" w:type="dxa"/>
                    <w:bottom w:w="39" w:type="dxa"/>
                    <w:right w:w="39" w:type="dxa"/>
                  </w:tcMar>
                </w:tcPr>
                <w:p w14:paraId="4ACFF553" w14:textId="77777777" w:rsidR="00A25E54" w:rsidRDefault="007A5068">
                  <w:pPr>
                    <w:spacing w:after="0" w:line="240" w:lineRule="auto"/>
                  </w:pPr>
                  <w:r>
                    <w:rPr>
                      <w:rFonts w:ascii="Segoe UI" w:eastAsia="Segoe UI" w:hAnsi="Segoe UI"/>
                      <w:b/>
                      <w:color w:val="000000"/>
                      <w:sz w:val="22"/>
                    </w:rPr>
                    <w:t xml:space="preserve">Submitting organisation ABN: </w:t>
                  </w:r>
                </w:p>
                <w:p w14:paraId="4ACFF554" w14:textId="77777777" w:rsidR="00A25E54" w:rsidRDefault="007A5068">
                  <w:pPr>
                    <w:spacing w:after="0" w:line="240" w:lineRule="auto"/>
                  </w:pPr>
                  <w:r>
                    <w:rPr>
                      <w:rFonts w:ascii="Segoe UI" w:eastAsia="Segoe UI" w:hAnsi="Segoe UI"/>
                      <w:color w:val="000000"/>
                      <w:sz w:val="22"/>
                    </w:rPr>
                    <w:t>74650167221</w:t>
                  </w:r>
                </w:p>
              </w:tc>
            </w:tr>
          </w:tbl>
          <w:p w14:paraId="4ACFF556" w14:textId="77777777" w:rsidR="00A25E54" w:rsidRDefault="00A25E54">
            <w:pPr>
              <w:spacing w:after="0" w:line="240" w:lineRule="auto"/>
            </w:pPr>
          </w:p>
        </w:tc>
        <w:tc>
          <w:tcPr>
            <w:tcW w:w="412" w:type="dxa"/>
          </w:tcPr>
          <w:p w14:paraId="4ACFF557" w14:textId="77777777" w:rsidR="00A25E54" w:rsidRDefault="00A25E54">
            <w:pPr>
              <w:pStyle w:val="EmptyCellLayoutStyle"/>
              <w:spacing w:after="0" w:line="240" w:lineRule="auto"/>
            </w:pPr>
          </w:p>
        </w:tc>
      </w:tr>
      <w:tr w:rsidR="00A25E54" w14:paraId="4ACFF55C" w14:textId="77777777">
        <w:trPr>
          <w:trHeight w:val="229"/>
        </w:trPr>
        <w:tc>
          <w:tcPr>
            <w:tcW w:w="315" w:type="dxa"/>
          </w:tcPr>
          <w:p w14:paraId="4ACFF559" w14:textId="77777777" w:rsidR="00A25E54" w:rsidRDefault="00A25E54">
            <w:pPr>
              <w:pStyle w:val="EmptyCellLayoutStyle"/>
              <w:spacing w:after="0" w:line="240" w:lineRule="auto"/>
            </w:pPr>
          </w:p>
        </w:tc>
        <w:tc>
          <w:tcPr>
            <w:tcW w:w="10129" w:type="dxa"/>
          </w:tcPr>
          <w:p w14:paraId="4ACFF55A" w14:textId="77777777" w:rsidR="00A25E54" w:rsidRDefault="00A25E54">
            <w:pPr>
              <w:pStyle w:val="EmptyCellLayoutStyle"/>
              <w:spacing w:after="0" w:line="240" w:lineRule="auto"/>
            </w:pPr>
          </w:p>
        </w:tc>
        <w:tc>
          <w:tcPr>
            <w:tcW w:w="412" w:type="dxa"/>
          </w:tcPr>
          <w:p w14:paraId="4ACFF55B" w14:textId="77777777" w:rsidR="00A25E54" w:rsidRDefault="00A25E54">
            <w:pPr>
              <w:pStyle w:val="EmptyCellLayoutStyle"/>
              <w:spacing w:after="0" w:line="240" w:lineRule="auto"/>
            </w:pPr>
          </w:p>
        </w:tc>
      </w:tr>
      <w:tr w:rsidR="00A25E54" w14:paraId="4ACFF568" w14:textId="77777777">
        <w:tc>
          <w:tcPr>
            <w:tcW w:w="315" w:type="dxa"/>
          </w:tcPr>
          <w:p w14:paraId="4ACFF55D"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A25E54" w14:paraId="4ACFF55F" w14:textId="77777777">
              <w:trPr>
                <w:trHeight w:val="472"/>
              </w:trPr>
              <w:tc>
                <w:tcPr>
                  <w:tcW w:w="10129" w:type="dxa"/>
                  <w:tcBorders>
                    <w:top w:val="nil"/>
                    <w:left w:val="nil"/>
                    <w:bottom w:val="nil"/>
                    <w:right w:val="nil"/>
                  </w:tcBorders>
                  <w:tcMar>
                    <w:top w:w="39" w:type="dxa"/>
                    <w:left w:w="39" w:type="dxa"/>
                    <w:bottom w:w="39" w:type="dxa"/>
                    <w:right w:w="39" w:type="dxa"/>
                  </w:tcMar>
                </w:tcPr>
                <w:p w14:paraId="4ACFF55E" w14:textId="77777777" w:rsidR="00A25E54" w:rsidRDefault="007A5068">
                  <w:pPr>
                    <w:spacing w:after="0" w:line="240" w:lineRule="auto"/>
                  </w:pPr>
                  <w:r>
                    <w:rPr>
                      <w:rFonts w:ascii="Segoe UI" w:eastAsia="Segoe UI" w:hAnsi="Segoe UI"/>
                      <w:b/>
                      <w:color w:val="000000"/>
                      <w:sz w:val="32"/>
                    </w:rPr>
                    <w:t>Application description</w:t>
                  </w:r>
                </w:p>
              </w:tc>
            </w:tr>
            <w:tr w:rsidR="00A25E54" w14:paraId="4ACFF562"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60" w14:textId="77777777" w:rsidR="00A25E54" w:rsidRDefault="007A5068">
                  <w:pPr>
                    <w:spacing w:after="0" w:line="240" w:lineRule="auto"/>
                  </w:pPr>
                  <w:r>
                    <w:rPr>
                      <w:rFonts w:ascii="Segoe UI" w:eastAsia="Segoe UI" w:hAnsi="Segoe UI"/>
                      <w:b/>
                      <w:color w:val="000000"/>
                      <w:sz w:val="22"/>
                    </w:rPr>
                    <w:t xml:space="preserve">Succinct description of the medical condition/s: </w:t>
                  </w:r>
                </w:p>
                <w:p w14:paraId="4ACFF561" w14:textId="3F6448E0" w:rsidR="00A25E54" w:rsidRDefault="007A5068">
                  <w:pPr>
                    <w:spacing w:after="0" w:line="240" w:lineRule="auto"/>
                  </w:pPr>
                  <w:r>
                    <w:rPr>
                      <w:rFonts w:ascii="Segoe UI" w:eastAsia="Segoe UI" w:hAnsi="Segoe UI"/>
                      <w:color w:val="000000"/>
                      <w:sz w:val="22"/>
                    </w:rPr>
                    <w:t>End-stage kidney disease (ESKD) is defined by partial or completely failed kidney function. Patients require regular dialysis or a kidney transplant for survival. Haemodialysis has a substantial time commitment, requiring 2-3 five hour sessions per week. Long-term dialysis has a negative impact on patient morbidity, mortality and quality of life. Kidney transplantation is the optimal treatment for ESKD patients. Some highly sensitised</w:t>
                  </w:r>
                  <w:r w:rsidR="00CD2C8F">
                    <w:rPr>
                      <w:rFonts w:ascii="Segoe UI" w:eastAsia="Segoe UI" w:hAnsi="Segoe UI"/>
                      <w:color w:val="000000"/>
                      <w:sz w:val="22"/>
                    </w:rPr>
                    <w:t xml:space="preserve"> </w:t>
                  </w:r>
                  <w:r>
                    <w:rPr>
                      <w:rFonts w:ascii="Segoe UI" w:eastAsia="Segoe UI" w:hAnsi="Segoe UI"/>
                      <w:color w:val="000000"/>
                      <w:sz w:val="22"/>
                    </w:rPr>
                    <w:t>(HS) patients are cross match incompatible with living or deceased donor kidneys due to elevated levels of Donor Specific Antibodies against Human Leukocyte Antigens. Despite the immunologic risk, HS patients who are transplanted with less compatible donors have better outcomes than remaining on dialysis. Previous pregnancy, Aboriginal/Torres Strait and other ethnic minority ESKD patients are at higher risk of being HS. Despite HS patients being prioritised by the organ allocation system, some HS patients remain waiting indefinitely for a suitable organ.</w:t>
                  </w:r>
                </w:p>
              </w:tc>
            </w:tr>
            <w:tr w:rsidR="00A25E54" w14:paraId="4ACFF565"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63" w14:textId="77777777" w:rsidR="00A25E54" w:rsidRDefault="007A5068">
                  <w:pPr>
                    <w:spacing w:after="0" w:line="240" w:lineRule="auto"/>
                  </w:pPr>
                  <w:r>
                    <w:rPr>
                      <w:rFonts w:ascii="Segoe UI" w:eastAsia="Segoe UI" w:hAnsi="Segoe UI"/>
                      <w:b/>
                      <w:color w:val="000000"/>
                      <w:sz w:val="22"/>
                    </w:rPr>
                    <w:t>Succinct description of the service or health technology:</w:t>
                  </w:r>
                </w:p>
                <w:p w14:paraId="4ACFF564" w14:textId="77777777" w:rsidR="00A25E54" w:rsidRDefault="007A5068">
                  <w:pPr>
                    <w:spacing w:after="0" w:line="240" w:lineRule="auto"/>
                  </w:pPr>
                  <w:r>
                    <w:rPr>
                      <w:rFonts w:ascii="Segoe UI" w:eastAsia="Segoe UI" w:hAnsi="Segoe UI"/>
                      <w:color w:val="000000"/>
                      <w:sz w:val="22"/>
                    </w:rPr>
                    <w:t>Imlifidase helps enable equity of access to kidney transplantation for a small number of highly sensitised patients who are unable to be transplanted despite being prioritised in available kidney allocation systems. Imlifidase is given intravenously to highly sensitised patients just prior to kidney transplant to convert a cross match positive test to a donor kidney to cross match negative making the kidney acceptable for transplantation.  It is an immunoglobulin G (IgG)-degrading enzyme which cleaves the heavy chains of all human IgG subclasses but no other immunoglobulins.  By cleaving all IgG, imlifidase reduces the levels of donor specific antibodies to avoid hyper acute rejection thus enabling transplantation. Imlifidase is TGA approved. Imlifidase provides a rapid, reliable, and convenient means for crossmatch conversion for an End Stage Kidney Disease population who would otherwise remain on chronic dialysis.</w:t>
                  </w:r>
                </w:p>
              </w:tc>
            </w:tr>
          </w:tbl>
          <w:p w14:paraId="4ACFF566" w14:textId="77777777" w:rsidR="00A25E54" w:rsidRDefault="00A25E54">
            <w:pPr>
              <w:spacing w:after="0" w:line="240" w:lineRule="auto"/>
            </w:pPr>
          </w:p>
        </w:tc>
        <w:tc>
          <w:tcPr>
            <w:tcW w:w="412" w:type="dxa"/>
          </w:tcPr>
          <w:p w14:paraId="4ACFF567" w14:textId="77777777" w:rsidR="00A25E54" w:rsidRDefault="00A25E54">
            <w:pPr>
              <w:pStyle w:val="EmptyCellLayoutStyle"/>
              <w:spacing w:after="0" w:line="240" w:lineRule="auto"/>
            </w:pPr>
          </w:p>
        </w:tc>
      </w:tr>
      <w:tr w:rsidR="00A25E54" w14:paraId="4ACFF56C" w14:textId="77777777">
        <w:trPr>
          <w:trHeight w:val="187"/>
        </w:trPr>
        <w:tc>
          <w:tcPr>
            <w:tcW w:w="315" w:type="dxa"/>
          </w:tcPr>
          <w:p w14:paraId="4ACFF569" w14:textId="77777777" w:rsidR="00A25E54" w:rsidRDefault="00A25E54">
            <w:pPr>
              <w:pStyle w:val="EmptyCellLayoutStyle"/>
              <w:spacing w:after="0" w:line="240" w:lineRule="auto"/>
            </w:pPr>
          </w:p>
        </w:tc>
        <w:tc>
          <w:tcPr>
            <w:tcW w:w="10129" w:type="dxa"/>
          </w:tcPr>
          <w:p w14:paraId="4ACFF56A" w14:textId="77777777" w:rsidR="00A25E54" w:rsidRDefault="00A25E54">
            <w:pPr>
              <w:pStyle w:val="EmptyCellLayoutStyle"/>
              <w:spacing w:after="0" w:line="240" w:lineRule="auto"/>
            </w:pPr>
          </w:p>
        </w:tc>
        <w:tc>
          <w:tcPr>
            <w:tcW w:w="412" w:type="dxa"/>
          </w:tcPr>
          <w:p w14:paraId="4ACFF56B" w14:textId="77777777" w:rsidR="00A25E54" w:rsidRDefault="00A25E54">
            <w:pPr>
              <w:pStyle w:val="EmptyCellLayoutStyle"/>
              <w:spacing w:after="0" w:line="240" w:lineRule="auto"/>
            </w:pPr>
          </w:p>
        </w:tc>
      </w:tr>
      <w:tr w:rsidR="00A25E54" w14:paraId="4ACFF578" w14:textId="77777777">
        <w:tc>
          <w:tcPr>
            <w:tcW w:w="315" w:type="dxa"/>
          </w:tcPr>
          <w:p w14:paraId="4ACFF56D"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A25E54" w14:paraId="4ACFF56F" w14:textId="77777777">
              <w:trPr>
                <w:trHeight w:val="407"/>
              </w:trPr>
              <w:tc>
                <w:tcPr>
                  <w:tcW w:w="10129" w:type="dxa"/>
                  <w:tcBorders>
                    <w:top w:val="nil"/>
                    <w:left w:val="nil"/>
                    <w:bottom w:val="nil"/>
                    <w:right w:val="nil"/>
                  </w:tcBorders>
                  <w:tcMar>
                    <w:top w:w="39" w:type="dxa"/>
                    <w:left w:w="39" w:type="dxa"/>
                    <w:bottom w:w="39" w:type="dxa"/>
                    <w:right w:w="39" w:type="dxa"/>
                  </w:tcMar>
                </w:tcPr>
                <w:p w14:paraId="4ACFF56E" w14:textId="77777777" w:rsidR="00A25E54" w:rsidRDefault="007A5068">
                  <w:pPr>
                    <w:spacing w:after="0" w:line="240" w:lineRule="auto"/>
                  </w:pPr>
                  <w:r>
                    <w:rPr>
                      <w:rFonts w:ascii="Segoe UI" w:eastAsia="Segoe UI" w:hAnsi="Segoe UI"/>
                      <w:b/>
                      <w:color w:val="000000"/>
                      <w:sz w:val="32"/>
                    </w:rPr>
                    <w:t>Application contact details</w:t>
                  </w:r>
                </w:p>
              </w:tc>
            </w:tr>
            <w:tr w:rsidR="00A25E54" w14:paraId="4ACFF572"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70" w14:textId="77777777" w:rsidR="00A25E54" w:rsidRDefault="007A5068">
                  <w:pPr>
                    <w:spacing w:after="0" w:line="240" w:lineRule="auto"/>
                  </w:pPr>
                  <w:r>
                    <w:rPr>
                      <w:rFonts w:ascii="Segoe UI" w:eastAsia="Segoe UI" w:hAnsi="Segoe UI"/>
                      <w:b/>
                      <w:color w:val="000000"/>
                      <w:sz w:val="22"/>
                    </w:rPr>
                    <w:t>Are you applying on behalf of an organisation, or as an individual?</w:t>
                  </w:r>
                </w:p>
                <w:p w14:paraId="4ACFF571" w14:textId="77777777" w:rsidR="00A25E54" w:rsidRDefault="007A5068">
                  <w:pPr>
                    <w:spacing w:after="0" w:line="240" w:lineRule="auto"/>
                  </w:pPr>
                  <w:r>
                    <w:rPr>
                      <w:rFonts w:ascii="Segoe UI" w:eastAsia="Segoe UI" w:hAnsi="Segoe UI"/>
                      <w:color w:val="000000"/>
                      <w:sz w:val="22"/>
                    </w:rPr>
                    <w:t>Organisation</w:t>
                  </w:r>
                </w:p>
              </w:tc>
            </w:tr>
            <w:tr w:rsidR="00A25E54" w14:paraId="4ACFF575"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73" w14:textId="77777777" w:rsidR="00A25E54" w:rsidRDefault="007A5068">
                  <w:pPr>
                    <w:spacing w:after="0" w:line="240" w:lineRule="auto"/>
                  </w:pPr>
                  <w:r>
                    <w:rPr>
                      <w:rFonts w:ascii="Segoe UI" w:eastAsia="Segoe UI" w:hAnsi="Segoe UI"/>
                      <w:b/>
                      <w:color w:val="000000"/>
                      <w:sz w:val="22"/>
                    </w:rPr>
                    <w:t>Is the applicant organisation the organisation you are representing in the HPP today?</w:t>
                  </w:r>
                </w:p>
                <w:p w14:paraId="4ACFF574" w14:textId="77777777" w:rsidR="00A25E54" w:rsidRDefault="007A5068">
                  <w:pPr>
                    <w:spacing w:after="0" w:line="240" w:lineRule="auto"/>
                  </w:pPr>
                  <w:r>
                    <w:rPr>
                      <w:rFonts w:ascii="Segoe UI" w:eastAsia="Segoe UI" w:hAnsi="Segoe UI"/>
                      <w:color w:val="000000"/>
                      <w:sz w:val="22"/>
                    </w:rPr>
                    <w:lastRenderedPageBreak/>
                    <w:t>Yes</w:t>
                  </w:r>
                </w:p>
              </w:tc>
            </w:tr>
          </w:tbl>
          <w:p w14:paraId="4ACFF576" w14:textId="77777777" w:rsidR="00A25E54" w:rsidRDefault="00A25E54">
            <w:pPr>
              <w:spacing w:after="0" w:line="240" w:lineRule="auto"/>
            </w:pPr>
          </w:p>
        </w:tc>
        <w:tc>
          <w:tcPr>
            <w:tcW w:w="412" w:type="dxa"/>
          </w:tcPr>
          <w:p w14:paraId="4ACFF577" w14:textId="77777777" w:rsidR="00A25E54" w:rsidRDefault="00A25E54">
            <w:pPr>
              <w:pStyle w:val="EmptyCellLayoutStyle"/>
              <w:spacing w:after="0" w:line="240" w:lineRule="auto"/>
            </w:pPr>
          </w:p>
        </w:tc>
      </w:tr>
      <w:tr w:rsidR="00A25E54" w14:paraId="4ACFF57C" w14:textId="77777777">
        <w:trPr>
          <w:trHeight w:val="133"/>
        </w:trPr>
        <w:tc>
          <w:tcPr>
            <w:tcW w:w="315" w:type="dxa"/>
          </w:tcPr>
          <w:p w14:paraId="4ACFF579" w14:textId="77777777" w:rsidR="00A25E54" w:rsidRDefault="00A25E54">
            <w:pPr>
              <w:pStyle w:val="EmptyCellLayoutStyle"/>
              <w:spacing w:after="0" w:line="240" w:lineRule="auto"/>
            </w:pPr>
          </w:p>
        </w:tc>
        <w:tc>
          <w:tcPr>
            <w:tcW w:w="10129" w:type="dxa"/>
          </w:tcPr>
          <w:p w14:paraId="4ACFF57A" w14:textId="77777777" w:rsidR="00A25E54" w:rsidRDefault="00A25E54">
            <w:pPr>
              <w:pStyle w:val="EmptyCellLayoutStyle"/>
              <w:spacing w:after="0" w:line="240" w:lineRule="auto"/>
            </w:pPr>
          </w:p>
        </w:tc>
        <w:tc>
          <w:tcPr>
            <w:tcW w:w="412" w:type="dxa"/>
          </w:tcPr>
          <w:p w14:paraId="4ACFF57B" w14:textId="77777777" w:rsidR="00A25E54" w:rsidRDefault="00A25E54">
            <w:pPr>
              <w:pStyle w:val="EmptyCellLayoutStyle"/>
              <w:spacing w:after="0" w:line="240" w:lineRule="auto"/>
            </w:pPr>
          </w:p>
        </w:tc>
      </w:tr>
      <w:tr w:rsidR="00A25E54" w14:paraId="4ACFF583" w14:textId="77777777">
        <w:tc>
          <w:tcPr>
            <w:tcW w:w="315" w:type="dxa"/>
          </w:tcPr>
          <w:p w14:paraId="4ACFF57D"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A25E54" w14:paraId="4ACFF580" w14:textId="77777777">
              <w:trPr>
                <w:trHeight w:val="269"/>
              </w:trPr>
              <w:tc>
                <w:tcPr>
                  <w:tcW w:w="10129" w:type="dxa"/>
                  <w:tcBorders>
                    <w:top w:val="nil"/>
                    <w:left w:val="nil"/>
                    <w:bottom w:val="nil"/>
                    <w:right w:val="nil"/>
                  </w:tcBorders>
                  <w:tcMar>
                    <w:top w:w="39" w:type="dxa"/>
                    <w:left w:w="479" w:type="dxa"/>
                    <w:bottom w:w="39" w:type="dxa"/>
                    <w:right w:w="39" w:type="dxa"/>
                  </w:tcMar>
                </w:tcPr>
                <w:p w14:paraId="4ACFF57E" w14:textId="77777777" w:rsidR="00A25E54" w:rsidRDefault="007A5068">
                  <w:pPr>
                    <w:spacing w:after="0" w:line="240" w:lineRule="auto"/>
                  </w:pPr>
                  <w:r>
                    <w:rPr>
                      <w:rFonts w:ascii="Segoe UI" w:eastAsia="Segoe UI" w:hAnsi="Segoe UI"/>
                      <w:b/>
                      <w:color w:val="000000"/>
                      <w:sz w:val="22"/>
                    </w:rPr>
                    <w:t>Applicant organisation name:</w:t>
                  </w:r>
                </w:p>
                <w:p w14:paraId="4ACFF57F" w14:textId="77777777" w:rsidR="00A25E54" w:rsidRDefault="007A5068">
                  <w:pPr>
                    <w:spacing w:after="0" w:line="240" w:lineRule="auto"/>
                  </w:pPr>
                  <w:r>
                    <w:rPr>
                      <w:rFonts w:ascii="Segoe UI" w:eastAsia="Segoe UI" w:hAnsi="Segoe UI"/>
                      <w:color w:val="000000"/>
                      <w:sz w:val="22"/>
                    </w:rPr>
                    <w:t>HANSA BIOPHARMA (AUSTRALIA) PTY LTD</w:t>
                  </w:r>
                </w:p>
              </w:tc>
            </w:tr>
          </w:tbl>
          <w:p w14:paraId="4ACFF581" w14:textId="77777777" w:rsidR="00A25E54" w:rsidRDefault="00A25E54">
            <w:pPr>
              <w:spacing w:after="0" w:line="240" w:lineRule="auto"/>
            </w:pPr>
          </w:p>
        </w:tc>
        <w:tc>
          <w:tcPr>
            <w:tcW w:w="412" w:type="dxa"/>
          </w:tcPr>
          <w:p w14:paraId="4ACFF582" w14:textId="77777777" w:rsidR="00A25E54" w:rsidRDefault="00A25E54">
            <w:pPr>
              <w:pStyle w:val="EmptyCellLayoutStyle"/>
              <w:spacing w:after="0" w:line="240" w:lineRule="auto"/>
            </w:pPr>
          </w:p>
        </w:tc>
      </w:tr>
      <w:tr w:rsidR="00A25E54" w14:paraId="4ACFF587" w14:textId="77777777">
        <w:trPr>
          <w:trHeight w:val="221"/>
        </w:trPr>
        <w:tc>
          <w:tcPr>
            <w:tcW w:w="315" w:type="dxa"/>
          </w:tcPr>
          <w:p w14:paraId="4ACFF584" w14:textId="77777777" w:rsidR="00A25E54" w:rsidRDefault="00A25E54">
            <w:pPr>
              <w:pStyle w:val="EmptyCellLayoutStyle"/>
              <w:spacing w:after="0" w:line="240" w:lineRule="auto"/>
            </w:pPr>
          </w:p>
        </w:tc>
        <w:tc>
          <w:tcPr>
            <w:tcW w:w="10129" w:type="dxa"/>
          </w:tcPr>
          <w:p w14:paraId="4ACFF585" w14:textId="77777777" w:rsidR="00A25E54" w:rsidRDefault="00A25E54">
            <w:pPr>
              <w:pStyle w:val="EmptyCellLayoutStyle"/>
              <w:spacing w:after="0" w:line="240" w:lineRule="auto"/>
            </w:pPr>
          </w:p>
        </w:tc>
        <w:tc>
          <w:tcPr>
            <w:tcW w:w="412" w:type="dxa"/>
          </w:tcPr>
          <w:p w14:paraId="4ACFF586" w14:textId="77777777" w:rsidR="00A25E54" w:rsidRDefault="00A25E54">
            <w:pPr>
              <w:pStyle w:val="EmptyCellLayoutStyle"/>
              <w:spacing w:after="0" w:line="240" w:lineRule="auto"/>
            </w:pPr>
          </w:p>
        </w:tc>
      </w:tr>
    </w:tbl>
    <w:p w14:paraId="4ACFF588" w14:textId="77777777" w:rsidR="00A25E54" w:rsidRDefault="007A506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15"/>
        <w:gridCol w:w="10129"/>
        <w:gridCol w:w="412"/>
      </w:tblGrid>
      <w:tr w:rsidR="00A25E54" w14:paraId="4ACFF59D" w14:textId="77777777">
        <w:tc>
          <w:tcPr>
            <w:tcW w:w="315" w:type="dxa"/>
          </w:tcPr>
          <w:p w14:paraId="4ACFF589"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A25E54" w14:paraId="4ACFF58B" w14:textId="77777777">
              <w:trPr>
                <w:trHeight w:val="512"/>
              </w:trPr>
              <w:tc>
                <w:tcPr>
                  <w:tcW w:w="10129" w:type="dxa"/>
                  <w:tcBorders>
                    <w:top w:val="nil"/>
                    <w:left w:val="nil"/>
                    <w:bottom w:val="nil"/>
                    <w:right w:val="nil"/>
                  </w:tcBorders>
                  <w:tcMar>
                    <w:top w:w="39" w:type="dxa"/>
                    <w:left w:w="39" w:type="dxa"/>
                    <w:bottom w:w="39" w:type="dxa"/>
                    <w:right w:w="39" w:type="dxa"/>
                  </w:tcMar>
                </w:tcPr>
                <w:p w14:paraId="4ACFF58A" w14:textId="77777777" w:rsidR="00A25E54" w:rsidRDefault="007A5068">
                  <w:pPr>
                    <w:spacing w:after="0" w:line="240" w:lineRule="auto"/>
                  </w:pPr>
                  <w:r>
                    <w:rPr>
                      <w:rFonts w:ascii="Segoe UI" w:eastAsia="Segoe UI" w:hAnsi="Segoe UI"/>
                      <w:b/>
                      <w:color w:val="000000"/>
                      <w:sz w:val="32"/>
                    </w:rPr>
                    <w:t>Application details</w:t>
                  </w:r>
                </w:p>
              </w:tc>
            </w:tr>
            <w:tr w:rsidR="00A25E54" w14:paraId="4ACFF58E"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8C" w14:textId="77777777" w:rsidR="00A25E54" w:rsidRDefault="007A5068">
                  <w:pPr>
                    <w:spacing w:after="0" w:line="240" w:lineRule="auto"/>
                  </w:pPr>
                  <w:r>
                    <w:rPr>
                      <w:rFonts w:ascii="Segoe UI" w:eastAsia="Segoe UI" w:hAnsi="Segoe UI"/>
                      <w:b/>
                      <w:color w:val="000000"/>
                      <w:sz w:val="22"/>
                    </w:rPr>
                    <w:t>Please select the program through which the health technology would be funded:</w:t>
                  </w:r>
                </w:p>
                <w:p w14:paraId="4ACFF58D" w14:textId="77777777" w:rsidR="00A25E54" w:rsidRDefault="007A5068">
                  <w:pPr>
                    <w:spacing w:after="0" w:line="240" w:lineRule="auto"/>
                  </w:pPr>
                  <w:r>
                    <w:rPr>
                      <w:rFonts w:ascii="Segoe UI" w:eastAsia="Segoe UI" w:hAnsi="Segoe UI"/>
                      <w:color w:val="000000"/>
                      <w:sz w:val="22"/>
                    </w:rPr>
                    <w:t>National Health Reform Agreement Addendum (Highly specialised therapies)</w:t>
                  </w:r>
                </w:p>
              </w:tc>
            </w:tr>
            <w:tr w:rsidR="00A25E54" w14:paraId="4ACFF591"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8F" w14:textId="77777777" w:rsidR="00A25E54" w:rsidRDefault="007A5068">
                  <w:pPr>
                    <w:spacing w:after="0" w:line="240" w:lineRule="auto"/>
                  </w:pPr>
                  <w:r>
                    <w:rPr>
                      <w:rFonts w:ascii="Segoe UI" w:eastAsia="Segoe UI" w:hAnsi="Segoe UI"/>
                      <w:b/>
                      <w:color w:val="000000"/>
                      <w:sz w:val="22"/>
                    </w:rPr>
                    <w:t>Please provide justification for selecting the above program:</w:t>
                  </w:r>
                </w:p>
                <w:p w14:paraId="4ACFF590" w14:textId="77777777" w:rsidR="00A25E54" w:rsidRDefault="007A5068">
                  <w:pPr>
                    <w:spacing w:after="0" w:line="240" w:lineRule="auto"/>
                  </w:pPr>
                  <w:r>
                    <w:rPr>
                      <w:rFonts w:ascii="Segoe UI" w:eastAsia="Segoe UI" w:hAnsi="Segoe UI"/>
                      <w:color w:val="000000"/>
                      <w:sz w:val="22"/>
                    </w:rPr>
                    <w:t>The application 1732- Imlifidase as a desensitisation treatment to enable kidney transplant in highly sensitised adult transplant candidates was previously determined to meet the criteria for a Highly Specialised Therapy under the National Health Reform Agreement (NHRA) Addendum 2020-25 per email correspondence received by the applicant on 8th September 2022 from the MSAC secretariate.  Refer reference documentation 'MSAC Application 1732 outcome of suitability assessment.</w:t>
                  </w:r>
                </w:p>
              </w:tc>
            </w:tr>
            <w:tr w:rsidR="00A25E54" w14:paraId="4ACFF594"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92" w14:textId="77777777" w:rsidR="00A25E54" w:rsidRDefault="007A5068">
                  <w:pPr>
                    <w:spacing w:after="0" w:line="240" w:lineRule="auto"/>
                  </w:pPr>
                  <w:r>
                    <w:rPr>
                      <w:rFonts w:ascii="Segoe UI" w:eastAsia="Segoe UI" w:hAnsi="Segoe UI"/>
                      <w:b/>
                      <w:color w:val="000000"/>
                      <w:sz w:val="22"/>
                    </w:rPr>
                    <w:t>Is the application for a new listing or a change to an existing listing?</w:t>
                  </w:r>
                </w:p>
                <w:p w14:paraId="4ACFF593" w14:textId="77777777" w:rsidR="00A25E54" w:rsidRDefault="007A5068">
                  <w:pPr>
                    <w:spacing w:after="0" w:line="240" w:lineRule="auto"/>
                  </w:pPr>
                  <w:r>
                    <w:rPr>
                      <w:rFonts w:ascii="Segoe UI" w:eastAsia="Segoe UI" w:hAnsi="Segoe UI"/>
                      <w:color w:val="000000"/>
                      <w:sz w:val="22"/>
                    </w:rPr>
                    <w:t>New listing</w:t>
                  </w:r>
                </w:p>
              </w:tc>
            </w:tr>
            <w:tr w:rsidR="00A25E54" w14:paraId="4ACFF597"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95" w14:textId="77777777" w:rsidR="00A25E54" w:rsidRDefault="007A5068">
                  <w:pPr>
                    <w:spacing w:after="0" w:line="240" w:lineRule="auto"/>
                  </w:pPr>
                  <w:r>
                    <w:rPr>
                      <w:rFonts w:ascii="Segoe UI" w:eastAsia="Segoe UI" w:hAnsi="Segoe UI"/>
                      <w:b/>
                      <w:color w:val="000000"/>
                      <w:sz w:val="22"/>
                    </w:rPr>
                    <w:t>Provide a rationale for the change to an existing listing:</w:t>
                  </w:r>
                </w:p>
                <w:p w14:paraId="4ACFF596" w14:textId="77777777" w:rsidR="00A25E54" w:rsidRDefault="00A25E54">
                  <w:pPr>
                    <w:spacing w:after="0" w:line="240" w:lineRule="auto"/>
                  </w:pPr>
                </w:p>
              </w:tc>
            </w:tr>
            <w:tr w:rsidR="00A25E54" w14:paraId="4ACFF59A"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598" w14:textId="77777777" w:rsidR="00A25E54" w:rsidRDefault="007A5068">
                  <w:pPr>
                    <w:spacing w:after="0" w:line="240" w:lineRule="auto"/>
                  </w:pPr>
                  <w:r>
                    <w:rPr>
                      <w:rFonts w:ascii="Segoe UI" w:eastAsia="Segoe UI" w:hAnsi="Segoe UI"/>
                      <w:b/>
                      <w:color w:val="000000"/>
                      <w:sz w:val="22"/>
                    </w:rPr>
                    <w:t>What is the type of service or health technology?</w:t>
                  </w:r>
                </w:p>
                <w:p w14:paraId="4ACFF599" w14:textId="77777777" w:rsidR="00A25E54" w:rsidRDefault="007A5068">
                  <w:pPr>
                    <w:spacing w:after="0" w:line="240" w:lineRule="auto"/>
                  </w:pPr>
                  <w:r>
                    <w:rPr>
                      <w:rFonts w:ascii="Segoe UI" w:eastAsia="Segoe UI" w:hAnsi="Segoe UI"/>
                      <w:color w:val="000000"/>
                      <w:sz w:val="22"/>
                    </w:rPr>
                    <w:t>Therapeutic</w:t>
                  </w:r>
                </w:p>
              </w:tc>
            </w:tr>
          </w:tbl>
          <w:p w14:paraId="4ACFF59B" w14:textId="77777777" w:rsidR="00A25E54" w:rsidRDefault="00A25E54">
            <w:pPr>
              <w:spacing w:after="0" w:line="240" w:lineRule="auto"/>
            </w:pPr>
          </w:p>
        </w:tc>
        <w:tc>
          <w:tcPr>
            <w:tcW w:w="412" w:type="dxa"/>
          </w:tcPr>
          <w:p w14:paraId="4ACFF59C" w14:textId="77777777" w:rsidR="00A25E54" w:rsidRDefault="00A25E54">
            <w:pPr>
              <w:pStyle w:val="EmptyCellLayoutStyle"/>
              <w:spacing w:after="0" w:line="240" w:lineRule="auto"/>
            </w:pPr>
          </w:p>
        </w:tc>
      </w:tr>
      <w:tr w:rsidR="00A25E54" w14:paraId="4ACFF5A1" w14:textId="77777777">
        <w:trPr>
          <w:trHeight w:val="236"/>
        </w:trPr>
        <w:tc>
          <w:tcPr>
            <w:tcW w:w="315" w:type="dxa"/>
          </w:tcPr>
          <w:p w14:paraId="4ACFF59E" w14:textId="77777777" w:rsidR="00A25E54" w:rsidRDefault="00A25E54">
            <w:pPr>
              <w:pStyle w:val="EmptyCellLayoutStyle"/>
              <w:spacing w:after="0" w:line="240" w:lineRule="auto"/>
            </w:pPr>
          </w:p>
        </w:tc>
        <w:tc>
          <w:tcPr>
            <w:tcW w:w="10129" w:type="dxa"/>
          </w:tcPr>
          <w:p w14:paraId="4ACFF59F" w14:textId="77777777" w:rsidR="00A25E54" w:rsidRDefault="00A25E54">
            <w:pPr>
              <w:pStyle w:val="EmptyCellLayoutStyle"/>
              <w:spacing w:after="0" w:line="240" w:lineRule="auto"/>
            </w:pPr>
          </w:p>
        </w:tc>
        <w:tc>
          <w:tcPr>
            <w:tcW w:w="412" w:type="dxa"/>
          </w:tcPr>
          <w:p w14:paraId="4ACFF5A0" w14:textId="77777777" w:rsidR="00A25E54" w:rsidRDefault="00A25E54">
            <w:pPr>
              <w:pStyle w:val="EmptyCellLayoutStyle"/>
              <w:spacing w:after="0" w:line="240" w:lineRule="auto"/>
            </w:pPr>
          </w:p>
        </w:tc>
      </w:tr>
    </w:tbl>
    <w:p w14:paraId="4ACFF5A2" w14:textId="77777777" w:rsidR="00A25E54" w:rsidRDefault="007A506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15"/>
        <w:gridCol w:w="10129"/>
        <w:gridCol w:w="412"/>
      </w:tblGrid>
      <w:tr w:rsidR="00A25E54" w14:paraId="4ACFF5B2" w14:textId="77777777">
        <w:tc>
          <w:tcPr>
            <w:tcW w:w="315" w:type="dxa"/>
          </w:tcPr>
          <w:p w14:paraId="4ACFF5A3"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420"/>
              <w:gridCol w:w="7709"/>
            </w:tblGrid>
            <w:tr w:rsidR="007A5068" w14:paraId="4ACFF5A6" w14:textId="77777777" w:rsidTr="007A5068">
              <w:trPr>
                <w:trHeight w:val="577"/>
              </w:trPr>
              <w:tc>
                <w:tcPr>
                  <w:tcW w:w="2420" w:type="dxa"/>
                  <w:gridSpan w:val="2"/>
                  <w:tcBorders>
                    <w:top w:val="nil"/>
                    <w:left w:val="nil"/>
                    <w:bottom w:val="nil"/>
                    <w:right w:val="nil"/>
                  </w:tcBorders>
                  <w:tcMar>
                    <w:top w:w="39" w:type="dxa"/>
                    <w:left w:w="39" w:type="dxa"/>
                    <w:bottom w:w="39" w:type="dxa"/>
                    <w:right w:w="39" w:type="dxa"/>
                  </w:tcMar>
                </w:tcPr>
                <w:p w14:paraId="4ACFF5A4" w14:textId="77777777" w:rsidR="00A25E54" w:rsidRDefault="007A5068">
                  <w:pPr>
                    <w:spacing w:after="0" w:line="240" w:lineRule="auto"/>
                  </w:pPr>
                  <w:r>
                    <w:rPr>
                      <w:rFonts w:ascii="Segoe UI" w:eastAsia="Segoe UI" w:hAnsi="Segoe UI"/>
                      <w:b/>
                      <w:color w:val="000000"/>
                      <w:sz w:val="32"/>
                    </w:rPr>
                    <w:t>PICO set</w:t>
                  </w:r>
                </w:p>
              </w:tc>
            </w:tr>
            <w:tr w:rsidR="007A5068" w14:paraId="4ACFF5A9" w14:textId="77777777" w:rsidTr="007A5068">
              <w:trPr>
                <w:trHeight w:val="262"/>
              </w:trPr>
              <w:tc>
                <w:tcPr>
                  <w:tcW w:w="2420" w:type="dxa"/>
                  <w:gridSpan w:val="2"/>
                  <w:tcBorders>
                    <w:top w:val="nil"/>
                    <w:left w:val="nil"/>
                    <w:bottom w:val="nil"/>
                    <w:right w:val="nil"/>
                  </w:tcBorders>
                  <w:tcMar>
                    <w:top w:w="39" w:type="dxa"/>
                    <w:left w:w="479" w:type="dxa"/>
                    <w:bottom w:w="39" w:type="dxa"/>
                    <w:right w:w="39" w:type="dxa"/>
                  </w:tcMar>
                </w:tcPr>
                <w:p w14:paraId="4ACFF5A7" w14:textId="77777777" w:rsidR="00A25E54" w:rsidRDefault="007A5068">
                  <w:pPr>
                    <w:spacing w:after="0" w:line="240" w:lineRule="auto"/>
                  </w:pPr>
                  <w:r>
                    <w:rPr>
                      <w:rFonts w:ascii="Segoe UI" w:eastAsia="Segoe UI" w:hAnsi="Segoe UI"/>
                      <w:b/>
                      <w:color w:val="000000"/>
                      <w:sz w:val="22"/>
                    </w:rPr>
                    <w:t>PICO sets:</w:t>
                  </w:r>
                </w:p>
              </w:tc>
            </w:tr>
            <w:tr w:rsidR="00A25E54" w14:paraId="4ACFF5AC" w14:textId="77777777">
              <w:trPr>
                <w:trHeight w:val="262"/>
              </w:trPr>
              <w:tc>
                <w:tcPr>
                  <w:tcW w:w="2420"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5AA" w14:textId="77777777" w:rsidR="00A25E54" w:rsidRDefault="007A5068">
                  <w:pPr>
                    <w:spacing w:after="0" w:line="240" w:lineRule="auto"/>
                  </w:pPr>
                  <w:r>
                    <w:rPr>
                      <w:rFonts w:ascii="Segoe UI" w:eastAsia="Segoe UI" w:hAnsi="Segoe UI"/>
                      <w:b/>
                      <w:color w:val="000000"/>
                      <w:sz w:val="22"/>
                    </w:rPr>
                    <w:t>PICO set number</w:t>
                  </w:r>
                </w:p>
              </w:tc>
              <w:tc>
                <w:tcPr>
                  <w:tcW w:w="77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5AB" w14:textId="77777777" w:rsidR="00A25E54" w:rsidRDefault="007A5068">
                  <w:pPr>
                    <w:spacing w:after="0" w:line="240" w:lineRule="auto"/>
                  </w:pPr>
                  <w:r>
                    <w:rPr>
                      <w:rFonts w:ascii="Segoe UI" w:eastAsia="Segoe UI" w:hAnsi="Segoe UI"/>
                      <w:b/>
                      <w:color w:val="000000"/>
                      <w:sz w:val="22"/>
                    </w:rPr>
                    <w:t>PICO set name</w:t>
                  </w:r>
                </w:p>
              </w:tc>
            </w:tr>
            <w:tr w:rsidR="00A25E54" w14:paraId="4ACFF5AF" w14:textId="77777777">
              <w:trPr>
                <w:trHeight w:val="262"/>
              </w:trPr>
              <w:tc>
                <w:tcPr>
                  <w:tcW w:w="2420"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vAlign w:val="center"/>
                </w:tcPr>
                <w:p w14:paraId="4ACFF5AD" w14:textId="77777777" w:rsidR="00A25E54" w:rsidRDefault="007A5068">
                  <w:pPr>
                    <w:spacing w:after="0" w:line="240" w:lineRule="auto"/>
                    <w:jc w:val="center"/>
                  </w:pPr>
                  <w:r>
                    <w:rPr>
                      <w:rFonts w:ascii="Segoe UI" w:eastAsia="Segoe UI" w:hAnsi="Segoe UI"/>
                      <w:color w:val="000000"/>
                      <w:sz w:val="22"/>
                    </w:rPr>
                    <w:t>1</w:t>
                  </w:r>
                </w:p>
              </w:tc>
              <w:tc>
                <w:tcPr>
                  <w:tcW w:w="77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5AE" w14:textId="1210E467" w:rsidR="00A25E54" w:rsidRDefault="006F3631">
                  <w:pPr>
                    <w:spacing w:after="0" w:line="240" w:lineRule="auto"/>
                  </w:pPr>
                  <w:r w:rsidRPr="006F3631">
                    <w:rPr>
                      <w:rFonts w:ascii="Aptos" w:hAnsi="Aptos"/>
                      <w:color w:val="000000"/>
                    </w:rPr>
                    <w:t>1732.1 PICO sets v2 </w:t>
                  </w:r>
                </w:p>
              </w:tc>
            </w:tr>
          </w:tbl>
          <w:p w14:paraId="4ACFF5B0" w14:textId="77777777" w:rsidR="00A25E54" w:rsidRDefault="00A25E54">
            <w:pPr>
              <w:spacing w:after="0" w:line="240" w:lineRule="auto"/>
            </w:pPr>
          </w:p>
        </w:tc>
        <w:tc>
          <w:tcPr>
            <w:tcW w:w="412" w:type="dxa"/>
          </w:tcPr>
          <w:p w14:paraId="4ACFF5B1" w14:textId="77777777" w:rsidR="00A25E54" w:rsidRDefault="00A25E54">
            <w:pPr>
              <w:pStyle w:val="EmptyCellLayoutStyle"/>
              <w:spacing w:after="0" w:line="240" w:lineRule="auto"/>
            </w:pPr>
          </w:p>
        </w:tc>
      </w:tr>
    </w:tbl>
    <w:p w14:paraId="4ACFF5B3" w14:textId="77777777" w:rsidR="00A25E54" w:rsidRDefault="007A506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15"/>
        <w:gridCol w:w="10881"/>
      </w:tblGrid>
      <w:tr w:rsidR="00A25E54" w14:paraId="4ACFF74F" w14:textId="77777777">
        <w:tc>
          <w:tcPr>
            <w:tcW w:w="315" w:type="dxa"/>
          </w:tcPr>
          <w:p w14:paraId="4ACFF5B4" w14:textId="77777777" w:rsidR="00A25E54" w:rsidRDefault="00A25E54">
            <w:pPr>
              <w:pStyle w:val="EmptyCellLayoutStyle"/>
              <w:spacing w:after="0" w:line="240" w:lineRule="auto"/>
            </w:pPr>
          </w:p>
        </w:tc>
        <w:tc>
          <w:tcPr>
            <w:tcW w:w="1088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1"/>
            </w:tblGrid>
            <w:tr w:rsidR="00A25E54" w14:paraId="4ACFF74D" w14:textId="77777777">
              <w:trPr>
                <w:trHeight w:val="21797"/>
              </w:trPr>
              <w:tc>
                <w:tcPr>
                  <w:tcW w:w="1088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25"/>
                    <w:gridCol w:w="6"/>
                    <w:gridCol w:w="6"/>
                    <w:gridCol w:w="6"/>
                    <w:gridCol w:w="6"/>
                    <w:gridCol w:w="12"/>
                    <w:gridCol w:w="10366"/>
                    <w:gridCol w:w="14"/>
                    <w:gridCol w:w="14"/>
                    <w:gridCol w:w="210"/>
                  </w:tblGrid>
                  <w:tr w:rsidR="00A25E54" w14:paraId="4ACFF5BF" w14:textId="77777777">
                    <w:trPr>
                      <w:trHeight w:val="238"/>
                    </w:trPr>
                    <w:tc>
                      <w:tcPr>
                        <w:tcW w:w="225" w:type="dxa"/>
                      </w:tcPr>
                      <w:p w14:paraId="4ACFF5B5" w14:textId="77777777" w:rsidR="00A25E54" w:rsidRDefault="00A25E54">
                        <w:pPr>
                          <w:pStyle w:val="EmptyCellLayoutStyle"/>
                          <w:spacing w:after="0" w:line="240" w:lineRule="auto"/>
                        </w:pPr>
                      </w:p>
                    </w:tc>
                    <w:tc>
                      <w:tcPr>
                        <w:tcW w:w="0" w:type="dxa"/>
                      </w:tcPr>
                      <w:p w14:paraId="4ACFF5B6" w14:textId="77777777" w:rsidR="00A25E54" w:rsidRDefault="00A25E54">
                        <w:pPr>
                          <w:pStyle w:val="EmptyCellLayoutStyle"/>
                          <w:spacing w:after="0" w:line="240" w:lineRule="auto"/>
                        </w:pPr>
                      </w:p>
                    </w:tc>
                    <w:tc>
                      <w:tcPr>
                        <w:tcW w:w="6" w:type="dxa"/>
                      </w:tcPr>
                      <w:p w14:paraId="4ACFF5B7" w14:textId="77777777" w:rsidR="00A25E54" w:rsidRDefault="00A25E54">
                        <w:pPr>
                          <w:pStyle w:val="EmptyCellLayoutStyle"/>
                          <w:spacing w:after="0" w:line="240" w:lineRule="auto"/>
                        </w:pPr>
                      </w:p>
                    </w:tc>
                    <w:tc>
                      <w:tcPr>
                        <w:tcW w:w="6" w:type="dxa"/>
                      </w:tcPr>
                      <w:p w14:paraId="4ACFF5B8" w14:textId="77777777" w:rsidR="00A25E54" w:rsidRDefault="00A25E54">
                        <w:pPr>
                          <w:pStyle w:val="EmptyCellLayoutStyle"/>
                          <w:spacing w:after="0" w:line="240" w:lineRule="auto"/>
                        </w:pPr>
                      </w:p>
                    </w:tc>
                    <w:tc>
                      <w:tcPr>
                        <w:tcW w:w="1" w:type="dxa"/>
                      </w:tcPr>
                      <w:p w14:paraId="4ACFF5B9" w14:textId="77777777" w:rsidR="00A25E54" w:rsidRDefault="00A25E54">
                        <w:pPr>
                          <w:pStyle w:val="EmptyCellLayoutStyle"/>
                          <w:spacing w:after="0" w:line="240" w:lineRule="auto"/>
                        </w:pPr>
                      </w:p>
                    </w:tc>
                    <w:tc>
                      <w:tcPr>
                        <w:tcW w:w="12" w:type="dxa"/>
                      </w:tcPr>
                      <w:p w14:paraId="4ACFF5BA" w14:textId="77777777" w:rsidR="00A25E54" w:rsidRDefault="00A25E54">
                        <w:pPr>
                          <w:pStyle w:val="EmptyCellLayoutStyle"/>
                          <w:spacing w:after="0" w:line="240" w:lineRule="auto"/>
                        </w:pPr>
                      </w:p>
                    </w:tc>
                    <w:tc>
                      <w:tcPr>
                        <w:tcW w:w="10366" w:type="dxa"/>
                      </w:tcPr>
                      <w:p w14:paraId="4ACFF5BB" w14:textId="77777777" w:rsidR="00A25E54" w:rsidRDefault="00A25E54">
                        <w:pPr>
                          <w:pStyle w:val="EmptyCellLayoutStyle"/>
                          <w:spacing w:after="0" w:line="240" w:lineRule="auto"/>
                        </w:pPr>
                      </w:p>
                    </w:tc>
                    <w:tc>
                      <w:tcPr>
                        <w:tcW w:w="14" w:type="dxa"/>
                      </w:tcPr>
                      <w:p w14:paraId="4ACFF5BC" w14:textId="77777777" w:rsidR="00A25E54" w:rsidRDefault="00A25E54">
                        <w:pPr>
                          <w:pStyle w:val="EmptyCellLayoutStyle"/>
                          <w:spacing w:after="0" w:line="240" w:lineRule="auto"/>
                        </w:pPr>
                      </w:p>
                    </w:tc>
                    <w:tc>
                      <w:tcPr>
                        <w:tcW w:w="14" w:type="dxa"/>
                      </w:tcPr>
                      <w:p w14:paraId="4ACFF5BD" w14:textId="77777777" w:rsidR="00A25E54" w:rsidRDefault="00A25E54">
                        <w:pPr>
                          <w:pStyle w:val="EmptyCellLayoutStyle"/>
                          <w:spacing w:after="0" w:line="240" w:lineRule="auto"/>
                        </w:pPr>
                      </w:p>
                    </w:tc>
                    <w:tc>
                      <w:tcPr>
                        <w:tcW w:w="210" w:type="dxa"/>
                      </w:tcPr>
                      <w:p w14:paraId="4ACFF5BE" w14:textId="77777777" w:rsidR="00A25E54" w:rsidRDefault="00A25E54">
                        <w:pPr>
                          <w:pStyle w:val="EmptyCellLayoutStyle"/>
                          <w:spacing w:after="0" w:line="240" w:lineRule="auto"/>
                        </w:pPr>
                      </w:p>
                    </w:tc>
                  </w:tr>
                  <w:tr w:rsidR="00EA62E3" w14:paraId="4ACFF5D9" w14:textId="77777777" w:rsidTr="00EA62E3">
                    <w:tc>
                      <w:tcPr>
                        <w:tcW w:w="225" w:type="dxa"/>
                      </w:tcPr>
                      <w:p w14:paraId="4ACFF5C0" w14:textId="77777777" w:rsidR="00A25E54" w:rsidRDefault="00A25E54">
                        <w:pPr>
                          <w:pStyle w:val="EmptyCellLayoutStyle"/>
                          <w:spacing w:after="0" w:line="240" w:lineRule="auto"/>
                        </w:pPr>
                      </w:p>
                    </w:tc>
                    <w:tc>
                      <w:tcPr>
                        <w:tcW w:w="0" w:type="dxa"/>
                      </w:tcPr>
                      <w:p w14:paraId="4ACFF5C1" w14:textId="77777777" w:rsidR="00A25E54" w:rsidRDefault="00A25E54">
                        <w:pPr>
                          <w:pStyle w:val="EmptyCellLayoutStyle"/>
                          <w:spacing w:after="0" w:line="240" w:lineRule="auto"/>
                        </w:pPr>
                      </w:p>
                    </w:tc>
                    <w:tc>
                      <w:tcPr>
                        <w:tcW w:w="6" w:type="dxa"/>
                      </w:tcPr>
                      <w:p w14:paraId="4ACFF5C2" w14:textId="77777777" w:rsidR="00A25E54" w:rsidRDefault="00A25E54">
                        <w:pPr>
                          <w:pStyle w:val="EmptyCellLayoutStyle"/>
                          <w:spacing w:after="0" w:line="240" w:lineRule="auto"/>
                        </w:pPr>
                      </w:p>
                    </w:tc>
                    <w:tc>
                      <w:tcPr>
                        <w:tcW w:w="6" w:type="dxa"/>
                      </w:tcPr>
                      <w:p w14:paraId="4ACFF5C3" w14:textId="77777777" w:rsidR="00A25E54" w:rsidRDefault="00A25E54">
                        <w:pPr>
                          <w:pStyle w:val="EmptyCellLayoutStyle"/>
                          <w:spacing w:after="0" w:line="240" w:lineRule="auto"/>
                        </w:pPr>
                      </w:p>
                    </w:tc>
                    <w:tc>
                      <w:tcPr>
                        <w:tcW w:w="1" w:type="dxa"/>
                      </w:tcPr>
                      <w:p w14:paraId="4ACFF5C4" w14:textId="77777777" w:rsidR="00A25E54" w:rsidRDefault="00A25E54">
                        <w:pPr>
                          <w:pStyle w:val="EmptyCellLayoutStyle"/>
                          <w:spacing w:after="0" w:line="240" w:lineRule="auto"/>
                        </w:pPr>
                      </w:p>
                    </w:tc>
                    <w:tc>
                      <w:tcPr>
                        <w:tcW w:w="12" w:type="dxa"/>
                      </w:tcPr>
                      <w:p w14:paraId="4ACFF5C5" w14:textId="77777777" w:rsidR="00A25E54" w:rsidRDefault="00A25E54">
                        <w:pPr>
                          <w:pStyle w:val="EmptyCellLayoutStyle"/>
                          <w:spacing w:after="0" w:line="240" w:lineRule="auto"/>
                        </w:pPr>
                      </w:p>
                    </w:tc>
                    <w:tc>
                      <w:tcPr>
                        <w:tcW w:w="10366"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74"/>
                          <w:gridCol w:w="6520"/>
                        </w:tblGrid>
                        <w:tr w:rsidR="00EA62E3" w14:paraId="4ACFF5C8" w14:textId="77777777" w:rsidTr="00EA62E3">
                          <w:trPr>
                            <w:trHeight w:val="652"/>
                          </w:trPr>
                          <w:tc>
                            <w:tcPr>
                              <w:tcW w:w="3881" w:type="dxa"/>
                              <w:gridSpan w:val="2"/>
                              <w:tcBorders>
                                <w:top w:val="nil"/>
                                <w:left w:val="nil"/>
                                <w:bottom w:val="nil"/>
                                <w:right w:val="nil"/>
                              </w:tcBorders>
                              <w:tcMar>
                                <w:top w:w="39" w:type="dxa"/>
                                <w:left w:w="39" w:type="dxa"/>
                                <w:bottom w:w="39" w:type="dxa"/>
                                <w:right w:w="39" w:type="dxa"/>
                              </w:tcMar>
                            </w:tcPr>
                            <w:p w14:paraId="4ACFF5C6" w14:textId="41B6BA86" w:rsidR="00A25E54" w:rsidRDefault="007A5068">
                              <w:pPr>
                                <w:spacing w:after="0" w:line="240" w:lineRule="auto"/>
                              </w:pPr>
                              <w:r>
                                <w:rPr>
                                  <w:rFonts w:ascii="Segoe UI" w:eastAsia="Segoe UI" w:hAnsi="Segoe UI"/>
                                  <w:b/>
                                  <w:color w:val="000000"/>
                                  <w:sz w:val="30"/>
                                </w:rPr>
                                <w:t xml:space="preserve">Application PICO set 1: </w:t>
                              </w:r>
                              <w:r w:rsidR="006F3631" w:rsidRPr="006F3631">
                                <w:rPr>
                                  <w:rFonts w:ascii="Segoe UI" w:eastAsia="Segoe UI" w:hAnsi="Segoe UI"/>
                                  <w:b/>
                                  <w:color w:val="000000"/>
                                  <w:sz w:val="30"/>
                                </w:rPr>
                                <w:t>1732.1 PICO sets v2 </w:t>
                              </w:r>
                            </w:p>
                          </w:tc>
                        </w:tr>
                        <w:tr w:rsidR="00EA62E3" w14:paraId="4ACFF5CB" w14:textId="77777777" w:rsidTr="00EA62E3">
                          <w:trPr>
                            <w:trHeight w:val="562"/>
                          </w:trPr>
                          <w:tc>
                            <w:tcPr>
                              <w:tcW w:w="3881" w:type="dxa"/>
                              <w:gridSpan w:val="2"/>
                              <w:tcBorders>
                                <w:top w:val="nil"/>
                                <w:left w:val="nil"/>
                                <w:bottom w:val="nil"/>
                                <w:right w:val="nil"/>
                              </w:tcBorders>
                              <w:tcMar>
                                <w:top w:w="39" w:type="dxa"/>
                                <w:left w:w="39" w:type="dxa"/>
                                <w:bottom w:w="39" w:type="dxa"/>
                                <w:right w:w="39" w:type="dxa"/>
                              </w:tcMar>
                            </w:tcPr>
                            <w:p w14:paraId="4ACFF5C9" w14:textId="77777777" w:rsidR="00A25E54" w:rsidRDefault="007A5068">
                              <w:pPr>
                                <w:spacing w:after="0" w:line="240" w:lineRule="auto"/>
                              </w:pPr>
                              <w:r>
                                <w:rPr>
                                  <w:rFonts w:ascii="Segoe UI" w:eastAsia="Segoe UI" w:hAnsi="Segoe UI"/>
                                  <w:b/>
                                  <w:color w:val="000000"/>
                                  <w:sz w:val="32"/>
                                </w:rPr>
                                <w:t>Supporting documentation</w:t>
                              </w:r>
                            </w:p>
                          </w:tc>
                        </w:tr>
                        <w:tr w:rsidR="00A25E54" w14:paraId="4ACFF5CE" w14:textId="77777777">
                          <w:trPr>
                            <w:trHeight w:val="262"/>
                          </w:trPr>
                          <w:tc>
                            <w:tcPr>
                              <w:tcW w:w="3881"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5CC" w14:textId="77777777" w:rsidR="00A25E54" w:rsidRDefault="007A5068">
                              <w:pPr>
                                <w:spacing w:after="0" w:line="240" w:lineRule="auto"/>
                              </w:pPr>
                              <w:r>
                                <w:rPr>
                                  <w:rFonts w:ascii="Segoe UI" w:eastAsia="Segoe UI" w:hAnsi="Segoe UI"/>
                                  <w:b/>
                                  <w:color w:val="000000"/>
                                  <w:sz w:val="22"/>
                                </w:rPr>
                                <w:t>Document type</w:t>
                              </w:r>
                            </w:p>
                          </w:tc>
                          <w:tc>
                            <w:tcPr>
                              <w:tcW w:w="6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5CD" w14:textId="77777777" w:rsidR="00A25E54" w:rsidRDefault="007A5068">
                              <w:pPr>
                                <w:spacing w:after="0" w:line="240" w:lineRule="auto"/>
                              </w:pPr>
                              <w:r>
                                <w:rPr>
                                  <w:rFonts w:ascii="Segoe UI" w:eastAsia="Segoe UI" w:hAnsi="Segoe UI"/>
                                  <w:b/>
                                  <w:color w:val="000000"/>
                                  <w:sz w:val="22"/>
                                </w:rPr>
                                <w:t>Document file name</w:t>
                              </w:r>
                            </w:p>
                          </w:tc>
                        </w:tr>
                        <w:tr w:rsidR="00A25E54" w14:paraId="4ACFF5D1" w14:textId="77777777">
                          <w:trPr>
                            <w:trHeight w:val="592"/>
                          </w:trPr>
                          <w:tc>
                            <w:tcPr>
                              <w:tcW w:w="3881"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5CF" w14:textId="77777777" w:rsidR="00A25E54" w:rsidRDefault="007A5068">
                              <w:pPr>
                                <w:spacing w:after="0" w:line="240" w:lineRule="auto"/>
                              </w:pPr>
                              <w:r>
                                <w:rPr>
                                  <w:rFonts w:ascii="Segoe UI" w:eastAsia="Segoe UI" w:hAnsi="Segoe UI"/>
                                  <w:color w:val="000000"/>
                                  <w:sz w:val="22"/>
                                </w:rPr>
                                <w:t>Application PICO set documents</w:t>
                              </w:r>
                            </w:p>
                          </w:tc>
                          <w:tc>
                            <w:tcPr>
                              <w:tcW w:w="6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5D0" w14:textId="3886E3BF" w:rsidR="00A25E54" w:rsidRDefault="000A6E5C">
                              <w:pPr>
                                <w:spacing w:after="0" w:line="240" w:lineRule="auto"/>
                              </w:pPr>
                              <w:r w:rsidRPr="000A6E5C">
                                <w:rPr>
                                  <w:rFonts w:ascii="Segoe UI" w:eastAsia="Segoe UI" w:hAnsi="Segoe UI"/>
                                  <w:color w:val="000000"/>
                                  <w:sz w:val="22"/>
                                </w:rPr>
                                <w:t>1732.1 PICO sets v2</w:t>
                              </w:r>
                            </w:p>
                          </w:tc>
                        </w:tr>
                        <w:tr w:rsidR="00A25E54" w14:paraId="4ACFF5D4" w14:textId="77777777">
                          <w:trPr>
                            <w:trHeight w:val="592"/>
                          </w:trPr>
                          <w:tc>
                            <w:tcPr>
                              <w:tcW w:w="3881"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5D2" w14:textId="77777777" w:rsidR="00A25E54" w:rsidRDefault="007A5068">
                              <w:pPr>
                                <w:spacing w:after="0" w:line="240" w:lineRule="auto"/>
                              </w:pPr>
                              <w:r>
                                <w:rPr>
                                  <w:rFonts w:ascii="Segoe UI" w:eastAsia="Segoe UI" w:hAnsi="Segoe UI"/>
                                  <w:color w:val="000000"/>
                                  <w:sz w:val="22"/>
                                </w:rPr>
                                <w:t>Reference list</w:t>
                              </w:r>
                            </w:p>
                          </w:tc>
                          <w:tc>
                            <w:tcPr>
                              <w:tcW w:w="65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5D3" w14:textId="77777777" w:rsidR="00A25E54" w:rsidRDefault="007A5068">
                              <w:pPr>
                                <w:spacing w:after="0" w:line="240" w:lineRule="auto"/>
                              </w:pPr>
                              <w:r>
                                <w:rPr>
                                  <w:rFonts w:ascii="Segoe UI" w:eastAsia="Segoe UI" w:hAnsi="Segoe UI"/>
                                  <w:color w:val="000000"/>
                                  <w:sz w:val="22"/>
                                </w:rPr>
                                <w:t>Baker 2017.pdf; Cass 2006.pdf; Jordan 2017 Am J Trans.pdf; Jordan 21.pdf; Kjellman 2021.pdf; Lonze 2018.pdf; Lorant-2018.pdf; Meier-Kriesche 2004.pdf; Montgomery 2011 NEJM.pdf; Orandi 2016 Am J Trans.pdf; Sinnakirouchenan 2011.pdf; Sypek 2021.pdf; Wyld 2021.pdf</w:t>
                              </w:r>
                            </w:p>
                          </w:tc>
                        </w:tr>
                      </w:tbl>
                      <w:p w14:paraId="4ACFF5D5" w14:textId="77777777" w:rsidR="00A25E54" w:rsidRDefault="00A25E54">
                        <w:pPr>
                          <w:spacing w:after="0" w:line="240" w:lineRule="auto"/>
                        </w:pPr>
                      </w:p>
                    </w:tc>
                    <w:tc>
                      <w:tcPr>
                        <w:tcW w:w="210" w:type="dxa"/>
                      </w:tcPr>
                      <w:p w14:paraId="4ACFF5D8" w14:textId="77777777" w:rsidR="00A25E54" w:rsidRDefault="00A25E54">
                        <w:pPr>
                          <w:pStyle w:val="EmptyCellLayoutStyle"/>
                          <w:spacing w:after="0" w:line="240" w:lineRule="auto"/>
                        </w:pPr>
                      </w:p>
                    </w:tc>
                  </w:tr>
                  <w:tr w:rsidR="00A25E54" w14:paraId="4ACFF5E4" w14:textId="77777777">
                    <w:trPr>
                      <w:trHeight w:val="81"/>
                    </w:trPr>
                    <w:tc>
                      <w:tcPr>
                        <w:tcW w:w="225" w:type="dxa"/>
                      </w:tcPr>
                      <w:p w14:paraId="4ACFF5DA" w14:textId="77777777" w:rsidR="00A25E54" w:rsidRDefault="00A25E54">
                        <w:pPr>
                          <w:pStyle w:val="EmptyCellLayoutStyle"/>
                          <w:spacing w:after="0" w:line="240" w:lineRule="auto"/>
                        </w:pPr>
                      </w:p>
                    </w:tc>
                    <w:tc>
                      <w:tcPr>
                        <w:tcW w:w="0" w:type="dxa"/>
                      </w:tcPr>
                      <w:p w14:paraId="4ACFF5DB" w14:textId="77777777" w:rsidR="00A25E54" w:rsidRDefault="00A25E54">
                        <w:pPr>
                          <w:pStyle w:val="EmptyCellLayoutStyle"/>
                          <w:spacing w:after="0" w:line="240" w:lineRule="auto"/>
                        </w:pPr>
                      </w:p>
                    </w:tc>
                    <w:tc>
                      <w:tcPr>
                        <w:tcW w:w="6" w:type="dxa"/>
                      </w:tcPr>
                      <w:p w14:paraId="4ACFF5DC" w14:textId="77777777" w:rsidR="00A25E54" w:rsidRDefault="00A25E54">
                        <w:pPr>
                          <w:pStyle w:val="EmptyCellLayoutStyle"/>
                          <w:spacing w:after="0" w:line="240" w:lineRule="auto"/>
                        </w:pPr>
                      </w:p>
                    </w:tc>
                    <w:tc>
                      <w:tcPr>
                        <w:tcW w:w="6" w:type="dxa"/>
                      </w:tcPr>
                      <w:p w14:paraId="4ACFF5DD" w14:textId="77777777" w:rsidR="00A25E54" w:rsidRDefault="00A25E54">
                        <w:pPr>
                          <w:pStyle w:val="EmptyCellLayoutStyle"/>
                          <w:spacing w:after="0" w:line="240" w:lineRule="auto"/>
                        </w:pPr>
                      </w:p>
                    </w:tc>
                    <w:tc>
                      <w:tcPr>
                        <w:tcW w:w="1" w:type="dxa"/>
                      </w:tcPr>
                      <w:p w14:paraId="4ACFF5DE" w14:textId="77777777" w:rsidR="00A25E54" w:rsidRDefault="00A25E54">
                        <w:pPr>
                          <w:pStyle w:val="EmptyCellLayoutStyle"/>
                          <w:spacing w:after="0" w:line="240" w:lineRule="auto"/>
                        </w:pPr>
                      </w:p>
                    </w:tc>
                    <w:tc>
                      <w:tcPr>
                        <w:tcW w:w="12" w:type="dxa"/>
                      </w:tcPr>
                      <w:p w14:paraId="4ACFF5DF" w14:textId="77777777" w:rsidR="00A25E54" w:rsidRDefault="00A25E54">
                        <w:pPr>
                          <w:pStyle w:val="EmptyCellLayoutStyle"/>
                          <w:spacing w:after="0" w:line="240" w:lineRule="auto"/>
                        </w:pPr>
                      </w:p>
                    </w:tc>
                    <w:tc>
                      <w:tcPr>
                        <w:tcW w:w="10366" w:type="dxa"/>
                      </w:tcPr>
                      <w:p w14:paraId="4ACFF5E0" w14:textId="77777777" w:rsidR="00A25E54" w:rsidRDefault="00A25E54">
                        <w:pPr>
                          <w:pStyle w:val="EmptyCellLayoutStyle"/>
                          <w:spacing w:after="0" w:line="240" w:lineRule="auto"/>
                        </w:pPr>
                      </w:p>
                    </w:tc>
                    <w:tc>
                      <w:tcPr>
                        <w:tcW w:w="14" w:type="dxa"/>
                      </w:tcPr>
                      <w:p w14:paraId="4ACFF5E1" w14:textId="77777777" w:rsidR="00A25E54" w:rsidRDefault="00A25E54">
                        <w:pPr>
                          <w:pStyle w:val="EmptyCellLayoutStyle"/>
                          <w:spacing w:after="0" w:line="240" w:lineRule="auto"/>
                        </w:pPr>
                      </w:p>
                    </w:tc>
                    <w:tc>
                      <w:tcPr>
                        <w:tcW w:w="14" w:type="dxa"/>
                      </w:tcPr>
                      <w:p w14:paraId="4ACFF5E2" w14:textId="77777777" w:rsidR="00A25E54" w:rsidRDefault="00A25E54">
                        <w:pPr>
                          <w:pStyle w:val="EmptyCellLayoutStyle"/>
                          <w:spacing w:after="0" w:line="240" w:lineRule="auto"/>
                        </w:pPr>
                      </w:p>
                    </w:tc>
                    <w:tc>
                      <w:tcPr>
                        <w:tcW w:w="210" w:type="dxa"/>
                      </w:tcPr>
                      <w:p w14:paraId="4ACFF5E3" w14:textId="77777777" w:rsidR="00A25E54" w:rsidRDefault="00A25E54">
                        <w:pPr>
                          <w:pStyle w:val="EmptyCellLayoutStyle"/>
                          <w:spacing w:after="0" w:line="240" w:lineRule="auto"/>
                        </w:pPr>
                      </w:p>
                    </w:tc>
                  </w:tr>
                  <w:tr w:rsidR="00EA62E3" w14:paraId="4ACFF5F7" w14:textId="77777777" w:rsidTr="00EA62E3">
                    <w:tc>
                      <w:tcPr>
                        <w:tcW w:w="225" w:type="dxa"/>
                      </w:tcPr>
                      <w:p w14:paraId="4ACFF5E5" w14:textId="77777777" w:rsidR="00A25E54" w:rsidRDefault="00A25E54">
                        <w:pPr>
                          <w:pStyle w:val="EmptyCellLayoutStyle"/>
                          <w:spacing w:after="0" w:line="240" w:lineRule="auto"/>
                        </w:pPr>
                      </w:p>
                    </w:tc>
                    <w:tc>
                      <w:tcPr>
                        <w:tcW w:w="0" w:type="dxa"/>
                      </w:tcPr>
                      <w:p w14:paraId="4ACFF5E6" w14:textId="77777777" w:rsidR="00A25E54" w:rsidRDefault="00A25E54">
                        <w:pPr>
                          <w:pStyle w:val="EmptyCellLayoutStyle"/>
                          <w:spacing w:after="0" w:line="240" w:lineRule="auto"/>
                        </w:pPr>
                      </w:p>
                    </w:tc>
                    <w:tc>
                      <w:tcPr>
                        <w:tcW w:w="6" w:type="dxa"/>
                      </w:tcPr>
                      <w:p w14:paraId="4ACFF5E7" w14:textId="77777777" w:rsidR="00A25E54" w:rsidRDefault="00A25E54">
                        <w:pPr>
                          <w:pStyle w:val="EmptyCellLayoutStyle"/>
                          <w:spacing w:after="0" w:line="240" w:lineRule="auto"/>
                        </w:pPr>
                      </w:p>
                    </w:tc>
                    <w:tc>
                      <w:tcPr>
                        <w:tcW w:w="6" w:type="dxa"/>
                      </w:tcPr>
                      <w:p w14:paraId="4ACFF5E8" w14:textId="77777777" w:rsidR="00A25E54" w:rsidRDefault="00A25E54">
                        <w:pPr>
                          <w:pStyle w:val="EmptyCellLayoutStyle"/>
                          <w:spacing w:after="0" w:line="240" w:lineRule="auto"/>
                        </w:pPr>
                      </w:p>
                    </w:tc>
                    <w:tc>
                      <w:tcPr>
                        <w:tcW w:w="1" w:type="dxa"/>
                      </w:tcPr>
                      <w:p w14:paraId="4ACFF5E9" w14:textId="77777777" w:rsidR="00A25E54" w:rsidRDefault="00A25E54">
                        <w:pPr>
                          <w:pStyle w:val="EmptyCellLayoutStyle"/>
                          <w:spacing w:after="0" w:line="240" w:lineRule="auto"/>
                        </w:pPr>
                      </w:p>
                    </w:tc>
                    <w:tc>
                      <w:tcPr>
                        <w:tcW w:w="1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92"/>
                        </w:tblGrid>
                        <w:tr w:rsidR="00A25E54" w14:paraId="4ACFF5EB" w14:textId="77777777">
                          <w:trPr>
                            <w:trHeight w:val="602"/>
                          </w:trPr>
                          <w:tc>
                            <w:tcPr>
                              <w:tcW w:w="10416" w:type="dxa"/>
                              <w:tcBorders>
                                <w:top w:val="nil"/>
                                <w:left w:val="nil"/>
                                <w:bottom w:val="nil"/>
                                <w:right w:val="nil"/>
                              </w:tcBorders>
                              <w:tcMar>
                                <w:top w:w="39" w:type="dxa"/>
                                <w:left w:w="39" w:type="dxa"/>
                                <w:bottom w:w="39" w:type="dxa"/>
                                <w:right w:w="39" w:type="dxa"/>
                              </w:tcMar>
                            </w:tcPr>
                            <w:p w14:paraId="4ACFF5EA" w14:textId="77777777" w:rsidR="00A25E54" w:rsidRDefault="007A5068">
                              <w:pPr>
                                <w:spacing w:after="0" w:line="240" w:lineRule="auto"/>
                              </w:pPr>
                              <w:r>
                                <w:rPr>
                                  <w:rFonts w:ascii="Segoe UI" w:eastAsia="Segoe UI" w:hAnsi="Segoe UI"/>
                                  <w:b/>
                                  <w:color w:val="000000"/>
                                  <w:sz w:val="32"/>
                                </w:rPr>
                                <w:t>Population</w:t>
                              </w:r>
                            </w:p>
                          </w:tc>
                        </w:tr>
                        <w:tr w:rsidR="00A25E54" w14:paraId="4ACFF5EE" w14:textId="77777777">
                          <w:trPr>
                            <w:trHeight w:val="262"/>
                          </w:trPr>
                          <w:tc>
                            <w:tcPr>
                              <w:tcW w:w="10416" w:type="dxa"/>
                              <w:tcBorders>
                                <w:top w:val="nil"/>
                                <w:left w:val="nil"/>
                                <w:bottom w:val="nil"/>
                                <w:right w:val="nil"/>
                              </w:tcBorders>
                              <w:tcMar>
                                <w:top w:w="39" w:type="dxa"/>
                                <w:left w:w="479" w:type="dxa"/>
                                <w:bottom w:w="39" w:type="dxa"/>
                                <w:right w:w="39" w:type="dxa"/>
                              </w:tcMar>
                            </w:tcPr>
                            <w:p w14:paraId="4ACFF5EC" w14:textId="77777777" w:rsidR="00A25E54" w:rsidRDefault="007A5068">
                              <w:pPr>
                                <w:spacing w:after="0" w:line="240" w:lineRule="auto"/>
                              </w:pPr>
                              <w:r>
                                <w:rPr>
                                  <w:rFonts w:ascii="Segoe UI" w:eastAsia="Segoe UI" w:hAnsi="Segoe UI"/>
                                  <w:b/>
                                  <w:color w:val="000000"/>
                                  <w:sz w:val="22"/>
                                </w:rPr>
                                <w:t>Describe the population in which the proposed health technology is intended to be used:</w:t>
                              </w:r>
                            </w:p>
                            <w:p w14:paraId="4ACFF5ED" w14:textId="628358C8" w:rsidR="00A25E54" w:rsidRDefault="007A5068">
                              <w:pPr>
                                <w:spacing w:after="0" w:line="240" w:lineRule="auto"/>
                              </w:pPr>
                              <w:r>
                                <w:rPr>
                                  <w:rFonts w:ascii="Segoe UI" w:eastAsia="Segoe UI" w:hAnsi="Segoe UI"/>
                                  <w:color w:val="000000"/>
                                  <w:sz w:val="22"/>
                                </w:rPr>
                                <w:t xml:space="preserve">The reader is referred to the Ratified PICO confirmation and the MSAC Public Summary Document, both posted on the MSAC website under application 1732, for a more detailed description of the population. </w:t>
                              </w:r>
                              <w:r>
                                <w:rPr>
                                  <w:rFonts w:ascii="Segoe UI" w:eastAsia="Segoe UI" w:hAnsi="Segoe UI"/>
                                  <w:color w:val="000000"/>
                                  <w:sz w:val="22"/>
                                </w:rPr>
                                <w:br/>
                                <w:t>The Australian Therapeutic Goods Administration (TGA) has approved (10/7/23) imlifidase for the following indication: Idefirix has provisional approval for the desensitisation treatment of highly sensitised adult kidney transplant candidates prior to kidney transplantation from a donor against whom there is a positive cross-match. The use of Idefirix should be reserved for patients who are otherwise unlikely to receive a kidney transplant.</w:t>
                              </w:r>
                              <w:r>
                                <w:rPr>
                                  <w:rFonts w:ascii="Segoe UI" w:eastAsia="Segoe UI" w:hAnsi="Segoe UI"/>
                                  <w:color w:val="000000"/>
                                  <w:sz w:val="22"/>
                                </w:rPr>
                                <w:br/>
                                <w:t xml:space="preserve">The population is a subset of the most highly sensitised patients with end-stage kidney disease (ESKD) who have little to no access to life-saving kidney transplantation, because of a lack of immunologically suitable donors. Finding a match for these patients can be particularly difficult within a reasonable time or ever, meaning they spend a longer average time on transplant waiting lists, and therefore have an increased risk of dying on dialysis while waiting for a suitable donor.  </w:t>
                              </w:r>
                              <w:r>
                                <w:rPr>
                                  <w:rFonts w:ascii="Segoe UI" w:eastAsia="Segoe UI" w:hAnsi="Segoe UI"/>
                                  <w:color w:val="000000"/>
                                  <w:sz w:val="22"/>
                                </w:rPr>
                                <w:br/>
                                <w:t xml:space="preserve">MSAC in the PSD noted “The current population restriction [ initial application] was not restricted to those with a clinical need. Patients with cPRA from 95% to less than 99%, who have the highest rate of transplantation given recent changes in allocation algorithms, should not be included in the eligible population. Eligibility should be restricted to patients with cPRA of 99% or more. MSAC noted that while PASC had previously endorsed a cPRA≥95% this had been before the impacts of the recent amendment to the allocation algorithm could be assessed. MSAC suggested that the applicant consider revising the population restriction to that as framed in the recommendation from the National Institute for Health and Care Excellence (NICE), UK to restrict use to “those who have a positive crossmatch with the donor and are unlikely to have a transplant under the available kidney allocation system (including prioritisation programmes for highly sensitised people).” MSAC suggested that such a definition, after accounting for the new algorithm, might limit the eligible population on the DD waiting list to those with cPRA of 99% or more and who have been on the waitlist for more than two years (that is, HS patients who have not received a kidney despite prioritisation) and limit the eligible population who are potential recipients of LD kidneys to those with cPRA of 99% or more who have failed plasma exchange desensitisation treatment so that it is a </w:t>
                              </w:r>
                              <w:r>
                                <w:rPr>
                                  <w:rFonts w:ascii="Segoe UI" w:eastAsia="Segoe UI" w:hAnsi="Segoe UI"/>
                                  <w:color w:val="000000"/>
                                  <w:sz w:val="22"/>
                                </w:rPr>
                                <w:lastRenderedPageBreak/>
                                <w:t xml:space="preserve">second line treatment for those who are potential recipients of LD kidneys. The applicant has taken heed of the MSAC advice and modified the eligible patient population accordingly and will apply alternate scenarios for MSAC consideration in the Applicant Development Assessment Report. </w:t>
                              </w:r>
                              <w:r>
                                <w:rPr>
                                  <w:rFonts w:ascii="Segoe UI" w:eastAsia="Segoe UI" w:hAnsi="Segoe UI"/>
                                  <w:color w:val="000000"/>
                                  <w:sz w:val="22"/>
                                </w:rPr>
                                <w:br/>
                                <w:t xml:space="preserve">NB MSAC SECRETARIAT: </w:t>
                              </w:r>
                              <w:r>
                                <w:rPr>
                                  <w:rFonts w:ascii="Segoe UI" w:eastAsia="Segoe UI" w:hAnsi="Segoe UI"/>
                                  <w:color w:val="000000"/>
                                  <w:sz w:val="22"/>
                                </w:rPr>
                                <w:br/>
                                <w:t>The applicant kindly requests confirmation of an exemption from returning to the PICO Advisory Sub Committee, (PASC) noting that the applicant was only advised to return to the Evaluation Sub Committee ESC prior to returning to MSAC. The Population will be the MSAC proposed population, the Intervention, imlifidase, is unchanged and the Outcome measures for the PICO are unchanged. The Comparator is proposed to remain the Comparator agreed in the Ratified PICO Confirmation with the rationale addressed in the Comparator section</w:t>
                              </w:r>
                              <w:r w:rsidR="00257777">
                                <w:rPr>
                                  <w:rFonts w:ascii="Segoe UI" w:eastAsia="Segoe UI" w:hAnsi="Segoe UI"/>
                                  <w:color w:val="000000"/>
                                  <w:sz w:val="22"/>
                                </w:rPr>
                                <w:t xml:space="preserve"> of the PICO set document</w:t>
                              </w:r>
                              <w:r w:rsidR="00A54EDE">
                                <w:rPr>
                                  <w:rFonts w:ascii="Segoe UI" w:eastAsia="Segoe UI" w:hAnsi="Segoe UI"/>
                                  <w:color w:val="000000"/>
                                  <w:sz w:val="22"/>
                                </w:rPr>
                                <w:t>.</w:t>
                              </w:r>
                            </w:p>
                          </w:tc>
                        </w:tr>
                        <w:tr w:rsidR="00A25E54" w14:paraId="4ACFF5F1" w14:textId="77777777">
                          <w:trPr>
                            <w:trHeight w:val="262"/>
                          </w:trPr>
                          <w:tc>
                            <w:tcPr>
                              <w:tcW w:w="10416" w:type="dxa"/>
                              <w:tcBorders>
                                <w:top w:val="nil"/>
                                <w:left w:val="nil"/>
                                <w:bottom w:val="nil"/>
                                <w:right w:val="nil"/>
                              </w:tcBorders>
                              <w:tcMar>
                                <w:top w:w="39" w:type="dxa"/>
                                <w:left w:w="479" w:type="dxa"/>
                                <w:bottom w:w="39" w:type="dxa"/>
                                <w:right w:w="39" w:type="dxa"/>
                              </w:tcMar>
                            </w:tcPr>
                            <w:p w14:paraId="4ACFF5EF" w14:textId="77777777" w:rsidR="00A25E54" w:rsidRDefault="007A5068">
                              <w:pPr>
                                <w:spacing w:after="0" w:line="240" w:lineRule="auto"/>
                              </w:pPr>
                              <w:r>
                                <w:rPr>
                                  <w:rFonts w:ascii="Segoe UI" w:eastAsia="Segoe UI" w:hAnsi="Segoe UI"/>
                                  <w:b/>
                                  <w:color w:val="000000"/>
                                  <w:sz w:val="22"/>
                                </w:rPr>
                                <w:lastRenderedPageBreak/>
                                <w:t>Select the most applicable Medical condition terminology (SNOMED CT):</w:t>
                              </w:r>
                            </w:p>
                            <w:p w14:paraId="4ACFF5F0" w14:textId="77777777" w:rsidR="00A25E54" w:rsidRDefault="00A25E54">
                              <w:pPr>
                                <w:spacing w:after="0" w:line="240" w:lineRule="auto"/>
                              </w:pPr>
                            </w:p>
                          </w:tc>
                        </w:tr>
                      </w:tbl>
                      <w:p w14:paraId="4ACFF5F2" w14:textId="77777777" w:rsidR="00A25E54" w:rsidRDefault="00A25E54">
                        <w:pPr>
                          <w:spacing w:after="0" w:line="240" w:lineRule="auto"/>
                        </w:pPr>
                      </w:p>
                    </w:tc>
                    <w:tc>
                      <w:tcPr>
                        <w:tcW w:w="14" w:type="dxa"/>
                      </w:tcPr>
                      <w:p w14:paraId="4ACFF5F5" w14:textId="77777777" w:rsidR="00A25E54" w:rsidRDefault="00A25E54">
                        <w:pPr>
                          <w:pStyle w:val="EmptyCellLayoutStyle"/>
                          <w:spacing w:after="0" w:line="240" w:lineRule="auto"/>
                        </w:pPr>
                      </w:p>
                    </w:tc>
                    <w:tc>
                      <w:tcPr>
                        <w:tcW w:w="210" w:type="dxa"/>
                      </w:tcPr>
                      <w:p w14:paraId="4ACFF5F6" w14:textId="77777777" w:rsidR="00A25E54" w:rsidRDefault="00A25E54">
                        <w:pPr>
                          <w:pStyle w:val="EmptyCellLayoutStyle"/>
                          <w:spacing w:after="0" w:line="240" w:lineRule="auto"/>
                        </w:pPr>
                      </w:p>
                    </w:tc>
                  </w:tr>
                  <w:tr w:rsidR="00A25E54" w14:paraId="4ACFF602" w14:textId="77777777">
                    <w:trPr>
                      <w:trHeight w:val="214"/>
                    </w:trPr>
                    <w:tc>
                      <w:tcPr>
                        <w:tcW w:w="225" w:type="dxa"/>
                      </w:tcPr>
                      <w:p w14:paraId="4ACFF5F8" w14:textId="77777777" w:rsidR="00A25E54" w:rsidRDefault="00A25E54">
                        <w:pPr>
                          <w:pStyle w:val="EmptyCellLayoutStyle"/>
                          <w:spacing w:after="0" w:line="240" w:lineRule="auto"/>
                        </w:pPr>
                      </w:p>
                    </w:tc>
                    <w:tc>
                      <w:tcPr>
                        <w:tcW w:w="0" w:type="dxa"/>
                      </w:tcPr>
                      <w:p w14:paraId="4ACFF5F9" w14:textId="77777777" w:rsidR="00A25E54" w:rsidRDefault="00A25E54">
                        <w:pPr>
                          <w:pStyle w:val="EmptyCellLayoutStyle"/>
                          <w:spacing w:after="0" w:line="240" w:lineRule="auto"/>
                        </w:pPr>
                      </w:p>
                    </w:tc>
                    <w:tc>
                      <w:tcPr>
                        <w:tcW w:w="6" w:type="dxa"/>
                      </w:tcPr>
                      <w:p w14:paraId="4ACFF5FA" w14:textId="77777777" w:rsidR="00A25E54" w:rsidRDefault="00A25E54">
                        <w:pPr>
                          <w:pStyle w:val="EmptyCellLayoutStyle"/>
                          <w:spacing w:after="0" w:line="240" w:lineRule="auto"/>
                        </w:pPr>
                      </w:p>
                    </w:tc>
                    <w:tc>
                      <w:tcPr>
                        <w:tcW w:w="6" w:type="dxa"/>
                      </w:tcPr>
                      <w:p w14:paraId="4ACFF5FB" w14:textId="77777777" w:rsidR="00A25E54" w:rsidRDefault="00A25E54">
                        <w:pPr>
                          <w:pStyle w:val="EmptyCellLayoutStyle"/>
                          <w:spacing w:after="0" w:line="240" w:lineRule="auto"/>
                        </w:pPr>
                      </w:p>
                    </w:tc>
                    <w:tc>
                      <w:tcPr>
                        <w:tcW w:w="1" w:type="dxa"/>
                      </w:tcPr>
                      <w:p w14:paraId="4ACFF5FC" w14:textId="77777777" w:rsidR="00A25E54" w:rsidRDefault="00A25E54">
                        <w:pPr>
                          <w:pStyle w:val="EmptyCellLayoutStyle"/>
                          <w:spacing w:after="0" w:line="240" w:lineRule="auto"/>
                        </w:pPr>
                      </w:p>
                    </w:tc>
                    <w:tc>
                      <w:tcPr>
                        <w:tcW w:w="12" w:type="dxa"/>
                      </w:tcPr>
                      <w:p w14:paraId="4ACFF5FD" w14:textId="77777777" w:rsidR="00A25E54" w:rsidRDefault="00A25E54">
                        <w:pPr>
                          <w:pStyle w:val="EmptyCellLayoutStyle"/>
                          <w:spacing w:after="0" w:line="240" w:lineRule="auto"/>
                        </w:pPr>
                      </w:p>
                    </w:tc>
                    <w:tc>
                      <w:tcPr>
                        <w:tcW w:w="10366" w:type="dxa"/>
                      </w:tcPr>
                      <w:p w14:paraId="4ACFF5FE" w14:textId="77777777" w:rsidR="00A25E54" w:rsidRDefault="00A25E54">
                        <w:pPr>
                          <w:pStyle w:val="EmptyCellLayoutStyle"/>
                          <w:spacing w:after="0" w:line="240" w:lineRule="auto"/>
                        </w:pPr>
                      </w:p>
                    </w:tc>
                    <w:tc>
                      <w:tcPr>
                        <w:tcW w:w="14" w:type="dxa"/>
                      </w:tcPr>
                      <w:p w14:paraId="4ACFF5FF" w14:textId="77777777" w:rsidR="00A25E54" w:rsidRDefault="00A25E54">
                        <w:pPr>
                          <w:pStyle w:val="EmptyCellLayoutStyle"/>
                          <w:spacing w:after="0" w:line="240" w:lineRule="auto"/>
                        </w:pPr>
                      </w:p>
                    </w:tc>
                    <w:tc>
                      <w:tcPr>
                        <w:tcW w:w="14" w:type="dxa"/>
                      </w:tcPr>
                      <w:p w14:paraId="4ACFF600" w14:textId="77777777" w:rsidR="00A25E54" w:rsidRDefault="00A25E54">
                        <w:pPr>
                          <w:pStyle w:val="EmptyCellLayoutStyle"/>
                          <w:spacing w:after="0" w:line="240" w:lineRule="auto"/>
                        </w:pPr>
                      </w:p>
                    </w:tc>
                    <w:tc>
                      <w:tcPr>
                        <w:tcW w:w="210" w:type="dxa"/>
                      </w:tcPr>
                      <w:p w14:paraId="4ACFF601" w14:textId="77777777" w:rsidR="00A25E54" w:rsidRDefault="00A25E54">
                        <w:pPr>
                          <w:pStyle w:val="EmptyCellLayoutStyle"/>
                          <w:spacing w:after="0" w:line="240" w:lineRule="auto"/>
                        </w:pPr>
                      </w:p>
                    </w:tc>
                  </w:tr>
                  <w:tr w:rsidR="00EA62E3" w14:paraId="4ACFF612" w14:textId="77777777" w:rsidTr="00EA62E3">
                    <w:tc>
                      <w:tcPr>
                        <w:tcW w:w="225" w:type="dxa"/>
                      </w:tcPr>
                      <w:p w14:paraId="4ACFF603" w14:textId="77777777" w:rsidR="00A25E54" w:rsidRDefault="00A25E54">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A25E54" w14:paraId="4ACFF605" w14:textId="77777777">
                          <w:trPr>
                            <w:trHeight w:val="602"/>
                          </w:trPr>
                          <w:tc>
                            <w:tcPr>
                              <w:tcW w:w="10431" w:type="dxa"/>
                              <w:tcBorders>
                                <w:top w:val="nil"/>
                                <w:left w:val="nil"/>
                                <w:bottom w:val="nil"/>
                                <w:right w:val="nil"/>
                              </w:tcBorders>
                              <w:tcMar>
                                <w:top w:w="39" w:type="dxa"/>
                                <w:left w:w="39" w:type="dxa"/>
                                <w:bottom w:w="39" w:type="dxa"/>
                                <w:right w:w="39" w:type="dxa"/>
                              </w:tcMar>
                            </w:tcPr>
                            <w:p w14:paraId="4ACFF604" w14:textId="77777777" w:rsidR="00A25E54" w:rsidRDefault="007A5068">
                              <w:pPr>
                                <w:spacing w:after="0" w:line="240" w:lineRule="auto"/>
                              </w:pPr>
                              <w:r>
                                <w:rPr>
                                  <w:rFonts w:ascii="Segoe UI" w:eastAsia="Segoe UI" w:hAnsi="Segoe UI"/>
                                  <w:b/>
                                  <w:color w:val="000000"/>
                                  <w:sz w:val="32"/>
                                </w:rPr>
                                <w:t>Intervention</w:t>
                              </w:r>
                            </w:p>
                          </w:tc>
                        </w:tr>
                        <w:tr w:rsidR="00A25E54" w14:paraId="4ACFF608"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06" w14:textId="77777777" w:rsidR="00A25E54" w:rsidRDefault="007A5068">
                              <w:pPr>
                                <w:spacing w:after="0" w:line="240" w:lineRule="auto"/>
                              </w:pPr>
                              <w:r>
                                <w:rPr>
                                  <w:rFonts w:ascii="Segoe UI" w:eastAsia="Segoe UI" w:hAnsi="Segoe UI"/>
                                  <w:b/>
                                  <w:color w:val="000000"/>
                                  <w:sz w:val="22"/>
                                </w:rPr>
                                <w:t xml:space="preserve">Name of the proposed health technology: </w:t>
                              </w:r>
                            </w:p>
                            <w:p w14:paraId="4ACFF607" w14:textId="77777777" w:rsidR="00A25E54" w:rsidRDefault="007A5068">
                              <w:pPr>
                                <w:spacing w:after="0" w:line="240" w:lineRule="auto"/>
                              </w:pPr>
                              <w:r>
                                <w:rPr>
                                  <w:rFonts w:ascii="Segoe UI" w:eastAsia="Segoe UI" w:hAnsi="Segoe UI"/>
                                  <w:color w:val="000000"/>
                                  <w:sz w:val="22"/>
                                </w:rPr>
                                <w:t xml:space="preserve">Imlifidase (IDEFIRIX®) </w:t>
                              </w:r>
                            </w:p>
                          </w:tc>
                        </w:tr>
                      </w:tbl>
                      <w:p w14:paraId="4ACFF609" w14:textId="77777777" w:rsidR="00A25E54" w:rsidRDefault="00A25E54">
                        <w:pPr>
                          <w:spacing w:after="0" w:line="240" w:lineRule="auto"/>
                        </w:pPr>
                      </w:p>
                    </w:tc>
                    <w:tc>
                      <w:tcPr>
                        <w:tcW w:w="14" w:type="dxa"/>
                      </w:tcPr>
                      <w:p w14:paraId="4ACFF610" w14:textId="77777777" w:rsidR="00A25E54" w:rsidRDefault="00A25E54">
                        <w:pPr>
                          <w:pStyle w:val="EmptyCellLayoutStyle"/>
                          <w:spacing w:after="0" w:line="240" w:lineRule="auto"/>
                        </w:pPr>
                      </w:p>
                    </w:tc>
                    <w:tc>
                      <w:tcPr>
                        <w:tcW w:w="210" w:type="dxa"/>
                      </w:tcPr>
                      <w:p w14:paraId="4ACFF611" w14:textId="77777777" w:rsidR="00A25E54" w:rsidRDefault="00A25E54">
                        <w:pPr>
                          <w:pStyle w:val="EmptyCellLayoutStyle"/>
                          <w:spacing w:after="0" w:line="240" w:lineRule="auto"/>
                        </w:pPr>
                      </w:p>
                    </w:tc>
                  </w:tr>
                  <w:tr w:rsidR="00A25E54" w14:paraId="4ACFF61D" w14:textId="77777777">
                    <w:trPr>
                      <w:trHeight w:val="142"/>
                    </w:trPr>
                    <w:tc>
                      <w:tcPr>
                        <w:tcW w:w="225" w:type="dxa"/>
                      </w:tcPr>
                      <w:p w14:paraId="4ACFF613" w14:textId="77777777" w:rsidR="00A25E54" w:rsidRDefault="00A25E54">
                        <w:pPr>
                          <w:pStyle w:val="EmptyCellLayoutStyle"/>
                          <w:spacing w:after="0" w:line="240" w:lineRule="auto"/>
                        </w:pPr>
                      </w:p>
                    </w:tc>
                    <w:tc>
                      <w:tcPr>
                        <w:tcW w:w="0" w:type="dxa"/>
                      </w:tcPr>
                      <w:p w14:paraId="4ACFF614" w14:textId="77777777" w:rsidR="00A25E54" w:rsidRDefault="00A25E54">
                        <w:pPr>
                          <w:pStyle w:val="EmptyCellLayoutStyle"/>
                          <w:spacing w:after="0" w:line="240" w:lineRule="auto"/>
                        </w:pPr>
                      </w:p>
                    </w:tc>
                    <w:tc>
                      <w:tcPr>
                        <w:tcW w:w="6" w:type="dxa"/>
                      </w:tcPr>
                      <w:p w14:paraId="4ACFF615" w14:textId="77777777" w:rsidR="00A25E54" w:rsidRDefault="00A25E54">
                        <w:pPr>
                          <w:pStyle w:val="EmptyCellLayoutStyle"/>
                          <w:spacing w:after="0" w:line="240" w:lineRule="auto"/>
                        </w:pPr>
                      </w:p>
                    </w:tc>
                    <w:tc>
                      <w:tcPr>
                        <w:tcW w:w="6" w:type="dxa"/>
                      </w:tcPr>
                      <w:p w14:paraId="4ACFF616" w14:textId="77777777" w:rsidR="00A25E54" w:rsidRDefault="00A25E54">
                        <w:pPr>
                          <w:pStyle w:val="EmptyCellLayoutStyle"/>
                          <w:spacing w:after="0" w:line="240" w:lineRule="auto"/>
                        </w:pPr>
                      </w:p>
                    </w:tc>
                    <w:tc>
                      <w:tcPr>
                        <w:tcW w:w="1" w:type="dxa"/>
                      </w:tcPr>
                      <w:p w14:paraId="4ACFF617" w14:textId="77777777" w:rsidR="00A25E54" w:rsidRDefault="00A25E54">
                        <w:pPr>
                          <w:pStyle w:val="EmptyCellLayoutStyle"/>
                          <w:spacing w:after="0" w:line="240" w:lineRule="auto"/>
                        </w:pPr>
                      </w:p>
                    </w:tc>
                    <w:tc>
                      <w:tcPr>
                        <w:tcW w:w="12" w:type="dxa"/>
                      </w:tcPr>
                      <w:p w14:paraId="4ACFF618" w14:textId="77777777" w:rsidR="00A25E54" w:rsidRDefault="00A25E54">
                        <w:pPr>
                          <w:pStyle w:val="EmptyCellLayoutStyle"/>
                          <w:spacing w:after="0" w:line="240" w:lineRule="auto"/>
                        </w:pPr>
                      </w:p>
                    </w:tc>
                    <w:tc>
                      <w:tcPr>
                        <w:tcW w:w="10366" w:type="dxa"/>
                      </w:tcPr>
                      <w:p w14:paraId="4ACFF619" w14:textId="77777777" w:rsidR="00A25E54" w:rsidRDefault="00A25E54">
                        <w:pPr>
                          <w:pStyle w:val="EmptyCellLayoutStyle"/>
                          <w:spacing w:after="0" w:line="240" w:lineRule="auto"/>
                        </w:pPr>
                      </w:p>
                    </w:tc>
                    <w:tc>
                      <w:tcPr>
                        <w:tcW w:w="14" w:type="dxa"/>
                      </w:tcPr>
                      <w:p w14:paraId="4ACFF61A" w14:textId="77777777" w:rsidR="00A25E54" w:rsidRDefault="00A25E54">
                        <w:pPr>
                          <w:pStyle w:val="EmptyCellLayoutStyle"/>
                          <w:spacing w:after="0" w:line="240" w:lineRule="auto"/>
                        </w:pPr>
                      </w:p>
                    </w:tc>
                    <w:tc>
                      <w:tcPr>
                        <w:tcW w:w="14" w:type="dxa"/>
                      </w:tcPr>
                      <w:p w14:paraId="4ACFF61B" w14:textId="77777777" w:rsidR="00A25E54" w:rsidRDefault="00A25E54">
                        <w:pPr>
                          <w:pStyle w:val="EmptyCellLayoutStyle"/>
                          <w:spacing w:after="0" w:line="240" w:lineRule="auto"/>
                        </w:pPr>
                      </w:p>
                    </w:tc>
                    <w:tc>
                      <w:tcPr>
                        <w:tcW w:w="210" w:type="dxa"/>
                      </w:tcPr>
                      <w:p w14:paraId="4ACFF61C" w14:textId="77777777" w:rsidR="00A25E54" w:rsidRDefault="00A25E54">
                        <w:pPr>
                          <w:pStyle w:val="EmptyCellLayoutStyle"/>
                          <w:spacing w:after="0" w:line="240" w:lineRule="auto"/>
                        </w:pPr>
                      </w:p>
                    </w:tc>
                  </w:tr>
                  <w:tr w:rsidR="00EA62E3" w14:paraId="4ACFF62D" w14:textId="77777777" w:rsidTr="00EA62E3">
                    <w:tc>
                      <w:tcPr>
                        <w:tcW w:w="225" w:type="dxa"/>
                      </w:tcPr>
                      <w:p w14:paraId="4ACFF61E" w14:textId="77777777" w:rsidR="00A25E54" w:rsidRDefault="00A25E54">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A25E54" w14:paraId="4ACFF620" w14:textId="77777777">
                          <w:trPr>
                            <w:trHeight w:val="602"/>
                          </w:trPr>
                          <w:tc>
                            <w:tcPr>
                              <w:tcW w:w="10416" w:type="dxa"/>
                              <w:tcBorders>
                                <w:top w:val="nil"/>
                                <w:left w:val="nil"/>
                                <w:bottom w:val="nil"/>
                                <w:right w:val="nil"/>
                              </w:tcBorders>
                              <w:tcMar>
                                <w:top w:w="39" w:type="dxa"/>
                                <w:left w:w="39" w:type="dxa"/>
                                <w:bottom w:w="39" w:type="dxa"/>
                                <w:right w:w="39" w:type="dxa"/>
                              </w:tcMar>
                            </w:tcPr>
                            <w:p w14:paraId="4ACFF61F" w14:textId="77777777" w:rsidR="00A25E54" w:rsidRDefault="007A5068">
                              <w:pPr>
                                <w:spacing w:after="0" w:line="240" w:lineRule="auto"/>
                              </w:pPr>
                              <w:r>
                                <w:rPr>
                                  <w:rFonts w:ascii="Segoe UI" w:eastAsia="Segoe UI" w:hAnsi="Segoe UI"/>
                                  <w:b/>
                                  <w:color w:val="000000"/>
                                  <w:sz w:val="32"/>
                                </w:rPr>
                                <w:t>Comparator</w:t>
                              </w:r>
                            </w:p>
                          </w:tc>
                        </w:tr>
                        <w:tr w:rsidR="00A25E54" w14:paraId="4ACFF623" w14:textId="77777777">
                          <w:trPr>
                            <w:trHeight w:val="262"/>
                          </w:trPr>
                          <w:tc>
                            <w:tcPr>
                              <w:tcW w:w="10416" w:type="dxa"/>
                              <w:tcBorders>
                                <w:top w:val="nil"/>
                                <w:left w:val="nil"/>
                                <w:bottom w:val="nil"/>
                                <w:right w:val="nil"/>
                              </w:tcBorders>
                              <w:tcMar>
                                <w:top w:w="39" w:type="dxa"/>
                                <w:left w:w="479" w:type="dxa"/>
                                <w:bottom w:w="39" w:type="dxa"/>
                                <w:right w:w="39" w:type="dxa"/>
                              </w:tcMar>
                            </w:tcPr>
                            <w:p w14:paraId="4ACFF621" w14:textId="77777777" w:rsidR="00A25E54" w:rsidRDefault="007A5068">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4ACFF622" w14:textId="77777777" w:rsidR="00A25E54" w:rsidRDefault="007A5068">
                              <w:pPr>
                                <w:spacing w:after="0" w:line="240" w:lineRule="auto"/>
                              </w:pPr>
                              <w:r>
                                <w:rPr>
                                  <w:rFonts w:ascii="Segoe UI" w:eastAsia="Segoe UI" w:hAnsi="Segoe UI"/>
                                  <w:color w:val="000000"/>
                                  <w:sz w:val="22"/>
                                </w:rPr>
                                <w:t>Current care in the absence of imlifidase: dialysis until a transplant becomes available.</w:t>
                              </w:r>
                            </w:p>
                          </w:tc>
                        </w:tr>
                      </w:tbl>
                      <w:p w14:paraId="4ACFF624" w14:textId="77777777" w:rsidR="00A25E54" w:rsidRDefault="00A25E54">
                        <w:pPr>
                          <w:spacing w:after="0" w:line="240" w:lineRule="auto"/>
                        </w:pPr>
                      </w:p>
                    </w:tc>
                    <w:tc>
                      <w:tcPr>
                        <w:tcW w:w="14" w:type="dxa"/>
                      </w:tcPr>
                      <w:p w14:paraId="4ACFF62B" w14:textId="77777777" w:rsidR="00A25E54" w:rsidRDefault="00A25E54">
                        <w:pPr>
                          <w:pStyle w:val="EmptyCellLayoutStyle"/>
                          <w:spacing w:after="0" w:line="240" w:lineRule="auto"/>
                        </w:pPr>
                      </w:p>
                    </w:tc>
                    <w:tc>
                      <w:tcPr>
                        <w:tcW w:w="210" w:type="dxa"/>
                      </w:tcPr>
                      <w:p w14:paraId="4ACFF62C" w14:textId="77777777" w:rsidR="00A25E54" w:rsidRDefault="00A25E54">
                        <w:pPr>
                          <w:pStyle w:val="EmptyCellLayoutStyle"/>
                          <w:spacing w:after="0" w:line="240" w:lineRule="auto"/>
                        </w:pPr>
                      </w:p>
                    </w:tc>
                  </w:tr>
                  <w:tr w:rsidR="00A25E54" w14:paraId="4ACFF638" w14:textId="77777777">
                    <w:trPr>
                      <w:trHeight w:val="121"/>
                    </w:trPr>
                    <w:tc>
                      <w:tcPr>
                        <w:tcW w:w="225" w:type="dxa"/>
                      </w:tcPr>
                      <w:p w14:paraId="4ACFF62E" w14:textId="77777777" w:rsidR="00A25E54" w:rsidRDefault="00A25E54">
                        <w:pPr>
                          <w:pStyle w:val="EmptyCellLayoutStyle"/>
                          <w:spacing w:after="0" w:line="240" w:lineRule="auto"/>
                        </w:pPr>
                      </w:p>
                    </w:tc>
                    <w:tc>
                      <w:tcPr>
                        <w:tcW w:w="0" w:type="dxa"/>
                      </w:tcPr>
                      <w:p w14:paraId="4ACFF62F" w14:textId="77777777" w:rsidR="00A25E54" w:rsidRDefault="00A25E54">
                        <w:pPr>
                          <w:pStyle w:val="EmptyCellLayoutStyle"/>
                          <w:spacing w:after="0" w:line="240" w:lineRule="auto"/>
                        </w:pPr>
                      </w:p>
                    </w:tc>
                    <w:tc>
                      <w:tcPr>
                        <w:tcW w:w="6" w:type="dxa"/>
                      </w:tcPr>
                      <w:p w14:paraId="4ACFF630" w14:textId="77777777" w:rsidR="00A25E54" w:rsidRDefault="00A25E54">
                        <w:pPr>
                          <w:pStyle w:val="EmptyCellLayoutStyle"/>
                          <w:spacing w:after="0" w:line="240" w:lineRule="auto"/>
                        </w:pPr>
                      </w:p>
                    </w:tc>
                    <w:tc>
                      <w:tcPr>
                        <w:tcW w:w="6" w:type="dxa"/>
                      </w:tcPr>
                      <w:p w14:paraId="4ACFF631" w14:textId="77777777" w:rsidR="00A25E54" w:rsidRDefault="00A25E54">
                        <w:pPr>
                          <w:pStyle w:val="EmptyCellLayoutStyle"/>
                          <w:spacing w:after="0" w:line="240" w:lineRule="auto"/>
                        </w:pPr>
                      </w:p>
                    </w:tc>
                    <w:tc>
                      <w:tcPr>
                        <w:tcW w:w="1" w:type="dxa"/>
                      </w:tcPr>
                      <w:p w14:paraId="4ACFF632" w14:textId="77777777" w:rsidR="00A25E54" w:rsidRDefault="00A25E54">
                        <w:pPr>
                          <w:pStyle w:val="EmptyCellLayoutStyle"/>
                          <w:spacing w:after="0" w:line="240" w:lineRule="auto"/>
                        </w:pPr>
                      </w:p>
                    </w:tc>
                    <w:tc>
                      <w:tcPr>
                        <w:tcW w:w="12" w:type="dxa"/>
                      </w:tcPr>
                      <w:p w14:paraId="4ACFF633" w14:textId="77777777" w:rsidR="00A25E54" w:rsidRDefault="00A25E54">
                        <w:pPr>
                          <w:pStyle w:val="EmptyCellLayoutStyle"/>
                          <w:spacing w:after="0" w:line="240" w:lineRule="auto"/>
                        </w:pPr>
                      </w:p>
                    </w:tc>
                    <w:tc>
                      <w:tcPr>
                        <w:tcW w:w="10366" w:type="dxa"/>
                      </w:tcPr>
                      <w:p w14:paraId="4ACFF634" w14:textId="77777777" w:rsidR="00A25E54" w:rsidRDefault="00A25E54">
                        <w:pPr>
                          <w:pStyle w:val="EmptyCellLayoutStyle"/>
                          <w:spacing w:after="0" w:line="240" w:lineRule="auto"/>
                        </w:pPr>
                      </w:p>
                    </w:tc>
                    <w:tc>
                      <w:tcPr>
                        <w:tcW w:w="14" w:type="dxa"/>
                      </w:tcPr>
                      <w:p w14:paraId="4ACFF635" w14:textId="77777777" w:rsidR="00A25E54" w:rsidRDefault="00A25E54">
                        <w:pPr>
                          <w:pStyle w:val="EmptyCellLayoutStyle"/>
                          <w:spacing w:after="0" w:line="240" w:lineRule="auto"/>
                        </w:pPr>
                      </w:p>
                    </w:tc>
                    <w:tc>
                      <w:tcPr>
                        <w:tcW w:w="14" w:type="dxa"/>
                      </w:tcPr>
                      <w:p w14:paraId="4ACFF636" w14:textId="77777777" w:rsidR="00A25E54" w:rsidRDefault="00A25E54">
                        <w:pPr>
                          <w:pStyle w:val="EmptyCellLayoutStyle"/>
                          <w:spacing w:after="0" w:line="240" w:lineRule="auto"/>
                        </w:pPr>
                      </w:p>
                    </w:tc>
                    <w:tc>
                      <w:tcPr>
                        <w:tcW w:w="210" w:type="dxa"/>
                      </w:tcPr>
                      <w:p w14:paraId="4ACFF637" w14:textId="77777777" w:rsidR="00A25E54" w:rsidRDefault="00A25E54">
                        <w:pPr>
                          <w:pStyle w:val="EmptyCellLayoutStyle"/>
                          <w:spacing w:after="0" w:line="240" w:lineRule="auto"/>
                        </w:pPr>
                      </w:p>
                    </w:tc>
                  </w:tr>
                  <w:tr w:rsidR="00EA62E3" w14:paraId="4ACFF648" w14:textId="77777777" w:rsidTr="00EA62E3">
                    <w:tc>
                      <w:tcPr>
                        <w:tcW w:w="225" w:type="dxa"/>
                      </w:tcPr>
                      <w:p w14:paraId="4ACFF639" w14:textId="77777777" w:rsidR="00A25E54" w:rsidRDefault="00A25E54">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A25E54" w14:paraId="4ACFF63B" w14:textId="77777777">
                          <w:trPr>
                            <w:trHeight w:val="602"/>
                          </w:trPr>
                          <w:tc>
                            <w:tcPr>
                              <w:tcW w:w="10416" w:type="dxa"/>
                              <w:tcBorders>
                                <w:top w:val="nil"/>
                                <w:left w:val="nil"/>
                                <w:bottom w:val="nil"/>
                                <w:right w:val="nil"/>
                              </w:tcBorders>
                              <w:tcMar>
                                <w:top w:w="39" w:type="dxa"/>
                                <w:left w:w="39" w:type="dxa"/>
                                <w:bottom w:w="39" w:type="dxa"/>
                                <w:right w:w="39" w:type="dxa"/>
                              </w:tcMar>
                            </w:tcPr>
                            <w:p w14:paraId="4ACFF63A" w14:textId="77777777" w:rsidR="00A25E54" w:rsidRDefault="007A5068">
                              <w:pPr>
                                <w:spacing w:after="0" w:line="240" w:lineRule="auto"/>
                              </w:pPr>
                              <w:r>
                                <w:rPr>
                                  <w:rFonts w:ascii="Segoe UI" w:eastAsia="Segoe UI" w:hAnsi="Segoe UI"/>
                                  <w:b/>
                                  <w:color w:val="000000"/>
                                  <w:sz w:val="32"/>
                                </w:rPr>
                                <w:t>Outcomes</w:t>
                              </w:r>
                            </w:p>
                          </w:tc>
                        </w:tr>
                        <w:tr w:rsidR="00A25E54" w14:paraId="4ACFF63E" w14:textId="77777777">
                          <w:trPr>
                            <w:trHeight w:val="262"/>
                          </w:trPr>
                          <w:tc>
                            <w:tcPr>
                              <w:tcW w:w="10416" w:type="dxa"/>
                              <w:tcBorders>
                                <w:top w:val="nil"/>
                                <w:left w:val="nil"/>
                                <w:bottom w:val="nil"/>
                                <w:right w:val="nil"/>
                              </w:tcBorders>
                              <w:tcMar>
                                <w:top w:w="39" w:type="dxa"/>
                                <w:left w:w="479" w:type="dxa"/>
                                <w:bottom w:w="39" w:type="dxa"/>
                                <w:right w:w="39" w:type="dxa"/>
                              </w:tcMar>
                            </w:tcPr>
                            <w:p w14:paraId="4ACFF63C" w14:textId="77777777" w:rsidR="00A25E54" w:rsidRDefault="007A5068">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4ACFF63D" w14:textId="77777777" w:rsidR="00A25E54" w:rsidRDefault="007A5068">
                              <w:pPr>
                                <w:spacing w:after="0" w:line="240" w:lineRule="auto"/>
                              </w:pPr>
                              <w:r>
                                <w:rPr>
                                  <w:rFonts w:ascii="Segoe UI" w:eastAsia="Segoe UI" w:hAnsi="Segoe UI"/>
                                  <w:color w:val="000000"/>
                                  <w:sz w:val="22"/>
                                </w:rPr>
                                <w:t xml:space="preserve">The intended patient outcome is a kidney transplant in a patient who would otherwise remain on dialysis. Imlifidase is a novel desensitisation therapy derived from Streptococcus pyogenes that cleaves immunoglobulin G (IgG) molecules, enabling kidney transplantation in highly sensitised patients. Imlifidase provides a rapid, effective, and convenient means for desensitisation within a few hours, converting patients from crossmatch positive to an available donor, to negative, enabling transplantation in a patient population who would otherwise remain on dialysis for life or die waiting for a kidney transplant. Imlifidase works consistently across different levels of sensitisation and baseline DSAs; even for the most highly sensitised patients (cPRA ≥99%). </w:t>
                              </w:r>
                            </w:p>
                          </w:tc>
                        </w:tr>
                      </w:tbl>
                      <w:p w14:paraId="4ACFF63F" w14:textId="77777777" w:rsidR="00A25E54" w:rsidRDefault="00A25E54">
                        <w:pPr>
                          <w:spacing w:after="0" w:line="240" w:lineRule="auto"/>
                        </w:pPr>
                      </w:p>
                    </w:tc>
                    <w:tc>
                      <w:tcPr>
                        <w:tcW w:w="14" w:type="dxa"/>
                      </w:tcPr>
                      <w:p w14:paraId="4ACFF646" w14:textId="77777777" w:rsidR="00A25E54" w:rsidRDefault="00A25E54">
                        <w:pPr>
                          <w:pStyle w:val="EmptyCellLayoutStyle"/>
                          <w:spacing w:after="0" w:line="240" w:lineRule="auto"/>
                        </w:pPr>
                      </w:p>
                    </w:tc>
                    <w:tc>
                      <w:tcPr>
                        <w:tcW w:w="210" w:type="dxa"/>
                      </w:tcPr>
                      <w:p w14:paraId="4ACFF647" w14:textId="77777777" w:rsidR="00A25E54" w:rsidRDefault="00A25E54">
                        <w:pPr>
                          <w:pStyle w:val="EmptyCellLayoutStyle"/>
                          <w:spacing w:after="0" w:line="240" w:lineRule="auto"/>
                        </w:pPr>
                      </w:p>
                    </w:tc>
                  </w:tr>
                  <w:tr w:rsidR="00A25E54" w14:paraId="4ACFF653" w14:textId="77777777">
                    <w:trPr>
                      <w:trHeight w:val="107"/>
                    </w:trPr>
                    <w:tc>
                      <w:tcPr>
                        <w:tcW w:w="225" w:type="dxa"/>
                      </w:tcPr>
                      <w:p w14:paraId="4ACFF649" w14:textId="77777777" w:rsidR="00A25E54" w:rsidRDefault="00A25E54">
                        <w:pPr>
                          <w:pStyle w:val="EmptyCellLayoutStyle"/>
                          <w:spacing w:after="0" w:line="240" w:lineRule="auto"/>
                        </w:pPr>
                      </w:p>
                    </w:tc>
                    <w:tc>
                      <w:tcPr>
                        <w:tcW w:w="0" w:type="dxa"/>
                      </w:tcPr>
                      <w:p w14:paraId="4ACFF64A" w14:textId="77777777" w:rsidR="00A25E54" w:rsidRDefault="00A25E54">
                        <w:pPr>
                          <w:pStyle w:val="EmptyCellLayoutStyle"/>
                          <w:spacing w:after="0" w:line="240" w:lineRule="auto"/>
                        </w:pPr>
                      </w:p>
                    </w:tc>
                    <w:tc>
                      <w:tcPr>
                        <w:tcW w:w="6" w:type="dxa"/>
                      </w:tcPr>
                      <w:p w14:paraId="4ACFF64B" w14:textId="77777777" w:rsidR="00A25E54" w:rsidRDefault="00A25E54">
                        <w:pPr>
                          <w:pStyle w:val="EmptyCellLayoutStyle"/>
                          <w:spacing w:after="0" w:line="240" w:lineRule="auto"/>
                        </w:pPr>
                      </w:p>
                    </w:tc>
                    <w:tc>
                      <w:tcPr>
                        <w:tcW w:w="6" w:type="dxa"/>
                      </w:tcPr>
                      <w:p w14:paraId="4ACFF64C" w14:textId="77777777" w:rsidR="00A25E54" w:rsidRDefault="00A25E54">
                        <w:pPr>
                          <w:pStyle w:val="EmptyCellLayoutStyle"/>
                          <w:spacing w:after="0" w:line="240" w:lineRule="auto"/>
                        </w:pPr>
                      </w:p>
                    </w:tc>
                    <w:tc>
                      <w:tcPr>
                        <w:tcW w:w="1" w:type="dxa"/>
                      </w:tcPr>
                      <w:p w14:paraId="4ACFF64D" w14:textId="77777777" w:rsidR="00A25E54" w:rsidRDefault="00A25E54">
                        <w:pPr>
                          <w:pStyle w:val="EmptyCellLayoutStyle"/>
                          <w:spacing w:after="0" w:line="240" w:lineRule="auto"/>
                        </w:pPr>
                      </w:p>
                    </w:tc>
                    <w:tc>
                      <w:tcPr>
                        <w:tcW w:w="12" w:type="dxa"/>
                      </w:tcPr>
                      <w:p w14:paraId="4ACFF64E" w14:textId="77777777" w:rsidR="00A25E54" w:rsidRDefault="00A25E54">
                        <w:pPr>
                          <w:pStyle w:val="EmptyCellLayoutStyle"/>
                          <w:spacing w:after="0" w:line="240" w:lineRule="auto"/>
                        </w:pPr>
                      </w:p>
                    </w:tc>
                    <w:tc>
                      <w:tcPr>
                        <w:tcW w:w="10366" w:type="dxa"/>
                      </w:tcPr>
                      <w:p w14:paraId="4ACFF64F" w14:textId="77777777" w:rsidR="00A25E54" w:rsidRDefault="00A25E54">
                        <w:pPr>
                          <w:pStyle w:val="EmptyCellLayoutStyle"/>
                          <w:spacing w:after="0" w:line="240" w:lineRule="auto"/>
                        </w:pPr>
                      </w:p>
                    </w:tc>
                    <w:tc>
                      <w:tcPr>
                        <w:tcW w:w="14" w:type="dxa"/>
                      </w:tcPr>
                      <w:p w14:paraId="4ACFF650" w14:textId="77777777" w:rsidR="00A25E54" w:rsidRDefault="00A25E54">
                        <w:pPr>
                          <w:pStyle w:val="EmptyCellLayoutStyle"/>
                          <w:spacing w:after="0" w:line="240" w:lineRule="auto"/>
                        </w:pPr>
                      </w:p>
                    </w:tc>
                    <w:tc>
                      <w:tcPr>
                        <w:tcW w:w="14" w:type="dxa"/>
                      </w:tcPr>
                      <w:p w14:paraId="4ACFF651" w14:textId="77777777" w:rsidR="00A25E54" w:rsidRDefault="00A25E54">
                        <w:pPr>
                          <w:pStyle w:val="EmptyCellLayoutStyle"/>
                          <w:spacing w:after="0" w:line="240" w:lineRule="auto"/>
                        </w:pPr>
                      </w:p>
                    </w:tc>
                    <w:tc>
                      <w:tcPr>
                        <w:tcW w:w="210" w:type="dxa"/>
                      </w:tcPr>
                      <w:p w14:paraId="4ACFF652" w14:textId="77777777" w:rsidR="00A25E54" w:rsidRDefault="00A25E54">
                        <w:pPr>
                          <w:pStyle w:val="EmptyCellLayoutStyle"/>
                          <w:spacing w:after="0" w:line="240" w:lineRule="auto"/>
                        </w:pPr>
                      </w:p>
                    </w:tc>
                  </w:tr>
                  <w:tr w:rsidR="00EA62E3" w14:paraId="4ACFF660" w14:textId="77777777" w:rsidTr="00EA62E3">
                    <w:trPr>
                      <w:trHeight w:val="520"/>
                    </w:trPr>
                    <w:tc>
                      <w:tcPr>
                        <w:tcW w:w="225" w:type="dxa"/>
                      </w:tcPr>
                      <w:p w14:paraId="4ACFF654" w14:textId="77777777" w:rsidR="00A25E54" w:rsidRDefault="00A25E54">
                        <w:pPr>
                          <w:pStyle w:val="EmptyCellLayoutStyle"/>
                          <w:spacing w:after="0" w:line="240" w:lineRule="auto"/>
                        </w:pPr>
                      </w:p>
                    </w:tc>
                    <w:tc>
                      <w:tcPr>
                        <w:tcW w:w="0" w:type="dxa"/>
                      </w:tcPr>
                      <w:p w14:paraId="4ACFF655" w14:textId="77777777" w:rsidR="00A25E54" w:rsidRDefault="00A25E54">
                        <w:pPr>
                          <w:pStyle w:val="EmptyCellLayoutStyle"/>
                          <w:spacing w:after="0" w:line="240" w:lineRule="auto"/>
                        </w:pPr>
                      </w:p>
                    </w:tc>
                    <w:tc>
                      <w:tcPr>
                        <w:tcW w:w="6" w:type="dxa"/>
                        <w:gridSpan w:val="6"/>
                      </w:tcPr>
                      <w:tbl>
                        <w:tblPr>
                          <w:tblW w:w="0" w:type="auto"/>
                          <w:tblCellMar>
                            <w:left w:w="0" w:type="dxa"/>
                            <w:right w:w="0" w:type="dxa"/>
                          </w:tblCellMar>
                          <w:tblLook w:val="04A0" w:firstRow="1" w:lastRow="0" w:firstColumn="1" w:lastColumn="0" w:noHBand="0" w:noVBand="1"/>
                        </w:tblPr>
                        <w:tblGrid>
                          <w:gridCol w:w="10410"/>
                        </w:tblGrid>
                        <w:tr w:rsidR="00A25E54" w14:paraId="4ACFF657" w14:textId="77777777">
                          <w:trPr>
                            <w:trHeight w:val="442"/>
                          </w:trPr>
                          <w:tc>
                            <w:tcPr>
                              <w:tcW w:w="10430" w:type="dxa"/>
                              <w:tcBorders>
                                <w:top w:val="nil"/>
                                <w:left w:val="nil"/>
                                <w:bottom w:val="nil"/>
                                <w:right w:val="nil"/>
                              </w:tcBorders>
                              <w:tcMar>
                                <w:top w:w="39" w:type="dxa"/>
                                <w:left w:w="39" w:type="dxa"/>
                                <w:bottom w:w="39" w:type="dxa"/>
                                <w:right w:w="39" w:type="dxa"/>
                              </w:tcMar>
                            </w:tcPr>
                            <w:p w14:paraId="4ACFF656" w14:textId="77777777" w:rsidR="00A25E54" w:rsidRDefault="007A5068">
                              <w:pPr>
                                <w:spacing w:after="0" w:line="240" w:lineRule="auto"/>
                              </w:pPr>
                              <w:r>
                                <w:rPr>
                                  <w:rFonts w:ascii="Segoe UI" w:eastAsia="Segoe UI" w:hAnsi="Segoe UI"/>
                                  <w:b/>
                                  <w:color w:val="000000"/>
                                  <w:sz w:val="32"/>
                                </w:rPr>
                                <w:t>Specified restrictions for funding</w:t>
                              </w:r>
                            </w:p>
                          </w:tc>
                        </w:tr>
                      </w:tbl>
                      <w:p w14:paraId="4ACFF658" w14:textId="77777777" w:rsidR="00A25E54" w:rsidRDefault="00A25E54">
                        <w:pPr>
                          <w:spacing w:after="0" w:line="240" w:lineRule="auto"/>
                        </w:pPr>
                      </w:p>
                    </w:tc>
                    <w:tc>
                      <w:tcPr>
                        <w:tcW w:w="14" w:type="dxa"/>
                      </w:tcPr>
                      <w:p w14:paraId="4ACFF65E" w14:textId="77777777" w:rsidR="00A25E54" w:rsidRDefault="00A25E54">
                        <w:pPr>
                          <w:pStyle w:val="EmptyCellLayoutStyle"/>
                          <w:spacing w:after="0" w:line="240" w:lineRule="auto"/>
                        </w:pPr>
                      </w:p>
                    </w:tc>
                    <w:tc>
                      <w:tcPr>
                        <w:tcW w:w="210" w:type="dxa"/>
                      </w:tcPr>
                      <w:p w14:paraId="4ACFF65F" w14:textId="77777777" w:rsidR="00A25E54" w:rsidRDefault="00A25E54">
                        <w:pPr>
                          <w:pStyle w:val="EmptyCellLayoutStyle"/>
                          <w:spacing w:after="0" w:line="240" w:lineRule="auto"/>
                        </w:pPr>
                      </w:p>
                    </w:tc>
                  </w:tr>
                  <w:tr w:rsidR="00A25E54" w14:paraId="4ACFF66B" w14:textId="77777777">
                    <w:trPr>
                      <w:trHeight w:val="70"/>
                    </w:trPr>
                    <w:tc>
                      <w:tcPr>
                        <w:tcW w:w="225" w:type="dxa"/>
                      </w:tcPr>
                      <w:p w14:paraId="4ACFF661" w14:textId="77777777" w:rsidR="00A25E54" w:rsidRDefault="00A25E54">
                        <w:pPr>
                          <w:pStyle w:val="EmptyCellLayoutStyle"/>
                          <w:spacing w:after="0" w:line="240" w:lineRule="auto"/>
                        </w:pPr>
                      </w:p>
                    </w:tc>
                    <w:tc>
                      <w:tcPr>
                        <w:tcW w:w="0" w:type="dxa"/>
                      </w:tcPr>
                      <w:p w14:paraId="4ACFF662" w14:textId="77777777" w:rsidR="00A25E54" w:rsidRDefault="00A25E54">
                        <w:pPr>
                          <w:pStyle w:val="EmptyCellLayoutStyle"/>
                          <w:spacing w:after="0" w:line="240" w:lineRule="auto"/>
                        </w:pPr>
                      </w:p>
                    </w:tc>
                    <w:tc>
                      <w:tcPr>
                        <w:tcW w:w="6" w:type="dxa"/>
                      </w:tcPr>
                      <w:p w14:paraId="4ACFF663" w14:textId="77777777" w:rsidR="00A25E54" w:rsidRDefault="00A25E54">
                        <w:pPr>
                          <w:pStyle w:val="EmptyCellLayoutStyle"/>
                          <w:spacing w:after="0" w:line="240" w:lineRule="auto"/>
                        </w:pPr>
                      </w:p>
                    </w:tc>
                    <w:tc>
                      <w:tcPr>
                        <w:tcW w:w="6" w:type="dxa"/>
                      </w:tcPr>
                      <w:p w14:paraId="4ACFF664" w14:textId="77777777" w:rsidR="00A25E54" w:rsidRDefault="00A25E54">
                        <w:pPr>
                          <w:pStyle w:val="EmptyCellLayoutStyle"/>
                          <w:spacing w:after="0" w:line="240" w:lineRule="auto"/>
                        </w:pPr>
                      </w:p>
                    </w:tc>
                    <w:tc>
                      <w:tcPr>
                        <w:tcW w:w="1" w:type="dxa"/>
                      </w:tcPr>
                      <w:p w14:paraId="4ACFF665" w14:textId="77777777" w:rsidR="00A25E54" w:rsidRDefault="00A25E54">
                        <w:pPr>
                          <w:pStyle w:val="EmptyCellLayoutStyle"/>
                          <w:spacing w:after="0" w:line="240" w:lineRule="auto"/>
                        </w:pPr>
                      </w:p>
                    </w:tc>
                    <w:tc>
                      <w:tcPr>
                        <w:tcW w:w="12" w:type="dxa"/>
                      </w:tcPr>
                      <w:p w14:paraId="4ACFF666" w14:textId="77777777" w:rsidR="00A25E54" w:rsidRDefault="00A25E54">
                        <w:pPr>
                          <w:pStyle w:val="EmptyCellLayoutStyle"/>
                          <w:spacing w:after="0" w:line="240" w:lineRule="auto"/>
                        </w:pPr>
                      </w:p>
                    </w:tc>
                    <w:tc>
                      <w:tcPr>
                        <w:tcW w:w="10366" w:type="dxa"/>
                      </w:tcPr>
                      <w:p w14:paraId="4ACFF667" w14:textId="77777777" w:rsidR="00A25E54" w:rsidRDefault="00A25E54">
                        <w:pPr>
                          <w:pStyle w:val="EmptyCellLayoutStyle"/>
                          <w:spacing w:after="0" w:line="240" w:lineRule="auto"/>
                        </w:pPr>
                      </w:p>
                    </w:tc>
                    <w:tc>
                      <w:tcPr>
                        <w:tcW w:w="14" w:type="dxa"/>
                      </w:tcPr>
                      <w:p w14:paraId="4ACFF668" w14:textId="77777777" w:rsidR="00A25E54" w:rsidRDefault="00A25E54">
                        <w:pPr>
                          <w:pStyle w:val="EmptyCellLayoutStyle"/>
                          <w:spacing w:after="0" w:line="240" w:lineRule="auto"/>
                        </w:pPr>
                      </w:p>
                    </w:tc>
                    <w:tc>
                      <w:tcPr>
                        <w:tcW w:w="14" w:type="dxa"/>
                      </w:tcPr>
                      <w:p w14:paraId="4ACFF669" w14:textId="77777777" w:rsidR="00A25E54" w:rsidRDefault="00A25E54">
                        <w:pPr>
                          <w:pStyle w:val="EmptyCellLayoutStyle"/>
                          <w:spacing w:after="0" w:line="240" w:lineRule="auto"/>
                        </w:pPr>
                      </w:p>
                    </w:tc>
                    <w:tc>
                      <w:tcPr>
                        <w:tcW w:w="210" w:type="dxa"/>
                      </w:tcPr>
                      <w:p w14:paraId="4ACFF66A" w14:textId="77777777" w:rsidR="00A25E54" w:rsidRDefault="00A25E54">
                        <w:pPr>
                          <w:pStyle w:val="EmptyCellLayoutStyle"/>
                          <w:spacing w:after="0" w:line="240" w:lineRule="auto"/>
                        </w:pPr>
                      </w:p>
                    </w:tc>
                  </w:tr>
                  <w:tr w:rsidR="00EA62E3" w14:paraId="4ACFF678" w14:textId="77777777" w:rsidTr="00EA62E3">
                    <w:trPr>
                      <w:trHeight w:val="340"/>
                    </w:trPr>
                    <w:tc>
                      <w:tcPr>
                        <w:tcW w:w="225" w:type="dxa"/>
                      </w:tcPr>
                      <w:p w14:paraId="4ACFF66C" w14:textId="77777777" w:rsidR="00A25E54" w:rsidRDefault="00A25E54">
                        <w:pPr>
                          <w:pStyle w:val="EmptyCellLayoutStyle"/>
                          <w:spacing w:after="0" w:line="240" w:lineRule="auto"/>
                        </w:pPr>
                      </w:p>
                    </w:tc>
                    <w:tc>
                      <w:tcPr>
                        <w:tcW w:w="0" w:type="dxa"/>
                      </w:tcPr>
                      <w:p w14:paraId="4ACFF66D" w14:textId="77777777" w:rsidR="00A25E54" w:rsidRDefault="00A25E54">
                        <w:pPr>
                          <w:pStyle w:val="EmptyCellLayoutStyle"/>
                          <w:spacing w:after="0" w:line="240" w:lineRule="auto"/>
                        </w:pPr>
                      </w:p>
                    </w:tc>
                    <w:tc>
                      <w:tcPr>
                        <w:tcW w:w="6" w:type="dxa"/>
                      </w:tcPr>
                      <w:p w14:paraId="4ACFF66E" w14:textId="77777777" w:rsidR="00A25E54" w:rsidRDefault="00A25E54">
                        <w:pPr>
                          <w:pStyle w:val="EmptyCellLayoutStyle"/>
                          <w:spacing w:after="0" w:line="240" w:lineRule="auto"/>
                        </w:pPr>
                      </w:p>
                    </w:tc>
                    <w:tc>
                      <w:tcPr>
                        <w:tcW w:w="6" w:type="dxa"/>
                      </w:tcPr>
                      <w:p w14:paraId="4ACFF66F" w14:textId="77777777" w:rsidR="00A25E54" w:rsidRDefault="00A25E54">
                        <w:pPr>
                          <w:pStyle w:val="EmptyCellLayoutStyle"/>
                          <w:spacing w:after="0" w:line="240" w:lineRule="auto"/>
                        </w:pPr>
                      </w:p>
                    </w:tc>
                    <w:tc>
                      <w:tcPr>
                        <w:tcW w:w="1" w:type="dxa"/>
                      </w:tcPr>
                      <w:p w14:paraId="4ACFF670" w14:textId="77777777" w:rsidR="00A25E54" w:rsidRDefault="00A25E54">
                        <w:pPr>
                          <w:pStyle w:val="EmptyCellLayoutStyle"/>
                          <w:spacing w:after="0" w:line="240" w:lineRule="auto"/>
                        </w:pPr>
                      </w:p>
                    </w:tc>
                    <w:tc>
                      <w:tcPr>
                        <w:tcW w:w="12" w:type="dxa"/>
                      </w:tcPr>
                      <w:p w14:paraId="4ACFF671" w14:textId="77777777" w:rsidR="00A25E54" w:rsidRDefault="00A25E54">
                        <w:pPr>
                          <w:pStyle w:val="EmptyCellLayoutStyle"/>
                          <w:spacing w:after="0" w:line="240" w:lineRule="auto"/>
                        </w:pPr>
                      </w:p>
                    </w:tc>
                    <w:tc>
                      <w:tcPr>
                        <w:tcW w:w="10366" w:type="dxa"/>
                        <w:gridSpan w:val="2"/>
                      </w:tcPr>
                      <w:tbl>
                        <w:tblPr>
                          <w:tblW w:w="0" w:type="auto"/>
                          <w:tblCellMar>
                            <w:left w:w="0" w:type="dxa"/>
                            <w:right w:w="0" w:type="dxa"/>
                          </w:tblCellMar>
                          <w:tblLook w:val="04A0" w:firstRow="1" w:lastRow="0" w:firstColumn="1" w:lastColumn="0" w:noHBand="0" w:noVBand="1"/>
                        </w:tblPr>
                        <w:tblGrid>
                          <w:gridCol w:w="10380"/>
                        </w:tblGrid>
                        <w:tr w:rsidR="00A25E54" w14:paraId="4ACFF673" w14:textId="77777777">
                          <w:trPr>
                            <w:trHeight w:val="262"/>
                          </w:trPr>
                          <w:tc>
                            <w:tcPr>
                              <w:tcW w:w="10403" w:type="dxa"/>
                              <w:tcBorders>
                                <w:top w:val="nil"/>
                                <w:left w:val="nil"/>
                                <w:bottom w:val="nil"/>
                                <w:right w:val="nil"/>
                              </w:tcBorders>
                              <w:tcMar>
                                <w:top w:w="39" w:type="dxa"/>
                                <w:left w:w="479" w:type="dxa"/>
                                <w:bottom w:w="39" w:type="dxa"/>
                                <w:right w:w="39" w:type="dxa"/>
                              </w:tcMar>
                            </w:tcPr>
                            <w:p w14:paraId="4ACFF672" w14:textId="77777777" w:rsidR="00A25E54" w:rsidRDefault="007A5068">
                              <w:pPr>
                                <w:spacing w:after="0" w:line="240" w:lineRule="auto"/>
                              </w:pPr>
                              <w:r>
                                <w:rPr>
                                  <w:rFonts w:ascii="Segoe UI" w:eastAsia="Segoe UI" w:hAnsi="Segoe UI"/>
                                  <w:b/>
                                  <w:color w:val="000000"/>
                                  <w:sz w:val="22"/>
                                </w:rPr>
                                <w:t>Please add one or more items, with specified restriction for funding, for each Population / Intervention:</w:t>
                              </w:r>
                            </w:p>
                          </w:tc>
                        </w:tr>
                      </w:tbl>
                      <w:p w14:paraId="4ACFF674" w14:textId="77777777" w:rsidR="00A25E54" w:rsidRDefault="00A25E54">
                        <w:pPr>
                          <w:spacing w:after="0" w:line="240" w:lineRule="auto"/>
                        </w:pPr>
                      </w:p>
                    </w:tc>
                    <w:tc>
                      <w:tcPr>
                        <w:tcW w:w="14" w:type="dxa"/>
                      </w:tcPr>
                      <w:p w14:paraId="4ACFF676" w14:textId="77777777" w:rsidR="00A25E54" w:rsidRDefault="00A25E54">
                        <w:pPr>
                          <w:pStyle w:val="EmptyCellLayoutStyle"/>
                          <w:spacing w:after="0" w:line="240" w:lineRule="auto"/>
                        </w:pPr>
                      </w:p>
                    </w:tc>
                    <w:tc>
                      <w:tcPr>
                        <w:tcW w:w="210" w:type="dxa"/>
                      </w:tcPr>
                      <w:p w14:paraId="4ACFF677" w14:textId="77777777" w:rsidR="00A25E54" w:rsidRDefault="00A25E54">
                        <w:pPr>
                          <w:pStyle w:val="EmptyCellLayoutStyle"/>
                          <w:spacing w:after="0" w:line="240" w:lineRule="auto"/>
                        </w:pPr>
                      </w:p>
                    </w:tc>
                  </w:tr>
                  <w:tr w:rsidR="00A25E54" w14:paraId="4ACFF683" w14:textId="77777777">
                    <w:trPr>
                      <w:trHeight w:val="154"/>
                    </w:trPr>
                    <w:tc>
                      <w:tcPr>
                        <w:tcW w:w="225" w:type="dxa"/>
                      </w:tcPr>
                      <w:p w14:paraId="4ACFF679" w14:textId="77777777" w:rsidR="00A25E54" w:rsidRDefault="00A25E54">
                        <w:pPr>
                          <w:pStyle w:val="EmptyCellLayoutStyle"/>
                          <w:spacing w:after="0" w:line="240" w:lineRule="auto"/>
                        </w:pPr>
                      </w:p>
                    </w:tc>
                    <w:tc>
                      <w:tcPr>
                        <w:tcW w:w="0" w:type="dxa"/>
                      </w:tcPr>
                      <w:p w14:paraId="4ACFF67A" w14:textId="77777777" w:rsidR="00A25E54" w:rsidRDefault="00A25E54">
                        <w:pPr>
                          <w:pStyle w:val="EmptyCellLayoutStyle"/>
                          <w:spacing w:after="0" w:line="240" w:lineRule="auto"/>
                        </w:pPr>
                      </w:p>
                    </w:tc>
                    <w:tc>
                      <w:tcPr>
                        <w:tcW w:w="6" w:type="dxa"/>
                      </w:tcPr>
                      <w:p w14:paraId="4ACFF67B" w14:textId="77777777" w:rsidR="00A25E54" w:rsidRDefault="00A25E54">
                        <w:pPr>
                          <w:pStyle w:val="EmptyCellLayoutStyle"/>
                          <w:spacing w:after="0" w:line="240" w:lineRule="auto"/>
                        </w:pPr>
                      </w:p>
                    </w:tc>
                    <w:tc>
                      <w:tcPr>
                        <w:tcW w:w="6" w:type="dxa"/>
                      </w:tcPr>
                      <w:p w14:paraId="4ACFF67C" w14:textId="77777777" w:rsidR="00A25E54" w:rsidRDefault="00A25E54">
                        <w:pPr>
                          <w:pStyle w:val="EmptyCellLayoutStyle"/>
                          <w:spacing w:after="0" w:line="240" w:lineRule="auto"/>
                        </w:pPr>
                      </w:p>
                    </w:tc>
                    <w:tc>
                      <w:tcPr>
                        <w:tcW w:w="1" w:type="dxa"/>
                      </w:tcPr>
                      <w:p w14:paraId="4ACFF67D" w14:textId="77777777" w:rsidR="00A25E54" w:rsidRDefault="00A25E54">
                        <w:pPr>
                          <w:pStyle w:val="EmptyCellLayoutStyle"/>
                          <w:spacing w:after="0" w:line="240" w:lineRule="auto"/>
                        </w:pPr>
                      </w:p>
                    </w:tc>
                    <w:tc>
                      <w:tcPr>
                        <w:tcW w:w="12" w:type="dxa"/>
                      </w:tcPr>
                      <w:p w14:paraId="4ACFF67E" w14:textId="77777777" w:rsidR="00A25E54" w:rsidRDefault="00A25E54">
                        <w:pPr>
                          <w:pStyle w:val="EmptyCellLayoutStyle"/>
                          <w:spacing w:after="0" w:line="240" w:lineRule="auto"/>
                        </w:pPr>
                      </w:p>
                    </w:tc>
                    <w:tc>
                      <w:tcPr>
                        <w:tcW w:w="10366" w:type="dxa"/>
                      </w:tcPr>
                      <w:p w14:paraId="4ACFF67F" w14:textId="77777777" w:rsidR="00A25E54" w:rsidRDefault="00A25E54">
                        <w:pPr>
                          <w:pStyle w:val="EmptyCellLayoutStyle"/>
                          <w:spacing w:after="0" w:line="240" w:lineRule="auto"/>
                        </w:pPr>
                      </w:p>
                    </w:tc>
                    <w:tc>
                      <w:tcPr>
                        <w:tcW w:w="14" w:type="dxa"/>
                      </w:tcPr>
                      <w:p w14:paraId="4ACFF680" w14:textId="77777777" w:rsidR="00A25E54" w:rsidRDefault="00A25E54">
                        <w:pPr>
                          <w:pStyle w:val="EmptyCellLayoutStyle"/>
                          <w:spacing w:after="0" w:line="240" w:lineRule="auto"/>
                        </w:pPr>
                      </w:p>
                    </w:tc>
                    <w:tc>
                      <w:tcPr>
                        <w:tcW w:w="14" w:type="dxa"/>
                      </w:tcPr>
                      <w:p w14:paraId="4ACFF681" w14:textId="77777777" w:rsidR="00A25E54" w:rsidRDefault="00A25E54">
                        <w:pPr>
                          <w:pStyle w:val="EmptyCellLayoutStyle"/>
                          <w:spacing w:after="0" w:line="240" w:lineRule="auto"/>
                        </w:pPr>
                      </w:p>
                    </w:tc>
                    <w:tc>
                      <w:tcPr>
                        <w:tcW w:w="210" w:type="dxa"/>
                      </w:tcPr>
                      <w:p w14:paraId="4ACFF682" w14:textId="77777777" w:rsidR="00A25E54" w:rsidRDefault="00A25E54">
                        <w:pPr>
                          <w:pStyle w:val="EmptyCellLayoutStyle"/>
                          <w:spacing w:after="0" w:line="240" w:lineRule="auto"/>
                        </w:pPr>
                      </w:p>
                    </w:tc>
                  </w:tr>
                  <w:tr w:rsidR="00EA62E3" w14:paraId="4ACFF6A4" w14:textId="77777777" w:rsidTr="00EA62E3">
                    <w:tc>
                      <w:tcPr>
                        <w:tcW w:w="225" w:type="dxa"/>
                      </w:tcPr>
                      <w:p w14:paraId="4ACFF684" w14:textId="77777777" w:rsidR="00A25E54" w:rsidRDefault="00A25E54">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A25E54" w14:paraId="4ACFF686"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85" w14:textId="77777777" w:rsidR="00A25E54" w:rsidRDefault="007A5068">
                              <w:pPr>
                                <w:spacing w:after="0" w:line="240" w:lineRule="auto"/>
                              </w:pPr>
                              <w:r>
                                <w:rPr>
                                  <w:rFonts w:ascii="Segoe UI" w:eastAsia="Segoe UI" w:hAnsi="Segoe UI"/>
                                  <w:b/>
                                  <w:color w:val="000000"/>
                                  <w:sz w:val="22"/>
                                </w:rPr>
                                <w:t xml:space="preserve">Proposed item: </w:t>
                              </w:r>
                              <w:r>
                                <w:rPr>
                                  <w:rFonts w:ascii="Segoe UI" w:eastAsia="Segoe UI" w:hAnsi="Segoe UI"/>
                                  <w:color w:val="000000"/>
                                  <w:sz w:val="22"/>
                                </w:rPr>
                                <w:t>AAAAA</w:t>
                              </w:r>
                            </w:p>
                          </w:tc>
                        </w:tr>
                        <w:tr w:rsidR="00A25E54" w14:paraId="4ACFF689"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87" w14:textId="77777777" w:rsidR="00A25E54" w:rsidRDefault="007A5068">
                              <w:pPr>
                                <w:spacing w:after="0" w:line="240" w:lineRule="auto"/>
                              </w:pPr>
                              <w:r>
                                <w:rPr>
                                  <w:rFonts w:ascii="Segoe UI" w:eastAsia="Segoe UI" w:hAnsi="Segoe UI"/>
                                  <w:b/>
                                  <w:color w:val="000000"/>
                                  <w:sz w:val="22"/>
                                </w:rPr>
                                <w:t xml:space="preserve">Is the proposed item restricted: </w:t>
                              </w:r>
                            </w:p>
                            <w:p w14:paraId="4ACFF688" w14:textId="77777777" w:rsidR="00A25E54" w:rsidRDefault="007A5068">
                              <w:pPr>
                                <w:spacing w:after="0" w:line="240" w:lineRule="auto"/>
                              </w:pPr>
                              <w:r>
                                <w:rPr>
                                  <w:rFonts w:ascii="Segoe UI" w:eastAsia="Segoe UI" w:hAnsi="Segoe UI"/>
                                  <w:color w:val="000000"/>
                                  <w:sz w:val="22"/>
                                </w:rPr>
                                <w:lastRenderedPageBreak/>
                                <w:t>Yes - restricted</w:t>
                              </w:r>
                            </w:p>
                          </w:tc>
                        </w:tr>
                        <w:tr w:rsidR="00A25E54" w14:paraId="4ACFF68C"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8A" w14:textId="77777777" w:rsidR="00A25E54" w:rsidRDefault="007A5068">
                              <w:pPr>
                                <w:spacing w:after="0" w:line="240" w:lineRule="auto"/>
                              </w:pPr>
                              <w:r>
                                <w:rPr>
                                  <w:rFonts w:ascii="Segoe UI" w:eastAsia="Segoe UI" w:hAnsi="Segoe UI"/>
                                  <w:b/>
                                  <w:color w:val="000000"/>
                                  <w:sz w:val="22"/>
                                </w:rPr>
                                <w:lastRenderedPageBreak/>
                                <w:t>Provide a short description of the restriction:</w:t>
                              </w:r>
                            </w:p>
                            <w:p w14:paraId="4ACFF68B" w14:textId="77777777" w:rsidR="00A25E54" w:rsidRDefault="007A5068">
                              <w:pPr>
                                <w:spacing w:after="0" w:line="240" w:lineRule="auto"/>
                              </w:pPr>
                              <w:r>
                                <w:rPr>
                                  <w:rFonts w:ascii="Segoe UI" w:eastAsia="Segoe UI" w:hAnsi="Segoe UI"/>
                                  <w:color w:val="000000"/>
                                  <w:sz w:val="22"/>
                                </w:rPr>
                                <w:t>Highly sensitised (≥cPRA 99%) adult kidney transplant patients with a positive crossmatch against an available deceased or living donor who are unlikely to be otherwise transplanted.</w:t>
                              </w:r>
                            </w:p>
                          </w:tc>
                        </w:tr>
                        <w:tr w:rsidR="00A25E54" w14:paraId="4ACFF68F"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8D" w14:textId="77777777" w:rsidR="00A25E54" w:rsidRDefault="007A5068">
                              <w:pPr>
                                <w:spacing w:after="0" w:line="240" w:lineRule="auto"/>
                              </w:pPr>
                              <w:r>
                                <w:rPr>
                                  <w:rFonts w:ascii="Segoe UI" w:eastAsia="Segoe UI" w:hAnsi="Segoe UI"/>
                                  <w:b/>
                                  <w:color w:val="000000"/>
                                  <w:sz w:val="22"/>
                                </w:rPr>
                                <w:t>Please draft a proposed restriction to define the population and health technology usage characteristics that would define eligibility for funding:</w:t>
                              </w:r>
                            </w:p>
                            <w:p w14:paraId="4ACFF68E" w14:textId="0213CD22" w:rsidR="00A25E54" w:rsidRDefault="007A5068">
                              <w:pPr>
                                <w:spacing w:after="0" w:line="240" w:lineRule="auto"/>
                              </w:pPr>
                              <w:r>
                                <w:rPr>
                                  <w:rFonts w:ascii="Segoe UI" w:eastAsia="Segoe UI" w:hAnsi="Segoe UI"/>
                                  <w:color w:val="000000"/>
                                  <w:sz w:val="22"/>
                                </w:rPr>
                                <w:t>For patients on the deceased donor list, highly sensitised and unlikely to be transplanted can be defined as:</w:t>
                              </w:r>
                              <w:r>
                                <w:rPr>
                                  <w:rFonts w:ascii="Segoe UI" w:eastAsia="Segoe UI" w:hAnsi="Segoe UI"/>
                                  <w:color w:val="000000"/>
                                  <w:sz w:val="22"/>
                                </w:rPr>
                                <w:br/>
                                <w:t xml:space="preserve">• Highly sensitised (cPRA ≥99%) adult patients, AND </w:t>
                              </w:r>
                              <w:r>
                                <w:rPr>
                                  <w:rFonts w:ascii="Segoe UI" w:eastAsia="Segoe UI" w:hAnsi="Segoe UI"/>
                                  <w:color w:val="000000"/>
                                  <w:sz w:val="22"/>
                                </w:rPr>
                                <w:br/>
                                <w:t>• With a positive crossmatch against an available donor, AND</w:t>
                              </w:r>
                              <w:r>
                                <w:rPr>
                                  <w:rFonts w:ascii="Segoe UI" w:eastAsia="Segoe UI" w:hAnsi="Segoe UI"/>
                                  <w:color w:val="000000"/>
                                  <w:sz w:val="22"/>
                                </w:rPr>
                                <w:br/>
                                <w:t xml:space="preserve">• Have been on the </w:t>
                              </w:r>
                              <w:r w:rsidR="009233B2">
                                <w:rPr>
                                  <w:rFonts w:ascii="Segoe UI" w:eastAsia="Segoe UI" w:hAnsi="Segoe UI"/>
                                  <w:color w:val="000000"/>
                                  <w:sz w:val="22"/>
                                </w:rPr>
                                <w:t xml:space="preserve">deceased </w:t>
                              </w:r>
                              <w:r>
                                <w:rPr>
                                  <w:rFonts w:ascii="Segoe UI" w:eastAsia="Segoe UI" w:hAnsi="Segoe UI"/>
                                  <w:color w:val="000000"/>
                                  <w:sz w:val="22"/>
                                </w:rPr>
                                <w:t xml:space="preserve">donor transplant list for at least 2 years. </w:t>
                              </w:r>
                              <w:r>
                                <w:rPr>
                                  <w:rFonts w:ascii="Segoe UI" w:eastAsia="Segoe UI" w:hAnsi="Segoe UI"/>
                                  <w:color w:val="000000"/>
                                  <w:sz w:val="22"/>
                                </w:rPr>
                                <w:br/>
                              </w:r>
                              <w:r>
                                <w:rPr>
                                  <w:rFonts w:ascii="Segoe UI" w:eastAsia="Segoe UI" w:hAnsi="Segoe UI"/>
                                  <w:color w:val="000000"/>
                                  <w:sz w:val="22"/>
                                </w:rPr>
                                <w:br/>
                                <w:t>For patients with a living donor, high sensitised unlikely to be transplanted can be defined as:</w:t>
                              </w:r>
                              <w:r>
                                <w:rPr>
                                  <w:rFonts w:ascii="Segoe UI" w:eastAsia="Segoe UI" w:hAnsi="Segoe UI"/>
                                  <w:color w:val="000000"/>
                                  <w:sz w:val="22"/>
                                </w:rPr>
                                <w:br/>
                                <w:t>• Highly sensitised adult patients (cPRA ≥99%), AND</w:t>
                              </w:r>
                              <w:r>
                                <w:rPr>
                                  <w:rFonts w:ascii="Segoe UI" w:eastAsia="Segoe UI" w:hAnsi="Segoe UI"/>
                                  <w:color w:val="000000"/>
                                  <w:sz w:val="22"/>
                                </w:rPr>
                                <w:br/>
                                <w:t xml:space="preserve">• With a positive crossmatch against an available </w:t>
                              </w:r>
                              <w:r w:rsidR="00A40151">
                                <w:rPr>
                                  <w:rFonts w:ascii="Segoe UI" w:eastAsia="Segoe UI" w:hAnsi="Segoe UI"/>
                                  <w:color w:val="000000"/>
                                  <w:sz w:val="22"/>
                                </w:rPr>
                                <w:t xml:space="preserve">living </w:t>
                              </w:r>
                              <w:r>
                                <w:rPr>
                                  <w:rFonts w:ascii="Segoe UI" w:eastAsia="Segoe UI" w:hAnsi="Segoe UI"/>
                                  <w:color w:val="000000"/>
                                  <w:sz w:val="22"/>
                                </w:rPr>
                                <w:t>donor AND</w:t>
                              </w:r>
                              <w:r>
                                <w:rPr>
                                  <w:rFonts w:ascii="Segoe UI" w:eastAsia="Segoe UI" w:hAnsi="Segoe UI"/>
                                  <w:color w:val="000000"/>
                                  <w:sz w:val="22"/>
                                </w:rPr>
                                <w:br/>
                                <w:t xml:space="preserve">• Whom desensitisation regimens for organ transplantation are contraindicated or have failed, OR </w:t>
                              </w:r>
                              <w:r>
                                <w:rPr>
                                  <w:rFonts w:ascii="Segoe UI" w:eastAsia="Segoe UI" w:hAnsi="Segoe UI"/>
                                  <w:color w:val="000000"/>
                                  <w:sz w:val="22"/>
                                </w:rPr>
                                <w:br/>
                                <w:t xml:space="preserve">• based on clinical judgement </w:t>
                              </w:r>
                              <w:r w:rsidR="00C958CC">
                                <w:rPr>
                                  <w:rFonts w:ascii="Segoe UI" w:eastAsia="Segoe UI" w:hAnsi="Segoe UI"/>
                                  <w:color w:val="000000"/>
                                  <w:sz w:val="22"/>
                                </w:rPr>
                                <w:t xml:space="preserve">and experience, </w:t>
                              </w:r>
                              <w:r w:rsidR="002424B2">
                                <w:rPr>
                                  <w:rFonts w:ascii="Segoe UI" w:eastAsia="Segoe UI" w:hAnsi="Segoe UI"/>
                                  <w:color w:val="000000"/>
                                  <w:sz w:val="22"/>
                                </w:rPr>
                                <w:t>plasmapheresis</w:t>
                              </w:r>
                              <w:r w:rsidR="00542D9E">
                                <w:rPr>
                                  <w:rFonts w:ascii="Segoe UI" w:eastAsia="Segoe UI" w:hAnsi="Segoe UI"/>
                                  <w:color w:val="000000"/>
                                  <w:sz w:val="22"/>
                                </w:rPr>
                                <w:t xml:space="preserve"> /IVIG/ </w:t>
                              </w:r>
                              <w:r w:rsidR="00F15147">
                                <w:rPr>
                                  <w:rFonts w:ascii="Segoe UI" w:eastAsia="Segoe UI" w:hAnsi="Segoe UI"/>
                                  <w:color w:val="000000"/>
                                  <w:sz w:val="22"/>
                                </w:rPr>
                                <w:t>rituximab</w:t>
                              </w:r>
                              <w:r w:rsidR="00FE2F52">
                                <w:rPr>
                                  <w:rFonts w:ascii="Segoe UI" w:eastAsia="Segoe UI" w:hAnsi="Segoe UI"/>
                                  <w:color w:val="000000"/>
                                  <w:sz w:val="22"/>
                                </w:rPr>
                                <w:t xml:space="preserve"> base desensitisation regimens</w:t>
                              </w:r>
                              <w:r w:rsidR="00C6429F">
                                <w:t xml:space="preserve"> </w:t>
                              </w:r>
                              <w:r w:rsidR="00C6429F" w:rsidRPr="00C6429F">
                                <w:rPr>
                                  <w:rFonts w:ascii="Segoe UI" w:eastAsia="Segoe UI" w:hAnsi="Segoe UI"/>
                                  <w:color w:val="000000"/>
                                  <w:sz w:val="22"/>
                                </w:rPr>
                                <w:t>are considered unlikely to provide a sufficient decrease in antibodies to enable transplantation</w:t>
                              </w:r>
                              <w:r>
                                <w:rPr>
                                  <w:rFonts w:ascii="Segoe UI" w:eastAsia="Segoe UI" w:hAnsi="Segoe UI"/>
                                  <w:color w:val="000000"/>
                                  <w:sz w:val="22"/>
                                </w:rPr>
                                <w:t xml:space="preserve">, OR </w:t>
                              </w:r>
                              <w:r>
                                <w:rPr>
                                  <w:rFonts w:ascii="Segoe UI" w:eastAsia="Segoe UI" w:hAnsi="Segoe UI"/>
                                  <w:color w:val="000000"/>
                                  <w:sz w:val="22"/>
                                </w:rPr>
                                <w:br/>
                                <w:t xml:space="preserve">• </w:t>
                              </w:r>
                              <w:r w:rsidR="002424B2" w:rsidRPr="002424B2">
                                <w:rPr>
                                  <w:rFonts w:ascii="Segoe UI" w:eastAsia="Segoe UI" w:hAnsi="Segoe UI"/>
                                  <w:color w:val="000000"/>
                                  <w:sz w:val="22"/>
                                </w:rPr>
                                <w:t xml:space="preserve">plasmapheresis / IVIG / rituximab-based </w:t>
                              </w:r>
                              <w:r>
                                <w:rPr>
                                  <w:rFonts w:ascii="Segoe UI" w:eastAsia="Segoe UI" w:hAnsi="Segoe UI"/>
                                  <w:color w:val="000000"/>
                                  <w:sz w:val="22"/>
                                </w:rPr>
                                <w:t>desensitisation regimens are not logistically compatible with the patient’s circumstance or the organization of the transplant centre.</w:t>
                              </w:r>
                            </w:p>
                          </w:tc>
                        </w:tr>
                        <w:tr w:rsidR="00A25E54" w14:paraId="4ACFF692"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90" w14:textId="77777777" w:rsidR="00A25E54" w:rsidRDefault="007A5068">
                              <w:pPr>
                                <w:spacing w:after="0" w:line="240" w:lineRule="auto"/>
                              </w:pPr>
                              <w:r>
                                <w:rPr>
                                  <w:rFonts w:ascii="Segoe UI" w:eastAsia="Segoe UI" w:hAnsi="Segoe UI"/>
                                  <w:b/>
                                  <w:color w:val="000000"/>
                                  <w:sz w:val="22"/>
                                </w:rPr>
                                <w:t>Proposed price of supply:</w:t>
                              </w:r>
                            </w:p>
                            <w:p w14:paraId="4ACFF691" w14:textId="6C1B44FF" w:rsidR="00A25E54" w:rsidRPr="00A53397" w:rsidRDefault="00A53397">
                              <w:pPr>
                                <w:spacing w:after="0" w:line="240" w:lineRule="auto"/>
                                <w:rPr>
                                  <w:b/>
                                  <w:bCs/>
                                </w:rPr>
                              </w:pPr>
                              <w:r w:rsidRPr="00A53397">
                                <w:rPr>
                                  <w:rFonts w:ascii="Segoe UI" w:eastAsia="Segoe UI" w:hAnsi="Segoe UI"/>
                                  <w:b/>
                                  <w:bCs/>
                                  <w:color w:val="000000"/>
                                  <w:sz w:val="22"/>
                                </w:rPr>
                                <w:t>Redacted</w:t>
                              </w:r>
                            </w:p>
                          </w:tc>
                        </w:tr>
                        <w:tr w:rsidR="00A25E54" w14:paraId="4ACFF695"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93" w14:textId="77777777" w:rsidR="00A25E54" w:rsidRDefault="007A5068">
                              <w:pPr>
                                <w:spacing w:after="0" w:line="240" w:lineRule="auto"/>
                              </w:pPr>
                              <w:r>
                                <w:rPr>
                                  <w:rFonts w:ascii="Segoe UI" w:eastAsia="Segoe UI" w:hAnsi="Segoe UI"/>
                                  <w:b/>
                                  <w:color w:val="000000"/>
                                  <w:sz w:val="22"/>
                                </w:rPr>
                                <w:t>Indicate the overall cost per patient of providing the proposed health technology:</w:t>
                              </w:r>
                            </w:p>
                            <w:p w14:paraId="4ACFF694" w14:textId="09DADC19" w:rsidR="00A25E54" w:rsidRDefault="00A53397">
                              <w:pPr>
                                <w:spacing w:after="0" w:line="240" w:lineRule="auto"/>
                              </w:pPr>
                              <w:r w:rsidRPr="00A53397">
                                <w:rPr>
                                  <w:rFonts w:ascii="Segoe UI" w:eastAsia="Segoe UI" w:hAnsi="Segoe UI"/>
                                  <w:b/>
                                  <w:bCs/>
                                  <w:color w:val="000000"/>
                                  <w:sz w:val="22"/>
                                </w:rPr>
                                <w:t>Redacted</w:t>
                              </w:r>
                            </w:p>
                          </w:tc>
                        </w:tr>
                        <w:tr w:rsidR="00A25E54" w14:paraId="4ACFF698"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96" w14:textId="77777777" w:rsidR="00A25E54" w:rsidRDefault="007A5068">
                              <w:pPr>
                                <w:spacing w:after="0" w:line="240" w:lineRule="auto"/>
                              </w:pPr>
                              <w:r>
                                <w:rPr>
                                  <w:rFonts w:ascii="Segoe UI" w:eastAsia="Segoe UI" w:hAnsi="Segoe UI"/>
                                  <w:b/>
                                  <w:color w:val="000000"/>
                                  <w:sz w:val="22"/>
                                </w:rPr>
                                <w:t>Provide details and explain:</w:t>
                              </w:r>
                            </w:p>
                            <w:p w14:paraId="4ACFF697" w14:textId="052AC5FB" w:rsidR="00A25E54" w:rsidRDefault="007A5068">
                              <w:pPr>
                                <w:spacing w:after="0" w:line="240" w:lineRule="auto"/>
                              </w:pPr>
                              <w:r>
                                <w:rPr>
                                  <w:rFonts w:ascii="Segoe UI" w:eastAsia="Segoe UI" w:hAnsi="Segoe UI"/>
                                  <w:color w:val="000000"/>
                                  <w:sz w:val="22"/>
                                </w:rPr>
                                <w:t>The applicant requested in the initial submission a price per vial of imlifidase (11mg power for concentrate for solution for infusion) of A$</w:t>
                              </w:r>
                              <w:r w:rsidR="00A53397" w:rsidRPr="00A53397">
                                <w:rPr>
                                  <w:rFonts w:ascii="Segoe UI" w:eastAsia="Segoe UI" w:hAnsi="Segoe UI"/>
                                  <w:b/>
                                  <w:bCs/>
                                  <w:color w:val="000000"/>
                                  <w:sz w:val="22"/>
                                </w:rPr>
                                <w:t xml:space="preserve"> Redacted</w:t>
                              </w:r>
                              <w:r>
                                <w:rPr>
                                  <w:rFonts w:ascii="Segoe UI" w:eastAsia="Segoe UI" w:hAnsi="Segoe UI"/>
                                  <w:color w:val="000000"/>
                                  <w:sz w:val="22"/>
                                </w:rPr>
                                <w:t>/ vial. However, the applicant will rigorously explore all the commercial terms recommended in the PSD by MSAC, within the Applicant Developed Assessment Report to be submitted in February 2024. E.g. Per patient pricing</w:t>
                              </w:r>
                            </w:p>
                          </w:tc>
                        </w:tr>
                        <w:tr w:rsidR="00A25E54" w14:paraId="4ACFF69A" w14:textId="77777777">
                          <w:trPr>
                            <w:trHeight w:val="262"/>
                          </w:trPr>
                          <w:tc>
                            <w:tcPr>
                              <w:tcW w:w="10431" w:type="dxa"/>
                              <w:tcBorders>
                                <w:top w:val="nil"/>
                                <w:left w:val="nil"/>
                                <w:bottom w:val="nil"/>
                                <w:right w:val="nil"/>
                              </w:tcBorders>
                              <w:tcMar>
                                <w:top w:w="39" w:type="dxa"/>
                                <w:left w:w="479" w:type="dxa"/>
                                <w:bottom w:w="39" w:type="dxa"/>
                                <w:right w:w="39" w:type="dxa"/>
                              </w:tcMar>
                            </w:tcPr>
                            <w:p w14:paraId="4ACFF699" w14:textId="77777777" w:rsidR="00A25E54" w:rsidRDefault="00A25E54">
                              <w:pPr>
                                <w:spacing w:after="0" w:line="240" w:lineRule="auto"/>
                              </w:pPr>
                            </w:p>
                          </w:tc>
                        </w:tr>
                      </w:tbl>
                      <w:p w14:paraId="4ACFF69B" w14:textId="77777777" w:rsidR="00A25E54" w:rsidRDefault="00A25E54">
                        <w:pPr>
                          <w:spacing w:after="0" w:line="240" w:lineRule="auto"/>
                        </w:pPr>
                      </w:p>
                    </w:tc>
                    <w:tc>
                      <w:tcPr>
                        <w:tcW w:w="14" w:type="dxa"/>
                      </w:tcPr>
                      <w:p w14:paraId="4ACFF6A2" w14:textId="77777777" w:rsidR="00A25E54" w:rsidRDefault="00A25E54">
                        <w:pPr>
                          <w:pStyle w:val="EmptyCellLayoutStyle"/>
                          <w:spacing w:after="0" w:line="240" w:lineRule="auto"/>
                        </w:pPr>
                      </w:p>
                    </w:tc>
                    <w:tc>
                      <w:tcPr>
                        <w:tcW w:w="210" w:type="dxa"/>
                      </w:tcPr>
                      <w:p w14:paraId="4ACFF6A3" w14:textId="77777777" w:rsidR="00A25E54" w:rsidRDefault="00A25E54">
                        <w:pPr>
                          <w:pStyle w:val="EmptyCellLayoutStyle"/>
                          <w:spacing w:after="0" w:line="240" w:lineRule="auto"/>
                        </w:pPr>
                      </w:p>
                    </w:tc>
                  </w:tr>
                  <w:tr w:rsidR="00A25E54" w14:paraId="4ACFF6AF" w14:textId="77777777">
                    <w:trPr>
                      <w:trHeight w:val="11"/>
                    </w:trPr>
                    <w:tc>
                      <w:tcPr>
                        <w:tcW w:w="225" w:type="dxa"/>
                      </w:tcPr>
                      <w:p w14:paraId="4ACFF6A5" w14:textId="77777777" w:rsidR="00A25E54" w:rsidRDefault="00A25E54">
                        <w:pPr>
                          <w:pStyle w:val="EmptyCellLayoutStyle"/>
                          <w:spacing w:after="0" w:line="240" w:lineRule="auto"/>
                        </w:pPr>
                      </w:p>
                    </w:tc>
                    <w:tc>
                      <w:tcPr>
                        <w:tcW w:w="0" w:type="dxa"/>
                      </w:tcPr>
                      <w:p w14:paraId="4ACFF6A6" w14:textId="77777777" w:rsidR="00A25E54" w:rsidRDefault="00A25E54">
                        <w:pPr>
                          <w:pStyle w:val="EmptyCellLayoutStyle"/>
                          <w:spacing w:after="0" w:line="240" w:lineRule="auto"/>
                        </w:pPr>
                      </w:p>
                    </w:tc>
                    <w:tc>
                      <w:tcPr>
                        <w:tcW w:w="6" w:type="dxa"/>
                      </w:tcPr>
                      <w:p w14:paraId="4ACFF6A7" w14:textId="77777777" w:rsidR="00A25E54" w:rsidRDefault="00A25E54">
                        <w:pPr>
                          <w:pStyle w:val="EmptyCellLayoutStyle"/>
                          <w:spacing w:after="0" w:line="240" w:lineRule="auto"/>
                        </w:pPr>
                      </w:p>
                    </w:tc>
                    <w:tc>
                      <w:tcPr>
                        <w:tcW w:w="6" w:type="dxa"/>
                      </w:tcPr>
                      <w:p w14:paraId="4ACFF6A8" w14:textId="77777777" w:rsidR="00A25E54" w:rsidRDefault="00A25E54">
                        <w:pPr>
                          <w:pStyle w:val="EmptyCellLayoutStyle"/>
                          <w:spacing w:after="0" w:line="240" w:lineRule="auto"/>
                        </w:pPr>
                      </w:p>
                    </w:tc>
                    <w:tc>
                      <w:tcPr>
                        <w:tcW w:w="1" w:type="dxa"/>
                      </w:tcPr>
                      <w:p w14:paraId="4ACFF6A9" w14:textId="77777777" w:rsidR="00A25E54" w:rsidRDefault="00A25E54">
                        <w:pPr>
                          <w:pStyle w:val="EmptyCellLayoutStyle"/>
                          <w:spacing w:after="0" w:line="240" w:lineRule="auto"/>
                        </w:pPr>
                      </w:p>
                    </w:tc>
                    <w:tc>
                      <w:tcPr>
                        <w:tcW w:w="12" w:type="dxa"/>
                      </w:tcPr>
                      <w:p w14:paraId="4ACFF6AA" w14:textId="77777777" w:rsidR="00A25E54" w:rsidRDefault="00A25E54">
                        <w:pPr>
                          <w:pStyle w:val="EmptyCellLayoutStyle"/>
                          <w:spacing w:after="0" w:line="240" w:lineRule="auto"/>
                        </w:pPr>
                      </w:p>
                    </w:tc>
                    <w:tc>
                      <w:tcPr>
                        <w:tcW w:w="10366" w:type="dxa"/>
                      </w:tcPr>
                      <w:p w14:paraId="4ACFF6AB" w14:textId="77777777" w:rsidR="00A25E54" w:rsidRDefault="00A25E54">
                        <w:pPr>
                          <w:pStyle w:val="EmptyCellLayoutStyle"/>
                          <w:spacing w:after="0" w:line="240" w:lineRule="auto"/>
                        </w:pPr>
                      </w:p>
                    </w:tc>
                    <w:tc>
                      <w:tcPr>
                        <w:tcW w:w="14" w:type="dxa"/>
                      </w:tcPr>
                      <w:p w14:paraId="4ACFF6AC" w14:textId="77777777" w:rsidR="00A25E54" w:rsidRDefault="00A25E54">
                        <w:pPr>
                          <w:pStyle w:val="EmptyCellLayoutStyle"/>
                          <w:spacing w:after="0" w:line="240" w:lineRule="auto"/>
                        </w:pPr>
                      </w:p>
                    </w:tc>
                    <w:tc>
                      <w:tcPr>
                        <w:tcW w:w="14" w:type="dxa"/>
                      </w:tcPr>
                      <w:p w14:paraId="4ACFF6AD" w14:textId="77777777" w:rsidR="00A25E54" w:rsidRDefault="00A25E54">
                        <w:pPr>
                          <w:pStyle w:val="EmptyCellLayoutStyle"/>
                          <w:spacing w:after="0" w:line="240" w:lineRule="auto"/>
                        </w:pPr>
                      </w:p>
                    </w:tc>
                    <w:tc>
                      <w:tcPr>
                        <w:tcW w:w="210" w:type="dxa"/>
                      </w:tcPr>
                      <w:p w14:paraId="4ACFF6AE" w14:textId="77777777" w:rsidR="00A25E54" w:rsidRDefault="00A25E54">
                        <w:pPr>
                          <w:pStyle w:val="EmptyCellLayoutStyle"/>
                          <w:spacing w:after="0" w:line="240" w:lineRule="auto"/>
                        </w:pPr>
                      </w:p>
                    </w:tc>
                  </w:tr>
                  <w:tr w:rsidR="00EA62E3" w14:paraId="4ACFF6BD" w14:textId="77777777" w:rsidTr="00EA62E3">
                    <w:tc>
                      <w:tcPr>
                        <w:tcW w:w="225" w:type="dxa"/>
                      </w:tcPr>
                      <w:p w14:paraId="4ACFF6B0" w14:textId="77777777" w:rsidR="00A25E54" w:rsidRDefault="00A25E54">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16"/>
                        </w:tblGrid>
                        <w:tr w:rsidR="00A25E54" w14:paraId="4ACFF6B3" w14:textId="77777777">
                          <w:trPr>
                            <w:trHeight w:val="664"/>
                          </w:trPr>
                          <w:tc>
                            <w:tcPr>
                              <w:tcW w:w="10431" w:type="dxa"/>
                              <w:tcBorders>
                                <w:top w:val="nil"/>
                                <w:left w:val="nil"/>
                                <w:bottom w:val="nil"/>
                                <w:right w:val="nil"/>
                              </w:tcBorders>
                              <w:tcMar>
                                <w:top w:w="39" w:type="dxa"/>
                                <w:left w:w="479" w:type="dxa"/>
                                <w:bottom w:w="39" w:type="dxa"/>
                                <w:right w:w="39" w:type="dxa"/>
                              </w:tcMar>
                            </w:tcPr>
                            <w:p w14:paraId="4ACFF6B1" w14:textId="77777777" w:rsidR="00A25E54" w:rsidRDefault="007A5068">
                              <w:pPr>
                                <w:spacing w:after="0" w:line="240" w:lineRule="auto"/>
                              </w:pPr>
                              <w:r>
                                <w:rPr>
                                  <w:rFonts w:ascii="Segoe UI" w:eastAsia="Segoe UI" w:hAnsi="Segoe UI"/>
                                  <w:b/>
                                  <w:color w:val="000000"/>
                                  <w:sz w:val="22"/>
                                </w:rPr>
                                <w:t>How is the technology / service funded at present? (For example: research funding; State-based funding; self funded by patients; no funding or payment):</w:t>
                              </w:r>
                            </w:p>
                            <w:p w14:paraId="4ACFF6B2" w14:textId="77777777" w:rsidR="00A25E54" w:rsidRDefault="007A5068">
                              <w:pPr>
                                <w:spacing w:after="0" w:line="240" w:lineRule="auto"/>
                              </w:pPr>
                              <w:r>
                                <w:rPr>
                                  <w:rFonts w:ascii="Segoe UI" w:eastAsia="Segoe UI" w:hAnsi="Segoe UI"/>
                                  <w:color w:val="000000"/>
                                  <w:sz w:val="22"/>
                                </w:rPr>
                                <w:t xml:space="preserve">The technology is not funded. </w:t>
                              </w:r>
                            </w:p>
                          </w:tc>
                        </w:tr>
                      </w:tbl>
                      <w:p w14:paraId="4ACFF6B4" w14:textId="77777777" w:rsidR="00A25E54" w:rsidRDefault="00A25E54">
                        <w:pPr>
                          <w:spacing w:after="0" w:line="240" w:lineRule="auto"/>
                        </w:pPr>
                      </w:p>
                    </w:tc>
                    <w:tc>
                      <w:tcPr>
                        <w:tcW w:w="14" w:type="dxa"/>
                      </w:tcPr>
                      <w:p w14:paraId="4ACFF6BB" w14:textId="77777777" w:rsidR="00A25E54" w:rsidRDefault="00A25E54">
                        <w:pPr>
                          <w:pStyle w:val="EmptyCellLayoutStyle"/>
                          <w:spacing w:after="0" w:line="240" w:lineRule="auto"/>
                        </w:pPr>
                      </w:p>
                    </w:tc>
                    <w:tc>
                      <w:tcPr>
                        <w:tcW w:w="210" w:type="dxa"/>
                      </w:tcPr>
                      <w:p w14:paraId="4ACFF6BC" w14:textId="77777777" w:rsidR="00A25E54" w:rsidRDefault="00A25E54">
                        <w:pPr>
                          <w:pStyle w:val="EmptyCellLayoutStyle"/>
                          <w:spacing w:after="0" w:line="240" w:lineRule="auto"/>
                        </w:pPr>
                      </w:p>
                    </w:tc>
                  </w:tr>
                  <w:tr w:rsidR="00A25E54" w14:paraId="4ACFF6C8" w14:textId="77777777">
                    <w:trPr>
                      <w:trHeight w:val="88"/>
                    </w:trPr>
                    <w:tc>
                      <w:tcPr>
                        <w:tcW w:w="225" w:type="dxa"/>
                      </w:tcPr>
                      <w:p w14:paraId="4ACFF6BE" w14:textId="77777777" w:rsidR="00A25E54" w:rsidRDefault="00A25E54">
                        <w:pPr>
                          <w:pStyle w:val="EmptyCellLayoutStyle"/>
                          <w:spacing w:after="0" w:line="240" w:lineRule="auto"/>
                        </w:pPr>
                      </w:p>
                    </w:tc>
                    <w:tc>
                      <w:tcPr>
                        <w:tcW w:w="0" w:type="dxa"/>
                      </w:tcPr>
                      <w:p w14:paraId="4ACFF6BF" w14:textId="77777777" w:rsidR="00A25E54" w:rsidRDefault="00A25E54">
                        <w:pPr>
                          <w:pStyle w:val="EmptyCellLayoutStyle"/>
                          <w:spacing w:after="0" w:line="240" w:lineRule="auto"/>
                        </w:pPr>
                      </w:p>
                    </w:tc>
                    <w:tc>
                      <w:tcPr>
                        <w:tcW w:w="6" w:type="dxa"/>
                      </w:tcPr>
                      <w:p w14:paraId="4ACFF6C0" w14:textId="77777777" w:rsidR="00A25E54" w:rsidRDefault="00A25E54">
                        <w:pPr>
                          <w:pStyle w:val="EmptyCellLayoutStyle"/>
                          <w:spacing w:after="0" w:line="240" w:lineRule="auto"/>
                        </w:pPr>
                      </w:p>
                    </w:tc>
                    <w:tc>
                      <w:tcPr>
                        <w:tcW w:w="6" w:type="dxa"/>
                      </w:tcPr>
                      <w:p w14:paraId="4ACFF6C1" w14:textId="77777777" w:rsidR="00A25E54" w:rsidRDefault="00A25E54">
                        <w:pPr>
                          <w:pStyle w:val="EmptyCellLayoutStyle"/>
                          <w:spacing w:after="0" w:line="240" w:lineRule="auto"/>
                        </w:pPr>
                      </w:p>
                    </w:tc>
                    <w:tc>
                      <w:tcPr>
                        <w:tcW w:w="1" w:type="dxa"/>
                      </w:tcPr>
                      <w:p w14:paraId="4ACFF6C2" w14:textId="77777777" w:rsidR="00A25E54" w:rsidRDefault="00A25E54">
                        <w:pPr>
                          <w:pStyle w:val="EmptyCellLayoutStyle"/>
                          <w:spacing w:after="0" w:line="240" w:lineRule="auto"/>
                        </w:pPr>
                      </w:p>
                    </w:tc>
                    <w:tc>
                      <w:tcPr>
                        <w:tcW w:w="12" w:type="dxa"/>
                      </w:tcPr>
                      <w:p w14:paraId="4ACFF6C3" w14:textId="77777777" w:rsidR="00A25E54" w:rsidRDefault="00A25E54">
                        <w:pPr>
                          <w:pStyle w:val="EmptyCellLayoutStyle"/>
                          <w:spacing w:after="0" w:line="240" w:lineRule="auto"/>
                        </w:pPr>
                      </w:p>
                    </w:tc>
                    <w:tc>
                      <w:tcPr>
                        <w:tcW w:w="10366" w:type="dxa"/>
                      </w:tcPr>
                      <w:p w14:paraId="4ACFF6C4" w14:textId="77777777" w:rsidR="00A25E54" w:rsidRDefault="00A25E54">
                        <w:pPr>
                          <w:pStyle w:val="EmptyCellLayoutStyle"/>
                          <w:spacing w:after="0" w:line="240" w:lineRule="auto"/>
                        </w:pPr>
                      </w:p>
                    </w:tc>
                    <w:tc>
                      <w:tcPr>
                        <w:tcW w:w="14" w:type="dxa"/>
                      </w:tcPr>
                      <w:p w14:paraId="4ACFF6C5" w14:textId="77777777" w:rsidR="00A25E54" w:rsidRDefault="00A25E54">
                        <w:pPr>
                          <w:pStyle w:val="EmptyCellLayoutStyle"/>
                          <w:spacing w:after="0" w:line="240" w:lineRule="auto"/>
                        </w:pPr>
                      </w:p>
                    </w:tc>
                    <w:tc>
                      <w:tcPr>
                        <w:tcW w:w="14" w:type="dxa"/>
                      </w:tcPr>
                      <w:p w14:paraId="4ACFF6C6" w14:textId="77777777" w:rsidR="00A25E54" w:rsidRDefault="00A25E54">
                        <w:pPr>
                          <w:pStyle w:val="EmptyCellLayoutStyle"/>
                          <w:spacing w:after="0" w:line="240" w:lineRule="auto"/>
                        </w:pPr>
                      </w:p>
                    </w:tc>
                    <w:tc>
                      <w:tcPr>
                        <w:tcW w:w="210" w:type="dxa"/>
                      </w:tcPr>
                      <w:p w14:paraId="4ACFF6C7" w14:textId="77777777" w:rsidR="00A25E54" w:rsidRDefault="00A25E54">
                        <w:pPr>
                          <w:pStyle w:val="EmptyCellLayoutStyle"/>
                          <w:spacing w:after="0" w:line="240" w:lineRule="auto"/>
                        </w:pPr>
                      </w:p>
                    </w:tc>
                  </w:tr>
                  <w:tr w:rsidR="00EA62E3" w14:paraId="4ACFF6DC" w14:textId="77777777" w:rsidTr="00EA62E3">
                    <w:tc>
                      <w:tcPr>
                        <w:tcW w:w="225" w:type="dxa"/>
                      </w:tcPr>
                      <w:p w14:paraId="4ACFF6C9" w14:textId="77777777" w:rsidR="00A25E54" w:rsidRDefault="00A25E54">
                        <w:pPr>
                          <w:pStyle w:val="EmptyCellLayoutStyle"/>
                          <w:spacing w:after="0" w:line="240" w:lineRule="auto"/>
                        </w:pPr>
                      </w:p>
                    </w:tc>
                    <w:tc>
                      <w:tcPr>
                        <w:tcW w:w="0"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34"/>
                          <w:gridCol w:w="6482"/>
                        </w:tblGrid>
                        <w:tr w:rsidR="00EA62E3" w14:paraId="4ACFF6CC" w14:textId="77777777" w:rsidTr="00EA62E3">
                          <w:trPr>
                            <w:trHeight w:val="412"/>
                          </w:trPr>
                          <w:tc>
                            <w:tcPr>
                              <w:tcW w:w="3939" w:type="dxa"/>
                              <w:gridSpan w:val="2"/>
                              <w:tcBorders>
                                <w:top w:val="nil"/>
                                <w:left w:val="nil"/>
                                <w:bottom w:val="nil"/>
                                <w:right w:val="nil"/>
                              </w:tcBorders>
                              <w:tcMar>
                                <w:top w:w="39" w:type="dxa"/>
                                <w:left w:w="39" w:type="dxa"/>
                                <w:bottom w:w="39" w:type="dxa"/>
                                <w:right w:w="39" w:type="dxa"/>
                              </w:tcMar>
                            </w:tcPr>
                            <w:p w14:paraId="4ACFF6CA" w14:textId="77777777" w:rsidR="00A25E54" w:rsidRDefault="007A5068">
                              <w:pPr>
                                <w:spacing w:after="0" w:line="240" w:lineRule="auto"/>
                              </w:pPr>
                              <w:r>
                                <w:rPr>
                                  <w:rFonts w:ascii="Segoe UI" w:eastAsia="Segoe UI" w:hAnsi="Segoe UI"/>
                                  <w:b/>
                                  <w:color w:val="000000"/>
                                  <w:sz w:val="22"/>
                                </w:rPr>
                                <w:t>Please provide a cost break down attachment:</w:t>
                              </w:r>
                            </w:p>
                          </w:tc>
                        </w:tr>
                        <w:tr w:rsidR="00A25E54" w14:paraId="4ACFF6CF" w14:textId="77777777">
                          <w:trPr>
                            <w:trHeight w:val="322"/>
                          </w:trPr>
                          <w:tc>
                            <w:tcPr>
                              <w:tcW w:w="3939"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6CD" w14:textId="77777777" w:rsidR="00A25E54" w:rsidRDefault="007A5068">
                              <w:pPr>
                                <w:spacing w:after="0" w:line="240" w:lineRule="auto"/>
                              </w:pPr>
                              <w:r>
                                <w:rPr>
                                  <w:rFonts w:ascii="Segoe UI" w:eastAsia="Segoe UI" w:hAnsi="Segoe UI"/>
                                  <w:b/>
                                  <w:color w:val="000000"/>
                                  <w:sz w:val="22"/>
                                </w:rPr>
                                <w:t>Document type</w:t>
                              </w:r>
                            </w:p>
                          </w:tc>
                          <w:tc>
                            <w:tcPr>
                              <w:tcW w:w="6492"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6CE" w14:textId="77777777" w:rsidR="00A25E54" w:rsidRDefault="007A5068">
                              <w:pPr>
                                <w:spacing w:after="0" w:line="240" w:lineRule="auto"/>
                              </w:pPr>
                              <w:r>
                                <w:rPr>
                                  <w:rFonts w:ascii="Segoe UI" w:eastAsia="Segoe UI" w:hAnsi="Segoe UI"/>
                                  <w:b/>
                                  <w:color w:val="000000"/>
                                  <w:sz w:val="22"/>
                                </w:rPr>
                                <w:t>File name</w:t>
                              </w:r>
                            </w:p>
                          </w:tc>
                        </w:tr>
                        <w:tr w:rsidR="00A25E54" w14:paraId="4ACFF6D2" w14:textId="77777777">
                          <w:trPr>
                            <w:trHeight w:val="457"/>
                          </w:trPr>
                          <w:tc>
                            <w:tcPr>
                              <w:tcW w:w="3939"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6D0" w14:textId="77777777" w:rsidR="00A25E54" w:rsidRDefault="007A5068">
                              <w:pPr>
                                <w:spacing w:after="0" w:line="240" w:lineRule="auto"/>
                              </w:pPr>
                              <w:r>
                                <w:rPr>
                                  <w:rFonts w:ascii="Segoe UI" w:eastAsia="Segoe UI" w:hAnsi="Segoe UI"/>
                                  <w:color w:val="000000"/>
                                  <w:sz w:val="22"/>
                                </w:rPr>
                                <w:t>Cost breakdown attachment</w:t>
                              </w:r>
                            </w:p>
                          </w:tc>
                          <w:tc>
                            <w:tcPr>
                              <w:tcW w:w="6492"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6D1" w14:textId="77777777" w:rsidR="00A25E54" w:rsidRDefault="007A5068">
                              <w:pPr>
                                <w:spacing w:after="0" w:line="240" w:lineRule="auto"/>
                              </w:pPr>
                              <w:r>
                                <w:rPr>
                                  <w:rFonts w:ascii="Segoe UI" w:eastAsia="Segoe UI" w:hAnsi="Segoe UI"/>
                                  <w:color w:val="000000"/>
                                  <w:sz w:val="22"/>
                                </w:rPr>
                                <w:t>1732  resubmission Cost breakdown Spreadsheet 29 Nov 2023.xlsx</w:t>
                              </w:r>
                            </w:p>
                          </w:tc>
                        </w:tr>
                      </w:tbl>
                      <w:p w14:paraId="4ACFF6D3" w14:textId="77777777" w:rsidR="00A25E54" w:rsidRDefault="00A25E54">
                        <w:pPr>
                          <w:spacing w:after="0" w:line="240" w:lineRule="auto"/>
                        </w:pPr>
                      </w:p>
                    </w:tc>
                    <w:tc>
                      <w:tcPr>
                        <w:tcW w:w="14" w:type="dxa"/>
                      </w:tcPr>
                      <w:p w14:paraId="4ACFF6DA" w14:textId="77777777" w:rsidR="00A25E54" w:rsidRDefault="00A25E54">
                        <w:pPr>
                          <w:pStyle w:val="EmptyCellLayoutStyle"/>
                          <w:spacing w:after="0" w:line="240" w:lineRule="auto"/>
                        </w:pPr>
                      </w:p>
                    </w:tc>
                    <w:tc>
                      <w:tcPr>
                        <w:tcW w:w="210" w:type="dxa"/>
                      </w:tcPr>
                      <w:p w14:paraId="4ACFF6DB" w14:textId="77777777" w:rsidR="00A25E54" w:rsidRDefault="00A25E54">
                        <w:pPr>
                          <w:pStyle w:val="EmptyCellLayoutStyle"/>
                          <w:spacing w:after="0" w:line="240" w:lineRule="auto"/>
                        </w:pPr>
                      </w:p>
                    </w:tc>
                  </w:tr>
                  <w:tr w:rsidR="00A25E54" w14:paraId="4ACFF6E7" w14:textId="77777777">
                    <w:trPr>
                      <w:trHeight w:val="243"/>
                    </w:trPr>
                    <w:tc>
                      <w:tcPr>
                        <w:tcW w:w="225" w:type="dxa"/>
                      </w:tcPr>
                      <w:p w14:paraId="4ACFF6DD" w14:textId="77777777" w:rsidR="00A25E54" w:rsidRDefault="00A25E54">
                        <w:pPr>
                          <w:pStyle w:val="EmptyCellLayoutStyle"/>
                          <w:spacing w:after="0" w:line="240" w:lineRule="auto"/>
                        </w:pPr>
                      </w:p>
                    </w:tc>
                    <w:tc>
                      <w:tcPr>
                        <w:tcW w:w="0" w:type="dxa"/>
                      </w:tcPr>
                      <w:p w14:paraId="4ACFF6DE" w14:textId="77777777" w:rsidR="00A25E54" w:rsidRDefault="00A25E54">
                        <w:pPr>
                          <w:pStyle w:val="EmptyCellLayoutStyle"/>
                          <w:spacing w:after="0" w:line="240" w:lineRule="auto"/>
                        </w:pPr>
                      </w:p>
                    </w:tc>
                    <w:tc>
                      <w:tcPr>
                        <w:tcW w:w="6" w:type="dxa"/>
                      </w:tcPr>
                      <w:p w14:paraId="4ACFF6DF" w14:textId="77777777" w:rsidR="00A25E54" w:rsidRDefault="00A25E54">
                        <w:pPr>
                          <w:pStyle w:val="EmptyCellLayoutStyle"/>
                          <w:spacing w:after="0" w:line="240" w:lineRule="auto"/>
                        </w:pPr>
                      </w:p>
                    </w:tc>
                    <w:tc>
                      <w:tcPr>
                        <w:tcW w:w="6" w:type="dxa"/>
                      </w:tcPr>
                      <w:p w14:paraId="4ACFF6E0" w14:textId="77777777" w:rsidR="00A25E54" w:rsidRDefault="00A25E54">
                        <w:pPr>
                          <w:pStyle w:val="EmptyCellLayoutStyle"/>
                          <w:spacing w:after="0" w:line="240" w:lineRule="auto"/>
                        </w:pPr>
                      </w:p>
                    </w:tc>
                    <w:tc>
                      <w:tcPr>
                        <w:tcW w:w="1" w:type="dxa"/>
                      </w:tcPr>
                      <w:p w14:paraId="4ACFF6E1" w14:textId="77777777" w:rsidR="00A25E54" w:rsidRDefault="00A25E54">
                        <w:pPr>
                          <w:pStyle w:val="EmptyCellLayoutStyle"/>
                          <w:spacing w:after="0" w:line="240" w:lineRule="auto"/>
                        </w:pPr>
                      </w:p>
                    </w:tc>
                    <w:tc>
                      <w:tcPr>
                        <w:tcW w:w="12" w:type="dxa"/>
                      </w:tcPr>
                      <w:p w14:paraId="4ACFF6E2" w14:textId="77777777" w:rsidR="00A25E54" w:rsidRDefault="00A25E54">
                        <w:pPr>
                          <w:pStyle w:val="EmptyCellLayoutStyle"/>
                          <w:spacing w:after="0" w:line="240" w:lineRule="auto"/>
                        </w:pPr>
                      </w:p>
                    </w:tc>
                    <w:tc>
                      <w:tcPr>
                        <w:tcW w:w="10366" w:type="dxa"/>
                      </w:tcPr>
                      <w:p w14:paraId="4ACFF6E3" w14:textId="77777777" w:rsidR="00A25E54" w:rsidRDefault="00A25E54">
                        <w:pPr>
                          <w:pStyle w:val="EmptyCellLayoutStyle"/>
                          <w:spacing w:after="0" w:line="240" w:lineRule="auto"/>
                        </w:pPr>
                      </w:p>
                    </w:tc>
                    <w:tc>
                      <w:tcPr>
                        <w:tcW w:w="14" w:type="dxa"/>
                      </w:tcPr>
                      <w:p w14:paraId="4ACFF6E4" w14:textId="77777777" w:rsidR="00A25E54" w:rsidRDefault="00A25E54">
                        <w:pPr>
                          <w:pStyle w:val="EmptyCellLayoutStyle"/>
                          <w:spacing w:after="0" w:line="240" w:lineRule="auto"/>
                        </w:pPr>
                      </w:p>
                    </w:tc>
                    <w:tc>
                      <w:tcPr>
                        <w:tcW w:w="14" w:type="dxa"/>
                      </w:tcPr>
                      <w:p w14:paraId="4ACFF6E5" w14:textId="77777777" w:rsidR="00A25E54" w:rsidRDefault="00A25E54">
                        <w:pPr>
                          <w:pStyle w:val="EmptyCellLayoutStyle"/>
                          <w:spacing w:after="0" w:line="240" w:lineRule="auto"/>
                        </w:pPr>
                      </w:p>
                    </w:tc>
                    <w:tc>
                      <w:tcPr>
                        <w:tcW w:w="210" w:type="dxa"/>
                      </w:tcPr>
                      <w:p w14:paraId="4ACFF6E6" w14:textId="77777777" w:rsidR="00A25E54" w:rsidRDefault="00A25E54">
                        <w:pPr>
                          <w:pStyle w:val="EmptyCellLayoutStyle"/>
                          <w:spacing w:after="0" w:line="240" w:lineRule="auto"/>
                        </w:pPr>
                      </w:p>
                    </w:tc>
                  </w:tr>
                  <w:tr w:rsidR="00EA62E3" w14:paraId="4ACFF6FA" w14:textId="77777777" w:rsidTr="00EA62E3">
                    <w:tc>
                      <w:tcPr>
                        <w:tcW w:w="225" w:type="dxa"/>
                      </w:tcPr>
                      <w:p w14:paraId="4ACFF6E8" w14:textId="77777777" w:rsidR="00A25E54" w:rsidRDefault="00A25E54">
                        <w:pPr>
                          <w:pStyle w:val="EmptyCellLayoutStyle"/>
                          <w:spacing w:after="0" w:line="240" w:lineRule="auto"/>
                        </w:pPr>
                      </w:p>
                    </w:tc>
                    <w:tc>
                      <w:tcPr>
                        <w:tcW w:w="0" w:type="dxa"/>
                      </w:tcPr>
                      <w:p w14:paraId="4ACFF6E9" w14:textId="77777777" w:rsidR="00A25E54" w:rsidRDefault="00A25E54">
                        <w:pPr>
                          <w:pStyle w:val="EmptyCellLayoutStyle"/>
                          <w:spacing w:after="0" w:line="240" w:lineRule="auto"/>
                        </w:pPr>
                      </w:p>
                    </w:tc>
                    <w:tc>
                      <w:tcPr>
                        <w:tcW w:w="6" w:type="dxa"/>
                      </w:tcPr>
                      <w:p w14:paraId="4ACFF6EA" w14:textId="77777777" w:rsidR="00A25E54" w:rsidRDefault="00A25E54">
                        <w:pPr>
                          <w:pStyle w:val="EmptyCellLayoutStyle"/>
                          <w:spacing w:after="0" w:line="240" w:lineRule="auto"/>
                        </w:pPr>
                      </w:p>
                    </w:tc>
                    <w:tc>
                      <w:tcPr>
                        <w:tcW w:w="6"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04"/>
                        </w:tblGrid>
                        <w:tr w:rsidR="00A25E54" w14:paraId="4ACFF6EC" w14:textId="77777777">
                          <w:trPr>
                            <w:trHeight w:val="602"/>
                          </w:trPr>
                          <w:tc>
                            <w:tcPr>
                              <w:tcW w:w="10416" w:type="dxa"/>
                              <w:tcBorders>
                                <w:top w:val="nil"/>
                                <w:left w:val="nil"/>
                                <w:bottom w:val="nil"/>
                                <w:right w:val="nil"/>
                              </w:tcBorders>
                              <w:tcMar>
                                <w:top w:w="39" w:type="dxa"/>
                                <w:left w:w="39" w:type="dxa"/>
                                <w:bottom w:w="39" w:type="dxa"/>
                                <w:right w:w="39" w:type="dxa"/>
                              </w:tcMar>
                            </w:tcPr>
                            <w:p w14:paraId="4ACFF6EB" w14:textId="77777777" w:rsidR="00A25E54" w:rsidRDefault="007A5068">
                              <w:pPr>
                                <w:spacing w:after="0" w:line="240" w:lineRule="auto"/>
                              </w:pPr>
                              <w:r>
                                <w:rPr>
                                  <w:rFonts w:ascii="Segoe UI" w:eastAsia="Segoe UI" w:hAnsi="Segoe UI"/>
                                  <w:b/>
                                  <w:color w:val="000000"/>
                                  <w:sz w:val="32"/>
                                </w:rPr>
                                <w:t>Claims</w:t>
                              </w:r>
                            </w:p>
                          </w:tc>
                        </w:tr>
                        <w:tr w:rsidR="00A25E54" w14:paraId="4ACFF6EF" w14:textId="77777777">
                          <w:trPr>
                            <w:trHeight w:val="262"/>
                          </w:trPr>
                          <w:tc>
                            <w:tcPr>
                              <w:tcW w:w="10416" w:type="dxa"/>
                              <w:tcBorders>
                                <w:top w:val="nil"/>
                                <w:left w:val="nil"/>
                                <w:bottom w:val="nil"/>
                                <w:right w:val="nil"/>
                              </w:tcBorders>
                              <w:tcMar>
                                <w:top w:w="39" w:type="dxa"/>
                                <w:left w:w="479" w:type="dxa"/>
                                <w:bottom w:w="39" w:type="dxa"/>
                                <w:right w:w="39" w:type="dxa"/>
                              </w:tcMar>
                            </w:tcPr>
                            <w:p w14:paraId="4ACFF6ED" w14:textId="77777777" w:rsidR="00A25E54" w:rsidRDefault="007A5068">
                              <w:pPr>
                                <w:spacing w:after="0" w:line="240" w:lineRule="auto"/>
                              </w:pPr>
                              <w:r>
                                <w:rPr>
                                  <w:rFonts w:ascii="Segoe UI" w:eastAsia="Segoe UI" w:hAnsi="Segoe UI"/>
                                  <w:b/>
                                  <w:color w:val="000000"/>
                                  <w:sz w:val="22"/>
                                </w:rPr>
                                <w:lastRenderedPageBreak/>
                                <w:t>In terms of health outcomes (comparative benefits and harms), is the proposed technology claimed to be superior, non-inferior or inferior to the comparator(s)?</w:t>
                              </w:r>
                            </w:p>
                            <w:p w14:paraId="4ACFF6EE" w14:textId="77777777" w:rsidR="00A25E54" w:rsidRDefault="007A5068">
                              <w:pPr>
                                <w:spacing w:after="0" w:line="240" w:lineRule="auto"/>
                              </w:pPr>
                              <w:r>
                                <w:rPr>
                                  <w:rFonts w:ascii="Segoe UI" w:eastAsia="Segoe UI" w:hAnsi="Segoe UI"/>
                                  <w:color w:val="000000"/>
                                  <w:sz w:val="22"/>
                                </w:rPr>
                                <w:t>Superior</w:t>
                              </w:r>
                            </w:p>
                          </w:tc>
                        </w:tr>
                        <w:tr w:rsidR="00A25E54" w14:paraId="4ACFF6F2" w14:textId="77777777">
                          <w:trPr>
                            <w:trHeight w:val="262"/>
                          </w:trPr>
                          <w:tc>
                            <w:tcPr>
                              <w:tcW w:w="10416" w:type="dxa"/>
                              <w:tcBorders>
                                <w:top w:val="nil"/>
                                <w:left w:val="nil"/>
                                <w:bottom w:val="nil"/>
                                <w:right w:val="nil"/>
                              </w:tcBorders>
                              <w:tcMar>
                                <w:top w:w="39" w:type="dxa"/>
                                <w:left w:w="479" w:type="dxa"/>
                                <w:bottom w:w="39" w:type="dxa"/>
                                <w:right w:w="39" w:type="dxa"/>
                              </w:tcMar>
                            </w:tcPr>
                            <w:p w14:paraId="4ACFF6F0" w14:textId="77777777" w:rsidR="00A25E54" w:rsidRDefault="007A5068">
                              <w:pPr>
                                <w:spacing w:after="0" w:line="240" w:lineRule="auto"/>
                              </w:pPr>
                              <w:r>
                                <w:rPr>
                                  <w:rFonts w:ascii="Segoe UI" w:eastAsia="Segoe UI" w:hAnsi="Segoe UI"/>
                                  <w:b/>
                                  <w:color w:val="000000"/>
                                  <w:sz w:val="22"/>
                                </w:rPr>
                                <w:t>Please state what the overall claim is, and provide a rationale:</w:t>
                              </w:r>
                            </w:p>
                            <w:p w14:paraId="4ACFF6F1" w14:textId="77777777" w:rsidR="00A25E54" w:rsidRDefault="007A5068">
                              <w:pPr>
                                <w:spacing w:after="0" w:line="240" w:lineRule="auto"/>
                              </w:pPr>
                              <w:r>
                                <w:rPr>
                                  <w:rFonts w:ascii="Segoe UI" w:eastAsia="Segoe UI" w:hAnsi="Segoe UI"/>
                                  <w:color w:val="000000"/>
                                  <w:sz w:val="22"/>
                                </w:rPr>
                                <w:t xml:space="preserve">Renal failure requiring renal replacement therapy is an important cause of morbidity and mortality in Australia. In Australia in 2022, 29,025 patients received renal replacement therapy (overall prevalence of 902 per one million). End-stage kidney disease is defined by partial or complete failure of kidney function. Patients with end-stage kidney disease need regular dialysis or a kidney transplant to survive. A kidney transplant gives patients a greater chance of survival and a better quality of life than remaining on dialysis. </w:t>
                              </w:r>
                            </w:p>
                          </w:tc>
                        </w:tr>
                      </w:tbl>
                      <w:p w14:paraId="4ACFF6F3" w14:textId="77777777" w:rsidR="00A25E54" w:rsidRDefault="00A25E54">
                        <w:pPr>
                          <w:spacing w:after="0" w:line="240" w:lineRule="auto"/>
                        </w:pPr>
                      </w:p>
                    </w:tc>
                    <w:tc>
                      <w:tcPr>
                        <w:tcW w:w="14" w:type="dxa"/>
                      </w:tcPr>
                      <w:p w14:paraId="4ACFF6F8" w14:textId="77777777" w:rsidR="00A25E54" w:rsidRDefault="00A25E54">
                        <w:pPr>
                          <w:pStyle w:val="EmptyCellLayoutStyle"/>
                          <w:spacing w:after="0" w:line="240" w:lineRule="auto"/>
                        </w:pPr>
                      </w:p>
                    </w:tc>
                    <w:tc>
                      <w:tcPr>
                        <w:tcW w:w="210" w:type="dxa"/>
                      </w:tcPr>
                      <w:p w14:paraId="4ACFF6F9" w14:textId="77777777" w:rsidR="00A25E54" w:rsidRDefault="00A25E54">
                        <w:pPr>
                          <w:pStyle w:val="EmptyCellLayoutStyle"/>
                          <w:spacing w:after="0" w:line="240" w:lineRule="auto"/>
                        </w:pPr>
                      </w:p>
                    </w:tc>
                  </w:tr>
                  <w:tr w:rsidR="00A25E54" w14:paraId="4ACFF705" w14:textId="77777777">
                    <w:trPr>
                      <w:trHeight w:val="157"/>
                    </w:trPr>
                    <w:tc>
                      <w:tcPr>
                        <w:tcW w:w="225" w:type="dxa"/>
                      </w:tcPr>
                      <w:p w14:paraId="4ACFF6FB" w14:textId="77777777" w:rsidR="00A25E54" w:rsidRDefault="00A25E54">
                        <w:pPr>
                          <w:pStyle w:val="EmptyCellLayoutStyle"/>
                          <w:spacing w:after="0" w:line="240" w:lineRule="auto"/>
                        </w:pPr>
                      </w:p>
                    </w:tc>
                    <w:tc>
                      <w:tcPr>
                        <w:tcW w:w="0" w:type="dxa"/>
                      </w:tcPr>
                      <w:p w14:paraId="4ACFF6FC" w14:textId="77777777" w:rsidR="00A25E54" w:rsidRDefault="00A25E54">
                        <w:pPr>
                          <w:pStyle w:val="EmptyCellLayoutStyle"/>
                          <w:spacing w:after="0" w:line="240" w:lineRule="auto"/>
                        </w:pPr>
                      </w:p>
                    </w:tc>
                    <w:tc>
                      <w:tcPr>
                        <w:tcW w:w="6" w:type="dxa"/>
                      </w:tcPr>
                      <w:p w14:paraId="4ACFF6FD" w14:textId="77777777" w:rsidR="00A25E54" w:rsidRDefault="00A25E54">
                        <w:pPr>
                          <w:pStyle w:val="EmptyCellLayoutStyle"/>
                          <w:spacing w:after="0" w:line="240" w:lineRule="auto"/>
                        </w:pPr>
                      </w:p>
                    </w:tc>
                    <w:tc>
                      <w:tcPr>
                        <w:tcW w:w="6" w:type="dxa"/>
                      </w:tcPr>
                      <w:p w14:paraId="4ACFF6FE" w14:textId="77777777" w:rsidR="00A25E54" w:rsidRDefault="00A25E54">
                        <w:pPr>
                          <w:pStyle w:val="EmptyCellLayoutStyle"/>
                          <w:spacing w:after="0" w:line="240" w:lineRule="auto"/>
                        </w:pPr>
                      </w:p>
                    </w:tc>
                    <w:tc>
                      <w:tcPr>
                        <w:tcW w:w="1" w:type="dxa"/>
                      </w:tcPr>
                      <w:p w14:paraId="4ACFF6FF" w14:textId="77777777" w:rsidR="00A25E54" w:rsidRDefault="00A25E54">
                        <w:pPr>
                          <w:pStyle w:val="EmptyCellLayoutStyle"/>
                          <w:spacing w:after="0" w:line="240" w:lineRule="auto"/>
                        </w:pPr>
                      </w:p>
                    </w:tc>
                    <w:tc>
                      <w:tcPr>
                        <w:tcW w:w="12" w:type="dxa"/>
                      </w:tcPr>
                      <w:p w14:paraId="4ACFF700" w14:textId="77777777" w:rsidR="00A25E54" w:rsidRDefault="00A25E54">
                        <w:pPr>
                          <w:pStyle w:val="EmptyCellLayoutStyle"/>
                          <w:spacing w:after="0" w:line="240" w:lineRule="auto"/>
                        </w:pPr>
                      </w:p>
                    </w:tc>
                    <w:tc>
                      <w:tcPr>
                        <w:tcW w:w="10366" w:type="dxa"/>
                      </w:tcPr>
                      <w:p w14:paraId="4ACFF701" w14:textId="77777777" w:rsidR="00A25E54" w:rsidRDefault="00A25E54">
                        <w:pPr>
                          <w:pStyle w:val="EmptyCellLayoutStyle"/>
                          <w:spacing w:after="0" w:line="240" w:lineRule="auto"/>
                        </w:pPr>
                      </w:p>
                    </w:tc>
                    <w:tc>
                      <w:tcPr>
                        <w:tcW w:w="14" w:type="dxa"/>
                      </w:tcPr>
                      <w:p w14:paraId="4ACFF702" w14:textId="77777777" w:rsidR="00A25E54" w:rsidRDefault="00A25E54">
                        <w:pPr>
                          <w:pStyle w:val="EmptyCellLayoutStyle"/>
                          <w:spacing w:after="0" w:line="240" w:lineRule="auto"/>
                        </w:pPr>
                      </w:p>
                    </w:tc>
                    <w:tc>
                      <w:tcPr>
                        <w:tcW w:w="14" w:type="dxa"/>
                      </w:tcPr>
                      <w:p w14:paraId="4ACFF703" w14:textId="77777777" w:rsidR="00A25E54" w:rsidRDefault="00A25E54">
                        <w:pPr>
                          <w:pStyle w:val="EmptyCellLayoutStyle"/>
                          <w:spacing w:after="0" w:line="240" w:lineRule="auto"/>
                        </w:pPr>
                      </w:p>
                    </w:tc>
                    <w:tc>
                      <w:tcPr>
                        <w:tcW w:w="210" w:type="dxa"/>
                      </w:tcPr>
                      <w:p w14:paraId="4ACFF704" w14:textId="77777777" w:rsidR="00A25E54" w:rsidRDefault="00A25E54">
                        <w:pPr>
                          <w:pStyle w:val="EmptyCellLayoutStyle"/>
                          <w:spacing w:after="0" w:line="240" w:lineRule="auto"/>
                        </w:pPr>
                      </w:p>
                    </w:tc>
                  </w:tr>
                  <w:tr w:rsidR="00EA62E3" w14:paraId="4ACFF72C" w14:textId="77777777" w:rsidTr="00EA62E3">
                    <w:tc>
                      <w:tcPr>
                        <w:tcW w:w="225" w:type="dxa"/>
                      </w:tcPr>
                      <w:p w14:paraId="4ACFF706" w14:textId="77777777" w:rsidR="00A25E54" w:rsidRDefault="00A25E54">
                        <w:pPr>
                          <w:pStyle w:val="EmptyCellLayoutStyle"/>
                          <w:spacing w:after="0" w:line="240" w:lineRule="auto"/>
                        </w:pPr>
                      </w:p>
                    </w:tc>
                    <w:tc>
                      <w:tcPr>
                        <w:tcW w:w="0"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02"/>
                        </w:tblGrid>
                        <w:tr w:rsidR="00A25E54" w14:paraId="4ACFF708" w14:textId="77777777">
                          <w:trPr>
                            <w:trHeight w:val="602"/>
                          </w:trPr>
                          <w:tc>
                            <w:tcPr>
                              <w:tcW w:w="10402" w:type="dxa"/>
                              <w:tcBorders>
                                <w:top w:val="nil"/>
                                <w:left w:val="nil"/>
                                <w:bottom w:val="nil"/>
                                <w:right w:val="nil"/>
                              </w:tcBorders>
                              <w:tcMar>
                                <w:top w:w="39" w:type="dxa"/>
                                <w:left w:w="39" w:type="dxa"/>
                                <w:bottom w:w="39" w:type="dxa"/>
                                <w:right w:w="39" w:type="dxa"/>
                              </w:tcMar>
                            </w:tcPr>
                            <w:p w14:paraId="4ACFF707" w14:textId="77777777" w:rsidR="00A25E54" w:rsidRDefault="007A5068">
                              <w:pPr>
                                <w:spacing w:after="0" w:line="240" w:lineRule="auto"/>
                              </w:pPr>
                              <w:r>
                                <w:rPr>
                                  <w:rFonts w:ascii="Segoe UI" w:eastAsia="Segoe UI" w:hAnsi="Segoe UI"/>
                                  <w:b/>
                                  <w:color w:val="000000"/>
                                  <w:sz w:val="32"/>
                                </w:rPr>
                                <w:t>Estimated utilisation</w:t>
                              </w:r>
                            </w:p>
                          </w:tc>
                        </w:tr>
                        <w:tr w:rsidR="00A25E54" w14:paraId="4ACFF70B" w14:textId="77777777">
                          <w:trPr>
                            <w:trHeight w:val="262"/>
                          </w:trPr>
                          <w:tc>
                            <w:tcPr>
                              <w:tcW w:w="10402" w:type="dxa"/>
                              <w:tcBorders>
                                <w:top w:val="nil"/>
                                <w:left w:val="nil"/>
                                <w:bottom w:val="nil"/>
                                <w:right w:val="nil"/>
                              </w:tcBorders>
                              <w:tcMar>
                                <w:top w:w="39" w:type="dxa"/>
                                <w:left w:w="479" w:type="dxa"/>
                                <w:bottom w:w="39" w:type="dxa"/>
                                <w:right w:w="39" w:type="dxa"/>
                              </w:tcMar>
                            </w:tcPr>
                            <w:p w14:paraId="4ACFF709" w14:textId="77777777" w:rsidR="00A25E54" w:rsidRDefault="007A5068">
                              <w:pPr>
                                <w:spacing w:after="0" w:line="240" w:lineRule="auto"/>
                              </w:pPr>
                              <w:r>
                                <w:rPr>
                                  <w:rFonts w:ascii="Segoe UI" w:eastAsia="Segoe UI" w:hAnsi="Segoe UI"/>
                                  <w:b/>
                                  <w:color w:val="000000"/>
                                  <w:sz w:val="22"/>
                                </w:rPr>
                                <w:t>Estimate the prevalence and/or incidence of the proposed population:</w:t>
                              </w:r>
                            </w:p>
                            <w:p w14:paraId="4ACFF70A" w14:textId="77777777" w:rsidR="00A25E54" w:rsidRDefault="007A5068">
                              <w:pPr>
                                <w:spacing w:after="0" w:line="240" w:lineRule="auto"/>
                              </w:pPr>
                              <w:r>
                                <w:rPr>
                                  <w:rFonts w:ascii="Segoe UI" w:eastAsia="Segoe UI" w:hAnsi="Segoe UI"/>
                                  <w:color w:val="000000"/>
                                  <w:sz w:val="22"/>
                                </w:rPr>
                                <w:t>Per the presentation provided in camera at the MSAC meeting in July 2023: In 2021, approximately 11% (n = 153) of the 1,338 people on the kidney transplant waitlist had cPRA of 99% or more, and 140 of those had been on the waitlist for two or more years. The applicant is reaching out to ANZDATA and OrganMatch for data to support the prevalent and incident populations. The applicant per the PSD from MSAC is also working with RTAC on the place and potential utilisation of Imlifidase in Australian clinical practice. In the meantime, the applicant expects the following uptake.</w:t>
                              </w:r>
                            </w:p>
                          </w:tc>
                        </w:tr>
                        <w:tr w:rsidR="00A25E54" w14:paraId="4ACFF70D" w14:textId="77777777">
                          <w:trPr>
                            <w:trHeight w:val="262"/>
                          </w:trPr>
                          <w:tc>
                            <w:tcPr>
                              <w:tcW w:w="10402" w:type="dxa"/>
                              <w:tcBorders>
                                <w:top w:val="nil"/>
                                <w:left w:val="nil"/>
                                <w:bottom w:val="nil"/>
                                <w:right w:val="nil"/>
                              </w:tcBorders>
                              <w:tcMar>
                                <w:top w:w="39" w:type="dxa"/>
                                <w:left w:w="479" w:type="dxa"/>
                                <w:bottom w:w="39" w:type="dxa"/>
                                <w:right w:w="39" w:type="dxa"/>
                              </w:tcMar>
                            </w:tcPr>
                            <w:p w14:paraId="4ACFF70C" w14:textId="77777777" w:rsidR="00A25E54" w:rsidRDefault="007A5068">
                              <w:pPr>
                                <w:spacing w:after="0" w:line="240" w:lineRule="auto"/>
                              </w:pPr>
                              <w:r>
                                <w:rPr>
                                  <w:rFonts w:ascii="Segoe UI" w:eastAsia="Segoe UI" w:hAnsi="Segoe UI"/>
                                  <w:b/>
                                  <w:color w:val="000000"/>
                                  <w:sz w:val="22"/>
                                </w:rPr>
                                <w:t>Provide the percentage uptake of the proposed health technology by the proposed population:</w:t>
                              </w:r>
                            </w:p>
                          </w:tc>
                        </w:tr>
                        <w:tr w:rsidR="00A25E54" w14:paraId="4ACFF710" w14:textId="77777777">
                          <w:trPr>
                            <w:trHeight w:val="262"/>
                          </w:trPr>
                          <w:tc>
                            <w:tcPr>
                              <w:tcW w:w="10402" w:type="dxa"/>
                              <w:tcBorders>
                                <w:top w:val="nil"/>
                                <w:left w:val="nil"/>
                                <w:bottom w:val="nil"/>
                                <w:right w:val="nil"/>
                              </w:tcBorders>
                              <w:tcMar>
                                <w:top w:w="39" w:type="dxa"/>
                                <w:left w:w="699" w:type="dxa"/>
                                <w:bottom w:w="39" w:type="dxa"/>
                                <w:right w:w="39" w:type="dxa"/>
                              </w:tcMar>
                            </w:tcPr>
                            <w:p w14:paraId="4ACFF70E" w14:textId="77777777" w:rsidR="00A25E54" w:rsidRDefault="007A5068">
                              <w:pPr>
                                <w:spacing w:after="0" w:line="240" w:lineRule="auto"/>
                              </w:pPr>
                              <w:r>
                                <w:rPr>
                                  <w:rFonts w:ascii="Segoe UI" w:eastAsia="Segoe UI" w:hAnsi="Segoe UI"/>
                                  <w:b/>
                                  <w:color w:val="000000"/>
                                  <w:sz w:val="22"/>
                                </w:rPr>
                                <w:t xml:space="preserve">Year 1 estimated uptake (%): </w:t>
                              </w:r>
                            </w:p>
                            <w:p w14:paraId="4ACFF70F" w14:textId="11A35E73" w:rsidR="00A25E54" w:rsidRDefault="00A53397">
                              <w:pPr>
                                <w:spacing w:after="0" w:line="240" w:lineRule="auto"/>
                              </w:pPr>
                              <w:r w:rsidRPr="00A53397">
                                <w:rPr>
                                  <w:rFonts w:ascii="Segoe UI" w:eastAsia="Segoe UI" w:hAnsi="Segoe UI"/>
                                  <w:b/>
                                  <w:bCs/>
                                  <w:color w:val="000000"/>
                                  <w:sz w:val="22"/>
                                </w:rPr>
                                <w:t>Redacted</w:t>
                              </w:r>
                            </w:p>
                          </w:tc>
                        </w:tr>
                        <w:tr w:rsidR="00A25E54" w14:paraId="4ACFF713" w14:textId="77777777">
                          <w:trPr>
                            <w:trHeight w:val="262"/>
                          </w:trPr>
                          <w:tc>
                            <w:tcPr>
                              <w:tcW w:w="10402" w:type="dxa"/>
                              <w:tcBorders>
                                <w:top w:val="nil"/>
                                <w:left w:val="nil"/>
                                <w:bottom w:val="nil"/>
                                <w:right w:val="nil"/>
                              </w:tcBorders>
                              <w:tcMar>
                                <w:top w:w="39" w:type="dxa"/>
                                <w:left w:w="699" w:type="dxa"/>
                                <w:bottom w:w="39" w:type="dxa"/>
                                <w:right w:w="39" w:type="dxa"/>
                              </w:tcMar>
                            </w:tcPr>
                            <w:p w14:paraId="4ACFF711" w14:textId="77777777" w:rsidR="00A25E54" w:rsidRDefault="007A5068">
                              <w:pPr>
                                <w:spacing w:after="0" w:line="240" w:lineRule="auto"/>
                              </w:pPr>
                              <w:r>
                                <w:rPr>
                                  <w:rFonts w:ascii="Segoe UI" w:eastAsia="Segoe UI" w:hAnsi="Segoe UI"/>
                                  <w:b/>
                                  <w:color w:val="000000"/>
                                  <w:sz w:val="22"/>
                                </w:rPr>
                                <w:t xml:space="preserve">Year 2 estimated uptake (%): </w:t>
                              </w:r>
                            </w:p>
                            <w:p w14:paraId="4ACFF712" w14:textId="532EC273" w:rsidR="00A25E54" w:rsidRDefault="00A53397">
                              <w:pPr>
                                <w:spacing w:after="0" w:line="240" w:lineRule="auto"/>
                              </w:pPr>
                              <w:r w:rsidRPr="00A53397">
                                <w:rPr>
                                  <w:rFonts w:ascii="Segoe UI" w:eastAsia="Segoe UI" w:hAnsi="Segoe UI"/>
                                  <w:b/>
                                  <w:bCs/>
                                  <w:color w:val="000000"/>
                                  <w:sz w:val="22"/>
                                </w:rPr>
                                <w:t>Redacted</w:t>
                              </w:r>
                            </w:p>
                          </w:tc>
                        </w:tr>
                        <w:tr w:rsidR="00A25E54" w14:paraId="4ACFF716" w14:textId="77777777">
                          <w:trPr>
                            <w:trHeight w:val="262"/>
                          </w:trPr>
                          <w:tc>
                            <w:tcPr>
                              <w:tcW w:w="10402" w:type="dxa"/>
                              <w:tcBorders>
                                <w:top w:val="nil"/>
                                <w:left w:val="nil"/>
                                <w:bottom w:val="nil"/>
                                <w:right w:val="nil"/>
                              </w:tcBorders>
                              <w:tcMar>
                                <w:top w:w="39" w:type="dxa"/>
                                <w:left w:w="699" w:type="dxa"/>
                                <w:bottom w:w="39" w:type="dxa"/>
                                <w:right w:w="39" w:type="dxa"/>
                              </w:tcMar>
                            </w:tcPr>
                            <w:p w14:paraId="4ACFF714" w14:textId="77777777" w:rsidR="00A25E54" w:rsidRDefault="007A5068">
                              <w:pPr>
                                <w:spacing w:after="0" w:line="240" w:lineRule="auto"/>
                              </w:pPr>
                              <w:r>
                                <w:rPr>
                                  <w:rFonts w:ascii="Segoe UI" w:eastAsia="Segoe UI" w:hAnsi="Segoe UI"/>
                                  <w:b/>
                                  <w:color w:val="000000"/>
                                  <w:sz w:val="22"/>
                                </w:rPr>
                                <w:t xml:space="preserve">Year 3 estimated uptake (%): </w:t>
                              </w:r>
                            </w:p>
                            <w:p w14:paraId="4ACFF715" w14:textId="4B481378" w:rsidR="00A25E54" w:rsidRDefault="00A53397">
                              <w:pPr>
                                <w:spacing w:after="0" w:line="240" w:lineRule="auto"/>
                              </w:pPr>
                              <w:r w:rsidRPr="00A53397">
                                <w:rPr>
                                  <w:rFonts w:ascii="Segoe UI" w:eastAsia="Segoe UI" w:hAnsi="Segoe UI"/>
                                  <w:b/>
                                  <w:bCs/>
                                  <w:color w:val="000000"/>
                                  <w:sz w:val="22"/>
                                </w:rPr>
                                <w:t>Redacted</w:t>
                              </w:r>
                            </w:p>
                          </w:tc>
                        </w:tr>
                        <w:tr w:rsidR="00A25E54" w14:paraId="4ACFF719" w14:textId="77777777">
                          <w:trPr>
                            <w:trHeight w:val="262"/>
                          </w:trPr>
                          <w:tc>
                            <w:tcPr>
                              <w:tcW w:w="10402" w:type="dxa"/>
                              <w:tcBorders>
                                <w:top w:val="nil"/>
                                <w:left w:val="nil"/>
                                <w:bottom w:val="nil"/>
                                <w:right w:val="nil"/>
                              </w:tcBorders>
                              <w:tcMar>
                                <w:top w:w="39" w:type="dxa"/>
                                <w:left w:w="699" w:type="dxa"/>
                                <w:bottom w:w="39" w:type="dxa"/>
                                <w:right w:w="39" w:type="dxa"/>
                              </w:tcMar>
                            </w:tcPr>
                            <w:p w14:paraId="4ACFF717" w14:textId="77777777" w:rsidR="00A25E54" w:rsidRDefault="007A5068">
                              <w:pPr>
                                <w:spacing w:after="0" w:line="240" w:lineRule="auto"/>
                              </w:pPr>
                              <w:r>
                                <w:rPr>
                                  <w:rFonts w:ascii="Segoe UI" w:eastAsia="Segoe UI" w:hAnsi="Segoe UI"/>
                                  <w:b/>
                                  <w:color w:val="000000"/>
                                  <w:sz w:val="22"/>
                                </w:rPr>
                                <w:t>Year 4 estimated uptake (%):</w:t>
                              </w:r>
                            </w:p>
                            <w:p w14:paraId="4ACFF718" w14:textId="09810080" w:rsidR="00A25E54" w:rsidRDefault="00A53397">
                              <w:pPr>
                                <w:spacing w:after="0" w:line="240" w:lineRule="auto"/>
                              </w:pPr>
                              <w:r w:rsidRPr="00A53397">
                                <w:rPr>
                                  <w:rFonts w:ascii="Segoe UI" w:eastAsia="Segoe UI" w:hAnsi="Segoe UI"/>
                                  <w:b/>
                                  <w:bCs/>
                                  <w:color w:val="000000"/>
                                  <w:sz w:val="22"/>
                                </w:rPr>
                                <w:t>Redacted</w:t>
                              </w:r>
                            </w:p>
                          </w:tc>
                        </w:tr>
                        <w:tr w:rsidR="00A25E54" w14:paraId="4ACFF71C" w14:textId="77777777">
                          <w:trPr>
                            <w:trHeight w:val="262"/>
                          </w:trPr>
                          <w:tc>
                            <w:tcPr>
                              <w:tcW w:w="10402" w:type="dxa"/>
                              <w:tcBorders>
                                <w:top w:val="nil"/>
                                <w:left w:val="nil"/>
                                <w:bottom w:val="nil"/>
                                <w:right w:val="nil"/>
                              </w:tcBorders>
                              <w:tcMar>
                                <w:top w:w="39" w:type="dxa"/>
                                <w:left w:w="479" w:type="dxa"/>
                                <w:bottom w:w="39" w:type="dxa"/>
                                <w:right w:w="39" w:type="dxa"/>
                              </w:tcMar>
                            </w:tcPr>
                            <w:p w14:paraId="4ACFF71A" w14:textId="77777777" w:rsidR="00A25E54" w:rsidRDefault="007A5068">
                              <w:pPr>
                                <w:spacing w:after="0" w:line="240" w:lineRule="auto"/>
                              </w:pPr>
                              <w:r>
                                <w:rPr>
                                  <w:rFonts w:ascii="Segoe UI" w:eastAsia="Segoe UI" w:hAnsi="Segoe UI"/>
                                  <w:b/>
                                  <w:color w:val="000000"/>
                                  <w:sz w:val="22"/>
                                </w:rPr>
                                <w:t xml:space="preserve">Estimate the number of patients who will utilise the proposed technology for the first full year: </w:t>
                              </w:r>
                            </w:p>
                            <w:p w14:paraId="4ACFF71B" w14:textId="44CBE857" w:rsidR="00A25E54" w:rsidRDefault="00A53397">
                              <w:pPr>
                                <w:spacing w:after="0" w:line="240" w:lineRule="auto"/>
                              </w:pPr>
                              <w:r w:rsidRPr="00A53397">
                                <w:rPr>
                                  <w:rFonts w:ascii="Segoe UI" w:eastAsia="Segoe UI" w:hAnsi="Segoe UI"/>
                                  <w:b/>
                                  <w:bCs/>
                                  <w:color w:val="000000"/>
                                  <w:sz w:val="22"/>
                                </w:rPr>
                                <w:t>Redacted</w:t>
                              </w:r>
                            </w:p>
                          </w:tc>
                        </w:tr>
                        <w:tr w:rsidR="00A25E54" w14:paraId="4ACFF71F" w14:textId="77777777">
                          <w:trPr>
                            <w:trHeight w:val="262"/>
                          </w:trPr>
                          <w:tc>
                            <w:tcPr>
                              <w:tcW w:w="10402" w:type="dxa"/>
                              <w:tcBorders>
                                <w:top w:val="nil"/>
                                <w:left w:val="nil"/>
                                <w:bottom w:val="nil"/>
                                <w:right w:val="nil"/>
                              </w:tcBorders>
                              <w:tcMar>
                                <w:top w:w="39" w:type="dxa"/>
                                <w:left w:w="479" w:type="dxa"/>
                                <w:bottom w:w="39" w:type="dxa"/>
                                <w:right w:w="39" w:type="dxa"/>
                              </w:tcMar>
                            </w:tcPr>
                            <w:p w14:paraId="4ACFF71D" w14:textId="77777777" w:rsidR="00A25E54" w:rsidRDefault="007A5068">
                              <w:pPr>
                                <w:spacing w:after="0" w:line="240" w:lineRule="auto"/>
                              </w:pPr>
                              <w:r>
                                <w:rPr>
                                  <w:rFonts w:ascii="Segoe UI" w:eastAsia="Segoe UI" w:hAnsi="Segoe UI"/>
                                  <w:b/>
                                  <w:color w:val="000000"/>
                                  <w:sz w:val="22"/>
                                </w:rPr>
                                <w:t xml:space="preserve">Optionally, provide details: </w:t>
                              </w:r>
                            </w:p>
                            <w:p w14:paraId="4ACFF71E" w14:textId="77777777" w:rsidR="00A25E54" w:rsidRDefault="007A5068">
                              <w:pPr>
                                <w:spacing w:after="0" w:line="240" w:lineRule="auto"/>
                              </w:pPr>
                              <w:r>
                                <w:rPr>
                                  <w:rFonts w:ascii="Segoe UI" w:eastAsia="Segoe UI" w:hAnsi="Segoe UI"/>
                                  <w:color w:val="000000"/>
                                  <w:sz w:val="22"/>
                                </w:rPr>
                                <w:t xml:space="preserve">Availability of kidneys for transplantation is the biggest restraint. Despite annual growth in the number of transplants performed, similar increases in the number of candidates waitlisted have prevented any reduction in the size of the waitlist. In 2022 there were greater than1,300 people active on the kidney transplant waitlist, largely unchanged from the 1338 in 2021 (ANZDATA Registry), with approximately 140 patients highly sensitised, unlikely to be transplanted who have been on the waitlist for two or more years. On the ANZKX there are 75 living donor pairs annually (Organ and Tissue Authority, 2021) of whom around 40% are unlikely to be transplanted at the end of two years. (Cantwell et al., 2015). </w:t>
                              </w:r>
                              <w:r>
                                <w:rPr>
                                  <w:rFonts w:ascii="Segoe UI" w:eastAsia="Segoe UI" w:hAnsi="Segoe UI"/>
                                  <w:color w:val="000000"/>
                                  <w:sz w:val="22"/>
                                </w:rPr>
                                <w:br/>
                              </w:r>
                              <w:r>
                                <w:rPr>
                                  <w:rFonts w:ascii="Segoe UI" w:eastAsia="Segoe UI" w:hAnsi="Segoe UI"/>
                                  <w:color w:val="000000"/>
                                  <w:sz w:val="22"/>
                                </w:rPr>
                                <w:br/>
                                <w:t xml:space="preserve">A system constraint is the number of specialist adult transplant centres (n=15) able to provide appropriate post-discharge care. System performance in organ donation and transplantation depends on successful coordination across systems, designated authorities, hospitals, and individuals involved </w:t>
                              </w:r>
                              <w:r>
                                <w:rPr>
                                  <w:rFonts w:ascii="Segoe UI" w:eastAsia="Segoe UI" w:hAnsi="Segoe UI"/>
                                  <w:color w:val="000000"/>
                                  <w:sz w:val="22"/>
                                </w:rPr>
                                <w:lastRenderedPageBreak/>
                                <w:t xml:space="preserve">in donor detection and management, organ procurement, allocation, donor and recipient follow-up, monitoring and surveillance, and regulation. The Australian Organ and Tissue Authority (OTA), and programmes to assist with allocations such as OrganMatch, ANZKX are crucial to the efficient running of the transplant services, especially in the highly sensitised group of patients. </w:t>
                              </w:r>
                            </w:p>
                          </w:tc>
                        </w:tr>
                        <w:tr w:rsidR="00A25E54" w14:paraId="4ACFF722" w14:textId="77777777">
                          <w:trPr>
                            <w:trHeight w:val="262"/>
                          </w:trPr>
                          <w:tc>
                            <w:tcPr>
                              <w:tcW w:w="10402" w:type="dxa"/>
                              <w:tcBorders>
                                <w:top w:val="nil"/>
                                <w:left w:val="nil"/>
                                <w:bottom w:val="nil"/>
                                <w:right w:val="nil"/>
                              </w:tcBorders>
                              <w:tcMar>
                                <w:top w:w="39" w:type="dxa"/>
                                <w:left w:w="479" w:type="dxa"/>
                                <w:bottom w:w="39" w:type="dxa"/>
                                <w:right w:w="39" w:type="dxa"/>
                              </w:tcMar>
                            </w:tcPr>
                            <w:p w14:paraId="4ACFF720" w14:textId="77777777" w:rsidR="00A25E54" w:rsidRDefault="007A5068">
                              <w:pPr>
                                <w:spacing w:after="0" w:line="240" w:lineRule="auto"/>
                              </w:pPr>
                              <w:r>
                                <w:rPr>
                                  <w:rFonts w:ascii="Segoe UI" w:eastAsia="Segoe UI" w:hAnsi="Segoe UI"/>
                                  <w:b/>
                                  <w:color w:val="000000"/>
                                  <w:sz w:val="22"/>
                                </w:rPr>
                                <w:lastRenderedPageBreak/>
                                <w:t>Will the technology be needed more than once per patient?</w:t>
                              </w:r>
                            </w:p>
                            <w:p w14:paraId="4ACFF721" w14:textId="77777777" w:rsidR="00A25E54" w:rsidRDefault="007A5068">
                              <w:pPr>
                                <w:spacing w:after="0" w:line="240" w:lineRule="auto"/>
                              </w:pPr>
                              <w:r>
                                <w:rPr>
                                  <w:rFonts w:ascii="Segoe UI" w:eastAsia="Segoe UI" w:hAnsi="Segoe UI"/>
                                  <w:color w:val="000000"/>
                                  <w:sz w:val="22"/>
                                </w:rPr>
                                <w:t>No, once only</w:t>
                              </w:r>
                            </w:p>
                          </w:tc>
                        </w:tr>
                      </w:tbl>
                      <w:p w14:paraId="4ACFF723" w14:textId="77777777" w:rsidR="00A25E54" w:rsidRDefault="00A25E54">
                        <w:pPr>
                          <w:spacing w:after="0" w:line="240" w:lineRule="auto"/>
                        </w:pPr>
                      </w:p>
                    </w:tc>
                    <w:tc>
                      <w:tcPr>
                        <w:tcW w:w="14" w:type="dxa"/>
                      </w:tcPr>
                      <w:p w14:paraId="4ACFF729" w14:textId="77777777" w:rsidR="00A25E54" w:rsidRDefault="00A25E54">
                        <w:pPr>
                          <w:pStyle w:val="EmptyCellLayoutStyle"/>
                          <w:spacing w:after="0" w:line="240" w:lineRule="auto"/>
                        </w:pPr>
                      </w:p>
                    </w:tc>
                    <w:tc>
                      <w:tcPr>
                        <w:tcW w:w="14" w:type="dxa"/>
                      </w:tcPr>
                      <w:p w14:paraId="4ACFF72A" w14:textId="77777777" w:rsidR="00A25E54" w:rsidRDefault="00A25E54">
                        <w:pPr>
                          <w:pStyle w:val="EmptyCellLayoutStyle"/>
                          <w:spacing w:after="0" w:line="240" w:lineRule="auto"/>
                        </w:pPr>
                      </w:p>
                    </w:tc>
                    <w:tc>
                      <w:tcPr>
                        <w:tcW w:w="210" w:type="dxa"/>
                      </w:tcPr>
                      <w:p w14:paraId="4ACFF72B" w14:textId="77777777" w:rsidR="00A25E54" w:rsidRDefault="00A25E54">
                        <w:pPr>
                          <w:pStyle w:val="EmptyCellLayoutStyle"/>
                          <w:spacing w:after="0" w:line="240" w:lineRule="auto"/>
                        </w:pPr>
                      </w:p>
                    </w:tc>
                  </w:tr>
                  <w:tr w:rsidR="00A25E54" w14:paraId="4ACFF737" w14:textId="77777777">
                    <w:trPr>
                      <w:trHeight w:val="240"/>
                    </w:trPr>
                    <w:tc>
                      <w:tcPr>
                        <w:tcW w:w="225" w:type="dxa"/>
                      </w:tcPr>
                      <w:p w14:paraId="4ACFF72D" w14:textId="77777777" w:rsidR="00A25E54" w:rsidRDefault="00A25E54">
                        <w:pPr>
                          <w:pStyle w:val="EmptyCellLayoutStyle"/>
                          <w:spacing w:after="0" w:line="240" w:lineRule="auto"/>
                        </w:pPr>
                      </w:p>
                    </w:tc>
                    <w:tc>
                      <w:tcPr>
                        <w:tcW w:w="0" w:type="dxa"/>
                      </w:tcPr>
                      <w:p w14:paraId="4ACFF72E" w14:textId="77777777" w:rsidR="00A25E54" w:rsidRDefault="00A25E54">
                        <w:pPr>
                          <w:pStyle w:val="EmptyCellLayoutStyle"/>
                          <w:spacing w:after="0" w:line="240" w:lineRule="auto"/>
                        </w:pPr>
                      </w:p>
                    </w:tc>
                    <w:tc>
                      <w:tcPr>
                        <w:tcW w:w="6" w:type="dxa"/>
                      </w:tcPr>
                      <w:p w14:paraId="4ACFF72F" w14:textId="77777777" w:rsidR="00A25E54" w:rsidRDefault="00A25E54">
                        <w:pPr>
                          <w:pStyle w:val="EmptyCellLayoutStyle"/>
                          <w:spacing w:after="0" w:line="240" w:lineRule="auto"/>
                        </w:pPr>
                      </w:p>
                    </w:tc>
                    <w:tc>
                      <w:tcPr>
                        <w:tcW w:w="6" w:type="dxa"/>
                      </w:tcPr>
                      <w:p w14:paraId="4ACFF730" w14:textId="77777777" w:rsidR="00A25E54" w:rsidRDefault="00A25E54">
                        <w:pPr>
                          <w:pStyle w:val="EmptyCellLayoutStyle"/>
                          <w:spacing w:after="0" w:line="240" w:lineRule="auto"/>
                        </w:pPr>
                      </w:p>
                    </w:tc>
                    <w:tc>
                      <w:tcPr>
                        <w:tcW w:w="1" w:type="dxa"/>
                      </w:tcPr>
                      <w:p w14:paraId="4ACFF731" w14:textId="77777777" w:rsidR="00A25E54" w:rsidRDefault="00A25E54">
                        <w:pPr>
                          <w:pStyle w:val="EmptyCellLayoutStyle"/>
                          <w:spacing w:after="0" w:line="240" w:lineRule="auto"/>
                        </w:pPr>
                      </w:p>
                    </w:tc>
                    <w:tc>
                      <w:tcPr>
                        <w:tcW w:w="12" w:type="dxa"/>
                      </w:tcPr>
                      <w:p w14:paraId="4ACFF732" w14:textId="77777777" w:rsidR="00A25E54" w:rsidRDefault="00A25E54">
                        <w:pPr>
                          <w:pStyle w:val="EmptyCellLayoutStyle"/>
                          <w:spacing w:after="0" w:line="240" w:lineRule="auto"/>
                        </w:pPr>
                      </w:p>
                    </w:tc>
                    <w:tc>
                      <w:tcPr>
                        <w:tcW w:w="10366" w:type="dxa"/>
                      </w:tcPr>
                      <w:p w14:paraId="4ACFF733" w14:textId="77777777" w:rsidR="00A25E54" w:rsidRDefault="00A25E54">
                        <w:pPr>
                          <w:pStyle w:val="EmptyCellLayoutStyle"/>
                          <w:spacing w:after="0" w:line="240" w:lineRule="auto"/>
                        </w:pPr>
                      </w:p>
                    </w:tc>
                    <w:tc>
                      <w:tcPr>
                        <w:tcW w:w="14" w:type="dxa"/>
                      </w:tcPr>
                      <w:p w14:paraId="4ACFF734" w14:textId="77777777" w:rsidR="00A25E54" w:rsidRDefault="00A25E54">
                        <w:pPr>
                          <w:pStyle w:val="EmptyCellLayoutStyle"/>
                          <w:spacing w:after="0" w:line="240" w:lineRule="auto"/>
                        </w:pPr>
                      </w:p>
                    </w:tc>
                    <w:tc>
                      <w:tcPr>
                        <w:tcW w:w="14" w:type="dxa"/>
                      </w:tcPr>
                      <w:p w14:paraId="4ACFF735" w14:textId="77777777" w:rsidR="00A25E54" w:rsidRDefault="00A25E54">
                        <w:pPr>
                          <w:pStyle w:val="EmptyCellLayoutStyle"/>
                          <w:spacing w:after="0" w:line="240" w:lineRule="auto"/>
                        </w:pPr>
                      </w:p>
                    </w:tc>
                    <w:tc>
                      <w:tcPr>
                        <w:tcW w:w="210" w:type="dxa"/>
                      </w:tcPr>
                      <w:p w14:paraId="4ACFF736" w14:textId="77777777" w:rsidR="00A25E54" w:rsidRDefault="00A25E54">
                        <w:pPr>
                          <w:pStyle w:val="EmptyCellLayoutStyle"/>
                          <w:spacing w:after="0" w:line="240" w:lineRule="auto"/>
                        </w:pPr>
                      </w:p>
                    </w:tc>
                  </w:tr>
                  <w:tr w:rsidR="00EA62E3" w14:paraId="4ACFF74B" w14:textId="77777777" w:rsidTr="00EA62E3">
                    <w:tc>
                      <w:tcPr>
                        <w:tcW w:w="225" w:type="dxa"/>
                      </w:tcPr>
                      <w:p w14:paraId="4ACFF738" w14:textId="77777777" w:rsidR="00A25E54" w:rsidRDefault="00A25E54">
                        <w:pPr>
                          <w:pStyle w:val="EmptyCellLayoutStyle"/>
                          <w:spacing w:after="0" w:line="240" w:lineRule="auto"/>
                        </w:pPr>
                      </w:p>
                    </w:tc>
                    <w:tc>
                      <w:tcPr>
                        <w:tcW w:w="0" w:type="dxa"/>
                      </w:tcPr>
                      <w:p w14:paraId="4ACFF739" w14:textId="77777777" w:rsidR="00A25E54" w:rsidRDefault="00A25E54">
                        <w:pPr>
                          <w:pStyle w:val="EmptyCellLayoutStyle"/>
                          <w:spacing w:after="0" w:line="240" w:lineRule="auto"/>
                        </w:pPr>
                      </w:p>
                    </w:tc>
                    <w:tc>
                      <w:tcPr>
                        <w:tcW w:w="6" w:type="dxa"/>
                      </w:tcPr>
                      <w:p w14:paraId="4ACFF73A" w14:textId="77777777" w:rsidR="00A25E54" w:rsidRDefault="00A25E54">
                        <w:pPr>
                          <w:pStyle w:val="EmptyCellLayoutStyle"/>
                          <w:spacing w:after="0" w:line="240" w:lineRule="auto"/>
                        </w:pPr>
                      </w:p>
                    </w:tc>
                    <w:tc>
                      <w:tcPr>
                        <w:tcW w:w="6" w:type="dxa"/>
                      </w:tcPr>
                      <w:p w14:paraId="4ACFF73B" w14:textId="77777777" w:rsidR="00A25E54" w:rsidRDefault="00A25E54">
                        <w:pPr>
                          <w:pStyle w:val="EmptyCellLayoutStyle"/>
                          <w:spacing w:after="0" w:line="240" w:lineRule="auto"/>
                        </w:pPr>
                      </w:p>
                    </w:tc>
                    <w:tc>
                      <w:tcPr>
                        <w:tcW w:w="1"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36"/>
                          <w:gridCol w:w="6643"/>
                        </w:tblGrid>
                        <w:tr w:rsidR="00EA62E3" w14:paraId="4ACFF73E" w14:textId="77777777" w:rsidTr="00EA62E3">
                          <w:trPr>
                            <w:trHeight w:val="442"/>
                          </w:trPr>
                          <w:tc>
                            <w:tcPr>
                              <w:tcW w:w="3736" w:type="dxa"/>
                              <w:gridSpan w:val="2"/>
                              <w:tcBorders>
                                <w:top w:val="nil"/>
                                <w:left w:val="nil"/>
                                <w:bottom w:val="nil"/>
                                <w:right w:val="nil"/>
                              </w:tcBorders>
                              <w:tcMar>
                                <w:top w:w="39" w:type="dxa"/>
                                <w:left w:w="479" w:type="dxa"/>
                                <w:bottom w:w="39" w:type="dxa"/>
                                <w:right w:w="39" w:type="dxa"/>
                              </w:tcMar>
                            </w:tcPr>
                            <w:p w14:paraId="4ACFF73C" w14:textId="77777777" w:rsidR="00A25E54" w:rsidRDefault="007A5068">
                              <w:pPr>
                                <w:spacing w:after="0" w:line="240" w:lineRule="auto"/>
                              </w:pPr>
                              <w:r>
                                <w:rPr>
                                  <w:rFonts w:ascii="Segoe UI" w:eastAsia="Segoe UI" w:hAnsi="Segoe UI"/>
                                  <w:b/>
                                  <w:color w:val="000000"/>
                                  <w:sz w:val="22"/>
                                </w:rPr>
                                <w:t>Provide references to support these calculations:</w:t>
                              </w:r>
                            </w:p>
                          </w:tc>
                        </w:tr>
                        <w:tr w:rsidR="00A25E54" w14:paraId="4ACFF741" w14:textId="77777777">
                          <w:trPr>
                            <w:trHeight w:val="334"/>
                          </w:trPr>
                          <w:tc>
                            <w:tcPr>
                              <w:tcW w:w="3736"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73F" w14:textId="77777777" w:rsidR="00A25E54" w:rsidRDefault="007A5068">
                              <w:pPr>
                                <w:spacing w:after="0" w:line="240" w:lineRule="auto"/>
                              </w:pPr>
                              <w:r>
                                <w:rPr>
                                  <w:rFonts w:ascii="Segoe UI" w:eastAsia="Segoe UI" w:hAnsi="Segoe UI"/>
                                  <w:b/>
                                  <w:color w:val="000000"/>
                                  <w:sz w:val="22"/>
                                </w:rPr>
                                <w:t>Document type</w:t>
                              </w:r>
                            </w:p>
                          </w:tc>
                          <w:tc>
                            <w:tcPr>
                              <w:tcW w:w="66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740" w14:textId="77777777" w:rsidR="00A25E54" w:rsidRDefault="007A5068">
                              <w:pPr>
                                <w:spacing w:after="0" w:line="240" w:lineRule="auto"/>
                              </w:pPr>
                              <w:r>
                                <w:rPr>
                                  <w:rFonts w:ascii="Segoe UI" w:eastAsia="Segoe UI" w:hAnsi="Segoe UI"/>
                                  <w:b/>
                                  <w:color w:val="000000"/>
                                  <w:sz w:val="22"/>
                                </w:rPr>
                                <w:t>File name</w:t>
                              </w:r>
                            </w:p>
                          </w:tc>
                        </w:tr>
                        <w:tr w:rsidR="00A25E54" w14:paraId="4ACFF744" w14:textId="77777777">
                          <w:trPr>
                            <w:trHeight w:val="589"/>
                          </w:trPr>
                          <w:tc>
                            <w:tcPr>
                              <w:tcW w:w="3736" w:type="dxa"/>
                              <w:tcBorders>
                                <w:top w:val="single" w:sz="7" w:space="0" w:color="D3D3D3"/>
                                <w:left w:val="single" w:sz="7" w:space="0" w:color="D3D3D3"/>
                                <w:bottom w:val="single" w:sz="7" w:space="0" w:color="D3D3D3"/>
                                <w:right w:val="single" w:sz="7" w:space="0" w:color="D3D3D3"/>
                              </w:tcBorders>
                              <w:tcMar>
                                <w:top w:w="39" w:type="dxa"/>
                                <w:left w:w="479" w:type="dxa"/>
                                <w:bottom w:w="39" w:type="dxa"/>
                                <w:right w:w="39" w:type="dxa"/>
                              </w:tcMar>
                            </w:tcPr>
                            <w:p w14:paraId="4ACFF742" w14:textId="77777777" w:rsidR="00A25E54" w:rsidRDefault="007A5068">
                              <w:pPr>
                                <w:spacing w:after="0" w:line="240" w:lineRule="auto"/>
                              </w:pPr>
                              <w:r>
                                <w:rPr>
                                  <w:rFonts w:ascii="Segoe UI" w:eastAsia="Segoe UI" w:hAnsi="Segoe UI"/>
                                  <w:color w:val="000000"/>
                                  <w:sz w:val="22"/>
                                </w:rPr>
                                <w:t>Estimated utilisation references</w:t>
                              </w:r>
                            </w:p>
                          </w:tc>
                          <w:tc>
                            <w:tcPr>
                              <w:tcW w:w="66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F743" w14:textId="77777777" w:rsidR="00A25E54" w:rsidRDefault="007A5068">
                              <w:pPr>
                                <w:spacing w:after="0" w:line="240" w:lineRule="auto"/>
                              </w:pPr>
                              <w:r>
                                <w:rPr>
                                  <w:rFonts w:ascii="Segoe UI" w:eastAsia="Segoe UI" w:hAnsi="Segoe UI"/>
                                  <w:color w:val="000000"/>
                                  <w:sz w:val="22"/>
                                </w:rPr>
                                <w:t>2022-ANZDATA-Australia-Summary-Consumer-Infographic-v2.pdf; Chapter-6-Australian-Transplant-Waiting-List-ANZDATA-Annual-Report-2022.pdf</w:t>
                              </w:r>
                            </w:p>
                          </w:tc>
                        </w:tr>
                      </w:tbl>
                      <w:p w14:paraId="4ACFF745" w14:textId="77777777" w:rsidR="00A25E54" w:rsidRDefault="00A25E54">
                        <w:pPr>
                          <w:spacing w:after="0" w:line="240" w:lineRule="auto"/>
                        </w:pPr>
                      </w:p>
                    </w:tc>
                    <w:tc>
                      <w:tcPr>
                        <w:tcW w:w="14" w:type="dxa"/>
                      </w:tcPr>
                      <w:p w14:paraId="4ACFF748" w14:textId="77777777" w:rsidR="00A25E54" w:rsidRDefault="00A25E54">
                        <w:pPr>
                          <w:pStyle w:val="EmptyCellLayoutStyle"/>
                          <w:spacing w:after="0" w:line="240" w:lineRule="auto"/>
                        </w:pPr>
                      </w:p>
                    </w:tc>
                    <w:tc>
                      <w:tcPr>
                        <w:tcW w:w="14" w:type="dxa"/>
                      </w:tcPr>
                      <w:p w14:paraId="4ACFF749" w14:textId="77777777" w:rsidR="00A25E54" w:rsidRDefault="00A25E54">
                        <w:pPr>
                          <w:pStyle w:val="EmptyCellLayoutStyle"/>
                          <w:spacing w:after="0" w:line="240" w:lineRule="auto"/>
                        </w:pPr>
                      </w:p>
                    </w:tc>
                    <w:tc>
                      <w:tcPr>
                        <w:tcW w:w="210" w:type="dxa"/>
                      </w:tcPr>
                      <w:p w14:paraId="4ACFF74A" w14:textId="77777777" w:rsidR="00A25E54" w:rsidRDefault="00A25E54">
                        <w:pPr>
                          <w:pStyle w:val="EmptyCellLayoutStyle"/>
                          <w:spacing w:after="0" w:line="240" w:lineRule="auto"/>
                        </w:pPr>
                      </w:p>
                    </w:tc>
                  </w:tr>
                </w:tbl>
                <w:p w14:paraId="4ACFF74C" w14:textId="77777777" w:rsidR="00A25E54" w:rsidRDefault="00A25E54">
                  <w:pPr>
                    <w:spacing w:after="0" w:line="240" w:lineRule="auto"/>
                  </w:pPr>
                </w:p>
              </w:tc>
            </w:tr>
          </w:tbl>
          <w:p w14:paraId="4ACFF74E" w14:textId="77777777" w:rsidR="00A25E54" w:rsidRDefault="00A25E54">
            <w:pPr>
              <w:spacing w:after="0" w:line="240" w:lineRule="auto"/>
            </w:pPr>
          </w:p>
        </w:tc>
      </w:tr>
    </w:tbl>
    <w:p w14:paraId="4ACFF750" w14:textId="77777777" w:rsidR="00A25E54" w:rsidRDefault="007A5068">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315"/>
        <w:gridCol w:w="10431"/>
        <w:gridCol w:w="450"/>
      </w:tblGrid>
      <w:tr w:rsidR="00EA62E3" w14:paraId="4ACFF756" w14:textId="77777777" w:rsidTr="00EA62E3">
        <w:tc>
          <w:tcPr>
            <w:tcW w:w="315" w:type="dxa"/>
          </w:tcPr>
          <w:p w14:paraId="4ACFF751" w14:textId="77777777" w:rsidR="00A25E54" w:rsidRDefault="00A25E54">
            <w:pPr>
              <w:pStyle w:val="EmptyCellLayoutStyle"/>
              <w:spacing w:after="0" w:line="240" w:lineRule="auto"/>
            </w:pPr>
          </w:p>
        </w:tc>
        <w:tc>
          <w:tcPr>
            <w:tcW w:w="1043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1"/>
            </w:tblGrid>
            <w:tr w:rsidR="00A25E54" w14:paraId="4ACFF753" w14:textId="77777777">
              <w:trPr>
                <w:trHeight w:val="210"/>
              </w:trPr>
              <w:tc>
                <w:tcPr>
                  <w:tcW w:w="10881" w:type="dxa"/>
                  <w:tcBorders>
                    <w:top w:val="nil"/>
                    <w:left w:val="nil"/>
                    <w:bottom w:val="nil"/>
                    <w:right w:val="nil"/>
                  </w:tcBorders>
                  <w:tcMar>
                    <w:top w:w="0" w:type="dxa"/>
                    <w:left w:w="0" w:type="dxa"/>
                    <w:bottom w:w="0" w:type="dxa"/>
                    <w:right w:w="0" w:type="dxa"/>
                  </w:tcMar>
                </w:tcPr>
                <w:p w14:paraId="4ACFF752" w14:textId="77777777" w:rsidR="00A25E54" w:rsidRDefault="00A25E54">
                  <w:pPr>
                    <w:spacing w:after="0" w:line="240" w:lineRule="auto"/>
                  </w:pPr>
                </w:p>
              </w:tc>
            </w:tr>
          </w:tbl>
          <w:p w14:paraId="4ACFF754" w14:textId="77777777" w:rsidR="00A25E54" w:rsidRDefault="00A25E54">
            <w:pPr>
              <w:spacing w:after="0" w:line="240" w:lineRule="auto"/>
            </w:pPr>
          </w:p>
        </w:tc>
      </w:tr>
      <w:tr w:rsidR="00A25E54" w14:paraId="4ACFF75A" w14:textId="77777777">
        <w:trPr>
          <w:trHeight w:val="160"/>
        </w:trPr>
        <w:tc>
          <w:tcPr>
            <w:tcW w:w="315" w:type="dxa"/>
          </w:tcPr>
          <w:p w14:paraId="4ACFF757" w14:textId="77777777" w:rsidR="00A25E54" w:rsidRDefault="00A25E54">
            <w:pPr>
              <w:pStyle w:val="EmptyCellLayoutStyle"/>
              <w:spacing w:after="0" w:line="240" w:lineRule="auto"/>
            </w:pPr>
          </w:p>
        </w:tc>
        <w:tc>
          <w:tcPr>
            <w:tcW w:w="10431" w:type="dxa"/>
          </w:tcPr>
          <w:p w14:paraId="4ACFF758" w14:textId="77777777" w:rsidR="00A25E54" w:rsidRDefault="00A25E54">
            <w:pPr>
              <w:pStyle w:val="EmptyCellLayoutStyle"/>
              <w:spacing w:after="0" w:line="240" w:lineRule="auto"/>
            </w:pPr>
          </w:p>
        </w:tc>
        <w:tc>
          <w:tcPr>
            <w:tcW w:w="450" w:type="dxa"/>
          </w:tcPr>
          <w:p w14:paraId="4ACFF759" w14:textId="77777777" w:rsidR="00A25E54" w:rsidRDefault="00A25E54">
            <w:pPr>
              <w:pStyle w:val="EmptyCellLayoutStyle"/>
              <w:spacing w:after="0" w:line="240" w:lineRule="auto"/>
            </w:pPr>
          </w:p>
        </w:tc>
      </w:tr>
      <w:tr w:rsidR="00A25E54" w14:paraId="4ACFF7D7" w14:textId="77777777">
        <w:tc>
          <w:tcPr>
            <w:tcW w:w="315" w:type="dxa"/>
          </w:tcPr>
          <w:p w14:paraId="4ACFF75B" w14:textId="77777777" w:rsidR="00A25E54" w:rsidRDefault="00A25E54">
            <w:pPr>
              <w:pStyle w:val="EmptyCellLayoutStyle"/>
              <w:spacing w:after="0" w:line="240" w:lineRule="auto"/>
            </w:pPr>
          </w:p>
        </w:tc>
        <w:tc>
          <w:tcPr>
            <w:tcW w:w="1043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31"/>
            </w:tblGrid>
            <w:tr w:rsidR="00A25E54" w14:paraId="4ACFF75D" w14:textId="77777777">
              <w:trPr>
                <w:trHeight w:val="482"/>
              </w:trPr>
              <w:tc>
                <w:tcPr>
                  <w:tcW w:w="10431" w:type="dxa"/>
                  <w:tcBorders>
                    <w:top w:val="nil"/>
                    <w:left w:val="nil"/>
                    <w:bottom w:val="nil"/>
                    <w:right w:val="nil"/>
                  </w:tcBorders>
                  <w:tcMar>
                    <w:top w:w="39" w:type="dxa"/>
                    <w:left w:w="39" w:type="dxa"/>
                    <w:bottom w:w="39" w:type="dxa"/>
                    <w:right w:w="39" w:type="dxa"/>
                  </w:tcMar>
                </w:tcPr>
                <w:p w14:paraId="4ACFF75C" w14:textId="77777777" w:rsidR="00A25E54" w:rsidRDefault="007A5068">
                  <w:pPr>
                    <w:spacing w:after="0" w:line="240" w:lineRule="auto"/>
                  </w:pPr>
                  <w:r>
                    <w:rPr>
                      <w:rFonts w:ascii="Segoe UI" w:eastAsia="Segoe UI" w:hAnsi="Segoe UI"/>
                      <w:b/>
                      <w:color w:val="000000"/>
                      <w:sz w:val="32"/>
                    </w:rPr>
                    <w:t>Consultation</w:t>
                  </w:r>
                </w:p>
              </w:tc>
            </w:tr>
            <w:tr w:rsidR="00A25E54" w14:paraId="4ACFF7D4" w14:textId="77777777">
              <w:trPr>
                <w:trHeight w:val="10784"/>
              </w:trPr>
              <w:tc>
                <w:tcPr>
                  <w:tcW w:w="1043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8"/>
                    <w:gridCol w:w="6"/>
                    <w:gridCol w:w="9768"/>
                    <w:gridCol w:w="509"/>
                  </w:tblGrid>
                  <w:tr w:rsidR="00A25E54" w14:paraId="4ACFF762" w14:textId="77777777">
                    <w:trPr>
                      <w:trHeight w:val="60"/>
                    </w:trPr>
                    <w:tc>
                      <w:tcPr>
                        <w:tcW w:w="148" w:type="dxa"/>
                      </w:tcPr>
                      <w:p w14:paraId="4ACFF75E" w14:textId="77777777" w:rsidR="00A25E54" w:rsidRDefault="00A25E54">
                        <w:pPr>
                          <w:pStyle w:val="EmptyCellLayoutStyle"/>
                          <w:spacing w:after="0" w:line="240" w:lineRule="auto"/>
                        </w:pPr>
                      </w:p>
                    </w:tc>
                    <w:tc>
                      <w:tcPr>
                        <w:tcW w:w="1" w:type="dxa"/>
                      </w:tcPr>
                      <w:p w14:paraId="4ACFF75F" w14:textId="77777777" w:rsidR="00A25E54" w:rsidRDefault="00A25E54">
                        <w:pPr>
                          <w:pStyle w:val="EmptyCellLayoutStyle"/>
                          <w:spacing w:after="0" w:line="240" w:lineRule="auto"/>
                        </w:pPr>
                      </w:p>
                    </w:tc>
                    <w:tc>
                      <w:tcPr>
                        <w:tcW w:w="9770" w:type="dxa"/>
                      </w:tcPr>
                      <w:p w14:paraId="4ACFF760" w14:textId="77777777" w:rsidR="00A25E54" w:rsidRDefault="00A25E54">
                        <w:pPr>
                          <w:pStyle w:val="EmptyCellLayoutStyle"/>
                          <w:spacing w:after="0" w:line="240" w:lineRule="auto"/>
                        </w:pPr>
                      </w:p>
                    </w:tc>
                    <w:tc>
                      <w:tcPr>
                        <w:tcW w:w="509" w:type="dxa"/>
                      </w:tcPr>
                      <w:p w14:paraId="4ACFF761" w14:textId="77777777" w:rsidR="00A25E54" w:rsidRDefault="00A25E54">
                        <w:pPr>
                          <w:pStyle w:val="EmptyCellLayoutStyle"/>
                          <w:spacing w:after="0" w:line="240" w:lineRule="auto"/>
                        </w:pPr>
                      </w:p>
                    </w:tc>
                  </w:tr>
                  <w:tr w:rsidR="00EA62E3" w14:paraId="4ACFF769" w14:textId="77777777" w:rsidTr="00EA62E3">
                    <w:trPr>
                      <w:trHeight w:val="820"/>
                    </w:trPr>
                    <w:tc>
                      <w:tcPr>
                        <w:tcW w:w="148" w:type="dxa"/>
                      </w:tcPr>
                      <w:p w14:paraId="4ACFF763" w14:textId="77777777" w:rsidR="00A25E54" w:rsidRDefault="00A25E54">
                        <w:pPr>
                          <w:pStyle w:val="EmptyCellLayoutStyle"/>
                          <w:spacing w:after="0" w:line="240" w:lineRule="auto"/>
                        </w:pPr>
                      </w:p>
                    </w:tc>
                    <w:tc>
                      <w:tcPr>
                        <w:tcW w:w="1" w:type="dxa"/>
                        <w:gridSpan w:val="2"/>
                      </w:tcPr>
                      <w:tbl>
                        <w:tblPr>
                          <w:tblW w:w="0" w:type="auto"/>
                          <w:tblCellMar>
                            <w:left w:w="0" w:type="dxa"/>
                            <w:right w:w="0" w:type="dxa"/>
                          </w:tblCellMar>
                          <w:tblLook w:val="04A0" w:firstRow="1" w:lastRow="0" w:firstColumn="1" w:lastColumn="0" w:noHBand="0" w:noVBand="1"/>
                        </w:tblPr>
                        <w:tblGrid>
                          <w:gridCol w:w="9772"/>
                        </w:tblGrid>
                        <w:tr w:rsidR="00A25E54" w14:paraId="4ACFF765" w14:textId="77777777">
                          <w:trPr>
                            <w:trHeight w:val="742"/>
                          </w:trPr>
                          <w:tc>
                            <w:tcPr>
                              <w:tcW w:w="9772" w:type="dxa"/>
                              <w:tcBorders>
                                <w:top w:val="nil"/>
                                <w:left w:val="nil"/>
                                <w:bottom w:val="nil"/>
                                <w:right w:val="nil"/>
                              </w:tcBorders>
                              <w:tcMar>
                                <w:top w:w="39" w:type="dxa"/>
                                <w:left w:w="39" w:type="dxa"/>
                                <w:bottom w:w="39" w:type="dxa"/>
                                <w:right w:w="39" w:type="dxa"/>
                              </w:tcMar>
                            </w:tcPr>
                            <w:p w14:paraId="4ACFF764" w14:textId="77777777" w:rsidR="00A25E54" w:rsidRDefault="007A5068">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tc>
                        </w:tr>
                      </w:tbl>
                      <w:p w14:paraId="4ACFF766" w14:textId="77777777" w:rsidR="00A25E54" w:rsidRDefault="00A25E54">
                        <w:pPr>
                          <w:spacing w:after="0" w:line="240" w:lineRule="auto"/>
                        </w:pPr>
                      </w:p>
                    </w:tc>
                    <w:tc>
                      <w:tcPr>
                        <w:tcW w:w="509" w:type="dxa"/>
                      </w:tcPr>
                      <w:p w14:paraId="4ACFF768" w14:textId="77777777" w:rsidR="00A25E54" w:rsidRDefault="00A25E54">
                        <w:pPr>
                          <w:pStyle w:val="EmptyCellLayoutStyle"/>
                          <w:spacing w:after="0" w:line="240" w:lineRule="auto"/>
                        </w:pPr>
                      </w:p>
                    </w:tc>
                  </w:tr>
                  <w:tr w:rsidR="00A25E54" w14:paraId="4ACFF778" w14:textId="77777777">
                    <w:tc>
                      <w:tcPr>
                        <w:tcW w:w="148" w:type="dxa"/>
                      </w:tcPr>
                      <w:p w14:paraId="4ACFF76A" w14:textId="77777777" w:rsidR="00A25E54" w:rsidRDefault="00A25E54">
                        <w:pPr>
                          <w:pStyle w:val="EmptyCellLayoutStyle"/>
                          <w:spacing w:after="0" w:line="240" w:lineRule="auto"/>
                        </w:pPr>
                      </w:p>
                    </w:tc>
                    <w:tc>
                      <w:tcPr>
                        <w:tcW w:w="1" w:type="dxa"/>
                      </w:tcPr>
                      <w:p w14:paraId="4ACFF76B" w14:textId="77777777" w:rsidR="00A25E54" w:rsidRDefault="00A25E54">
                        <w:pPr>
                          <w:pStyle w:val="EmptyCellLayoutStyle"/>
                          <w:spacing w:after="0" w:line="240" w:lineRule="auto"/>
                        </w:pPr>
                      </w:p>
                    </w:tc>
                    <w:tc>
                      <w:tcPr>
                        <w:tcW w:w="97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8"/>
                        </w:tblGrid>
                        <w:tr w:rsidR="00A25E54" w14:paraId="4ACFF76E"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6C" w14:textId="77777777" w:rsidR="00A25E54" w:rsidRDefault="007A5068">
                              <w:pPr>
                                <w:spacing w:after="0" w:line="240" w:lineRule="auto"/>
                              </w:pPr>
                              <w:r>
                                <w:rPr>
                                  <w:rFonts w:ascii="Segoe UI" w:eastAsia="Segoe UI" w:hAnsi="Segoe UI"/>
                                  <w:b/>
                                  <w:color w:val="000000"/>
                                  <w:sz w:val="22"/>
                                </w:rPr>
                                <w:t>Professional body name:</w:t>
                              </w:r>
                            </w:p>
                            <w:p w14:paraId="4ACFF76D" w14:textId="558E5D54" w:rsidR="00A25E54" w:rsidRDefault="007A5068">
                              <w:pPr>
                                <w:spacing w:after="0" w:line="240" w:lineRule="auto"/>
                              </w:pPr>
                              <w:r>
                                <w:rPr>
                                  <w:rFonts w:ascii="Segoe UI" w:eastAsia="Segoe UI" w:hAnsi="Segoe UI"/>
                                  <w:color w:val="000000"/>
                                  <w:sz w:val="22"/>
                                </w:rPr>
                                <w:t>American Society of Histocompatibility and Immunogenetics (ASHI</w:t>
                              </w:r>
                              <w:r w:rsidR="009A6AEA">
                                <w:rPr>
                                  <w:rFonts w:ascii="Segoe UI" w:eastAsia="Segoe UI" w:hAnsi="Segoe UI"/>
                                  <w:color w:val="000000"/>
                                  <w:sz w:val="22"/>
                                </w:rPr>
                                <w:t>)</w:t>
                              </w:r>
                            </w:p>
                          </w:tc>
                        </w:tr>
                        <w:tr w:rsidR="00A25E54" w14:paraId="4ACFF770"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6F" w14:textId="77777777" w:rsidR="00A25E54" w:rsidRDefault="00A25E54">
                              <w:pPr>
                                <w:spacing w:after="0" w:line="240" w:lineRule="auto"/>
                              </w:pPr>
                            </w:p>
                          </w:tc>
                        </w:tr>
                        <w:tr w:rsidR="00A25E54" w14:paraId="4ACFF773"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71" w14:textId="77777777" w:rsidR="00A25E54" w:rsidRDefault="007A5068">
                              <w:pPr>
                                <w:spacing w:after="0" w:line="240" w:lineRule="auto"/>
                              </w:pPr>
                              <w:r>
                                <w:rPr>
                                  <w:rFonts w:ascii="Segoe UI" w:eastAsia="Segoe UI" w:hAnsi="Segoe UI"/>
                                  <w:b/>
                                  <w:color w:val="000000"/>
                                  <w:sz w:val="22"/>
                                </w:rPr>
                                <w:t>Professional body name:</w:t>
                              </w:r>
                            </w:p>
                            <w:p w14:paraId="4ACFF772" w14:textId="77777777" w:rsidR="00A25E54" w:rsidRDefault="007A5068">
                              <w:pPr>
                                <w:spacing w:after="0" w:line="240" w:lineRule="auto"/>
                              </w:pPr>
                              <w:r>
                                <w:rPr>
                                  <w:rFonts w:ascii="Segoe UI" w:eastAsia="Segoe UI" w:hAnsi="Segoe UI"/>
                                  <w:color w:val="000000"/>
                                  <w:sz w:val="22"/>
                                </w:rPr>
                                <w:t>TRANSPLANTATION SOCIETY OF AUSTRALIA &amp; NEW ZEALAND INC.</w:t>
                              </w:r>
                            </w:p>
                          </w:tc>
                        </w:tr>
                        <w:tr w:rsidR="00A25E54" w14:paraId="4ACFF775"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74" w14:textId="77777777" w:rsidR="00A25E54" w:rsidRDefault="00A25E54">
                              <w:pPr>
                                <w:spacing w:after="0" w:line="240" w:lineRule="auto"/>
                              </w:pPr>
                            </w:p>
                          </w:tc>
                        </w:tr>
                      </w:tbl>
                      <w:p w14:paraId="4ACFF776" w14:textId="77777777" w:rsidR="00A25E54" w:rsidRDefault="00A25E54">
                        <w:pPr>
                          <w:spacing w:after="0" w:line="240" w:lineRule="auto"/>
                        </w:pPr>
                      </w:p>
                    </w:tc>
                    <w:tc>
                      <w:tcPr>
                        <w:tcW w:w="509" w:type="dxa"/>
                      </w:tcPr>
                      <w:p w14:paraId="4ACFF777" w14:textId="77777777" w:rsidR="00A25E54" w:rsidRDefault="00A25E54">
                        <w:pPr>
                          <w:pStyle w:val="EmptyCellLayoutStyle"/>
                          <w:spacing w:after="0" w:line="240" w:lineRule="auto"/>
                        </w:pPr>
                      </w:p>
                    </w:tc>
                  </w:tr>
                  <w:tr w:rsidR="00A25E54" w14:paraId="4ACFF77D" w14:textId="77777777">
                    <w:trPr>
                      <w:trHeight w:val="567"/>
                    </w:trPr>
                    <w:tc>
                      <w:tcPr>
                        <w:tcW w:w="148" w:type="dxa"/>
                      </w:tcPr>
                      <w:p w14:paraId="4ACFF779" w14:textId="77777777" w:rsidR="00A25E54" w:rsidRDefault="00A25E54">
                        <w:pPr>
                          <w:pStyle w:val="EmptyCellLayoutStyle"/>
                          <w:spacing w:after="0" w:line="240" w:lineRule="auto"/>
                        </w:pPr>
                      </w:p>
                    </w:tc>
                    <w:tc>
                      <w:tcPr>
                        <w:tcW w:w="1" w:type="dxa"/>
                      </w:tcPr>
                      <w:p w14:paraId="4ACFF77A" w14:textId="77777777" w:rsidR="00A25E54" w:rsidRDefault="00A25E54">
                        <w:pPr>
                          <w:pStyle w:val="EmptyCellLayoutStyle"/>
                          <w:spacing w:after="0" w:line="240" w:lineRule="auto"/>
                        </w:pPr>
                      </w:p>
                    </w:tc>
                    <w:tc>
                      <w:tcPr>
                        <w:tcW w:w="9770" w:type="dxa"/>
                      </w:tcPr>
                      <w:p w14:paraId="4ACFF77B" w14:textId="77777777" w:rsidR="00A25E54" w:rsidRDefault="00A25E54">
                        <w:pPr>
                          <w:pStyle w:val="EmptyCellLayoutStyle"/>
                          <w:spacing w:after="0" w:line="240" w:lineRule="auto"/>
                        </w:pPr>
                      </w:p>
                    </w:tc>
                    <w:tc>
                      <w:tcPr>
                        <w:tcW w:w="509" w:type="dxa"/>
                      </w:tcPr>
                      <w:p w14:paraId="4ACFF77C" w14:textId="77777777" w:rsidR="00A25E54" w:rsidRDefault="00A25E54">
                        <w:pPr>
                          <w:pStyle w:val="EmptyCellLayoutStyle"/>
                          <w:spacing w:after="0" w:line="240" w:lineRule="auto"/>
                        </w:pPr>
                      </w:p>
                    </w:tc>
                  </w:tr>
                  <w:tr w:rsidR="00EA62E3" w14:paraId="4ACFF784" w14:textId="77777777" w:rsidTr="00EA62E3">
                    <w:trPr>
                      <w:trHeight w:val="820"/>
                    </w:trPr>
                    <w:tc>
                      <w:tcPr>
                        <w:tcW w:w="148" w:type="dxa"/>
                      </w:tcPr>
                      <w:p w14:paraId="4ACFF77E" w14:textId="77777777" w:rsidR="00A25E54" w:rsidRDefault="00A25E54">
                        <w:pPr>
                          <w:pStyle w:val="EmptyCellLayoutStyle"/>
                          <w:spacing w:after="0" w:line="240" w:lineRule="auto"/>
                        </w:pPr>
                      </w:p>
                    </w:tc>
                    <w:tc>
                      <w:tcPr>
                        <w:tcW w:w="1" w:type="dxa"/>
                        <w:gridSpan w:val="2"/>
                      </w:tcPr>
                      <w:tbl>
                        <w:tblPr>
                          <w:tblW w:w="0" w:type="auto"/>
                          <w:tblCellMar>
                            <w:left w:w="0" w:type="dxa"/>
                            <w:right w:w="0" w:type="dxa"/>
                          </w:tblCellMar>
                          <w:tblLook w:val="04A0" w:firstRow="1" w:lastRow="0" w:firstColumn="1" w:lastColumn="0" w:noHBand="0" w:noVBand="1"/>
                        </w:tblPr>
                        <w:tblGrid>
                          <w:gridCol w:w="9772"/>
                        </w:tblGrid>
                        <w:tr w:rsidR="00A25E54" w14:paraId="4ACFF780" w14:textId="77777777">
                          <w:trPr>
                            <w:trHeight w:val="742"/>
                          </w:trPr>
                          <w:tc>
                            <w:tcPr>
                              <w:tcW w:w="9772" w:type="dxa"/>
                              <w:tcBorders>
                                <w:top w:val="nil"/>
                                <w:left w:val="nil"/>
                                <w:bottom w:val="nil"/>
                                <w:right w:val="nil"/>
                              </w:tcBorders>
                              <w:tcMar>
                                <w:top w:w="39" w:type="dxa"/>
                                <w:left w:w="39" w:type="dxa"/>
                                <w:bottom w:w="39" w:type="dxa"/>
                                <w:right w:w="39" w:type="dxa"/>
                              </w:tcMar>
                            </w:tcPr>
                            <w:p w14:paraId="4ACFF77F" w14:textId="77777777" w:rsidR="00A25E54" w:rsidRDefault="007A5068">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tc>
                        </w:tr>
                      </w:tbl>
                      <w:p w14:paraId="4ACFF781" w14:textId="77777777" w:rsidR="00A25E54" w:rsidRDefault="00A25E54">
                        <w:pPr>
                          <w:spacing w:after="0" w:line="240" w:lineRule="auto"/>
                        </w:pPr>
                      </w:p>
                    </w:tc>
                    <w:tc>
                      <w:tcPr>
                        <w:tcW w:w="509" w:type="dxa"/>
                      </w:tcPr>
                      <w:p w14:paraId="4ACFF783" w14:textId="77777777" w:rsidR="00A25E54" w:rsidRDefault="00A25E54">
                        <w:pPr>
                          <w:pStyle w:val="EmptyCellLayoutStyle"/>
                          <w:spacing w:after="0" w:line="240" w:lineRule="auto"/>
                        </w:pPr>
                      </w:p>
                    </w:tc>
                  </w:tr>
                  <w:tr w:rsidR="00A25E54" w14:paraId="4ACFF789" w14:textId="77777777">
                    <w:trPr>
                      <w:trHeight w:val="375"/>
                    </w:trPr>
                    <w:tc>
                      <w:tcPr>
                        <w:tcW w:w="148" w:type="dxa"/>
                      </w:tcPr>
                      <w:p w14:paraId="4ACFF785" w14:textId="77777777" w:rsidR="00A25E54" w:rsidRDefault="00A25E54">
                        <w:pPr>
                          <w:pStyle w:val="EmptyCellLayoutStyle"/>
                          <w:spacing w:after="0" w:line="240" w:lineRule="auto"/>
                        </w:pPr>
                      </w:p>
                    </w:tc>
                    <w:tc>
                      <w:tcPr>
                        <w:tcW w:w="1" w:type="dxa"/>
                      </w:tcPr>
                      <w:p w14:paraId="4ACFF786" w14:textId="77777777" w:rsidR="00A25E54" w:rsidRDefault="00A25E54">
                        <w:pPr>
                          <w:pStyle w:val="EmptyCellLayoutStyle"/>
                          <w:spacing w:after="0" w:line="240" w:lineRule="auto"/>
                        </w:pPr>
                      </w:p>
                    </w:tc>
                    <w:tc>
                      <w:tcPr>
                        <w:tcW w:w="9770" w:type="dxa"/>
                      </w:tcPr>
                      <w:p w14:paraId="4ACFF787" w14:textId="77777777" w:rsidR="00A25E54" w:rsidRDefault="00A25E54">
                        <w:pPr>
                          <w:pStyle w:val="EmptyCellLayoutStyle"/>
                          <w:spacing w:after="0" w:line="240" w:lineRule="auto"/>
                        </w:pPr>
                      </w:p>
                    </w:tc>
                    <w:tc>
                      <w:tcPr>
                        <w:tcW w:w="509" w:type="dxa"/>
                      </w:tcPr>
                      <w:p w14:paraId="4ACFF788" w14:textId="77777777" w:rsidR="00A25E54" w:rsidRDefault="00A25E54">
                        <w:pPr>
                          <w:pStyle w:val="EmptyCellLayoutStyle"/>
                          <w:spacing w:after="0" w:line="240" w:lineRule="auto"/>
                        </w:pPr>
                      </w:p>
                    </w:tc>
                  </w:tr>
                  <w:tr w:rsidR="00EA62E3" w14:paraId="4ACFF790" w14:textId="77777777" w:rsidTr="00EA62E3">
                    <w:trPr>
                      <w:trHeight w:val="820"/>
                    </w:trPr>
                    <w:tc>
                      <w:tcPr>
                        <w:tcW w:w="148" w:type="dxa"/>
                      </w:tcPr>
                      <w:p w14:paraId="4ACFF78A" w14:textId="77777777" w:rsidR="00A25E54" w:rsidRDefault="00A25E54">
                        <w:pPr>
                          <w:pStyle w:val="EmptyCellLayoutStyle"/>
                          <w:spacing w:after="0" w:line="240" w:lineRule="auto"/>
                        </w:pPr>
                      </w:p>
                    </w:tc>
                    <w:tc>
                      <w:tcPr>
                        <w:tcW w:w="1" w:type="dxa"/>
                        <w:gridSpan w:val="2"/>
                      </w:tcPr>
                      <w:tbl>
                        <w:tblPr>
                          <w:tblW w:w="0" w:type="auto"/>
                          <w:tblCellMar>
                            <w:left w:w="0" w:type="dxa"/>
                            <w:right w:w="0" w:type="dxa"/>
                          </w:tblCellMar>
                          <w:tblLook w:val="04A0" w:firstRow="1" w:lastRow="0" w:firstColumn="1" w:lastColumn="0" w:noHBand="0" w:noVBand="1"/>
                        </w:tblPr>
                        <w:tblGrid>
                          <w:gridCol w:w="9773"/>
                        </w:tblGrid>
                        <w:tr w:rsidR="00A25E54" w14:paraId="4ACFF78C" w14:textId="77777777">
                          <w:trPr>
                            <w:trHeight w:val="742"/>
                          </w:trPr>
                          <w:tc>
                            <w:tcPr>
                              <w:tcW w:w="9773" w:type="dxa"/>
                              <w:tcBorders>
                                <w:top w:val="nil"/>
                                <w:left w:val="nil"/>
                                <w:bottom w:val="nil"/>
                                <w:right w:val="nil"/>
                              </w:tcBorders>
                              <w:tcMar>
                                <w:top w:w="39" w:type="dxa"/>
                                <w:left w:w="39" w:type="dxa"/>
                                <w:bottom w:w="39" w:type="dxa"/>
                                <w:right w:w="39" w:type="dxa"/>
                              </w:tcMar>
                            </w:tcPr>
                            <w:p w14:paraId="4ACFF78B" w14:textId="77777777" w:rsidR="00A25E54" w:rsidRDefault="007A5068">
                              <w:pPr>
                                <w:spacing w:after="0" w:line="240" w:lineRule="auto"/>
                              </w:pPr>
                              <w:r>
                                <w:rPr>
                                  <w:rFonts w:ascii="Segoe UI" w:eastAsia="Segoe UI" w:hAnsi="Segoe UI"/>
                                  <w:b/>
                                  <w:color w:val="000000"/>
                                  <w:sz w:val="22"/>
                                </w:rPr>
                                <w:t>List the patient and consumer advocacy organisations or individuals relevant to the proposed health technology:</w:t>
                              </w:r>
                            </w:p>
                          </w:tc>
                        </w:tr>
                      </w:tbl>
                      <w:p w14:paraId="4ACFF78D" w14:textId="77777777" w:rsidR="00A25E54" w:rsidRDefault="00A25E54">
                        <w:pPr>
                          <w:spacing w:after="0" w:line="240" w:lineRule="auto"/>
                        </w:pPr>
                      </w:p>
                    </w:tc>
                    <w:tc>
                      <w:tcPr>
                        <w:tcW w:w="509" w:type="dxa"/>
                      </w:tcPr>
                      <w:p w14:paraId="4ACFF78F" w14:textId="77777777" w:rsidR="00A25E54" w:rsidRDefault="00A25E54">
                        <w:pPr>
                          <w:pStyle w:val="EmptyCellLayoutStyle"/>
                          <w:spacing w:after="0" w:line="240" w:lineRule="auto"/>
                        </w:pPr>
                      </w:p>
                    </w:tc>
                  </w:tr>
                  <w:tr w:rsidR="00A25E54" w14:paraId="4ACFF795" w14:textId="77777777">
                    <w:trPr>
                      <w:trHeight w:val="67"/>
                    </w:trPr>
                    <w:tc>
                      <w:tcPr>
                        <w:tcW w:w="148" w:type="dxa"/>
                      </w:tcPr>
                      <w:p w14:paraId="4ACFF791" w14:textId="77777777" w:rsidR="00A25E54" w:rsidRDefault="00A25E54">
                        <w:pPr>
                          <w:pStyle w:val="EmptyCellLayoutStyle"/>
                          <w:spacing w:after="0" w:line="240" w:lineRule="auto"/>
                        </w:pPr>
                      </w:p>
                    </w:tc>
                    <w:tc>
                      <w:tcPr>
                        <w:tcW w:w="1" w:type="dxa"/>
                      </w:tcPr>
                      <w:p w14:paraId="4ACFF792" w14:textId="77777777" w:rsidR="00A25E54" w:rsidRDefault="00A25E54">
                        <w:pPr>
                          <w:pStyle w:val="EmptyCellLayoutStyle"/>
                          <w:spacing w:after="0" w:line="240" w:lineRule="auto"/>
                        </w:pPr>
                      </w:p>
                    </w:tc>
                    <w:tc>
                      <w:tcPr>
                        <w:tcW w:w="9770" w:type="dxa"/>
                      </w:tcPr>
                      <w:p w14:paraId="4ACFF793" w14:textId="77777777" w:rsidR="00A25E54" w:rsidRDefault="00A25E54">
                        <w:pPr>
                          <w:pStyle w:val="EmptyCellLayoutStyle"/>
                          <w:spacing w:after="0" w:line="240" w:lineRule="auto"/>
                        </w:pPr>
                      </w:p>
                    </w:tc>
                    <w:tc>
                      <w:tcPr>
                        <w:tcW w:w="509" w:type="dxa"/>
                      </w:tcPr>
                      <w:p w14:paraId="4ACFF794" w14:textId="77777777" w:rsidR="00A25E54" w:rsidRDefault="00A25E54">
                        <w:pPr>
                          <w:pStyle w:val="EmptyCellLayoutStyle"/>
                          <w:spacing w:after="0" w:line="240" w:lineRule="auto"/>
                        </w:pPr>
                      </w:p>
                    </w:tc>
                  </w:tr>
                  <w:tr w:rsidR="00A25E54" w14:paraId="4ACFF7A8" w14:textId="77777777">
                    <w:tc>
                      <w:tcPr>
                        <w:tcW w:w="148" w:type="dxa"/>
                      </w:tcPr>
                      <w:p w14:paraId="4ACFF796" w14:textId="77777777" w:rsidR="00A25E54" w:rsidRDefault="00A25E54">
                        <w:pPr>
                          <w:pStyle w:val="EmptyCellLayoutStyle"/>
                          <w:spacing w:after="0" w:line="240" w:lineRule="auto"/>
                        </w:pPr>
                      </w:p>
                    </w:tc>
                    <w:tc>
                      <w:tcPr>
                        <w:tcW w:w="1" w:type="dxa"/>
                      </w:tcPr>
                      <w:p w14:paraId="4ACFF797" w14:textId="77777777" w:rsidR="00A25E54" w:rsidRDefault="00A25E54">
                        <w:pPr>
                          <w:pStyle w:val="EmptyCellLayoutStyle"/>
                          <w:spacing w:after="0" w:line="240" w:lineRule="auto"/>
                        </w:pPr>
                      </w:p>
                    </w:tc>
                    <w:tc>
                      <w:tcPr>
                        <w:tcW w:w="97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8"/>
                        </w:tblGrid>
                        <w:tr w:rsidR="00A25E54" w14:paraId="4ACFF799"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98" w14:textId="77777777" w:rsidR="00A25E54" w:rsidRDefault="007A5068">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2</w:t>
                              </w:r>
                            </w:p>
                          </w:tc>
                        </w:tr>
                        <w:tr w:rsidR="00A25E54" w14:paraId="4ACFF79C"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9A" w14:textId="77777777" w:rsidR="00A25E54" w:rsidRDefault="007A5068">
                              <w:pPr>
                                <w:spacing w:after="0" w:line="240" w:lineRule="auto"/>
                              </w:pPr>
                              <w:r>
                                <w:rPr>
                                  <w:rFonts w:ascii="Segoe UI" w:eastAsia="Segoe UI" w:hAnsi="Segoe UI"/>
                                  <w:b/>
                                  <w:color w:val="000000"/>
                                  <w:sz w:val="22"/>
                                </w:rPr>
                                <w:t>Professional body name:</w:t>
                              </w:r>
                            </w:p>
                            <w:p w14:paraId="4ACFF79B" w14:textId="77777777" w:rsidR="00A25E54" w:rsidRDefault="007A5068">
                              <w:pPr>
                                <w:spacing w:after="0" w:line="240" w:lineRule="auto"/>
                              </w:pPr>
                              <w:r>
                                <w:rPr>
                                  <w:rFonts w:ascii="Segoe UI" w:eastAsia="Segoe UI" w:hAnsi="Segoe UI"/>
                                  <w:color w:val="000000"/>
                                  <w:sz w:val="22"/>
                                </w:rPr>
                                <w:t>Kidney Health Australia</w:t>
                              </w:r>
                            </w:p>
                          </w:tc>
                        </w:tr>
                        <w:tr w:rsidR="00A25E54" w14:paraId="4ACFF79E"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9D" w14:textId="77777777" w:rsidR="00A25E54" w:rsidRDefault="00A25E54">
                              <w:pPr>
                                <w:spacing w:after="0" w:line="240" w:lineRule="auto"/>
                              </w:pPr>
                            </w:p>
                          </w:tc>
                        </w:tr>
                        <w:tr w:rsidR="00A25E54" w14:paraId="4ACFF7A0"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9F" w14:textId="77777777" w:rsidR="00A25E54" w:rsidRDefault="007A5068">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2</w:t>
                              </w:r>
                            </w:p>
                          </w:tc>
                        </w:tr>
                        <w:tr w:rsidR="00A25E54" w14:paraId="4ACFF7A3"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A1" w14:textId="77777777" w:rsidR="00A25E54" w:rsidRDefault="007A5068">
                              <w:pPr>
                                <w:spacing w:after="0" w:line="240" w:lineRule="auto"/>
                              </w:pPr>
                              <w:r>
                                <w:rPr>
                                  <w:rFonts w:ascii="Segoe UI" w:eastAsia="Segoe UI" w:hAnsi="Segoe UI"/>
                                  <w:b/>
                                  <w:color w:val="000000"/>
                                  <w:sz w:val="22"/>
                                </w:rPr>
                                <w:t>Professional body name:</w:t>
                              </w:r>
                            </w:p>
                            <w:p w14:paraId="4ACFF7A2" w14:textId="77777777" w:rsidR="00A25E54" w:rsidRDefault="007A5068">
                              <w:pPr>
                                <w:spacing w:after="0" w:line="240" w:lineRule="auto"/>
                              </w:pPr>
                              <w:r>
                                <w:rPr>
                                  <w:rFonts w:ascii="Segoe UI" w:eastAsia="Segoe UI" w:hAnsi="Segoe UI"/>
                                  <w:color w:val="000000"/>
                                  <w:sz w:val="22"/>
                                </w:rPr>
                                <w:t>Transplant Australia Limited</w:t>
                              </w:r>
                            </w:p>
                          </w:tc>
                        </w:tr>
                        <w:tr w:rsidR="00A25E54" w14:paraId="4ACFF7A5"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A4" w14:textId="77777777" w:rsidR="00A25E54" w:rsidRDefault="00A25E54">
                              <w:pPr>
                                <w:spacing w:after="0" w:line="240" w:lineRule="auto"/>
                              </w:pPr>
                            </w:p>
                          </w:tc>
                        </w:tr>
                      </w:tbl>
                      <w:p w14:paraId="4ACFF7A6" w14:textId="77777777" w:rsidR="00A25E54" w:rsidRDefault="00A25E54">
                        <w:pPr>
                          <w:spacing w:after="0" w:line="240" w:lineRule="auto"/>
                        </w:pPr>
                      </w:p>
                    </w:tc>
                    <w:tc>
                      <w:tcPr>
                        <w:tcW w:w="509" w:type="dxa"/>
                      </w:tcPr>
                      <w:p w14:paraId="4ACFF7A7" w14:textId="77777777" w:rsidR="00A25E54" w:rsidRDefault="00A25E54">
                        <w:pPr>
                          <w:pStyle w:val="EmptyCellLayoutStyle"/>
                          <w:spacing w:after="0" w:line="240" w:lineRule="auto"/>
                        </w:pPr>
                      </w:p>
                    </w:tc>
                  </w:tr>
                  <w:tr w:rsidR="00A25E54" w14:paraId="4ACFF7AD" w14:textId="77777777">
                    <w:trPr>
                      <w:trHeight w:val="338"/>
                    </w:trPr>
                    <w:tc>
                      <w:tcPr>
                        <w:tcW w:w="148" w:type="dxa"/>
                      </w:tcPr>
                      <w:p w14:paraId="4ACFF7A9" w14:textId="77777777" w:rsidR="00A25E54" w:rsidRDefault="00A25E54">
                        <w:pPr>
                          <w:pStyle w:val="EmptyCellLayoutStyle"/>
                          <w:spacing w:after="0" w:line="240" w:lineRule="auto"/>
                        </w:pPr>
                      </w:p>
                    </w:tc>
                    <w:tc>
                      <w:tcPr>
                        <w:tcW w:w="1" w:type="dxa"/>
                      </w:tcPr>
                      <w:p w14:paraId="4ACFF7AA" w14:textId="77777777" w:rsidR="00A25E54" w:rsidRDefault="00A25E54">
                        <w:pPr>
                          <w:pStyle w:val="EmptyCellLayoutStyle"/>
                          <w:spacing w:after="0" w:line="240" w:lineRule="auto"/>
                        </w:pPr>
                      </w:p>
                    </w:tc>
                    <w:tc>
                      <w:tcPr>
                        <w:tcW w:w="9770" w:type="dxa"/>
                      </w:tcPr>
                      <w:p w14:paraId="4ACFF7AB" w14:textId="77777777" w:rsidR="00A25E54" w:rsidRDefault="00A25E54">
                        <w:pPr>
                          <w:pStyle w:val="EmptyCellLayoutStyle"/>
                          <w:spacing w:after="0" w:line="240" w:lineRule="auto"/>
                        </w:pPr>
                      </w:p>
                    </w:tc>
                    <w:tc>
                      <w:tcPr>
                        <w:tcW w:w="509" w:type="dxa"/>
                      </w:tcPr>
                      <w:p w14:paraId="4ACFF7AC" w14:textId="77777777" w:rsidR="00A25E54" w:rsidRDefault="00A25E54">
                        <w:pPr>
                          <w:pStyle w:val="EmptyCellLayoutStyle"/>
                          <w:spacing w:after="0" w:line="240" w:lineRule="auto"/>
                        </w:pPr>
                      </w:p>
                    </w:tc>
                  </w:tr>
                  <w:tr w:rsidR="00EA62E3" w14:paraId="4ACFF7B4" w14:textId="77777777" w:rsidTr="00EA62E3">
                    <w:trPr>
                      <w:trHeight w:val="820"/>
                    </w:trPr>
                    <w:tc>
                      <w:tcPr>
                        <w:tcW w:w="148" w:type="dxa"/>
                      </w:tcPr>
                      <w:p w14:paraId="4ACFF7AE" w14:textId="77777777" w:rsidR="00A25E54" w:rsidRDefault="00A25E54">
                        <w:pPr>
                          <w:pStyle w:val="EmptyCellLayoutStyle"/>
                          <w:spacing w:after="0" w:line="240" w:lineRule="auto"/>
                        </w:pPr>
                      </w:p>
                    </w:tc>
                    <w:tc>
                      <w:tcPr>
                        <w:tcW w:w="1" w:type="dxa"/>
                        <w:gridSpan w:val="2"/>
                      </w:tcPr>
                      <w:tbl>
                        <w:tblPr>
                          <w:tblW w:w="0" w:type="auto"/>
                          <w:tblCellMar>
                            <w:left w:w="0" w:type="dxa"/>
                            <w:right w:w="0" w:type="dxa"/>
                          </w:tblCellMar>
                          <w:tblLook w:val="04A0" w:firstRow="1" w:lastRow="0" w:firstColumn="1" w:lastColumn="0" w:noHBand="0" w:noVBand="1"/>
                        </w:tblPr>
                        <w:tblGrid>
                          <w:gridCol w:w="9773"/>
                        </w:tblGrid>
                        <w:tr w:rsidR="00A25E54" w14:paraId="4ACFF7B0" w14:textId="77777777">
                          <w:trPr>
                            <w:trHeight w:val="742"/>
                          </w:trPr>
                          <w:tc>
                            <w:tcPr>
                              <w:tcW w:w="9773" w:type="dxa"/>
                              <w:tcBorders>
                                <w:top w:val="nil"/>
                                <w:left w:val="nil"/>
                                <w:bottom w:val="nil"/>
                                <w:right w:val="nil"/>
                              </w:tcBorders>
                              <w:tcMar>
                                <w:top w:w="39" w:type="dxa"/>
                                <w:left w:w="39" w:type="dxa"/>
                                <w:bottom w:w="39" w:type="dxa"/>
                                <w:right w:w="39" w:type="dxa"/>
                              </w:tcMar>
                            </w:tcPr>
                            <w:p w14:paraId="4ACFF7AF" w14:textId="77777777" w:rsidR="00A25E54" w:rsidRDefault="007A5068">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tc>
                        </w:tr>
                      </w:tbl>
                      <w:p w14:paraId="4ACFF7B1" w14:textId="77777777" w:rsidR="00A25E54" w:rsidRDefault="00A25E54">
                        <w:pPr>
                          <w:spacing w:after="0" w:line="240" w:lineRule="auto"/>
                        </w:pPr>
                      </w:p>
                    </w:tc>
                    <w:tc>
                      <w:tcPr>
                        <w:tcW w:w="509" w:type="dxa"/>
                      </w:tcPr>
                      <w:p w14:paraId="4ACFF7B3" w14:textId="77777777" w:rsidR="00A25E54" w:rsidRDefault="00A25E54">
                        <w:pPr>
                          <w:pStyle w:val="EmptyCellLayoutStyle"/>
                          <w:spacing w:after="0" w:line="240" w:lineRule="auto"/>
                        </w:pPr>
                      </w:p>
                    </w:tc>
                  </w:tr>
                  <w:tr w:rsidR="00A25E54" w14:paraId="4ACFF7B9" w14:textId="77777777">
                    <w:trPr>
                      <w:trHeight w:val="47"/>
                    </w:trPr>
                    <w:tc>
                      <w:tcPr>
                        <w:tcW w:w="148" w:type="dxa"/>
                      </w:tcPr>
                      <w:p w14:paraId="4ACFF7B5" w14:textId="77777777" w:rsidR="00A25E54" w:rsidRDefault="00A25E54">
                        <w:pPr>
                          <w:pStyle w:val="EmptyCellLayoutStyle"/>
                          <w:spacing w:after="0" w:line="240" w:lineRule="auto"/>
                        </w:pPr>
                      </w:p>
                    </w:tc>
                    <w:tc>
                      <w:tcPr>
                        <w:tcW w:w="1" w:type="dxa"/>
                      </w:tcPr>
                      <w:p w14:paraId="4ACFF7B6" w14:textId="77777777" w:rsidR="00A25E54" w:rsidRDefault="00A25E54">
                        <w:pPr>
                          <w:pStyle w:val="EmptyCellLayoutStyle"/>
                          <w:spacing w:after="0" w:line="240" w:lineRule="auto"/>
                        </w:pPr>
                      </w:p>
                    </w:tc>
                    <w:tc>
                      <w:tcPr>
                        <w:tcW w:w="9770" w:type="dxa"/>
                      </w:tcPr>
                      <w:p w14:paraId="4ACFF7B7" w14:textId="77777777" w:rsidR="00A25E54" w:rsidRDefault="00A25E54">
                        <w:pPr>
                          <w:pStyle w:val="EmptyCellLayoutStyle"/>
                          <w:spacing w:after="0" w:line="240" w:lineRule="auto"/>
                        </w:pPr>
                      </w:p>
                    </w:tc>
                    <w:tc>
                      <w:tcPr>
                        <w:tcW w:w="509" w:type="dxa"/>
                      </w:tcPr>
                      <w:p w14:paraId="4ACFF7B8" w14:textId="77777777" w:rsidR="00A25E54" w:rsidRDefault="00A25E54">
                        <w:pPr>
                          <w:pStyle w:val="EmptyCellLayoutStyle"/>
                          <w:spacing w:after="0" w:line="240" w:lineRule="auto"/>
                        </w:pPr>
                      </w:p>
                    </w:tc>
                  </w:tr>
                  <w:tr w:rsidR="00A25E54" w14:paraId="4ACFF7CD" w14:textId="77777777">
                    <w:tc>
                      <w:tcPr>
                        <w:tcW w:w="148" w:type="dxa"/>
                      </w:tcPr>
                      <w:p w14:paraId="4ACFF7BA" w14:textId="77777777" w:rsidR="00A25E54" w:rsidRDefault="00A25E54">
                        <w:pPr>
                          <w:pStyle w:val="EmptyCellLayoutStyle"/>
                          <w:spacing w:after="0" w:line="240" w:lineRule="auto"/>
                        </w:pPr>
                      </w:p>
                    </w:tc>
                    <w:tc>
                      <w:tcPr>
                        <w:tcW w:w="1" w:type="dxa"/>
                      </w:tcPr>
                      <w:p w14:paraId="4ACFF7BB" w14:textId="77777777" w:rsidR="00A25E54" w:rsidRDefault="00A25E54">
                        <w:pPr>
                          <w:pStyle w:val="EmptyCellLayoutStyle"/>
                          <w:spacing w:after="0" w:line="240" w:lineRule="auto"/>
                        </w:pPr>
                      </w:p>
                    </w:tc>
                    <w:tc>
                      <w:tcPr>
                        <w:tcW w:w="97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68"/>
                        </w:tblGrid>
                        <w:tr w:rsidR="00A25E54" w14:paraId="4ACFF7BE"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BC" w14:textId="77777777" w:rsidR="00A25E54" w:rsidRDefault="007A5068">
                              <w:pPr>
                                <w:spacing w:after="0" w:line="240" w:lineRule="auto"/>
                              </w:pPr>
                              <w:r>
                                <w:rPr>
                                  <w:rFonts w:ascii="Segoe UI" w:eastAsia="Segoe UI" w:hAnsi="Segoe UI"/>
                                  <w:b/>
                                  <w:color w:val="000000"/>
                                  <w:sz w:val="22"/>
                                </w:rPr>
                                <w:t>Professional body name:</w:t>
                              </w:r>
                            </w:p>
                            <w:p w14:paraId="4ACFF7BD" w14:textId="77777777" w:rsidR="00A25E54" w:rsidRDefault="007A5068">
                              <w:pPr>
                                <w:spacing w:after="0" w:line="240" w:lineRule="auto"/>
                              </w:pPr>
                              <w:r>
                                <w:rPr>
                                  <w:rFonts w:ascii="Segoe UI" w:eastAsia="Segoe UI" w:hAnsi="Segoe UI"/>
                                  <w:color w:val="000000"/>
                                  <w:sz w:val="22"/>
                                </w:rPr>
                                <w:t>AUSTRALIAN AND NEW ZEALAND SOCIETY OF NEPHROLOGY</w:t>
                              </w:r>
                            </w:p>
                          </w:tc>
                        </w:tr>
                        <w:tr w:rsidR="00A25E54" w14:paraId="4ACFF7C0"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BF" w14:textId="77777777" w:rsidR="00A25E54" w:rsidRDefault="00A25E54">
                              <w:pPr>
                                <w:spacing w:after="0" w:line="240" w:lineRule="auto"/>
                              </w:pPr>
                            </w:p>
                          </w:tc>
                        </w:tr>
                        <w:tr w:rsidR="00A25E54" w14:paraId="4ACFF7C3"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C1" w14:textId="77777777" w:rsidR="00A25E54" w:rsidRDefault="007A5068">
                              <w:pPr>
                                <w:spacing w:after="0" w:line="240" w:lineRule="auto"/>
                              </w:pPr>
                              <w:r>
                                <w:rPr>
                                  <w:rFonts w:ascii="Segoe UI" w:eastAsia="Segoe UI" w:hAnsi="Segoe UI"/>
                                  <w:b/>
                                  <w:color w:val="000000"/>
                                  <w:sz w:val="22"/>
                                </w:rPr>
                                <w:t>Professional body name:</w:t>
                              </w:r>
                            </w:p>
                            <w:p w14:paraId="4ACFF7C2" w14:textId="77777777" w:rsidR="00A25E54" w:rsidRDefault="007A5068">
                              <w:pPr>
                                <w:spacing w:after="0" w:line="240" w:lineRule="auto"/>
                              </w:pPr>
                              <w:r>
                                <w:rPr>
                                  <w:rFonts w:ascii="Segoe UI" w:eastAsia="Segoe UI" w:hAnsi="Segoe UI"/>
                                  <w:color w:val="000000"/>
                                  <w:sz w:val="22"/>
                                </w:rPr>
                                <w:t>Dialysis Clinics</w:t>
                              </w:r>
                            </w:p>
                          </w:tc>
                        </w:tr>
                        <w:tr w:rsidR="00A25E54" w14:paraId="4ACFF7C5"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C4" w14:textId="77777777" w:rsidR="00A25E54" w:rsidRDefault="00A25E54">
                              <w:pPr>
                                <w:spacing w:after="0" w:line="240" w:lineRule="auto"/>
                              </w:pPr>
                            </w:p>
                          </w:tc>
                        </w:tr>
                        <w:tr w:rsidR="00A25E54" w14:paraId="4ACFF7C8"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C6" w14:textId="77777777" w:rsidR="00A25E54" w:rsidRDefault="007A5068">
                              <w:pPr>
                                <w:spacing w:after="0" w:line="240" w:lineRule="auto"/>
                              </w:pPr>
                              <w:r>
                                <w:rPr>
                                  <w:rFonts w:ascii="Segoe UI" w:eastAsia="Segoe UI" w:hAnsi="Segoe UI"/>
                                  <w:b/>
                                  <w:color w:val="000000"/>
                                  <w:sz w:val="22"/>
                                </w:rPr>
                                <w:t>Professional body name:</w:t>
                              </w:r>
                            </w:p>
                            <w:p w14:paraId="4ACFF7C7" w14:textId="77777777" w:rsidR="00A25E54" w:rsidRDefault="007A5068">
                              <w:pPr>
                                <w:spacing w:after="0" w:line="240" w:lineRule="auto"/>
                              </w:pPr>
                              <w:r>
                                <w:rPr>
                                  <w:rFonts w:ascii="Segoe UI" w:eastAsia="Segoe UI" w:hAnsi="Segoe UI"/>
                                  <w:color w:val="000000"/>
                                  <w:sz w:val="22"/>
                                </w:rPr>
                                <w:t>RENAL SOCIETY OF AUSTRALASIA LIMITED</w:t>
                              </w:r>
                            </w:p>
                          </w:tc>
                        </w:tr>
                        <w:tr w:rsidR="00A25E54" w14:paraId="4ACFF7CA" w14:textId="77777777">
                          <w:trPr>
                            <w:trHeight w:val="262"/>
                          </w:trPr>
                          <w:tc>
                            <w:tcPr>
                              <w:tcW w:w="9772" w:type="dxa"/>
                              <w:tcBorders>
                                <w:top w:val="nil"/>
                                <w:left w:val="nil"/>
                                <w:bottom w:val="nil"/>
                                <w:right w:val="nil"/>
                              </w:tcBorders>
                              <w:tcMar>
                                <w:top w:w="39" w:type="dxa"/>
                                <w:left w:w="39" w:type="dxa"/>
                                <w:bottom w:w="39" w:type="dxa"/>
                                <w:right w:w="39" w:type="dxa"/>
                              </w:tcMar>
                            </w:tcPr>
                            <w:p w14:paraId="4ACFF7C9" w14:textId="77777777" w:rsidR="00A25E54" w:rsidRDefault="00A25E54">
                              <w:pPr>
                                <w:spacing w:after="0" w:line="240" w:lineRule="auto"/>
                              </w:pPr>
                            </w:p>
                          </w:tc>
                        </w:tr>
                      </w:tbl>
                      <w:p w14:paraId="4ACFF7CB" w14:textId="77777777" w:rsidR="00A25E54" w:rsidRDefault="00A25E54">
                        <w:pPr>
                          <w:spacing w:after="0" w:line="240" w:lineRule="auto"/>
                        </w:pPr>
                      </w:p>
                    </w:tc>
                    <w:tc>
                      <w:tcPr>
                        <w:tcW w:w="509" w:type="dxa"/>
                      </w:tcPr>
                      <w:p w14:paraId="4ACFF7CC" w14:textId="77777777" w:rsidR="00A25E54" w:rsidRDefault="00A25E54">
                        <w:pPr>
                          <w:pStyle w:val="EmptyCellLayoutStyle"/>
                          <w:spacing w:after="0" w:line="240" w:lineRule="auto"/>
                        </w:pPr>
                      </w:p>
                    </w:tc>
                  </w:tr>
                  <w:tr w:rsidR="00A25E54" w14:paraId="4ACFF7D2" w14:textId="77777777">
                    <w:trPr>
                      <w:trHeight w:val="605"/>
                    </w:trPr>
                    <w:tc>
                      <w:tcPr>
                        <w:tcW w:w="148" w:type="dxa"/>
                      </w:tcPr>
                      <w:p w14:paraId="4ACFF7CE" w14:textId="77777777" w:rsidR="00A25E54" w:rsidRDefault="00A25E54">
                        <w:pPr>
                          <w:pStyle w:val="EmptyCellLayoutStyle"/>
                          <w:spacing w:after="0" w:line="240" w:lineRule="auto"/>
                        </w:pPr>
                      </w:p>
                    </w:tc>
                    <w:tc>
                      <w:tcPr>
                        <w:tcW w:w="1" w:type="dxa"/>
                      </w:tcPr>
                      <w:p w14:paraId="4ACFF7CF" w14:textId="77777777" w:rsidR="00A25E54" w:rsidRDefault="00A25E54">
                        <w:pPr>
                          <w:pStyle w:val="EmptyCellLayoutStyle"/>
                          <w:spacing w:after="0" w:line="240" w:lineRule="auto"/>
                        </w:pPr>
                      </w:p>
                    </w:tc>
                    <w:tc>
                      <w:tcPr>
                        <w:tcW w:w="9770" w:type="dxa"/>
                      </w:tcPr>
                      <w:p w14:paraId="4ACFF7D0" w14:textId="77777777" w:rsidR="00A25E54" w:rsidRDefault="00A25E54">
                        <w:pPr>
                          <w:pStyle w:val="EmptyCellLayoutStyle"/>
                          <w:spacing w:after="0" w:line="240" w:lineRule="auto"/>
                        </w:pPr>
                      </w:p>
                    </w:tc>
                    <w:tc>
                      <w:tcPr>
                        <w:tcW w:w="509" w:type="dxa"/>
                      </w:tcPr>
                      <w:p w14:paraId="4ACFF7D1" w14:textId="77777777" w:rsidR="00A25E54" w:rsidRDefault="00A25E54">
                        <w:pPr>
                          <w:pStyle w:val="EmptyCellLayoutStyle"/>
                          <w:spacing w:after="0" w:line="240" w:lineRule="auto"/>
                        </w:pPr>
                      </w:p>
                    </w:tc>
                  </w:tr>
                </w:tbl>
                <w:p w14:paraId="4ACFF7D3" w14:textId="77777777" w:rsidR="00A25E54" w:rsidRDefault="00A25E54">
                  <w:pPr>
                    <w:spacing w:after="0" w:line="240" w:lineRule="auto"/>
                  </w:pPr>
                </w:p>
              </w:tc>
            </w:tr>
          </w:tbl>
          <w:p w14:paraId="4ACFF7D5" w14:textId="77777777" w:rsidR="00A25E54" w:rsidRDefault="00A25E54">
            <w:pPr>
              <w:spacing w:after="0" w:line="240" w:lineRule="auto"/>
            </w:pPr>
          </w:p>
        </w:tc>
        <w:tc>
          <w:tcPr>
            <w:tcW w:w="450" w:type="dxa"/>
          </w:tcPr>
          <w:p w14:paraId="4ACFF7D6" w14:textId="77777777" w:rsidR="00A25E54" w:rsidRDefault="00A25E54">
            <w:pPr>
              <w:pStyle w:val="EmptyCellLayoutStyle"/>
              <w:spacing w:after="0" w:line="240" w:lineRule="auto"/>
            </w:pPr>
          </w:p>
        </w:tc>
      </w:tr>
    </w:tbl>
    <w:p w14:paraId="4ACFF7D8" w14:textId="77777777" w:rsidR="00A25E54" w:rsidRDefault="007A506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15"/>
        <w:gridCol w:w="10129"/>
        <w:gridCol w:w="412"/>
      </w:tblGrid>
      <w:tr w:rsidR="00A25E54" w14:paraId="4ACFF7E1" w14:textId="77777777">
        <w:tc>
          <w:tcPr>
            <w:tcW w:w="315" w:type="dxa"/>
          </w:tcPr>
          <w:p w14:paraId="4ACFF7D9" w14:textId="77777777" w:rsidR="00A25E54" w:rsidRDefault="00A25E54">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29"/>
            </w:tblGrid>
            <w:tr w:rsidR="00A25E54" w14:paraId="4ACFF7DB" w14:textId="77777777">
              <w:trPr>
                <w:trHeight w:val="527"/>
              </w:trPr>
              <w:tc>
                <w:tcPr>
                  <w:tcW w:w="10129" w:type="dxa"/>
                  <w:tcBorders>
                    <w:top w:val="nil"/>
                    <w:left w:val="nil"/>
                    <w:bottom w:val="nil"/>
                    <w:right w:val="nil"/>
                  </w:tcBorders>
                  <w:tcMar>
                    <w:top w:w="39" w:type="dxa"/>
                    <w:left w:w="39" w:type="dxa"/>
                    <w:bottom w:w="39" w:type="dxa"/>
                    <w:right w:w="39" w:type="dxa"/>
                  </w:tcMar>
                </w:tcPr>
                <w:p w14:paraId="4ACFF7DA" w14:textId="77777777" w:rsidR="00A25E54" w:rsidRDefault="007A5068">
                  <w:pPr>
                    <w:spacing w:after="0" w:line="240" w:lineRule="auto"/>
                  </w:pPr>
                  <w:r>
                    <w:rPr>
                      <w:rFonts w:ascii="Segoe UI" w:eastAsia="Segoe UI" w:hAnsi="Segoe UI"/>
                      <w:b/>
                      <w:color w:val="000000"/>
                      <w:sz w:val="32"/>
                    </w:rPr>
                    <w:t>Regulatory information</w:t>
                  </w:r>
                </w:p>
              </w:tc>
            </w:tr>
            <w:tr w:rsidR="00A25E54" w14:paraId="4ACFF7DE" w14:textId="77777777">
              <w:trPr>
                <w:trHeight w:val="262"/>
              </w:trPr>
              <w:tc>
                <w:tcPr>
                  <w:tcW w:w="10129" w:type="dxa"/>
                  <w:tcBorders>
                    <w:top w:val="nil"/>
                    <w:left w:val="nil"/>
                    <w:bottom w:val="nil"/>
                    <w:right w:val="nil"/>
                  </w:tcBorders>
                  <w:tcMar>
                    <w:top w:w="39" w:type="dxa"/>
                    <w:left w:w="479" w:type="dxa"/>
                    <w:bottom w:w="39" w:type="dxa"/>
                    <w:right w:w="39" w:type="dxa"/>
                  </w:tcMar>
                </w:tcPr>
                <w:p w14:paraId="4ACFF7DC" w14:textId="77777777" w:rsidR="00A25E54" w:rsidRDefault="007A5068">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4ACFF7DD" w14:textId="77777777" w:rsidR="00A25E54" w:rsidRDefault="007A5068">
                  <w:pPr>
                    <w:spacing w:after="0" w:line="240" w:lineRule="auto"/>
                  </w:pPr>
                  <w:r>
                    <w:rPr>
                      <w:rFonts w:ascii="Segoe UI" w:eastAsia="Segoe UI" w:hAnsi="Segoe UI"/>
                      <w:color w:val="000000"/>
                      <w:sz w:val="22"/>
                    </w:rPr>
                    <w:t>No</w:t>
                  </w:r>
                </w:p>
              </w:tc>
            </w:tr>
          </w:tbl>
          <w:p w14:paraId="4ACFF7DF" w14:textId="77777777" w:rsidR="00A25E54" w:rsidRDefault="00A25E54">
            <w:pPr>
              <w:spacing w:after="0" w:line="240" w:lineRule="auto"/>
            </w:pPr>
          </w:p>
        </w:tc>
        <w:tc>
          <w:tcPr>
            <w:tcW w:w="412" w:type="dxa"/>
          </w:tcPr>
          <w:p w14:paraId="4ACFF7E0" w14:textId="77777777" w:rsidR="00A25E54" w:rsidRDefault="00A25E54">
            <w:pPr>
              <w:pStyle w:val="EmptyCellLayoutStyle"/>
              <w:spacing w:after="0" w:line="240" w:lineRule="auto"/>
            </w:pPr>
          </w:p>
        </w:tc>
      </w:tr>
      <w:tr w:rsidR="00A25E54" w14:paraId="4ACFF7E5" w14:textId="77777777">
        <w:trPr>
          <w:trHeight w:val="1788"/>
        </w:trPr>
        <w:tc>
          <w:tcPr>
            <w:tcW w:w="315" w:type="dxa"/>
          </w:tcPr>
          <w:p w14:paraId="4ACFF7E2" w14:textId="77777777" w:rsidR="00A25E54" w:rsidRDefault="00A25E54">
            <w:pPr>
              <w:pStyle w:val="EmptyCellLayoutStyle"/>
              <w:spacing w:after="0" w:line="240" w:lineRule="auto"/>
            </w:pPr>
          </w:p>
        </w:tc>
        <w:tc>
          <w:tcPr>
            <w:tcW w:w="10129" w:type="dxa"/>
          </w:tcPr>
          <w:p w14:paraId="4ACFF7E3" w14:textId="77777777" w:rsidR="00A25E54" w:rsidRDefault="00A25E54">
            <w:pPr>
              <w:pStyle w:val="EmptyCellLayoutStyle"/>
              <w:spacing w:after="0" w:line="240" w:lineRule="auto"/>
            </w:pPr>
          </w:p>
        </w:tc>
        <w:tc>
          <w:tcPr>
            <w:tcW w:w="412" w:type="dxa"/>
          </w:tcPr>
          <w:p w14:paraId="4ACFF7E4" w14:textId="77777777" w:rsidR="00A25E54" w:rsidRDefault="00A25E54">
            <w:pPr>
              <w:pStyle w:val="EmptyCellLayoutStyle"/>
              <w:spacing w:after="0" w:line="240" w:lineRule="auto"/>
            </w:pPr>
          </w:p>
        </w:tc>
      </w:tr>
    </w:tbl>
    <w:p w14:paraId="4ACFF7E6" w14:textId="77777777" w:rsidR="00A25E54" w:rsidRDefault="00A25E54">
      <w:pPr>
        <w:spacing w:after="0" w:line="240" w:lineRule="auto"/>
      </w:pPr>
    </w:p>
    <w:sectPr w:rsidR="00A25E54">
      <w:headerReference w:type="default" r:id="rId6"/>
      <w:footerReference w:type="default" r:id="rId7"/>
      <w:pgSz w:w="11905" w:h="16837"/>
      <w:pgMar w:top="2656" w:right="0" w:bottom="5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284D" w14:textId="77777777" w:rsidR="00366FE1" w:rsidRDefault="00366FE1">
      <w:pPr>
        <w:spacing w:after="0" w:line="240" w:lineRule="auto"/>
      </w:pPr>
      <w:r>
        <w:separator/>
      </w:r>
    </w:p>
  </w:endnote>
  <w:endnote w:type="continuationSeparator" w:id="0">
    <w:p w14:paraId="53D0021C" w14:textId="77777777" w:rsidR="00366FE1" w:rsidRDefault="00366FE1">
      <w:pPr>
        <w:spacing w:after="0" w:line="240" w:lineRule="auto"/>
      </w:pPr>
      <w:r>
        <w:continuationSeparator/>
      </w:r>
    </w:p>
  </w:endnote>
  <w:endnote w:type="continuationNotice" w:id="1">
    <w:p w14:paraId="577B9F9F" w14:textId="77777777" w:rsidR="00366FE1" w:rsidRDefault="00366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412"/>
    </w:tblGrid>
    <w:tr w:rsidR="00A25E54" w14:paraId="4ACFF813" w14:textId="77777777">
      <w:tc>
        <w:tcPr>
          <w:tcW w:w="231" w:type="dxa"/>
        </w:tcPr>
        <w:p w14:paraId="4ACFF810" w14:textId="77777777" w:rsidR="00A25E54" w:rsidRDefault="00A25E54">
          <w:pPr>
            <w:pStyle w:val="EmptyCellLayoutStyle"/>
            <w:spacing w:after="0" w:line="240" w:lineRule="auto"/>
          </w:pPr>
        </w:p>
      </w:tc>
      <w:tc>
        <w:tcPr>
          <w:tcW w:w="10213" w:type="dxa"/>
        </w:tcPr>
        <w:p w14:paraId="4ACFF811" w14:textId="77777777" w:rsidR="00A25E54" w:rsidRDefault="00A25E54">
          <w:pPr>
            <w:pStyle w:val="EmptyCellLayoutStyle"/>
            <w:spacing w:after="0" w:line="240" w:lineRule="auto"/>
          </w:pPr>
        </w:p>
      </w:tc>
      <w:tc>
        <w:tcPr>
          <w:tcW w:w="412" w:type="dxa"/>
        </w:tcPr>
        <w:p w14:paraId="4ACFF812" w14:textId="77777777" w:rsidR="00A25E54" w:rsidRDefault="00A25E54">
          <w:pPr>
            <w:pStyle w:val="EmptyCellLayoutStyle"/>
            <w:spacing w:after="0" w:line="240" w:lineRule="auto"/>
          </w:pPr>
        </w:p>
      </w:tc>
    </w:tr>
    <w:tr w:rsidR="00A25E54" w14:paraId="4ACFF819" w14:textId="77777777">
      <w:tc>
        <w:tcPr>
          <w:tcW w:w="231" w:type="dxa"/>
        </w:tcPr>
        <w:p w14:paraId="4ACFF814" w14:textId="77777777" w:rsidR="00A25E54" w:rsidRDefault="00A25E54">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A25E54" w14:paraId="4ACFF816" w14:textId="77777777">
            <w:trPr>
              <w:trHeight w:val="262"/>
            </w:trPr>
            <w:tc>
              <w:tcPr>
                <w:tcW w:w="10213" w:type="dxa"/>
                <w:tcBorders>
                  <w:top w:val="nil"/>
                  <w:left w:val="nil"/>
                  <w:bottom w:val="nil"/>
                  <w:right w:val="nil"/>
                </w:tcBorders>
                <w:tcMar>
                  <w:top w:w="39" w:type="dxa"/>
                  <w:left w:w="39" w:type="dxa"/>
                  <w:bottom w:w="39" w:type="dxa"/>
                  <w:right w:w="39" w:type="dxa"/>
                </w:tcMar>
              </w:tcPr>
              <w:p w14:paraId="4ACFF815" w14:textId="77777777" w:rsidR="00A25E54" w:rsidRDefault="007A5068">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4ACFF817" w14:textId="77777777" w:rsidR="00A25E54" w:rsidRDefault="00A25E54">
          <w:pPr>
            <w:spacing w:after="0" w:line="240" w:lineRule="auto"/>
          </w:pPr>
        </w:p>
      </w:tc>
      <w:tc>
        <w:tcPr>
          <w:tcW w:w="412" w:type="dxa"/>
        </w:tcPr>
        <w:p w14:paraId="4ACFF818" w14:textId="77777777" w:rsidR="00A25E54" w:rsidRDefault="00A25E54">
          <w:pPr>
            <w:pStyle w:val="EmptyCellLayoutStyle"/>
            <w:spacing w:after="0" w:line="240" w:lineRule="auto"/>
          </w:pPr>
        </w:p>
      </w:tc>
    </w:tr>
    <w:tr w:rsidR="00A25E54" w14:paraId="4ACFF81D" w14:textId="77777777">
      <w:tc>
        <w:tcPr>
          <w:tcW w:w="231" w:type="dxa"/>
        </w:tcPr>
        <w:p w14:paraId="4ACFF81A" w14:textId="77777777" w:rsidR="00A25E54" w:rsidRDefault="00A25E54">
          <w:pPr>
            <w:pStyle w:val="EmptyCellLayoutStyle"/>
            <w:spacing w:after="0" w:line="240" w:lineRule="auto"/>
          </w:pPr>
        </w:p>
      </w:tc>
      <w:tc>
        <w:tcPr>
          <w:tcW w:w="10213" w:type="dxa"/>
        </w:tcPr>
        <w:p w14:paraId="4ACFF81B" w14:textId="77777777" w:rsidR="00A25E54" w:rsidRDefault="00A25E54">
          <w:pPr>
            <w:pStyle w:val="EmptyCellLayoutStyle"/>
            <w:spacing w:after="0" w:line="240" w:lineRule="auto"/>
          </w:pPr>
        </w:p>
      </w:tc>
      <w:tc>
        <w:tcPr>
          <w:tcW w:w="412" w:type="dxa"/>
        </w:tcPr>
        <w:p w14:paraId="4ACFF81C" w14:textId="77777777" w:rsidR="00A25E54" w:rsidRDefault="00A25E5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2982" w14:textId="77777777" w:rsidR="00366FE1" w:rsidRDefault="00366FE1">
      <w:pPr>
        <w:spacing w:after="0" w:line="240" w:lineRule="auto"/>
      </w:pPr>
      <w:r>
        <w:separator/>
      </w:r>
    </w:p>
  </w:footnote>
  <w:footnote w:type="continuationSeparator" w:id="0">
    <w:p w14:paraId="79FCE3F2" w14:textId="77777777" w:rsidR="00366FE1" w:rsidRDefault="00366FE1">
      <w:pPr>
        <w:spacing w:after="0" w:line="240" w:lineRule="auto"/>
      </w:pPr>
      <w:r>
        <w:continuationSeparator/>
      </w:r>
    </w:p>
  </w:footnote>
  <w:footnote w:type="continuationNotice" w:id="1">
    <w:p w14:paraId="24D53868" w14:textId="77777777" w:rsidR="00366FE1" w:rsidRDefault="00366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80"/>
      <w:gridCol w:w="3736"/>
      <w:gridCol w:w="42"/>
      <w:gridCol w:w="6486"/>
      <w:gridCol w:w="412"/>
    </w:tblGrid>
    <w:tr w:rsidR="00A25E54" w14:paraId="4ACFF7EC" w14:textId="77777777">
      <w:tc>
        <w:tcPr>
          <w:tcW w:w="180" w:type="dxa"/>
        </w:tcPr>
        <w:p w14:paraId="4ACFF7E7" w14:textId="77777777" w:rsidR="00A25E54" w:rsidRDefault="00A25E54">
          <w:pPr>
            <w:pStyle w:val="EmptyCellLayoutStyle"/>
            <w:spacing w:after="0" w:line="240" w:lineRule="auto"/>
          </w:pPr>
        </w:p>
      </w:tc>
      <w:tc>
        <w:tcPr>
          <w:tcW w:w="3736" w:type="dxa"/>
        </w:tcPr>
        <w:p w14:paraId="4ACFF7E8" w14:textId="77777777" w:rsidR="00A25E54" w:rsidRDefault="00A25E54">
          <w:pPr>
            <w:pStyle w:val="EmptyCellLayoutStyle"/>
            <w:spacing w:after="0" w:line="240" w:lineRule="auto"/>
          </w:pPr>
        </w:p>
      </w:tc>
      <w:tc>
        <w:tcPr>
          <w:tcW w:w="42" w:type="dxa"/>
        </w:tcPr>
        <w:p w14:paraId="4ACFF7E9" w14:textId="77777777" w:rsidR="00A25E54" w:rsidRDefault="00A25E54">
          <w:pPr>
            <w:pStyle w:val="EmptyCellLayoutStyle"/>
            <w:spacing w:after="0" w:line="240" w:lineRule="auto"/>
          </w:pPr>
        </w:p>
      </w:tc>
      <w:tc>
        <w:tcPr>
          <w:tcW w:w="6486" w:type="dxa"/>
        </w:tcPr>
        <w:p w14:paraId="4ACFF7EA" w14:textId="77777777" w:rsidR="00A25E54" w:rsidRDefault="00A25E54">
          <w:pPr>
            <w:pStyle w:val="EmptyCellLayoutStyle"/>
            <w:spacing w:after="0" w:line="240" w:lineRule="auto"/>
          </w:pPr>
        </w:p>
      </w:tc>
      <w:tc>
        <w:tcPr>
          <w:tcW w:w="412" w:type="dxa"/>
        </w:tcPr>
        <w:p w14:paraId="4ACFF7EB" w14:textId="77777777" w:rsidR="00A25E54" w:rsidRDefault="00A25E54">
          <w:pPr>
            <w:pStyle w:val="EmptyCellLayoutStyle"/>
            <w:spacing w:after="0" w:line="240" w:lineRule="auto"/>
          </w:pPr>
        </w:p>
      </w:tc>
    </w:tr>
    <w:tr w:rsidR="00A25E54" w14:paraId="4ACFF7F5" w14:textId="77777777">
      <w:tc>
        <w:tcPr>
          <w:tcW w:w="180" w:type="dxa"/>
        </w:tcPr>
        <w:p w14:paraId="4ACFF7ED" w14:textId="77777777" w:rsidR="00A25E54" w:rsidRDefault="00A25E54">
          <w:pPr>
            <w:pStyle w:val="EmptyCellLayoutStyle"/>
            <w:spacing w:after="0" w:line="240" w:lineRule="auto"/>
          </w:pPr>
        </w:p>
      </w:tc>
      <w:tc>
        <w:tcPr>
          <w:tcW w:w="3736" w:type="dxa"/>
          <w:tcBorders>
            <w:top w:val="nil"/>
            <w:left w:val="nil"/>
            <w:bottom w:val="nil"/>
            <w:right w:val="nil"/>
          </w:tcBorders>
          <w:tcMar>
            <w:top w:w="0" w:type="dxa"/>
            <w:left w:w="0" w:type="dxa"/>
            <w:bottom w:w="0" w:type="dxa"/>
            <w:right w:w="0" w:type="dxa"/>
          </w:tcMar>
        </w:tcPr>
        <w:p w14:paraId="4ACFF7EE" w14:textId="77777777" w:rsidR="00A25E54" w:rsidRDefault="007A5068">
          <w:pPr>
            <w:spacing w:after="0" w:line="240" w:lineRule="auto"/>
          </w:pPr>
          <w:r>
            <w:rPr>
              <w:noProof/>
            </w:rPr>
            <w:drawing>
              <wp:inline distT="0" distB="0" distL="0" distR="0" wp14:anchorId="4ACFF81E" wp14:editId="4ACFF81F">
                <wp:extent cx="2352698" cy="52971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2352698" cy="529715"/>
                        </a:xfrm>
                        <a:prstGeom prst="rect">
                          <a:avLst/>
                        </a:prstGeom>
                      </pic:spPr>
                    </pic:pic>
                  </a:graphicData>
                </a:graphic>
              </wp:inline>
            </w:drawing>
          </w:r>
        </w:p>
      </w:tc>
      <w:tc>
        <w:tcPr>
          <w:tcW w:w="42" w:type="dxa"/>
        </w:tcPr>
        <w:p w14:paraId="4ACFF7EF" w14:textId="77777777" w:rsidR="00A25E54" w:rsidRDefault="00A25E54">
          <w:pPr>
            <w:pStyle w:val="EmptyCellLayoutStyle"/>
            <w:spacing w:after="0" w:line="240" w:lineRule="auto"/>
          </w:pPr>
        </w:p>
      </w:tc>
      <w:tc>
        <w:tcPr>
          <w:tcW w:w="6486" w:type="dxa"/>
          <w:vMerge w:val="restart"/>
        </w:tcPr>
        <w:tbl>
          <w:tblPr>
            <w:tblW w:w="0" w:type="auto"/>
            <w:tblCellMar>
              <w:left w:w="0" w:type="dxa"/>
              <w:right w:w="0" w:type="dxa"/>
            </w:tblCellMar>
            <w:tblLook w:val="04A0" w:firstRow="1" w:lastRow="0" w:firstColumn="1" w:lastColumn="0" w:noHBand="0" w:noVBand="1"/>
          </w:tblPr>
          <w:tblGrid>
            <w:gridCol w:w="6486"/>
          </w:tblGrid>
          <w:tr w:rsidR="00A25E54" w14:paraId="4ACFF7F2" w14:textId="77777777">
            <w:trPr>
              <w:trHeight w:val="1281"/>
            </w:trPr>
            <w:tc>
              <w:tcPr>
                <w:tcW w:w="6486" w:type="dxa"/>
                <w:tcBorders>
                  <w:top w:val="nil"/>
                  <w:left w:val="nil"/>
                  <w:bottom w:val="nil"/>
                  <w:right w:val="nil"/>
                </w:tcBorders>
                <w:tcMar>
                  <w:top w:w="39" w:type="dxa"/>
                  <w:left w:w="39" w:type="dxa"/>
                  <w:bottom w:w="39" w:type="dxa"/>
                  <w:right w:w="39" w:type="dxa"/>
                </w:tcMar>
              </w:tcPr>
              <w:p w14:paraId="4ACFF7F0" w14:textId="77777777" w:rsidR="00A25E54" w:rsidRDefault="007A5068">
                <w:pPr>
                  <w:spacing w:after="0" w:line="240" w:lineRule="auto"/>
                </w:pPr>
                <w:r>
                  <w:rPr>
                    <w:rFonts w:ascii="Segoe UI" w:eastAsia="Segoe UI" w:hAnsi="Segoe UI"/>
                    <w:color w:val="000000"/>
                    <w:sz w:val="22"/>
                  </w:rPr>
                  <w:t>Application ID: HPP200111</w:t>
                </w:r>
                <w:r>
                  <w:rPr>
                    <w:rFonts w:ascii="Segoe UI" w:eastAsia="Segoe UI" w:hAnsi="Segoe UI"/>
                    <w:color w:val="000000"/>
                    <w:sz w:val="24"/>
                  </w:rPr>
                  <w:br/>
                </w:r>
                <w:r>
                  <w:rPr>
                    <w:rFonts w:ascii="Segoe UI" w:eastAsia="Segoe UI" w:hAnsi="Segoe UI"/>
                    <w:color w:val="000000"/>
                    <w:sz w:val="22"/>
                  </w:rPr>
                  <w:t>Application title: 1732.1 – Imlifidase as a desensitisat...</w:t>
                </w:r>
              </w:p>
              <w:p w14:paraId="4ACFF7F1" w14:textId="77777777" w:rsidR="00A25E54" w:rsidRDefault="00A25E54">
                <w:pPr>
                  <w:spacing w:after="0" w:line="240" w:lineRule="auto"/>
                </w:pPr>
              </w:p>
            </w:tc>
          </w:tr>
        </w:tbl>
        <w:p w14:paraId="4ACFF7F3" w14:textId="77777777" w:rsidR="00A25E54" w:rsidRDefault="00A25E54">
          <w:pPr>
            <w:spacing w:after="0" w:line="240" w:lineRule="auto"/>
          </w:pPr>
        </w:p>
      </w:tc>
      <w:tc>
        <w:tcPr>
          <w:tcW w:w="412" w:type="dxa"/>
        </w:tcPr>
        <w:p w14:paraId="4ACFF7F4" w14:textId="77777777" w:rsidR="00A25E54" w:rsidRDefault="00A25E54">
          <w:pPr>
            <w:pStyle w:val="EmptyCellLayoutStyle"/>
            <w:spacing w:after="0" w:line="240" w:lineRule="auto"/>
          </w:pPr>
        </w:p>
      </w:tc>
    </w:tr>
    <w:tr w:rsidR="00A25E54" w14:paraId="4ACFF7FB" w14:textId="77777777">
      <w:tc>
        <w:tcPr>
          <w:tcW w:w="180" w:type="dxa"/>
        </w:tcPr>
        <w:p w14:paraId="4ACFF7F6" w14:textId="77777777" w:rsidR="00A25E54" w:rsidRDefault="00A25E54">
          <w:pPr>
            <w:pStyle w:val="EmptyCellLayoutStyle"/>
            <w:spacing w:after="0" w:line="240" w:lineRule="auto"/>
          </w:pPr>
        </w:p>
      </w:tc>
      <w:tc>
        <w:tcPr>
          <w:tcW w:w="3736" w:type="dxa"/>
        </w:tcPr>
        <w:p w14:paraId="4ACFF7F7" w14:textId="77777777" w:rsidR="00A25E54" w:rsidRDefault="00A25E54">
          <w:pPr>
            <w:pStyle w:val="EmptyCellLayoutStyle"/>
            <w:spacing w:after="0" w:line="240" w:lineRule="auto"/>
          </w:pPr>
        </w:p>
      </w:tc>
      <w:tc>
        <w:tcPr>
          <w:tcW w:w="42" w:type="dxa"/>
        </w:tcPr>
        <w:p w14:paraId="4ACFF7F8" w14:textId="77777777" w:rsidR="00A25E54" w:rsidRDefault="00A25E54">
          <w:pPr>
            <w:pStyle w:val="EmptyCellLayoutStyle"/>
            <w:spacing w:after="0" w:line="240" w:lineRule="auto"/>
          </w:pPr>
        </w:p>
      </w:tc>
      <w:tc>
        <w:tcPr>
          <w:tcW w:w="6486" w:type="dxa"/>
          <w:vMerge/>
        </w:tcPr>
        <w:p w14:paraId="4ACFF7F9" w14:textId="77777777" w:rsidR="00A25E54" w:rsidRDefault="00A25E54">
          <w:pPr>
            <w:pStyle w:val="EmptyCellLayoutStyle"/>
            <w:spacing w:after="0" w:line="240" w:lineRule="auto"/>
          </w:pPr>
        </w:p>
      </w:tc>
      <w:tc>
        <w:tcPr>
          <w:tcW w:w="412" w:type="dxa"/>
        </w:tcPr>
        <w:p w14:paraId="4ACFF7FA" w14:textId="77777777" w:rsidR="00A25E54" w:rsidRDefault="00A25E54">
          <w:pPr>
            <w:pStyle w:val="EmptyCellLayoutStyle"/>
            <w:spacing w:after="0" w:line="240" w:lineRule="auto"/>
          </w:pPr>
        </w:p>
      </w:tc>
    </w:tr>
    <w:tr w:rsidR="00A25E54" w14:paraId="4ACFF801" w14:textId="77777777">
      <w:tc>
        <w:tcPr>
          <w:tcW w:w="180" w:type="dxa"/>
        </w:tcPr>
        <w:p w14:paraId="4ACFF7FC" w14:textId="77777777" w:rsidR="00A25E54" w:rsidRDefault="00A25E54">
          <w:pPr>
            <w:pStyle w:val="EmptyCellLayoutStyle"/>
            <w:spacing w:after="0" w:line="240" w:lineRule="auto"/>
          </w:pPr>
        </w:p>
      </w:tc>
      <w:tc>
        <w:tcPr>
          <w:tcW w:w="3736" w:type="dxa"/>
        </w:tcPr>
        <w:p w14:paraId="4ACFF7FD" w14:textId="77777777" w:rsidR="00A25E54" w:rsidRDefault="00A25E54">
          <w:pPr>
            <w:pStyle w:val="EmptyCellLayoutStyle"/>
            <w:spacing w:after="0" w:line="240" w:lineRule="auto"/>
          </w:pPr>
        </w:p>
      </w:tc>
      <w:tc>
        <w:tcPr>
          <w:tcW w:w="42" w:type="dxa"/>
        </w:tcPr>
        <w:p w14:paraId="4ACFF7FE" w14:textId="77777777" w:rsidR="00A25E54" w:rsidRDefault="00A25E54">
          <w:pPr>
            <w:pStyle w:val="EmptyCellLayoutStyle"/>
            <w:spacing w:after="0" w:line="240" w:lineRule="auto"/>
          </w:pPr>
        </w:p>
      </w:tc>
      <w:tc>
        <w:tcPr>
          <w:tcW w:w="6486" w:type="dxa"/>
        </w:tcPr>
        <w:p w14:paraId="4ACFF7FF" w14:textId="77777777" w:rsidR="00A25E54" w:rsidRDefault="00A25E54">
          <w:pPr>
            <w:pStyle w:val="EmptyCellLayoutStyle"/>
            <w:spacing w:after="0" w:line="240" w:lineRule="auto"/>
          </w:pPr>
        </w:p>
      </w:tc>
      <w:tc>
        <w:tcPr>
          <w:tcW w:w="412" w:type="dxa"/>
        </w:tcPr>
        <w:p w14:paraId="4ACFF800" w14:textId="77777777" w:rsidR="00A25E54" w:rsidRDefault="00A25E54">
          <w:pPr>
            <w:pStyle w:val="EmptyCellLayoutStyle"/>
            <w:spacing w:after="0" w:line="240" w:lineRule="auto"/>
          </w:pPr>
        </w:p>
      </w:tc>
    </w:tr>
    <w:tr w:rsidR="007A5068" w14:paraId="4ACFF809" w14:textId="77777777" w:rsidTr="007A5068">
      <w:tc>
        <w:tcPr>
          <w:tcW w:w="180" w:type="dxa"/>
        </w:tcPr>
        <w:p w14:paraId="4ACFF802" w14:textId="77777777" w:rsidR="00A25E54" w:rsidRDefault="00A25E54">
          <w:pPr>
            <w:pStyle w:val="EmptyCellLayoutStyle"/>
            <w:spacing w:after="0" w:line="240" w:lineRule="auto"/>
          </w:pPr>
        </w:p>
      </w:tc>
      <w:tc>
        <w:tcPr>
          <w:tcW w:w="3736" w:type="dxa"/>
          <w:gridSpan w:val="3"/>
        </w:tcPr>
        <w:p w14:paraId="4ACFF805" w14:textId="77777777" w:rsidR="00A25E54" w:rsidRDefault="00A25E54">
          <w:pPr>
            <w:spacing w:after="0" w:line="240" w:lineRule="auto"/>
          </w:pPr>
        </w:p>
      </w:tc>
      <w:tc>
        <w:tcPr>
          <w:tcW w:w="412" w:type="dxa"/>
        </w:tcPr>
        <w:p w14:paraId="4ACFF808" w14:textId="77777777" w:rsidR="00A25E54" w:rsidRDefault="00A25E54">
          <w:pPr>
            <w:pStyle w:val="EmptyCellLayoutStyle"/>
            <w:spacing w:after="0" w:line="240" w:lineRule="auto"/>
          </w:pPr>
        </w:p>
      </w:tc>
    </w:tr>
    <w:tr w:rsidR="00A25E54" w14:paraId="4ACFF80F" w14:textId="77777777">
      <w:tc>
        <w:tcPr>
          <w:tcW w:w="180" w:type="dxa"/>
        </w:tcPr>
        <w:p w14:paraId="4ACFF80A" w14:textId="77777777" w:rsidR="00A25E54" w:rsidRDefault="00A25E54">
          <w:pPr>
            <w:pStyle w:val="EmptyCellLayoutStyle"/>
            <w:spacing w:after="0" w:line="240" w:lineRule="auto"/>
          </w:pPr>
        </w:p>
      </w:tc>
      <w:tc>
        <w:tcPr>
          <w:tcW w:w="3736" w:type="dxa"/>
        </w:tcPr>
        <w:p w14:paraId="4ACFF80B" w14:textId="77777777" w:rsidR="00A25E54" w:rsidRDefault="00A25E54">
          <w:pPr>
            <w:pStyle w:val="EmptyCellLayoutStyle"/>
            <w:spacing w:after="0" w:line="240" w:lineRule="auto"/>
          </w:pPr>
        </w:p>
      </w:tc>
      <w:tc>
        <w:tcPr>
          <w:tcW w:w="42" w:type="dxa"/>
        </w:tcPr>
        <w:p w14:paraId="4ACFF80C" w14:textId="77777777" w:rsidR="00A25E54" w:rsidRDefault="00A25E54">
          <w:pPr>
            <w:pStyle w:val="EmptyCellLayoutStyle"/>
            <w:spacing w:after="0" w:line="240" w:lineRule="auto"/>
          </w:pPr>
        </w:p>
      </w:tc>
      <w:tc>
        <w:tcPr>
          <w:tcW w:w="6486" w:type="dxa"/>
        </w:tcPr>
        <w:p w14:paraId="4ACFF80D" w14:textId="77777777" w:rsidR="00A25E54" w:rsidRDefault="00A25E54">
          <w:pPr>
            <w:pStyle w:val="EmptyCellLayoutStyle"/>
            <w:spacing w:after="0" w:line="240" w:lineRule="auto"/>
          </w:pPr>
        </w:p>
      </w:tc>
      <w:tc>
        <w:tcPr>
          <w:tcW w:w="412" w:type="dxa"/>
        </w:tcPr>
        <w:p w14:paraId="4ACFF80E" w14:textId="77777777" w:rsidR="00A25E54" w:rsidRDefault="00A25E54">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54"/>
    <w:rsid w:val="00000B63"/>
    <w:rsid w:val="000322E9"/>
    <w:rsid w:val="000A6E5C"/>
    <w:rsid w:val="000E243D"/>
    <w:rsid w:val="00112FDF"/>
    <w:rsid w:val="00136540"/>
    <w:rsid w:val="00143C16"/>
    <w:rsid w:val="00205064"/>
    <w:rsid w:val="002424B2"/>
    <w:rsid w:val="00257777"/>
    <w:rsid w:val="00362B44"/>
    <w:rsid w:val="00366FE1"/>
    <w:rsid w:val="00414545"/>
    <w:rsid w:val="00453F71"/>
    <w:rsid w:val="004D42E4"/>
    <w:rsid w:val="004D4FD8"/>
    <w:rsid w:val="00542D9E"/>
    <w:rsid w:val="00651BB7"/>
    <w:rsid w:val="006F3631"/>
    <w:rsid w:val="00772340"/>
    <w:rsid w:val="007A5068"/>
    <w:rsid w:val="00855694"/>
    <w:rsid w:val="008C1564"/>
    <w:rsid w:val="00916A38"/>
    <w:rsid w:val="009233B2"/>
    <w:rsid w:val="009671AD"/>
    <w:rsid w:val="009A63B0"/>
    <w:rsid w:val="009A6AEA"/>
    <w:rsid w:val="009C5F52"/>
    <w:rsid w:val="00A054C4"/>
    <w:rsid w:val="00A25E54"/>
    <w:rsid w:val="00A40151"/>
    <w:rsid w:val="00A4479F"/>
    <w:rsid w:val="00A53397"/>
    <w:rsid w:val="00A54EDE"/>
    <w:rsid w:val="00B60EC4"/>
    <w:rsid w:val="00B70399"/>
    <w:rsid w:val="00BF52CB"/>
    <w:rsid w:val="00C60E45"/>
    <w:rsid w:val="00C6429F"/>
    <w:rsid w:val="00C81899"/>
    <w:rsid w:val="00C958CC"/>
    <w:rsid w:val="00CA136F"/>
    <w:rsid w:val="00CD2C8F"/>
    <w:rsid w:val="00D917EA"/>
    <w:rsid w:val="00DD4223"/>
    <w:rsid w:val="00E11A75"/>
    <w:rsid w:val="00E22CE9"/>
    <w:rsid w:val="00EA62E3"/>
    <w:rsid w:val="00ED4678"/>
    <w:rsid w:val="00F15147"/>
    <w:rsid w:val="00FA4C05"/>
    <w:rsid w:val="00FE0443"/>
    <w:rsid w:val="00FE2F5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F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855694"/>
    <w:pPr>
      <w:spacing w:after="0" w:line="240" w:lineRule="auto"/>
    </w:pPr>
  </w:style>
  <w:style w:type="character" w:styleId="CommentReference">
    <w:name w:val="annotation reference"/>
    <w:basedOn w:val="DefaultParagraphFont"/>
    <w:uiPriority w:val="99"/>
    <w:semiHidden/>
    <w:unhideWhenUsed/>
    <w:rsid w:val="00414545"/>
    <w:rPr>
      <w:sz w:val="16"/>
      <w:szCs w:val="16"/>
    </w:rPr>
  </w:style>
  <w:style w:type="paragraph" w:styleId="CommentText">
    <w:name w:val="annotation text"/>
    <w:basedOn w:val="Normal"/>
    <w:link w:val="CommentTextChar"/>
    <w:uiPriority w:val="99"/>
    <w:unhideWhenUsed/>
    <w:rsid w:val="00414545"/>
    <w:pPr>
      <w:spacing w:line="240" w:lineRule="auto"/>
    </w:pPr>
  </w:style>
  <w:style w:type="character" w:customStyle="1" w:styleId="CommentTextChar">
    <w:name w:val="Comment Text Char"/>
    <w:basedOn w:val="DefaultParagraphFont"/>
    <w:link w:val="CommentText"/>
    <w:uiPriority w:val="99"/>
    <w:rsid w:val="00414545"/>
  </w:style>
  <w:style w:type="paragraph" w:styleId="CommentSubject">
    <w:name w:val="annotation subject"/>
    <w:basedOn w:val="CommentText"/>
    <w:next w:val="CommentText"/>
    <w:link w:val="CommentSubjectChar"/>
    <w:uiPriority w:val="99"/>
    <w:semiHidden/>
    <w:unhideWhenUsed/>
    <w:rsid w:val="00414545"/>
    <w:rPr>
      <w:b/>
      <w:bCs/>
    </w:rPr>
  </w:style>
  <w:style w:type="character" w:customStyle="1" w:styleId="CommentSubjectChar">
    <w:name w:val="Comment Subject Char"/>
    <w:basedOn w:val="CommentTextChar"/>
    <w:link w:val="CommentSubject"/>
    <w:uiPriority w:val="99"/>
    <w:semiHidden/>
    <w:rsid w:val="00414545"/>
    <w:rPr>
      <w:b/>
      <w:bCs/>
    </w:rPr>
  </w:style>
  <w:style w:type="paragraph" w:styleId="Header">
    <w:name w:val="header"/>
    <w:basedOn w:val="Normal"/>
    <w:link w:val="HeaderChar"/>
    <w:uiPriority w:val="99"/>
    <w:unhideWhenUsed/>
    <w:rsid w:val="008C1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64"/>
  </w:style>
  <w:style w:type="paragraph" w:styleId="Footer">
    <w:name w:val="footer"/>
    <w:basedOn w:val="Normal"/>
    <w:link w:val="FooterChar"/>
    <w:uiPriority w:val="99"/>
    <w:unhideWhenUsed/>
    <w:rsid w:val="008C1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2024-03-12T02:54:00Z</dcterms:created>
  <dcterms:modified xsi:type="dcterms:W3CDTF">2024-03-15T02:18:00Z</dcterms:modified>
</cp:coreProperties>
</file>