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5C0A5" w14:textId="77777777" w:rsidR="00E44B80" w:rsidRPr="00F637B3" w:rsidRDefault="00E44B80" w:rsidP="00E44B80">
      <w:pPr>
        <w:jc w:val="center"/>
        <w:rPr>
          <w:b/>
          <w:szCs w:val="20"/>
        </w:rPr>
      </w:pPr>
      <w:r w:rsidRPr="00F637B3">
        <w:rPr>
          <w:b/>
          <w:noProof/>
          <w:szCs w:val="20"/>
          <w:lang w:eastAsia="en-AU"/>
        </w:rPr>
        <w:drawing>
          <wp:inline distT="0" distB="0" distL="0" distR="0" wp14:anchorId="6C78D573" wp14:editId="72A19BB4">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FCC6C23" w14:textId="77777777" w:rsidR="008B2610" w:rsidRDefault="008B2610" w:rsidP="00680BA8">
      <w:pPr>
        <w:pStyle w:val="Title"/>
        <w:spacing w:before="960"/>
      </w:pPr>
      <w:r w:rsidRPr="001906CD">
        <w:t>Application Form</w:t>
      </w:r>
    </w:p>
    <w:p w14:paraId="505D3E60" w14:textId="77777777" w:rsidR="0056015F" w:rsidRDefault="0056015F" w:rsidP="0056015F"/>
    <w:p w14:paraId="242EC38A" w14:textId="77777777" w:rsidR="0056015F" w:rsidRPr="0056015F" w:rsidRDefault="001F5ED4" w:rsidP="00680BA8">
      <w:pPr>
        <w:pStyle w:val="TitleBlue"/>
        <w:spacing w:before="240"/>
      </w:pPr>
      <w:r>
        <w:t xml:space="preserve">PIK3CA mutation testing for </w:t>
      </w:r>
      <w:r w:rsidR="00680BA8">
        <w:t>postmenopausal women or men</w:t>
      </w:r>
      <w:r w:rsidR="006E74CB">
        <w:t xml:space="preserve"> with </w:t>
      </w:r>
      <w:r w:rsidR="00B135D0">
        <w:t>advanced breast cancer</w:t>
      </w:r>
      <w:r w:rsidR="006E74CB">
        <w:t xml:space="preserve"> who have progressed during or following treatment with an aromatase inhibitor</w:t>
      </w:r>
    </w:p>
    <w:p w14:paraId="1E222829" w14:textId="586FB0B6" w:rsidR="00E44B80" w:rsidRPr="00154B00" w:rsidRDefault="00300EEB" w:rsidP="00FA3055">
      <w:pPr>
        <w:spacing w:before="960"/>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F6B7C6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98FFDD0"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4090D93" w14:textId="77777777" w:rsidR="009F5758" w:rsidRPr="00154B00" w:rsidRDefault="009F5758" w:rsidP="003F7CB9">
      <w:pPr>
        <w:spacing w:before="0" w:after="0"/>
      </w:pPr>
    </w:p>
    <w:p w14:paraId="0A5A815E"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4D21B922"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1C819DB"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1494AB7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683DEC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B84508" w:rsidRPr="00B84508">
        <w:t>Novartis Pharmaceuticals Australia Pty Ltd</w:t>
      </w:r>
    </w:p>
    <w:p w14:paraId="2C078377" w14:textId="08695570"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97A0A" w:rsidRPr="00FA3055">
        <w:rPr>
          <w:b/>
        </w:rPr>
        <w:t>REDACTED</w:t>
      </w:r>
    </w:p>
    <w:p w14:paraId="374B4505" w14:textId="7E501FF8"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797A0A">
        <w:t>R</w:t>
      </w:r>
      <w:r w:rsidR="00797A0A" w:rsidRPr="00FA3055">
        <w:rPr>
          <w:b/>
        </w:rPr>
        <w:t>EDACTED</w:t>
      </w:r>
    </w:p>
    <w:p w14:paraId="5DA3B405" w14:textId="5F6609EC" w:rsidR="00C171FB" w:rsidRPr="00C171FB" w:rsidRDefault="00C171FB" w:rsidP="00B84508">
      <w:pPr>
        <w:pBdr>
          <w:top w:val="single" w:sz="4" w:space="1" w:color="auto"/>
          <w:left w:val="single" w:sz="4" w:space="4" w:color="auto"/>
          <w:bottom w:val="single" w:sz="4" w:space="1" w:color="auto"/>
          <w:right w:val="single" w:sz="4" w:space="4" w:color="auto"/>
        </w:pBdr>
      </w:pPr>
      <w:r>
        <w:t xml:space="preserve">Business trading name: </w:t>
      </w:r>
      <w:r w:rsidR="00797A0A" w:rsidRPr="00FA3055">
        <w:rPr>
          <w:b/>
        </w:rPr>
        <w:t>REDACTED</w:t>
      </w:r>
    </w:p>
    <w:p w14:paraId="6C3E1089" w14:textId="436D02F9" w:rsidR="00C171FB" w:rsidRPr="00C171FB" w:rsidRDefault="00C171FB" w:rsidP="00C171FB">
      <w:pPr>
        <w:rPr>
          <w:b/>
        </w:rPr>
      </w:pPr>
      <w:r>
        <w:rPr>
          <w:b/>
        </w:rPr>
        <w:t xml:space="preserve">Primary contact name: </w:t>
      </w:r>
      <w:r w:rsidR="00797A0A" w:rsidRPr="00FA3055">
        <w:rPr>
          <w:b/>
        </w:rPr>
        <w:t>REDACTED</w:t>
      </w:r>
    </w:p>
    <w:p w14:paraId="240D471D"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C6DFA61" w14:textId="26B11FD0"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797A0A" w:rsidRPr="00FA3055">
        <w:rPr>
          <w:b/>
        </w:rPr>
        <w:t>REDACTED</w:t>
      </w:r>
    </w:p>
    <w:p w14:paraId="122B22B9" w14:textId="56CB3511"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797A0A" w:rsidRPr="00FA3055">
        <w:rPr>
          <w:b/>
        </w:rPr>
        <w:t>REDACTED</w:t>
      </w:r>
    </w:p>
    <w:p w14:paraId="7479A65D" w14:textId="7506B622" w:rsidR="00C171FB" w:rsidRDefault="00C171FB" w:rsidP="00797A0A">
      <w:pPr>
        <w:pBdr>
          <w:top w:val="single" w:sz="4" w:space="1" w:color="auto"/>
          <w:left w:val="single" w:sz="4" w:space="4" w:color="auto"/>
          <w:bottom w:val="single" w:sz="4" w:space="1" w:color="auto"/>
          <w:right w:val="single" w:sz="4" w:space="4" w:color="auto"/>
        </w:pBdr>
        <w:rPr>
          <w:b/>
        </w:rPr>
      </w:pPr>
      <w:r>
        <w:t xml:space="preserve">Email: </w:t>
      </w:r>
      <w:r w:rsidR="00797A0A" w:rsidRPr="00FA3055">
        <w:rPr>
          <w:b/>
        </w:rPr>
        <w:t>REDACTED</w:t>
      </w:r>
    </w:p>
    <w:p w14:paraId="79F0234F" w14:textId="57C15113" w:rsidR="00C171FB" w:rsidRPr="00C171FB" w:rsidRDefault="00C171FB" w:rsidP="00C171FB">
      <w:pPr>
        <w:rPr>
          <w:b/>
        </w:rPr>
      </w:pPr>
      <w:r>
        <w:rPr>
          <w:b/>
        </w:rPr>
        <w:t>Alternative contact name</w:t>
      </w:r>
      <w:r w:rsidR="00797A0A" w:rsidRPr="00FA3055">
        <w:rPr>
          <w:b/>
        </w:rPr>
        <w:t xml:space="preserve"> REDACTED</w:t>
      </w:r>
    </w:p>
    <w:p w14:paraId="0C8792B3"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813A063" w14:textId="19143076" w:rsidR="00B84508" w:rsidRDefault="00B84508" w:rsidP="00B84508">
      <w:pPr>
        <w:pBdr>
          <w:top w:val="single" w:sz="4" w:space="1" w:color="auto"/>
          <w:left w:val="single" w:sz="4" w:space="4" w:color="auto"/>
          <w:bottom w:val="single" w:sz="4" w:space="1" w:color="auto"/>
          <w:right w:val="single" w:sz="4" w:space="4" w:color="auto"/>
        </w:pBdr>
      </w:pPr>
      <w:r>
        <w:t xml:space="preserve">Business: </w:t>
      </w:r>
      <w:r w:rsidR="00797A0A" w:rsidRPr="00FA3055">
        <w:rPr>
          <w:b/>
        </w:rPr>
        <w:t>REDACTED</w:t>
      </w:r>
    </w:p>
    <w:p w14:paraId="33FCDB1E" w14:textId="24DCCE33" w:rsidR="00B84508" w:rsidRDefault="00B84508" w:rsidP="00B84508">
      <w:pPr>
        <w:pBdr>
          <w:top w:val="single" w:sz="4" w:space="1" w:color="auto"/>
          <w:left w:val="single" w:sz="4" w:space="4" w:color="auto"/>
          <w:bottom w:val="single" w:sz="4" w:space="1" w:color="auto"/>
          <w:right w:val="single" w:sz="4" w:space="4" w:color="auto"/>
        </w:pBdr>
      </w:pPr>
      <w:r>
        <w:t xml:space="preserve">Mobile: </w:t>
      </w:r>
      <w:r w:rsidR="00797A0A" w:rsidRPr="00FA3055">
        <w:rPr>
          <w:b/>
        </w:rPr>
        <w:t>REDACTED</w:t>
      </w:r>
    </w:p>
    <w:p w14:paraId="066EEFFC" w14:textId="45F21D87" w:rsidR="00C171FB" w:rsidRPr="00C171FB" w:rsidRDefault="00B84508" w:rsidP="00C171FB">
      <w:r>
        <w:t xml:space="preserve">Email: </w:t>
      </w:r>
      <w:r w:rsidR="00797A0A">
        <w:t>REDACTED</w:t>
      </w:r>
    </w:p>
    <w:p w14:paraId="68F9411B" w14:textId="77777777" w:rsidR="00534C5F" w:rsidRPr="00154B00" w:rsidRDefault="00494011" w:rsidP="004A0BF4">
      <w:pPr>
        <w:pStyle w:val="Heading2"/>
      </w:pPr>
      <w:r>
        <w:t xml:space="preserve">(a) </w:t>
      </w:r>
      <w:r w:rsidR="00534C5F">
        <w:t>Are you a lobbyist acting on behalf of an Applicant?</w:t>
      </w:r>
    </w:p>
    <w:p w14:paraId="3D43893E"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4708B">
        <w:rPr>
          <w:szCs w:val="20"/>
        </w:rPr>
      </w:r>
      <w:r w:rsidR="0004708B">
        <w:rPr>
          <w:szCs w:val="20"/>
        </w:rPr>
        <w:fldChar w:fldCharType="separate"/>
      </w:r>
      <w:r w:rsidRPr="00753C44">
        <w:rPr>
          <w:szCs w:val="20"/>
        </w:rPr>
        <w:fldChar w:fldCharType="end"/>
      </w:r>
      <w:r>
        <w:rPr>
          <w:szCs w:val="20"/>
        </w:rPr>
        <w:t xml:space="preserve"> Yes</w:t>
      </w:r>
    </w:p>
    <w:p w14:paraId="62F4E098" w14:textId="77777777" w:rsidR="00A6491A" w:rsidRPr="00753C44" w:rsidRDefault="006E74CB"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A6491A">
        <w:rPr>
          <w:szCs w:val="20"/>
        </w:rPr>
        <w:t xml:space="preserve"> No</w:t>
      </w:r>
      <w:r w:rsidR="00A6491A" w:rsidRPr="00753C44">
        <w:rPr>
          <w:szCs w:val="20"/>
        </w:rPr>
        <w:t xml:space="preserve">  </w:t>
      </w:r>
    </w:p>
    <w:p w14:paraId="67591596" w14:textId="77777777" w:rsidR="00534C5F" w:rsidRDefault="00534C5F" w:rsidP="00DB0E49">
      <w:pPr>
        <w:pStyle w:val="Heading2"/>
        <w:numPr>
          <w:ilvl w:val="0"/>
          <w:numId w:val="2"/>
        </w:numPr>
      </w:pPr>
      <w:r w:rsidRPr="00154B00">
        <w:t xml:space="preserve">If yes, </w:t>
      </w:r>
      <w:r>
        <w:t xml:space="preserve">are </w:t>
      </w:r>
      <w:r w:rsidRPr="00FE33A6">
        <w:t>you</w:t>
      </w:r>
      <w:r>
        <w:t xml:space="preserve"> listed on the Register of Lobbyists?</w:t>
      </w:r>
    </w:p>
    <w:p w14:paraId="5F9E0AAF" w14:textId="77777777" w:rsidR="006E74CB" w:rsidRPr="006E74CB" w:rsidRDefault="006E74CB" w:rsidP="006E74CB">
      <w:pPr>
        <w:ind w:left="426"/>
      </w:pPr>
      <w:r>
        <w:t>Not applicable</w:t>
      </w:r>
    </w:p>
    <w:p w14:paraId="4D0CCAB1" w14:textId="77777777" w:rsidR="00E04FB3" w:rsidRDefault="00E04FB3" w:rsidP="005C333E">
      <w:pPr>
        <w:spacing w:before="0" w:after="0"/>
        <w:ind w:left="426"/>
        <w:rPr>
          <w:b/>
          <w:szCs w:val="20"/>
        </w:rPr>
      </w:pPr>
      <w:r w:rsidRPr="00154B00">
        <w:rPr>
          <w:b/>
          <w:szCs w:val="20"/>
        </w:rPr>
        <w:br w:type="page"/>
      </w:r>
    </w:p>
    <w:p w14:paraId="7EC8D073"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8F1B80C" w14:textId="77777777" w:rsidR="000B3CD0" w:rsidRDefault="000B3CD0" w:rsidP="00730C04">
      <w:pPr>
        <w:pStyle w:val="Heading2"/>
      </w:pPr>
      <w:r w:rsidRPr="00154B00">
        <w:t>Application title</w:t>
      </w:r>
      <w:r w:rsidR="00A8732C">
        <w:t xml:space="preserve"> </w:t>
      </w:r>
    </w:p>
    <w:p w14:paraId="6C2E9054" w14:textId="77777777" w:rsidR="009056C5" w:rsidRPr="009056C5" w:rsidRDefault="001F5ED4" w:rsidP="00A6491A">
      <w:pPr>
        <w:ind w:left="284"/>
      </w:pPr>
      <w:r>
        <w:t xml:space="preserve">PIK3CA testing for postmenopausal women </w:t>
      </w:r>
      <w:r w:rsidR="00680BA8">
        <w:t xml:space="preserve">and men </w:t>
      </w:r>
      <w:r>
        <w:t xml:space="preserve">with </w:t>
      </w:r>
      <w:r w:rsidR="006E74CB">
        <w:t>hormone receptor positive (</w:t>
      </w:r>
      <w:r>
        <w:t>HR+</w:t>
      </w:r>
      <w:r w:rsidR="006E74CB">
        <w:t>)</w:t>
      </w:r>
      <w:r>
        <w:t>/</w:t>
      </w:r>
      <w:r w:rsidR="006E74CB">
        <w:t>human epidermal growth factor negative (</w:t>
      </w:r>
      <w:r>
        <w:t>HER</w:t>
      </w:r>
      <w:r w:rsidR="006E74CB">
        <w:t>2</w:t>
      </w:r>
      <w:r w:rsidR="00B33B16">
        <w:t>–</w:t>
      </w:r>
      <w:r w:rsidR="006E74CB">
        <w:t>)</w:t>
      </w:r>
      <w:r>
        <w:t xml:space="preserve"> advanced breast cancer that has progressed on or after treatment with an aromatase inhibitor</w:t>
      </w:r>
    </w:p>
    <w:p w14:paraId="5163DCFA"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F214366" w14:textId="77777777" w:rsidR="00D4685A" w:rsidRDefault="007D6AEC" w:rsidP="00811336">
      <w:pPr>
        <w:ind w:left="284"/>
      </w:pPr>
      <w:r>
        <w:t>Worldwide, breast cancer is the most common cancer diagnosed in women and the leading cause of cancer-related death in women (</w:t>
      </w:r>
      <w:r w:rsidRPr="00430FB2">
        <w:t>Global Burden of Disease Cancer Collaboration</w:t>
      </w:r>
      <w:r>
        <w:t xml:space="preserve"> 2018).</w:t>
      </w:r>
      <w:r w:rsidR="009F3B77">
        <w:rPr>
          <w:rStyle w:val="FootnoteReference"/>
        </w:rPr>
        <w:footnoteReference w:id="1"/>
      </w:r>
      <w:r>
        <w:t xml:space="preserve"> </w:t>
      </w:r>
      <w:r w:rsidR="001F5ED4">
        <w:t>In 2018 in Australia, an estimated 18,235 new cases of breast cancer were diagnosed, more than any other cancer type.</w:t>
      </w:r>
      <w:r w:rsidR="001F5ED4">
        <w:rPr>
          <w:rStyle w:val="FootnoteReference"/>
        </w:rPr>
        <w:footnoteReference w:id="2"/>
      </w:r>
      <w:r w:rsidR="001F5ED4">
        <w:t xml:space="preserve"> </w:t>
      </w:r>
      <w:r w:rsidR="00D4685A">
        <w:t>Approximately 60-70% of breast tumours are HR</w:t>
      </w:r>
      <w:r w:rsidR="00601C11">
        <w:t>+/</w:t>
      </w:r>
      <w:r w:rsidR="00D4685A">
        <w:t>HER2</w:t>
      </w:r>
      <w:r w:rsidR="00B33B16">
        <w:t>–</w:t>
      </w:r>
      <w:r w:rsidR="00D4685A">
        <w:t>.</w:t>
      </w:r>
      <w:r w:rsidR="006E74CB">
        <w:rPr>
          <w:rStyle w:val="FootnoteReference"/>
        </w:rPr>
        <w:footnoteReference w:id="3"/>
      </w:r>
      <w:r w:rsidR="00D4685A">
        <w:t xml:space="preserve"> While endocrine therapy is the treatment of choice for subjects with HR</w:t>
      </w:r>
      <w:r w:rsidR="00811336">
        <w:t>+</w:t>
      </w:r>
      <w:r w:rsidR="00D4685A">
        <w:t xml:space="preserve"> advanced breast cancer, progressive disease ultimately develops in all subjects, either due to primary resistance or relapse/progression following an initial response. </w:t>
      </w:r>
      <w:r w:rsidR="00811336">
        <w:t>Two new classes of targeted compounds (mammalian target of rapamycin (</w:t>
      </w:r>
      <w:proofErr w:type="spellStart"/>
      <w:r w:rsidR="00811336">
        <w:t>mTOR</w:t>
      </w:r>
      <w:proofErr w:type="spellEnd"/>
      <w:r w:rsidR="00811336">
        <w:t>) inhibitors, and cyclin-dependent kinase 4/6 (CDK4/6) inhibitors) have demonstrated clinical efficacy when combined with endocrine therapy. However, to date no predictive biomarkers have been identified to select patients that would benefit the most from these therapies.</w:t>
      </w:r>
      <w:r w:rsidR="006E74CB">
        <w:rPr>
          <w:rStyle w:val="FootnoteReference"/>
        </w:rPr>
        <w:footnoteReference w:id="4"/>
      </w:r>
    </w:p>
    <w:p w14:paraId="3A23A56D"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48E2CBB" w14:textId="77777777" w:rsidR="00D4685A" w:rsidRPr="00D4685A" w:rsidRDefault="00D4685A" w:rsidP="00D4685A">
      <w:pPr>
        <w:ind w:left="284"/>
        <w:rPr>
          <w:b/>
        </w:rPr>
      </w:pPr>
      <w:r w:rsidRPr="00D4685A">
        <w:t>The PI3K/AKT/</w:t>
      </w:r>
      <w:proofErr w:type="spellStart"/>
      <w:r w:rsidRPr="00D4685A">
        <w:t>mTOR</w:t>
      </w:r>
      <w:proofErr w:type="spellEnd"/>
      <w:r w:rsidRPr="00D4685A">
        <w:t xml:space="preserve"> pathway is postulated to be a central oncogenic pathway that regulates cell proliferation, cell metabolism, growth, survival, and apoptosis</w:t>
      </w:r>
      <w:r w:rsidR="00811336">
        <w:t xml:space="preserve">. </w:t>
      </w:r>
      <w:r w:rsidRPr="00D4685A">
        <w:t>Changes in PI3K activity are associated with resistance to endocrine, chemo-, r</w:t>
      </w:r>
      <w:r w:rsidR="00601C11">
        <w:t>adio-, and anti-HER2 therapies</w:t>
      </w:r>
      <w:r w:rsidRPr="00D4685A">
        <w:t>.</w:t>
      </w:r>
      <w:r w:rsidR="00601C11">
        <w:rPr>
          <w:rStyle w:val="FootnoteReference"/>
        </w:rPr>
        <w:footnoteReference w:id="5"/>
      </w:r>
      <w:r w:rsidRPr="00D4685A">
        <w:t xml:space="preserve"> PIK3CA mutations are reported in up to 45% of</w:t>
      </w:r>
      <w:r>
        <w:t xml:space="preserve"> </w:t>
      </w:r>
      <w:r w:rsidRPr="00D4685A">
        <w:t>HR</w:t>
      </w:r>
      <w:r w:rsidR="00601C11">
        <w:t>+/H</w:t>
      </w:r>
      <w:r w:rsidRPr="00D4685A">
        <w:t>ER2</w:t>
      </w:r>
      <w:r w:rsidR="00B33B16">
        <w:softHyphen/>
      </w:r>
      <w:r w:rsidRPr="00D4685A">
        <w:t xml:space="preserve"> breast cancers.</w:t>
      </w:r>
      <w:r w:rsidR="00601C11">
        <w:rPr>
          <w:rStyle w:val="FootnoteReference"/>
        </w:rPr>
        <w:footnoteReference w:id="6"/>
      </w:r>
      <w:r w:rsidRPr="00D4685A">
        <w:t xml:space="preserve"> </w:t>
      </w:r>
      <w:r w:rsidR="009F3A1D">
        <w:t xml:space="preserve">The results of the SOLAR 1 clinical trial demonstrate a substantial clinical benefit of </w:t>
      </w:r>
      <w:proofErr w:type="spellStart"/>
      <w:r w:rsidR="009F3A1D">
        <w:t>alpelisib</w:t>
      </w:r>
      <w:proofErr w:type="spellEnd"/>
      <w:r w:rsidR="009F3A1D">
        <w:t xml:space="preserve"> </w:t>
      </w:r>
      <w:r w:rsidR="00E3158E">
        <w:t xml:space="preserve">plus </w:t>
      </w:r>
      <w:proofErr w:type="spellStart"/>
      <w:r w:rsidR="00E3158E">
        <w:t>fulvestrant</w:t>
      </w:r>
      <w:proofErr w:type="spellEnd"/>
      <w:r w:rsidR="009F3A1D">
        <w:t xml:space="preserve"> compared with </w:t>
      </w:r>
      <w:proofErr w:type="spellStart"/>
      <w:r w:rsidR="009F3A1D">
        <w:t>fulvestrant</w:t>
      </w:r>
      <w:proofErr w:type="spellEnd"/>
      <w:r w:rsidR="009F3A1D">
        <w:t xml:space="preserve"> alone in PIK3CA mutation-positive</w:t>
      </w:r>
      <w:r w:rsidR="00E3158E">
        <w:t xml:space="preserve"> patients who have progressed on or after an endocrine-based regimen</w:t>
      </w:r>
      <w:r w:rsidR="009F3A1D">
        <w:t>. Thus, the proposed medical service is testing for PIK3CA mutation in this population.</w:t>
      </w:r>
    </w:p>
    <w:p w14:paraId="5D56A526" w14:textId="77777777" w:rsidR="00D11EB1" w:rsidRPr="0011036E" w:rsidRDefault="00730C04" w:rsidP="00D4685A">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00A8AE1" w14:textId="77777777" w:rsidR="00753C44" w:rsidRDefault="00B135D0" w:rsidP="00A6491A">
      <w:pPr>
        <w:spacing w:before="0" w:after="0"/>
        <w:ind w:left="284"/>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04708B">
        <w:rPr>
          <w:szCs w:val="20"/>
        </w:rPr>
      </w:r>
      <w:r w:rsidR="0004708B">
        <w:rPr>
          <w:szCs w:val="20"/>
        </w:rPr>
        <w:fldChar w:fldCharType="separate"/>
      </w:r>
      <w:r>
        <w:rPr>
          <w:szCs w:val="20"/>
        </w:rPr>
        <w:fldChar w:fldCharType="end"/>
      </w:r>
      <w:bookmarkEnd w:id="1"/>
      <w:r w:rsidR="006B6390">
        <w:rPr>
          <w:szCs w:val="20"/>
        </w:rPr>
        <w:t xml:space="preserve"> Yes</w:t>
      </w:r>
    </w:p>
    <w:p w14:paraId="0F7EBF0B"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4708B">
        <w:rPr>
          <w:szCs w:val="20"/>
        </w:rPr>
      </w:r>
      <w:r w:rsidR="0004708B">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C73D2A7" w14:textId="77777777" w:rsidR="000B3CD0" w:rsidRPr="0011036E" w:rsidRDefault="000B3CD0" w:rsidP="00DB0E4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2651959"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4708B">
        <w:rPr>
          <w:szCs w:val="20"/>
        </w:rPr>
      </w:r>
      <w:r w:rsidR="0004708B">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0B8A4C84" w14:textId="77777777" w:rsidR="00753C44" w:rsidRPr="00753C44" w:rsidRDefault="00B135D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3A62DFB" w14:textId="77777777" w:rsidR="000B3CD0" w:rsidRPr="0011036E" w:rsidRDefault="000B3CD0" w:rsidP="00DB0E4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93EE1B5" w14:textId="77777777" w:rsidR="003D795C" w:rsidRPr="00CB12EC" w:rsidRDefault="00B135D0" w:rsidP="00A6491A">
      <w:pPr>
        <w:ind w:left="284"/>
      </w:pPr>
      <w:r>
        <w:t>Not applicable</w:t>
      </w:r>
    </w:p>
    <w:p w14:paraId="6C65A954" w14:textId="77777777" w:rsidR="006C0843" w:rsidRDefault="006C0843" w:rsidP="00DB0E4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31DEDC9" w14:textId="77777777" w:rsidR="00B135D0" w:rsidRPr="00B135D0" w:rsidRDefault="00B135D0" w:rsidP="00B135D0">
      <w:pPr>
        <w:ind w:left="284"/>
      </w:pPr>
      <w:r>
        <w:t>Not applicable</w:t>
      </w:r>
    </w:p>
    <w:p w14:paraId="7E37EBA4" w14:textId="77777777" w:rsidR="00534C5F" w:rsidRPr="007E39E4" w:rsidRDefault="000770BA" w:rsidP="00DB0E4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257F88D" w14:textId="77777777" w:rsidR="006B6390" w:rsidRPr="00AA2CFE" w:rsidRDefault="006B6390" w:rsidP="00DB0E4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4708B">
        <w:rPr>
          <w:b/>
          <w:szCs w:val="20"/>
        </w:rPr>
      </w:r>
      <w:r w:rsidR="0004708B">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3E70A5F" w14:textId="77777777" w:rsidR="006B6390" w:rsidRPr="00AA2CFE" w:rsidRDefault="00B135D0" w:rsidP="00DB0E49">
      <w:pPr>
        <w:pStyle w:val="ListParagraph"/>
        <w:numPr>
          <w:ilvl w:val="0"/>
          <w:numId w:val="13"/>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185AD7D" w14:textId="77777777" w:rsidR="006B6390" w:rsidRPr="00AA2CFE" w:rsidRDefault="006B6390" w:rsidP="00DB0E4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4708B">
        <w:rPr>
          <w:b/>
          <w:szCs w:val="20"/>
        </w:rPr>
      </w:r>
      <w:r w:rsidR="0004708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05D591E" w14:textId="77777777" w:rsidR="006B6390" w:rsidRPr="00AA2CFE" w:rsidRDefault="006B6390" w:rsidP="00DB0E4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4708B">
        <w:rPr>
          <w:b/>
          <w:szCs w:val="20"/>
        </w:rPr>
      </w:r>
      <w:r w:rsidR="0004708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830C365" w14:textId="77777777" w:rsidR="003027BB" w:rsidRPr="007E39E4" w:rsidRDefault="00F30C22" w:rsidP="00DB0E4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71C4B7F4" w14:textId="77777777" w:rsidR="000A5B32" w:rsidRDefault="000174EA"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0A5B32" w:rsidRPr="000A5B32">
        <w:rPr>
          <w:szCs w:val="20"/>
        </w:rPr>
        <w:t xml:space="preserve"> Yes</w:t>
      </w:r>
    </w:p>
    <w:p w14:paraId="22D209AC" w14:textId="77777777" w:rsidR="00626365" w:rsidRDefault="000174EA" w:rsidP="00626365">
      <w:pPr>
        <w:spacing w:before="0" w:after="0"/>
        <w:ind w:left="284"/>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0A5B32" w:rsidRPr="000A5B32">
        <w:rPr>
          <w:szCs w:val="20"/>
        </w:rPr>
        <w:t xml:space="preserve"> No</w:t>
      </w:r>
    </w:p>
    <w:p w14:paraId="6EC9D30A" w14:textId="77777777" w:rsidR="00626365" w:rsidRDefault="00626365" w:rsidP="00626365">
      <w:pPr>
        <w:spacing w:before="0" w:after="0"/>
        <w:ind w:left="284"/>
        <w:rPr>
          <w:rStyle w:val="Strong"/>
          <w:rFonts w:asciiTheme="minorHAnsi" w:eastAsiaTheme="minorHAnsi" w:hAnsiTheme="minorHAnsi" w:cstheme="minorBidi"/>
          <w:b w:val="0"/>
          <w:szCs w:val="20"/>
        </w:rPr>
      </w:pPr>
    </w:p>
    <w:p w14:paraId="4FB21261" w14:textId="77777777" w:rsidR="000174EA" w:rsidRPr="00626365" w:rsidRDefault="000174EA" w:rsidP="00626365">
      <w:pPr>
        <w:spacing w:before="0" w:after="0"/>
        <w:ind w:left="284"/>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 xml:space="preserve">No other source of public funding for PIK3CA mutation testing, other than the MBS, will be sought. However, this application will be part of a </w:t>
      </w:r>
      <w:proofErr w:type="spellStart"/>
      <w:r>
        <w:rPr>
          <w:rStyle w:val="Strong"/>
          <w:rFonts w:asciiTheme="minorHAnsi" w:eastAsiaTheme="minorHAnsi" w:hAnsiTheme="minorHAnsi" w:cstheme="minorBidi"/>
          <w:b w:val="0"/>
          <w:szCs w:val="20"/>
        </w:rPr>
        <w:t>codependent</w:t>
      </w:r>
      <w:proofErr w:type="spellEnd"/>
      <w:r>
        <w:rPr>
          <w:rStyle w:val="Strong"/>
          <w:rFonts w:asciiTheme="minorHAnsi" w:eastAsiaTheme="minorHAnsi" w:hAnsiTheme="minorHAnsi" w:cstheme="minorBidi"/>
          <w:b w:val="0"/>
          <w:szCs w:val="20"/>
        </w:rPr>
        <w:t xml:space="preserve"> submission where public funding on the PBS for </w:t>
      </w:r>
      <w:proofErr w:type="spellStart"/>
      <w:r>
        <w:rPr>
          <w:rStyle w:val="Strong"/>
          <w:rFonts w:asciiTheme="minorHAnsi" w:eastAsiaTheme="minorHAnsi" w:hAnsiTheme="minorHAnsi" w:cstheme="minorBidi"/>
          <w:b w:val="0"/>
          <w:szCs w:val="20"/>
        </w:rPr>
        <w:t>alpelisib</w:t>
      </w:r>
      <w:proofErr w:type="spellEnd"/>
      <w:r>
        <w:rPr>
          <w:rStyle w:val="Strong"/>
          <w:rFonts w:asciiTheme="minorHAnsi" w:eastAsiaTheme="minorHAnsi" w:hAnsiTheme="minorHAnsi" w:cstheme="minorBidi"/>
          <w:b w:val="0"/>
          <w:szCs w:val="20"/>
        </w:rPr>
        <w:t xml:space="preserve"> (to be used in combination with </w:t>
      </w:r>
      <w:proofErr w:type="spellStart"/>
      <w:r>
        <w:rPr>
          <w:rStyle w:val="Strong"/>
          <w:rFonts w:asciiTheme="minorHAnsi" w:eastAsiaTheme="minorHAnsi" w:hAnsiTheme="minorHAnsi" w:cstheme="minorBidi"/>
          <w:b w:val="0"/>
          <w:szCs w:val="20"/>
        </w:rPr>
        <w:t>fulvestrant</w:t>
      </w:r>
      <w:proofErr w:type="spellEnd"/>
      <w:r>
        <w:rPr>
          <w:rStyle w:val="Strong"/>
          <w:rFonts w:asciiTheme="minorHAnsi" w:eastAsiaTheme="minorHAnsi" w:hAnsiTheme="minorHAnsi" w:cstheme="minorBidi"/>
          <w:b w:val="0"/>
          <w:szCs w:val="20"/>
        </w:rPr>
        <w:t xml:space="preserve">) will be sought for eligible patients. </w:t>
      </w:r>
    </w:p>
    <w:p w14:paraId="7D77F4DE" w14:textId="77777777" w:rsidR="003027BB" w:rsidRPr="007E39E4" w:rsidRDefault="003027BB" w:rsidP="00DB0E4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7DF9DC7C" w14:textId="77777777" w:rsidR="000A5B32" w:rsidRPr="00855944" w:rsidRDefault="000174EA" w:rsidP="00A6491A">
      <w:pPr>
        <w:ind w:left="284"/>
        <w:rPr>
          <w:rStyle w:val="Strong"/>
        </w:rPr>
      </w:pPr>
      <w:r>
        <w:t>Not applicable</w:t>
      </w:r>
    </w:p>
    <w:p w14:paraId="758C7A5A" w14:textId="77777777" w:rsidR="000B3CD0" w:rsidRDefault="000B3CD0" w:rsidP="00730C04">
      <w:pPr>
        <w:pStyle w:val="Heading2"/>
      </w:pPr>
      <w:r w:rsidRPr="00154B00">
        <w:t xml:space="preserve">What is the type of </w:t>
      </w:r>
      <w:proofErr w:type="gramStart"/>
      <w:r w:rsidRPr="00154B00">
        <w:t>service:</w:t>
      </w:r>
      <w:proofErr w:type="gramEnd"/>
    </w:p>
    <w:p w14:paraId="293ED1E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Therapeutic medical service</w:t>
      </w:r>
    </w:p>
    <w:p w14:paraId="6A071A20" w14:textId="77777777" w:rsidR="00A6594E" w:rsidRDefault="00B135D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A6594E" w:rsidRPr="0027105F">
        <w:rPr>
          <w:b/>
          <w:szCs w:val="20"/>
        </w:rPr>
        <w:t xml:space="preserve"> </w:t>
      </w:r>
      <w:r w:rsidR="00A6594E">
        <w:t>Investigative medical service</w:t>
      </w:r>
    </w:p>
    <w:p w14:paraId="2D8238F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Single consultation medical service</w:t>
      </w:r>
    </w:p>
    <w:p w14:paraId="77CFE81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Global consultation medical service</w:t>
      </w:r>
    </w:p>
    <w:p w14:paraId="7E07B96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Allied health service</w:t>
      </w:r>
    </w:p>
    <w:p w14:paraId="0961B391" w14:textId="77777777" w:rsidR="00A6594E" w:rsidRDefault="00B135D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A6594E" w:rsidRPr="0027105F">
        <w:rPr>
          <w:b/>
          <w:szCs w:val="20"/>
        </w:rPr>
        <w:t xml:space="preserve"> </w:t>
      </w:r>
      <w:r w:rsidR="00A6594E">
        <w:t>Co-dependent technology</w:t>
      </w:r>
    </w:p>
    <w:p w14:paraId="043265DF"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Hybrid health technology</w:t>
      </w:r>
    </w:p>
    <w:p w14:paraId="1C7AC53A"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CECF1CD" w14:textId="77777777" w:rsidR="00A6594E" w:rsidRDefault="00A6594E" w:rsidP="00DB0E4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4708B">
        <w:rPr>
          <w:b/>
          <w:szCs w:val="20"/>
        </w:rPr>
      </w:r>
      <w:r w:rsidR="0004708B">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9051400" w14:textId="77777777" w:rsidR="00A6594E" w:rsidRDefault="00A6594E" w:rsidP="00DB0E4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4708B">
        <w:rPr>
          <w:b/>
          <w:szCs w:val="20"/>
        </w:rPr>
      </w:r>
      <w:r w:rsidR="0004708B">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72DD0543" w14:textId="77777777" w:rsidR="00A6594E" w:rsidRDefault="00A6594E" w:rsidP="00DB0E4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4708B">
        <w:rPr>
          <w:b/>
          <w:szCs w:val="20"/>
        </w:rPr>
      </w:r>
      <w:r w:rsidR="0004708B">
        <w:rPr>
          <w:b/>
          <w:szCs w:val="20"/>
        </w:rPr>
        <w:fldChar w:fldCharType="separate"/>
      </w:r>
      <w:r w:rsidRPr="00AF4466">
        <w:rPr>
          <w:b/>
          <w:szCs w:val="20"/>
        </w:rPr>
        <w:fldChar w:fldCharType="end"/>
      </w:r>
      <w:r w:rsidRPr="00AF4466">
        <w:rPr>
          <w:b/>
          <w:szCs w:val="20"/>
        </w:rPr>
        <w:t xml:space="preserve"> </w:t>
      </w:r>
      <w:r>
        <w:t>Provides information about prognosis</w:t>
      </w:r>
    </w:p>
    <w:p w14:paraId="241FBD33" w14:textId="77777777" w:rsidR="00A6594E" w:rsidRDefault="00B135D0" w:rsidP="00DB0E49">
      <w:pPr>
        <w:pStyle w:val="ListParagraph"/>
        <w:numPr>
          <w:ilvl w:val="0"/>
          <w:numId w:val="14"/>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70AA09B1" w14:textId="77777777" w:rsidR="00A6594E" w:rsidRPr="00A6594E" w:rsidRDefault="00A6594E" w:rsidP="00DB0E4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4708B">
        <w:rPr>
          <w:b/>
          <w:szCs w:val="20"/>
        </w:rPr>
      </w:r>
      <w:r w:rsidR="0004708B">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642C60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AB40F21" w14:textId="77777777" w:rsidR="00FE16C1" w:rsidRDefault="00B135D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FE16C1" w:rsidRPr="0027105F">
        <w:rPr>
          <w:b/>
          <w:szCs w:val="20"/>
        </w:rPr>
        <w:t xml:space="preserve"> </w:t>
      </w:r>
      <w:r w:rsidR="00FE16C1">
        <w:t>Pharmaceutical / Biological</w:t>
      </w:r>
    </w:p>
    <w:p w14:paraId="38B51FE2"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Prosthesis or device</w:t>
      </w:r>
    </w:p>
    <w:p w14:paraId="1794F21A"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4708B">
        <w:rPr>
          <w:b/>
          <w:szCs w:val="20"/>
        </w:rPr>
      </w:r>
      <w:r w:rsidR="0004708B">
        <w:rPr>
          <w:b/>
          <w:szCs w:val="20"/>
        </w:rPr>
        <w:fldChar w:fldCharType="separate"/>
      </w:r>
      <w:r w:rsidRPr="0027105F">
        <w:rPr>
          <w:b/>
          <w:szCs w:val="20"/>
        </w:rPr>
        <w:fldChar w:fldCharType="end"/>
      </w:r>
      <w:r w:rsidRPr="0027105F">
        <w:rPr>
          <w:b/>
          <w:szCs w:val="20"/>
        </w:rPr>
        <w:t xml:space="preserve"> </w:t>
      </w:r>
      <w:r>
        <w:t>No</w:t>
      </w:r>
    </w:p>
    <w:p w14:paraId="4818907C"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16BB1FF"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sidRPr="000A5B32">
        <w:rPr>
          <w:szCs w:val="20"/>
        </w:rPr>
        <w:t xml:space="preserve"> Yes</w:t>
      </w:r>
    </w:p>
    <w:p w14:paraId="4B987261" w14:textId="77777777" w:rsidR="00FE16C1" w:rsidRPr="00FE16C1" w:rsidRDefault="00B135D0" w:rsidP="00A6491A">
      <w:pPr>
        <w:spacing w:before="0" w:after="0"/>
        <w:ind w:left="284"/>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FE16C1">
        <w:rPr>
          <w:szCs w:val="20"/>
        </w:rPr>
        <w:t xml:space="preserve"> No  </w:t>
      </w:r>
    </w:p>
    <w:p w14:paraId="3268DF10" w14:textId="77777777" w:rsidR="00EC127A" w:rsidRPr="001E6958" w:rsidRDefault="000E5439" w:rsidP="00DB0E49">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C422AE5" w14:textId="77777777" w:rsidR="007E39E4" w:rsidRPr="007E39E4" w:rsidRDefault="00B135D0" w:rsidP="00A6491A">
      <w:pPr>
        <w:ind w:left="284"/>
        <w:rPr>
          <w:b/>
          <w:szCs w:val="20"/>
        </w:rPr>
      </w:pPr>
      <w:r>
        <w:t>Not applicable</w:t>
      </w:r>
    </w:p>
    <w:p w14:paraId="11749B57" w14:textId="77777777" w:rsidR="00411735" w:rsidRPr="001E6958" w:rsidRDefault="00411735" w:rsidP="00DB0E49">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1780DBB"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5B39075" w14:textId="77777777" w:rsidR="001E6919" w:rsidRDefault="00B135D0" w:rsidP="001E6919">
      <w:pPr>
        <w:spacing w:before="0"/>
        <w:ind w:left="284"/>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1E6919">
        <w:rPr>
          <w:szCs w:val="20"/>
        </w:rPr>
        <w:t xml:space="preserve"> No</w:t>
      </w:r>
    </w:p>
    <w:p w14:paraId="44B9A3F5" w14:textId="6D91D8D4" w:rsidR="001E6919" w:rsidRPr="007E39E4" w:rsidRDefault="009F3A1D" w:rsidP="00A6491A">
      <w:pPr>
        <w:spacing w:before="0" w:after="0"/>
        <w:ind w:left="284"/>
        <w:rPr>
          <w:szCs w:val="20"/>
        </w:rPr>
      </w:pPr>
      <w:r>
        <w:lastRenderedPageBreak/>
        <w:t xml:space="preserve">A </w:t>
      </w:r>
      <w:proofErr w:type="spellStart"/>
      <w:r>
        <w:t>codependent</w:t>
      </w:r>
      <w:proofErr w:type="spellEnd"/>
      <w:r>
        <w:t xml:space="preserve"> submission requesting reimbursement for the use of</w:t>
      </w:r>
      <w:r w:rsidR="000174EA">
        <w:t xml:space="preserve"> </w:t>
      </w:r>
      <w:proofErr w:type="spellStart"/>
      <w:r w:rsidR="00E3158E">
        <w:t>alpelisib</w:t>
      </w:r>
      <w:proofErr w:type="spellEnd"/>
      <w:r w:rsidR="00E3158E">
        <w:t xml:space="preserve"> (in combination with </w:t>
      </w:r>
      <w:proofErr w:type="spellStart"/>
      <w:r w:rsidR="00E3158E">
        <w:t>fulvestrant</w:t>
      </w:r>
      <w:proofErr w:type="spellEnd"/>
      <w:r w:rsidR="00E3158E">
        <w:t>)</w:t>
      </w:r>
      <w:r>
        <w:t xml:space="preserve"> in postmenopausal women </w:t>
      </w:r>
      <w:r w:rsidR="00CF40F7">
        <w:t xml:space="preserve">and </w:t>
      </w:r>
      <w:r w:rsidR="000174EA">
        <w:t xml:space="preserve">men </w:t>
      </w:r>
      <w:r>
        <w:t>with HR+/HER2</w:t>
      </w:r>
      <w:r w:rsidR="00B33B16">
        <w:t>–</w:t>
      </w:r>
      <w:r>
        <w:t xml:space="preserve"> advanced breast cancer that has progressed on or after </w:t>
      </w:r>
      <w:r w:rsidR="00601C11">
        <w:t xml:space="preserve">treatment with an </w:t>
      </w:r>
      <w:r w:rsidR="00E3158E">
        <w:t>aromatase inhibitor</w:t>
      </w:r>
      <w:r>
        <w:t xml:space="preserve">, supported by data from the SOLAR 1 trial, is planned for </w:t>
      </w:r>
      <w:r w:rsidR="00FF04CE">
        <w:t>REDACTED</w:t>
      </w:r>
      <w:r>
        <w:t xml:space="preserve">, in accordance with the </w:t>
      </w:r>
      <w:proofErr w:type="spellStart"/>
      <w:r>
        <w:t>codependent</w:t>
      </w:r>
      <w:proofErr w:type="spellEnd"/>
      <w:r>
        <w:t xml:space="preserve"> submission timelines.</w:t>
      </w:r>
    </w:p>
    <w:p w14:paraId="20D3C479" w14:textId="77777777" w:rsidR="000E5439" w:rsidRDefault="000E5439" w:rsidP="00DB0E49">
      <w:pPr>
        <w:pStyle w:val="Heading2"/>
        <w:numPr>
          <w:ilvl w:val="0"/>
          <w:numId w:val="4"/>
        </w:numPr>
      </w:pPr>
      <w:r w:rsidRPr="007E39E4">
        <w:t>If you are seeking both MBS and PBS listing</w:t>
      </w:r>
      <w:r w:rsidR="00B75965" w:rsidRPr="007E39E4">
        <w:t>, what is the trade name and generic name of the pharmaceutical?</w:t>
      </w:r>
    </w:p>
    <w:p w14:paraId="772520F5" w14:textId="77777777" w:rsidR="001E6958" w:rsidRDefault="001E6958" w:rsidP="00A6491A">
      <w:pPr>
        <w:spacing w:before="0" w:after="0"/>
        <w:ind w:left="284"/>
      </w:pPr>
      <w:r>
        <w:t xml:space="preserve">Trade name: </w:t>
      </w:r>
      <w:proofErr w:type="spellStart"/>
      <w:r w:rsidR="004532BC" w:rsidRPr="00E5679E">
        <w:t>Piqray</w:t>
      </w:r>
      <w:proofErr w:type="spellEnd"/>
      <w:r w:rsidR="00DB7B56" w:rsidRPr="00E16761">
        <w:rPr>
          <w:b/>
          <w:sz w:val="28"/>
          <w:szCs w:val="28"/>
          <w:vertAlign w:val="superscript"/>
          <w:lang w:val="fr-FR" w:eastAsia="en-GB"/>
        </w:rPr>
        <w:sym w:font="Symbol" w:char="F0E2"/>
      </w:r>
    </w:p>
    <w:p w14:paraId="666E5063" w14:textId="77777777" w:rsidR="001E6958" w:rsidRPr="001E6958" w:rsidRDefault="001E6958" w:rsidP="00A6491A">
      <w:pPr>
        <w:spacing w:before="0" w:after="0"/>
        <w:ind w:left="284"/>
      </w:pPr>
      <w:r>
        <w:t xml:space="preserve">Generic name: </w:t>
      </w:r>
      <w:proofErr w:type="spellStart"/>
      <w:r w:rsidR="004532BC">
        <w:t>alpelisib</w:t>
      </w:r>
      <w:proofErr w:type="spellEnd"/>
    </w:p>
    <w:p w14:paraId="310EC9B2" w14:textId="77777777" w:rsidR="004532BC"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r w:rsidR="004532BC">
        <w:t xml:space="preserve"> </w:t>
      </w:r>
    </w:p>
    <w:p w14:paraId="1F5C8270" w14:textId="77777777" w:rsidR="00B75965" w:rsidRDefault="004532BC" w:rsidP="004532BC">
      <w:pPr>
        <w:pStyle w:val="Heading2"/>
        <w:numPr>
          <w:ilvl w:val="0"/>
          <w:numId w:val="0"/>
        </w:numPr>
        <w:ind w:left="284"/>
      </w:pPr>
      <w:r>
        <w:rPr>
          <w:b w:val="0"/>
        </w:rPr>
        <w:t>Not applicable</w:t>
      </w:r>
    </w:p>
    <w:p w14:paraId="3B04D52F" w14:textId="77777777" w:rsidR="001E6919" w:rsidRPr="001E6958" w:rsidRDefault="001E6919" w:rsidP="00A6491A">
      <w:pPr>
        <w:spacing w:before="0" w:after="0"/>
        <w:ind w:left="284"/>
        <w:rPr>
          <w:szCs w:val="20"/>
        </w:rPr>
      </w:pPr>
    </w:p>
    <w:p w14:paraId="43734564" w14:textId="77777777" w:rsidR="004532BC" w:rsidRDefault="00B75965" w:rsidP="00DB0E49">
      <w:pPr>
        <w:pStyle w:val="Heading2"/>
        <w:numPr>
          <w:ilvl w:val="0"/>
          <w:numId w:val="5"/>
        </w:numPr>
      </w:pPr>
      <w:r w:rsidRPr="001E6958">
        <w:t xml:space="preserve">If yes, </w:t>
      </w:r>
      <w:r w:rsidR="00C73B62" w:rsidRPr="001E6958">
        <w:t xml:space="preserve">please provide the following information (where relevant): </w:t>
      </w:r>
    </w:p>
    <w:p w14:paraId="3839D496" w14:textId="77777777" w:rsidR="00B75965" w:rsidRDefault="004532BC" w:rsidP="004532BC">
      <w:pPr>
        <w:pStyle w:val="Heading2"/>
        <w:numPr>
          <w:ilvl w:val="0"/>
          <w:numId w:val="0"/>
        </w:numPr>
        <w:ind w:left="360"/>
      </w:pPr>
      <w:r>
        <w:rPr>
          <w:b w:val="0"/>
        </w:rPr>
        <w:t>Not applicable</w:t>
      </w:r>
    </w:p>
    <w:p w14:paraId="1D9D4E5E" w14:textId="77777777" w:rsidR="001E6958" w:rsidRPr="001E6958" w:rsidRDefault="001E6958" w:rsidP="00A6491A">
      <w:pPr>
        <w:spacing w:before="0" w:after="0"/>
        <w:ind w:left="284"/>
      </w:pPr>
    </w:p>
    <w:p w14:paraId="36D437C1" w14:textId="77777777" w:rsidR="004532BC" w:rsidRDefault="00411735" w:rsidP="00DB0E49">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4532BC">
        <w:t xml:space="preserve"> </w:t>
      </w:r>
    </w:p>
    <w:p w14:paraId="066BA528" w14:textId="77777777" w:rsidR="00411735" w:rsidRDefault="004532BC" w:rsidP="004532BC">
      <w:pPr>
        <w:pStyle w:val="Heading2"/>
        <w:numPr>
          <w:ilvl w:val="0"/>
          <w:numId w:val="0"/>
        </w:numPr>
        <w:ind w:left="360"/>
        <w:rPr>
          <w:b w:val="0"/>
        </w:rPr>
      </w:pPr>
      <w:r>
        <w:rPr>
          <w:b w:val="0"/>
        </w:rPr>
        <w:t>Not applicable</w:t>
      </w:r>
    </w:p>
    <w:p w14:paraId="6AABB24A" w14:textId="77777777" w:rsidR="00601C11" w:rsidRPr="00601C11" w:rsidRDefault="00601C11" w:rsidP="00601C11">
      <w:pPr>
        <w:ind w:left="360"/>
      </w:pPr>
    </w:p>
    <w:p w14:paraId="57E3BB04" w14:textId="77777777" w:rsidR="004532BC" w:rsidRDefault="00016B6E" w:rsidP="00DB0E49">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r w:rsidR="004532BC">
        <w:t xml:space="preserve"> </w:t>
      </w:r>
    </w:p>
    <w:p w14:paraId="568A6523" w14:textId="77777777" w:rsidR="00016B6E" w:rsidRPr="009939DC" w:rsidRDefault="004532BC" w:rsidP="004532BC">
      <w:pPr>
        <w:pStyle w:val="Heading2"/>
        <w:numPr>
          <w:ilvl w:val="0"/>
          <w:numId w:val="0"/>
        </w:numPr>
        <w:ind w:left="360"/>
      </w:pPr>
      <w:r>
        <w:rPr>
          <w:b w:val="0"/>
        </w:rPr>
        <w:t>Not applicable</w:t>
      </w:r>
    </w:p>
    <w:p w14:paraId="1656E402" w14:textId="77777777" w:rsidR="009939DC" w:rsidRPr="001E6958" w:rsidRDefault="009939DC" w:rsidP="00A6491A">
      <w:pPr>
        <w:spacing w:before="0" w:after="0"/>
        <w:ind w:left="284"/>
        <w:rPr>
          <w:szCs w:val="20"/>
        </w:rPr>
      </w:pPr>
    </w:p>
    <w:p w14:paraId="1E75D09C" w14:textId="77777777" w:rsidR="009939DC" w:rsidRDefault="00016B6E" w:rsidP="00DB0E49">
      <w:pPr>
        <w:pStyle w:val="Heading2"/>
        <w:numPr>
          <w:ilvl w:val="0"/>
          <w:numId w:val="5"/>
        </w:numPr>
      </w:pPr>
      <w:r w:rsidRPr="009939DC">
        <w:t>If yes, please provide the name(s) of the spon</w:t>
      </w:r>
      <w:r w:rsidR="009939DC">
        <w:t>sor(s) and / or manufacturer(s):</w:t>
      </w:r>
    </w:p>
    <w:p w14:paraId="28D0A6C6" w14:textId="77777777" w:rsidR="00016B6E" w:rsidRPr="009939DC" w:rsidRDefault="00B135D0" w:rsidP="00A6491A">
      <w:pPr>
        <w:ind w:left="284"/>
      </w:pPr>
      <w:r>
        <w:t>Not applicable</w:t>
      </w:r>
    </w:p>
    <w:p w14:paraId="679AB2F3"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4CFF6E2" w14:textId="77777777" w:rsidR="00601C11" w:rsidRDefault="00A80667" w:rsidP="00A6491A">
      <w:pPr>
        <w:spacing w:before="0" w:after="0"/>
        <w:ind w:left="284"/>
      </w:pPr>
      <w:r>
        <w:t>Australian laboratories currently performing PIK3CA testing use locally developed methods. Details of the exact methodologies likely to be used in Australia, as well as any single and multiuse consumables will be gathered from laboratories during the preparation</w:t>
      </w:r>
      <w:r w:rsidR="000174EA">
        <w:t xml:space="preserve">, and presented in, the </w:t>
      </w:r>
      <w:proofErr w:type="spellStart"/>
      <w:r w:rsidR="000174EA">
        <w:t>codependent</w:t>
      </w:r>
      <w:proofErr w:type="spellEnd"/>
      <w:r w:rsidR="000174EA">
        <w:t xml:space="preserve"> submission</w:t>
      </w:r>
      <w:r>
        <w:t>.</w:t>
      </w:r>
    </w:p>
    <w:p w14:paraId="293F1771" w14:textId="77777777" w:rsidR="00F301F1" w:rsidRPr="00855944" w:rsidRDefault="00F301F1" w:rsidP="00A6491A">
      <w:pPr>
        <w:spacing w:before="0" w:after="0"/>
        <w:ind w:left="284"/>
      </w:pPr>
      <w:r w:rsidRPr="00855944">
        <w:br w:type="page"/>
      </w:r>
    </w:p>
    <w:p w14:paraId="74730DA2"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7CDEF9E8" w14:textId="77777777"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1263571" w14:textId="77777777" w:rsidR="007528EF" w:rsidRDefault="00F74E05" w:rsidP="007528EF">
      <w:pPr>
        <w:ind w:left="284"/>
      </w:pPr>
      <w:r>
        <w:t xml:space="preserve">The proposed medical service, PIK3CA mutation testing, does not specify a particular methodology. </w:t>
      </w:r>
      <w:r w:rsidR="007528EF">
        <w:t>As noted in Q12, Australian laboratories currently performing PIK3CA testing use locally developed methods. Details of the exact methodologies likely to be used in Australia will be gathered from laboratories during the preparation of the full co-dependent submission dossier.</w:t>
      </w:r>
    </w:p>
    <w:p w14:paraId="01DCE2C8" w14:textId="77777777" w:rsidR="00F74E05" w:rsidRDefault="00F74E05" w:rsidP="00A80667">
      <w:pPr>
        <w:ind w:left="284"/>
      </w:pPr>
      <w:r>
        <w:t xml:space="preserve">Two commercial tests using multiplexed qualitative real time PCR assays were used in the SOLAR 1 clinical trial to identify patients with a PIK3CA mutation: </w:t>
      </w:r>
    </w:p>
    <w:p w14:paraId="11F4C503" w14:textId="77777777" w:rsidR="00F74E05" w:rsidRDefault="00F74E05" w:rsidP="00DB0E49">
      <w:pPr>
        <w:pStyle w:val="ListParagraph"/>
        <w:numPr>
          <w:ilvl w:val="0"/>
          <w:numId w:val="18"/>
        </w:numPr>
      </w:pPr>
      <w:r>
        <w:t xml:space="preserve">CTA – Clinical Trial Assay - performed using the </w:t>
      </w:r>
      <w:r w:rsidRPr="00612526">
        <w:rPr>
          <w:i/>
        </w:rPr>
        <w:t>Novartis CTA PCR Kit</w:t>
      </w:r>
      <w:r>
        <w:t xml:space="preserve"> on the </w:t>
      </w:r>
      <w:proofErr w:type="spellStart"/>
      <w:r>
        <w:t>cobas</w:t>
      </w:r>
      <w:proofErr w:type="spellEnd"/>
      <w:r>
        <w:t xml:space="preserve">® z480 </w:t>
      </w:r>
      <w:proofErr w:type="spellStart"/>
      <w:r>
        <w:t>analyzer</w:t>
      </w:r>
      <w:proofErr w:type="spellEnd"/>
      <w:r>
        <w:t xml:space="preserve"> with the </w:t>
      </w:r>
      <w:proofErr w:type="spellStart"/>
      <w:r>
        <w:t>cobas</w:t>
      </w:r>
      <w:proofErr w:type="spellEnd"/>
      <w:r>
        <w:t>® 4800 SR2 System Control Unit and System Software.</w:t>
      </w:r>
    </w:p>
    <w:p w14:paraId="7636B9F6" w14:textId="77777777" w:rsidR="00612526" w:rsidRDefault="00612526" w:rsidP="00DB0E49">
      <w:pPr>
        <w:pStyle w:val="ListParagraph"/>
        <w:numPr>
          <w:ilvl w:val="0"/>
          <w:numId w:val="18"/>
        </w:numPr>
      </w:pPr>
      <w:proofErr w:type="spellStart"/>
      <w:r>
        <w:t>CDx</w:t>
      </w:r>
      <w:proofErr w:type="spellEnd"/>
      <w:r>
        <w:t xml:space="preserve"> – Companion Diagnostic - performed using the </w:t>
      </w:r>
      <w:r w:rsidRPr="00612526">
        <w:rPr>
          <w:i/>
        </w:rPr>
        <w:t xml:space="preserve">QIAGEN </w:t>
      </w:r>
      <w:proofErr w:type="spellStart"/>
      <w:r w:rsidRPr="00612526">
        <w:rPr>
          <w:i/>
        </w:rPr>
        <w:t>therascreen</w:t>
      </w:r>
      <w:proofErr w:type="spellEnd"/>
      <w:r w:rsidRPr="00612526">
        <w:rPr>
          <w:i/>
        </w:rPr>
        <w:t>® PIK3CA RGQ PCR Kit</w:t>
      </w:r>
      <w:r>
        <w:t xml:space="preserve"> and Rotor-Gene® Q (RGQ) </w:t>
      </w:r>
      <w:proofErr w:type="spellStart"/>
      <w:r>
        <w:t>MDx</w:t>
      </w:r>
      <w:proofErr w:type="spellEnd"/>
      <w:r>
        <w:t xml:space="preserve"> instrument with 72-well rotor with the RGQ Open Mode Software.</w:t>
      </w:r>
    </w:p>
    <w:p w14:paraId="2C891A37" w14:textId="77777777" w:rsidR="00612526" w:rsidRDefault="00612526" w:rsidP="00612526">
      <w:pPr>
        <w:ind w:left="360"/>
      </w:pPr>
      <w:r>
        <w:t xml:space="preserve">Neither PIK3CA assay kit is currently registered with the TGA, although other </w:t>
      </w:r>
      <w:proofErr w:type="spellStart"/>
      <w:r>
        <w:t>cobas</w:t>
      </w:r>
      <w:proofErr w:type="spellEnd"/>
      <w:r>
        <w:t xml:space="preserve">-related tests are.  </w:t>
      </w:r>
    </w:p>
    <w:p w14:paraId="22BF6F99" w14:textId="77777777" w:rsidR="005E2CE3" w:rsidRPr="00154B00" w:rsidRDefault="005E2CE3" w:rsidP="00DB0E49">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2528FC3A" w14:textId="77777777" w:rsidR="00615F42" w:rsidRPr="00615F42" w:rsidRDefault="007F3B4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30610707"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sidRPr="000A5B32">
        <w:rPr>
          <w:szCs w:val="20"/>
        </w:rPr>
        <w:t xml:space="preserve"> </w:t>
      </w:r>
      <w:r w:rsidRPr="00615F42">
        <w:rPr>
          <w:szCs w:val="20"/>
        </w:rPr>
        <w:t>AIMD</w:t>
      </w:r>
    </w:p>
    <w:p w14:paraId="155755BD" w14:textId="77777777" w:rsidR="005E2CE3" w:rsidRPr="00154B00" w:rsidRDefault="007F3B49" w:rsidP="00A6491A">
      <w:pPr>
        <w:spacing w:before="0" w:after="0"/>
        <w:ind w:left="284"/>
        <w:rPr>
          <w:szCs w:val="20"/>
        </w:rPr>
      </w:pPr>
      <w:r>
        <w:rPr>
          <w:b/>
          <w:szCs w:val="20"/>
        </w:rPr>
        <w:fldChar w:fldCharType="begin">
          <w:ffData>
            <w:name w:val=""/>
            <w:enabled/>
            <w:calcOnExit w:val="0"/>
            <w:checkBox>
              <w:sizeAuto/>
              <w:default w:val="0"/>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615F42" w:rsidRPr="000A5B32">
        <w:rPr>
          <w:szCs w:val="20"/>
        </w:rPr>
        <w:t xml:space="preserve"> </w:t>
      </w:r>
      <w:r w:rsidR="00615F42" w:rsidRPr="00615F42">
        <w:rPr>
          <w:szCs w:val="20"/>
        </w:rPr>
        <w:t>N/A</w:t>
      </w:r>
    </w:p>
    <w:p w14:paraId="5280DDFE"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4D14B2A" w14:textId="77777777" w:rsidR="00615F42" w:rsidRDefault="004532B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Yes </w:t>
      </w:r>
      <w:r w:rsidR="00615F42">
        <w:rPr>
          <w:szCs w:val="20"/>
        </w:rPr>
        <w:t>(</w:t>
      </w:r>
      <w:r w:rsidR="00615F42" w:rsidRPr="00154B00">
        <w:rPr>
          <w:szCs w:val="20"/>
        </w:rPr>
        <w:t>If yes, please provide supporting documentation</w:t>
      </w:r>
      <w:r w:rsidR="00615F42">
        <w:rPr>
          <w:szCs w:val="20"/>
        </w:rPr>
        <w:t xml:space="preserve"> as an attachment to this application form)</w:t>
      </w:r>
    </w:p>
    <w:p w14:paraId="5C3D67B1" w14:textId="77777777" w:rsidR="003421AE" w:rsidRPr="00615F42" w:rsidRDefault="00B135D0" w:rsidP="00A6491A">
      <w:pPr>
        <w:spacing w:before="0" w:after="0"/>
        <w:ind w:left="284"/>
        <w:rPr>
          <w:b/>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04708B">
        <w:rPr>
          <w:b/>
          <w:szCs w:val="20"/>
        </w:rPr>
      </w:r>
      <w:r w:rsidR="0004708B">
        <w:rPr>
          <w:b/>
          <w:szCs w:val="20"/>
        </w:rPr>
        <w:fldChar w:fldCharType="separate"/>
      </w:r>
      <w:r>
        <w:rPr>
          <w:b/>
          <w:szCs w:val="20"/>
        </w:rPr>
        <w:fldChar w:fldCharType="end"/>
      </w:r>
      <w:r w:rsidR="004532BC">
        <w:rPr>
          <w:szCs w:val="20"/>
        </w:rPr>
        <w:t xml:space="preserve"> </w:t>
      </w:r>
      <w:r w:rsidR="00615F42">
        <w:rPr>
          <w:szCs w:val="20"/>
        </w:rPr>
        <w:t>No</w:t>
      </w:r>
    </w:p>
    <w:p w14:paraId="3ABFDE8C" w14:textId="77777777" w:rsidR="00D85676" w:rsidRPr="00DB7B56" w:rsidRDefault="00D85676" w:rsidP="00DB0E49">
      <w:pPr>
        <w:pStyle w:val="Heading2"/>
        <w:numPr>
          <w:ilvl w:val="0"/>
          <w:numId w:val="7"/>
        </w:numPr>
      </w:pPr>
      <w:r w:rsidRPr="00154B00">
        <w:t xml:space="preserve">If no, has </w:t>
      </w:r>
      <w:r w:rsidRPr="00DB7B56">
        <w:t>it been listed or registered or included in the Australian Register of Therapeutic Goods (ARTG) by the Therapeutic Goods Administration (TGA)</w:t>
      </w:r>
      <w:r w:rsidR="00403333" w:rsidRPr="00DB7B56">
        <w:t>?</w:t>
      </w:r>
    </w:p>
    <w:p w14:paraId="6DC97441" w14:textId="77777777" w:rsidR="0043654D" w:rsidRPr="00DB7B56" w:rsidRDefault="0043654D" w:rsidP="0043654D">
      <w:pPr>
        <w:spacing w:before="0" w:after="0"/>
        <w:ind w:left="284"/>
        <w:rPr>
          <w:szCs w:val="20"/>
        </w:rPr>
      </w:pPr>
      <w:r w:rsidRPr="00DB7B56">
        <w:rPr>
          <w:szCs w:val="20"/>
        </w:rPr>
        <w:fldChar w:fldCharType="begin">
          <w:ffData>
            <w:name w:val="Check1"/>
            <w:enabled/>
            <w:calcOnExit w:val="0"/>
            <w:checkBox>
              <w:sizeAuto/>
              <w:default w:val="0"/>
            </w:checkBox>
          </w:ffData>
        </w:fldChar>
      </w:r>
      <w:r w:rsidRPr="00DB7B56">
        <w:rPr>
          <w:szCs w:val="20"/>
        </w:rPr>
        <w:instrText xml:space="preserve"> FORMCHECKBOX </w:instrText>
      </w:r>
      <w:r w:rsidR="0004708B">
        <w:rPr>
          <w:szCs w:val="20"/>
        </w:rPr>
      </w:r>
      <w:r w:rsidR="0004708B">
        <w:rPr>
          <w:szCs w:val="20"/>
        </w:rPr>
        <w:fldChar w:fldCharType="separate"/>
      </w:r>
      <w:r w:rsidRPr="00DB7B56">
        <w:rPr>
          <w:szCs w:val="20"/>
        </w:rPr>
        <w:fldChar w:fldCharType="end"/>
      </w:r>
      <w:r w:rsidRPr="00DB7B56">
        <w:rPr>
          <w:szCs w:val="20"/>
        </w:rPr>
        <w:t xml:space="preserve"> Yes (if yes, please provide details below)</w:t>
      </w:r>
    </w:p>
    <w:p w14:paraId="647DC1D2" w14:textId="77777777" w:rsidR="0043654D" w:rsidRPr="00DB7B56" w:rsidRDefault="00B135D0" w:rsidP="0043654D">
      <w:pPr>
        <w:spacing w:before="0" w:after="0"/>
        <w:ind w:left="284"/>
        <w:rPr>
          <w:szCs w:val="20"/>
        </w:rPr>
      </w:pPr>
      <w:r w:rsidRPr="00DB7B56">
        <w:rPr>
          <w:b/>
          <w:szCs w:val="20"/>
        </w:rPr>
        <w:fldChar w:fldCharType="begin">
          <w:ffData>
            <w:name w:val=""/>
            <w:enabled/>
            <w:calcOnExit w:val="0"/>
            <w:checkBox>
              <w:sizeAuto/>
              <w:default w:val="1"/>
            </w:checkBox>
          </w:ffData>
        </w:fldChar>
      </w:r>
      <w:r w:rsidRPr="00DB7B56">
        <w:rPr>
          <w:b/>
          <w:szCs w:val="20"/>
        </w:rPr>
        <w:instrText xml:space="preserve"> FORMCHECKBOX </w:instrText>
      </w:r>
      <w:r w:rsidR="0004708B">
        <w:rPr>
          <w:b/>
          <w:szCs w:val="20"/>
        </w:rPr>
      </w:r>
      <w:r w:rsidR="0004708B">
        <w:rPr>
          <w:b/>
          <w:szCs w:val="20"/>
        </w:rPr>
        <w:fldChar w:fldCharType="separate"/>
      </w:r>
      <w:r w:rsidRPr="00DB7B56">
        <w:rPr>
          <w:b/>
          <w:szCs w:val="20"/>
        </w:rPr>
        <w:fldChar w:fldCharType="end"/>
      </w:r>
      <w:r w:rsidR="0043654D" w:rsidRPr="00DB7B56">
        <w:rPr>
          <w:szCs w:val="20"/>
        </w:rPr>
        <w:t xml:space="preserve"> No</w:t>
      </w:r>
    </w:p>
    <w:p w14:paraId="478177D2" w14:textId="77777777" w:rsidR="0043654D" w:rsidRPr="00DB7B56" w:rsidRDefault="0043654D" w:rsidP="0043654D">
      <w:pPr>
        <w:spacing w:before="0" w:after="0"/>
        <w:ind w:left="284"/>
        <w:rPr>
          <w:b/>
          <w:szCs w:val="20"/>
        </w:rPr>
      </w:pPr>
    </w:p>
    <w:p w14:paraId="4CDE87A8" w14:textId="77777777" w:rsidR="00C0796F" w:rsidRPr="00DB7B56" w:rsidRDefault="00C0796F" w:rsidP="00530204">
      <w:pPr>
        <w:pStyle w:val="Heading2"/>
      </w:pPr>
      <w:r w:rsidRPr="00DB7B56">
        <w:t>If the therapeutic good has not been listed, registered or included in the ARTG, is the therapeutic good in the process of being considered for inclusion by the TGA?</w:t>
      </w:r>
    </w:p>
    <w:p w14:paraId="1007261B" w14:textId="77777777" w:rsidR="0047581D" w:rsidRPr="00DB7B56" w:rsidRDefault="0047581D" w:rsidP="0047581D">
      <w:pPr>
        <w:spacing w:before="0" w:after="0"/>
        <w:ind w:left="284"/>
        <w:rPr>
          <w:szCs w:val="20"/>
        </w:rPr>
      </w:pPr>
      <w:r w:rsidRPr="00DB7B56">
        <w:rPr>
          <w:szCs w:val="20"/>
        </w:rPr>
        <w:fldChar w:fldCharType="begin">
          <w:ffData>
            <w:name w:val="Check1"/>
            <w:enabled/>
            <w:calcOnExit w:val="0"/>
            <w:checkBox>
              <w:sizeAuto/>
              <w:default w:val="0"/>
            </w:checkBox>
          </w:ffData>
        </w:fldChar>
      </w:r>
      <w:r w:rsidRPr="00DB7B56">
        <w:rPr>
          <w:szCs w:val="20"/>
        </w:rPr>
        <w:instrText xml:space="preserve"> FORMCHECKBOX </w:instrText>
      </w:r>
      <w:r w:rsidR="0004708B">
        <w:rPr>
          <w:szCs w:val="20"/>
        </w:rPr>
      </w:r>
      <w:r w:rsidR="0004708B">
        <w:rPr>
          <w:szCs w:val="20"/>
        </w:rPr>
        <w:fldChar w:fldCharType="separate"/>
      </w:r>
      <w:r w:rsidRPr="00DB7B56">
        <w:rPr>
          <w:szCs w:val="20"/>
        </w:rPr>
        <w:fldChar w:fldCharType="end"/>
      </w:r>
      <w:r w:rsidRPr="00DB7B56">
        <w:rPr>
          <w:szCs w:val="20"/>
        </w:rPr>
        <w:t xml:space="preserve"> Yes (please provide details below)</w:t>
      </w:r>
    </w:p>
    <w:p w14:paraId="7D4D86C3" w14:textId="77777777" w:rsidR="0047581D" w:rsidRPr="00DB7B56" w:rsidRDefault="00DB7B56" w:rsidP="0047581D">
      <w:pPr>
        <w:spacing w:before="0" w:after="0"/>
        <w:ind w:left="284"/>
        <w:rPr>
          <w:szCs w:val="20"/>
        </w:rPr>
      </w:pPr>
      <w:r w:rsidRPr="00DB7B56">
        <w:rPr>
          <w:szCs w:val="20"/>
        </w:rPr>
        <w:fldChar w:fldCharType="begin">
          <w:ffData>
            <w:name w:val=""/>
            <w:enabled/>
            <w:calcOnExit w:val="0"/>
            <w:checkBox>
              <w:sizeAuto/>
              <w:default w:val="1"/>
            </w:checkBox>
          </w:ffData>
        </w:fldChar>
      </w:r>
      <w:r w:rsidRPr="00DB7B56">
        <w:rPr>
          <w:szCs w:val="20"/>
        </w:rPr>
        <w:instrText xml:space="preserve"> FORMCHECKBOX </w:instrText>
      </w:r>
      <w:r w:rsidR="0004708B">
        <w:rPr>
          <w:szCs w:val="20"/>
        </w:rPr>
      </w:r>
      <w:r w:rsidR="0004708B">
        <w:rPr>
          <w:szCs w:val="20"/>
        </w:rPr>
        <w:fldChar w:fldCharType="separate"/>
      </w:r>
      <w:r w:rsidRPr="00DB7B56">
        <w:rPr>
          <w:szCs w:val="20"/>
        </w:rPr>
        <w:fldChar w:fldCharType="end"/>
      </w:r>
      <w:r w:rsidR="0047581D" w:rsidRPr="00DB7B56">
        <w:rPr>
          <w:szCs w:val="20"/>
        </w:rPr>
        <w:t xml:space="preserve"> No</w:t>
      </w:r>
    </w:p>
    <w:p w14:paraId="2237E672" w14:textId="77777777" w:rsidR="0047581D" w:rsidRPr="00DB7B56" w:rsidRDefault="0047581D" w:rsidP="0047581D">
      <w:pPr>
        <w:spacing w:before="0" w:after="0"/>
        <w:rPr>
          <w:b/>
          <w:szCs w:val="20"/>
        </w:rPr>
      </w:pPr>
    </w:p>
    <w:p w14:paraId="559063C7" w14:textId="77777777" w:rsidR="00C0796F" w:rsidRPr="00DB7B56" w:rsidRDefault="000A110D" w:rsidP="00530204">
      <w:pPr>
        <w:pStyle w:val="Heading2"/>
      </w:pPr>
      <w:r w:rsidRPr="00DB7B56">
        <w:t>I</w:t>
      </w:r>
      <w:r w:rsidR="00C0796F" w:rsidRPr="00DB7B56">
        <w:t xml:space="preserve">f the therapeutic good </w:t>
      </w:r>
      <w:r w:rsidR="00F83A9D" w:rsidRPr="00DB7B56">
        <w:t>is not in the process of being considered for listing</w:t>
      </w:r>
      <w:r w:rsidR="00C0796F" w:rsidRPr="00DB7B56">
        <w:t xml:space="preserve">, </w:t>
      </w:r>
      <w:r w:rsidR="00F83A9D" w:rsidRPr="00DB7B56">
        <w:t xml:space="preserve">registration </w:t>
      </w:r>
      <w:r w:rsidR="00C0796F" w:rsidRPr="00DB7B56">
        <w:t xml:space="preserve">or </w:t>
      </w:r>
      <w:r w:rsidR="00F83A9D" w:rsidRPr="00DB7B56">
        <w:t>inclusion by the TGA, is an application to the TGA being prepared?</w:t>
      </w:r>
    </w:p>
    <w:p w14:paraId="1F50A442" w14:textId="77777777" w:rsidR="000A110D" w:rsidRPr="00DB7B56" w:rsidRDefault="00DB7B56" w:rsidP="000A110D">
      <w:pPr>
        <w:spacing w:before="0" w:after="0"/>
        <w:ind w:left="284"/>
        <w:rPr>
          <w:szCs w:val="20"/>
        </w:rPr>
      </w:pPr>
      <w:r w:rsidRPr="00DB7B56">
        <w:rPr>
          <w:szCs w:val="20"/>
        </w:rPr>
        <w:fldChar w:fldCharType="begin">
          <w:ffData>
            <w:name w:val=""/>
            <w:enabled/>
            <w:calcOnExit w:val="0"/>
            <w:checkBox>
              <w:sizeAuto/>
              <w:default w:val="1"/>
            </w:checkBox>
          </w:ffData>
        </w:fldChar>
      </w:r>
      <w:r w:rsidRPr="00DB7B56">
        <w:rPr>
          <w:szCs w:val="20"/>
        </w:rPr>
        <w:instrText xml:space="preserve"> FORMCHECKBOX </w:instrText>
      </w:r>
      <w:r w:rsidR="0004708B">
        <w:rPr>
          <w:szCs w:val="20"/>
        </w:rPr>
      </w:r>
      <w:r w:rsidR="0004708B">
        <w:rPr>
          <w:szCs w:val="20"/>
        </w:rPr>
        <w:fldChar w:fldCharType="separate"/>
      </w:r>
      <w:r w:rsidRPr="00DB7B56">
        <w:rPr>
          <w:szCs w:val="20"/>
        </w:rPr>
        <w:fldChar w:fldCharType="end"/>
      </w:r>
      <w:r w:rsidR="000A110D" w:rsidRPr="00DB7B56">
        <w:rPr>
          <w:szCs w:val="20"/>
        </w:rPr>
        <w:t xml:space="preserve"> Yes (please provide details below)</w:t>
      </w:r>
    </w:p>
    <w:p w14:paraId="73BA3F15" w14:textId="77777777" w:rsidR="000A110D" w:rsidRPr="00DB7B56" w:rsidRDefault="000A110D" w:rsidP="000A110D">
      <w:pPr>
        <w:spacing w:before="0" w:after="0"/>
        <w:ind w:left="284"/>
        <w:rPr>
          <w:szCs w:val="20"/>
        </w:rPr>
      </w:pPr>
      <w:r w:rsidRPr="00DB7B56">
        <w:rPr>
          <w:szCs w:val="20"/>
        </w:rPr>
        <w:fldChar w:fldCharType="begin">
          <w:ffData>
            <w:name w:val="Check1"/>
            <w:enabled/>
            <w:calcOnExit w:val="0"/>
            <w:checkBox>
              <w:sizeAuto/>
              <w:default w:val="0"/>
            </w:checkBox>
          </w:ffData>
        </w:fldChar>
      </w:r>
      <w:r w:rsidRPr="00DB7B56">
        <w:rPr>
          <w:szCs w:val="20"/>
        </w:rPr>
        <w:instrText xml:space="preserve"> FORMCHECKBOX </w:instrText>
      </w:r>
      <w:r w:rsidR="0004708B">
        <w:rPr>
          <w:szCs w:val="20"/>
        </w:rPr>
      </w:r>
      <w:r w:rsidR="0004708B">
        <w:rPr>
          <w:szCs w:val="20"/>
        </w:rPr>
        <w:fldChar w:fldCharType="separate"/>
      </w:r>
      <w:r w:rsidRPr="00DB7B56">
        <w:rPr>
          <w:szCs w:val="20"/>
        </w:rPr>
        <w:fldChar w:fldCharType="end"/>
      </w:r>
      <w:r w:rsidRPr="00DB7B56">
        <w:rPr>
          <w:szCs w:val="20"/>
        </w:rPr>
        <w:t xml:space="preserve"> No</w:t>
      </w:r>
    </w:p>
    <w:p w14:paraId="4B12F0EE" w14:textId="77777777" w:rsidR="000A110D" w:rsidRPr="00DB7B56" w:rsidRDefault="000A110D" w:rsidP="00971EDB">
      <w:pPr>
        <w:spacing w:before="0" w:after="0"/>
        <w:rPr>
          <w:szCs w:val="20"/>
        </w:rPr>
      </w:pPr>
    </w:p>
    <w:p w14:paraId="1E007607" w14:textId="77777777" w:rsidR="00FF04CE" w:rsidRDefault="00971EDB" w:rsidP="00971EDB">
      <w:pPr>
        <w:spacing w:before="0" w:after="0"/>
        <w:rPr>
          <w:szCs w:val="20"/>
        </w:rPr>
      </w:pPr>
      <w:r w:rsidRPr="00DB7B56">
        <w:rPr>
          <w:szCs w:val="20"/>
        </w:rPr>
        <w:t xml:space="preserve">Estimated date of submission to TGA:  </w:t>
      </w:r>
      <w:r w:rsidR="00FF04CE">
        <w:t>REDACTED</w:t>
      </w:r>
      <w:r w:rsidR="00FF04CE" w:rsidRPr="00DB7B56">
        <w:rPr>
          <w:szCs w:val="20"/>
        </w:rPr>
        <w:t xml:space="preserve"> </w:t>
      </w:r>
    </w:p>
    <w:p w14:paraId="2B78C9FE" w14:textId="1AC8A220" w:rsidR="00971EDB" w:rsidRPr="00DB7B56" w:rsidRDefault="00971EDB" w:rsidP="00971EDB">
      <w:pPr>
        <w:spacing w:before="0" w:after="0"/>
        <w:rPr>
          <w:szCs w:val="20"/>
        </w:rPr>
      </w:pPr>
      <w:r w:rsidRPr="00DB7B56">
        <w:rPr>
          <w:szCs w:val="20"/>
        </w:rPr>
        <w:t xml:space="preserve">Proposed indication(s), if applicable:  </w:t>
      </w:r>
      <w:r w:rsidR="00DB7B56" w:rsidRPr="00DB7B56">
        <w:t>Not applicable</w:t>
      </w:r>
    </w:p>
    <w:p w14:paraId="53E9DF14" w14:textId="208DEF42" w:rsidR="00971EDB" w:rsidRPr="00971EDB" w:rsidRDefault="00971EDB" w:rsidP="00971EDB">
      <w:pPr>
        <w:spacing w:before="0" w:after="0"/>
        <w:rPr>
          <w:szCs w:val="20"/>
        </w:rPr>
      </w:pPr>
      <w:r w:rsidRPr="00DB7B56">
        <w:rPr>
          <w:szCs w:val="20"/>
        </w:rPr>
        <w:t xml:space="preserve">Proposed purpose(s), if applicable:  </w:t>
      </w:r>
      <w:r w:rsidR="00FF04CE">
        <w:t>REDACTED</w:t>
      </w:r>
    </w:p>
    <w:p w14:paraId="4E1FD8E2" w14:textId="77777777" w:rsidR="00F83A9D" w:rsidRPr="00154B00" w:rsidRDefault="00F83A9D" w:rsidP="00F83A9D">
      <w:pPr>
        <w:rPr>
          <w:szCs w:val="20"/>
        </w:rPr>
      </w:pPr>
    </w:p>
    <w:p w14:paraId="36D02F0B"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BA983C6"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61312768"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p w14:paraId="35C1B0F3" w14:textId="77777777" w:rsidR="00BD2355" w:rsidRPr="00BD2355" w:rsidRDefault="00BD2355" w:rsidP="00BD2355"/>
    <w:tbl>
      <w:tblPr>
        <w:tblStyle w:val="TableGrid"/>
        <w:tblW w:w="0" w:type="auto"/>
        <w:tblLayout w:type="fixed"/>
        <w:tblLook w:val="04A0" w:firstRow="1" w:lastRow="0" w:firstColumn="1" w:lastColumn="0" w:noHBand="0" w:noVBand="1"/>
        <w:tblCaption w:val="Summary of Evidence - Published"/>
      </w:tblPr>
      <w:tblGrid>
        <w:gridCol w:w="421"/>
        <w:gridCol w:w="1559"/>
        <w:gridCol w:w="2835"/>
        <w:gridCol w:w="3402"/>
        <w:gridCol w:w="4394"/>
        <w:gridCol w:w="1337"/>
      </w:tblGrid>
      <w:tr w:rsidR="00993351" w14:paraId="28483889" w14:textId="77777777" w:rsidTr="008A6CD5">
        <w:trPr>
          <w:cantSplit/>
          <w:tblHeader/>
        </w:trPr>
        <w:tc>
          <w:tcPr>
            <w:tcW w:w="421" w:type="dxa"/>
          </w:tcPr>
          <w:p w14:paraId="62AE30E5" w14:textId="77777777" w:rsidR="00DD308E" w:rsidRDefault="00DD308E" w:rsidP="00855944">
            <w:pPr>
              <w:pStyle w:val="TableHEADER"/>
            </w:pPr>
          </w:p>
        </w:tc>
        <w:tc>
          <w:tcPr>
            <w:tcW w:w="1559" w:type="dxa"/>
          </w:tcPr>
          <w:p w14:paraId="4F969A21" w14:textId="77777777" w:rsidR="00DD308E" w:rsidRDefault="00DD308E" w:rsidP="00855944">
            <w:pPr>
              <w:pStyle w:val="TableHEADER"/>
            </w:pPr>
            <w:r>
              <w:t>Type of study design</w:t>
            </w:r>
          </w:p>
        </w:tc>
        <w:tc>
          <w:tcPr>
            <w:tcW w:w="2835" w:type="dxa"/>
          </w:tcPr>
          <w:p w14:paraId="5FA3D521" w14:textId="77777777" w:rsidR="00DD308E" w:rsidRDefault="00DD308E" w:rsidP="00855944">
            <w:pPr>
              <w:pStyle w:val="TableHEADER"/>
            </w:pPr>
            <w:r>
              <w:t xml:space="preserve">Title of journal </w:t>
            </w:r>
            <w:r w:rsidR="00993351">
              <w:t>article</w:t>
            </w:r>
            <w:r>
              <w:t xml:space="preserve"> or research project (including any trial identifier or study lead if relevant)</w:t>
            </w:r>
          </w:p>
        </w:tc>
        <w:tc>
          <w:tcPr>
            <w:tcW w:w="3402" w:type="dxa"/>
          </w:tcPr>
          <w:p w14:paraId="2B343778" w14:textId="77777777" w:rsidR="00DD308E" w:rsidRDefault="00DD308E" w:rsidP="00855944">
            <w:pPr>
              <w:pStyle w:val="TableHEADER"/>
            </w:pPr>
            <w:r>
              <w:t>Short descripti</w:t>
            </w:r>
            <w:r w:rsidR="000A207F">
              <w:t xml:space="preserve">on of research </w:t>
            </w:r>
            <w:r w:rsidR="00993351">
              <w:t>(max 50 words)</w:t>
            </w:r>
          </w:p>
        </w:tc>
        <w:tc>
          <w:tcPr>
            <w:tcW w:w="4394" w:type="dxa"/>
          </w:tcPr>
          <w:p w14:paraId="0D40C054" w14:textId="77777777" w:rsidR="00DD308E" w:rsidRDefault="00DD308E" w:rsidP="00855944">
            <w:pPr>
              <w:pStyle w:val="TableHEADER"/>
            </w:pPr>
            <w:r w:rsidRPr="00E82F54">
              <w:t xml:space="preserve">Website link to </w:t>
            </w:r>
            <w:r>
              <w:t>journal article or research (if available)</w:t>
            </w:r>
          </w:p>
        </w:tc>
        <w:tc>
          <w:tcPr>
            <w:tcW w:w="1337" w:type="dxa"/>
          </w:tcPr>
          <w:p w14:paraId="081EFFCE" w14:textId="77777777" w:rsidR="00DD308E" w:rsidRDefault="00DD308E" w:rsidP="00855944">
            <w:pPr>
              <w:pStyle w:val="TableHEADER"/>
            </w:pPr>
            <w:r w:rsidRPr="00E82F54">
              <w:t>Date</w:t>
            </w:r>
            <w:r>
              <w:t xml:space="preserve"> of publication</w:t>
            </w:r>
          </w:p>
        </w:tc>
      </w:tr>
      <w:tr w:rsidR="004B1BE8" w:rsidRPr="004B1BE8" w14:paraId="226641FD" w14:textId="77777777" w:rsidTr="007B07BE">
        <w:trPr>
          <w:cantSplit/>
        </w:trPr>
        <w:tc>
          <w:tcPr>
            <w:tcW w:w="13948" w:type="dxa"/>
            <w:gridSpan w:val="6"/>
          </w:tcPr>
          <w:p w14:paraId="75ADAA2C" w14:textId="77777777" w:rsidR="004B1BE8" w:rsidRPr="004B1BE8" w:rsidRDefault="004B1BE8" w:rsidP="00DD308E">
            <w:pPr>
              <w:rPr>
                <w:b/>
              </w:rPr>
            </w:pPr>
            <w:proofErr w:type="spellStart"/>
            <w:r w:rsidRPr="004B1BE8">
              <w:rPr>
                <w:b/>
              </w:rPr>
              <w:t>Alpelisib</w:t>
            </w:r>
            <w:proofErr w:type="spellEnd"/>
            <w:r w:rsidRPr="004B1BE8">
              <w:rPr>
                <w:b/>
              </w:rPr>
              <w:t xml:space="preserve"> clinical study</w:t>
            </w:r>
          </w:p>
        </w:tc>
      </w:tr>
      <w:tr w:rsidR="00993351" w:rsidRPr="00BD2355" w14:paraId="5E921F79" w14:textId="77777777" w:rsidTr="008A6CD5">
        <w:trPr>
          <w:cantSplit/>
        </w:trPr>
        <w:tc>
          <w:tcPr>
            <w:tcW w:w="421" w:type="dxa"/>
          </w:tcPr>
          <w:p w14:paraId="47FE3EE2" w14:textId="77777777" w:rsidR="00DD308E" w:rsidRPr="00BD2355" w:rsidRDefault="00CE6D95" w:rsidP="00DD308E">
            <w:pPr>
              <w:rPr>
                <w:szCs w:val="20"/>
              </w:rPr>
            </w:pPr>
            <w:r>
              <w:rPr>
                <w:szCs w:val="20"/>
              </w:rPr>
              <w:t>1</w:t>
            </w:r>
          </w:p>
        </w:tc>
        <w:tc>
          <w:tcPr>
            <w:tcW w:w="1559" w:type="dxa"/>
          </w:tcPr>
          <w:p w14:paraId="7FBF31E0" w14:textId="77777777" w:rsidR="00DD308E" w:rsidRPr="00BD2355" w:rsidRDefault="004532BC" w:rsidP="00DD308E">
            <w:pPr>
              <w:rPr>
                <w:b/>
                <w:szCs w:val="20"/>
              </w:rPr>
            </w:pPr>
            <w:r w:rsidRPr="00BD2355">
              <w:t>Phase III randomised controlled trial</w:t>
            </w:r>
          </w:p>
        </w:tc>
        <w:tc>
          <w:tcPr>
            <w:tcW w:w="2835" w:type="dxa"/>
          </w:tcPr>
          <w:p w14:paraId="64E94D0B" w14:textId="77777777" w:rsidR="008C7540" w:rsidRPr="00BD2355" w:rsidRDefault="008C7540" w:rsidP="00DD308E">
            <w:proofErr w:type="spellStart"/>
            <w:r w:rsidRPr="00BD2355">
              <w:t>Alpelisib</w:t>
            </w:r>
            <w:proofErr w:type="spellEnd"/>
            <w:r w:rsidRPr="00BD2355">
              <w:t xml:space="preserve"> for PIK3CA-Mutated, Hormone Receptor–Positive Advanced Breast Cancer </w:t>
            </w:r>
          </w:p>
          <w:p w14:paraId="653D83C6" w14:textId="77777777" w:rsidR="008C7540" w:rsidRPr="00BD2355" w:rsidRDefault="008C7540" w:rsidP="00DD308E">
            <w:r w:rsidRPr="00BD2355">
              <w:t>SOLAR 1</w:t>
            </w:r>
            <w:r w:rsidR="000A207F">
              <w:t xml:space="preserve"> trial</w:t>
            </w:r>
            <w:r w:rsidRPr="00BD2355">
              <w:t>/CBYL719C2301</w:t>
            </w:r>
          </w:p>
          <w:p w14:paraId="03F52889" w14:textId="77777777" w:rsidR="008C7540" w:rsidRPr="00BD2355" w:rsidRDefault="008C7540" w:rsidP="00DD308E">
            <w:r w:rsidRPr="00BD2355">
              <w:t>NCT02437318</w:t>
            </w:r>
          </w:p>
        </w:tc>
        <w:tc>
          <w:tcPr>
            <w:tcW w:w="3402" w:type="dxa"/>
          </w:tcPr>
          <w:p w14:paraId="6F20CEEE" w14:textId="77777777" w:rsidR="005160AE" w:rsidRDefault="000A207F" w:rsidP="00DD308E">
            <w:r>
              <w:t>The</w:t>
            </w:r>
            <w:r w:rsidR="00BD2355" w:rsidRPr="00BD2355">
              <w:t xml:space="preserve"> combination of </w:t>
            </w:r>
            <w:proofErr w:type="spellStart"/>
            <w:r w:rsidR="00BD2355" w:rsidRPr="00BD2355">
              <w:t>alpelisib</w:t>
            </w:r>
            <w:proofErr w:type="spellEnd"/>
            <w:r w:rsidR="00BD2355" w:rsidRPr="00BD2355">
              <w:t xml:space="preserve"> and </w:t>
            </w:r>
            <w:proofErr w:type="spellStart"/>
            <w:r w:rsidR="00BD2355" w:rsidRPr="00BD2355">
              <w:t>fulvestrant</w:t>
            </w:r>
            <w:proofErr w:type="spellEnd"/>
            <w:r w:rsidR="00BD2355" w:rsidRPr="00BD2355">
              <w:t xml:space="preserve"> </w:t>
            </w:r>
            <w:r>
              <w:t xml:space="preserve">prolonged progression-free survival compared with placebo plus </w:t>
            </w:r>
            <w:proofErr w:type="spellStart"/>
            <w:r>
              <w:t>fulvestrant</w:t>
            </w:r>
            <w:proofErr w:type="spellEnd"/>
            <w:r>
              <w:t xml:space="preserve"> </w:t>
            </w:r>
            <w:r w:rsidR="005160AE" w:rsidRPr="00BD2355">
              <w:t xml:space="preserve">in men and postmenopausal women with HR+/HER2– advanced breast cancer which progressed on or after aromatase inhibitor treatment </w:t>
            </w:r>
            <w:r w:rsidR="005160AE">
              <w:t xml:space="preserve">who had a PIK3CA mutation. </w:t>
            </w:r>
            <w:r>
              <w:t>A total of 572 patients were randomised.</w:t>
            </w:r>
          </w:p>
          <w:p w14:paraId="58AF8562" w14:textId="77777777" w:rsidR="005160AE" w:rsidRPr="005160AE" w:rsidRDefault="00993351" w:rsidP="000A207F">
            <w:r>
              <w:t xml:space="preserve">PIK3CA mutation status was measured using two different tissue real PCR tests </w:t>
            </w:r>
            <w:r w:rsidR="008A6CD5">
              <w:t>(</w:t>
            </w:r>
            <w:proofErr w:type="spellStart"/>
            <w:r w:rsidR="008A6CD5">
              <w:t>CDx</w:t>
            </w:r>
            <w:proofErr w:type="spellEnd"/>
            <w:r w:rsidR="008A6CD5">
              <w:t xml:space="preserve"> and CTA) </w:t>
            </w:r>
            <w:r>
              <w:t>and one plasma real PCR test</w:t>
            </w:r>
            <w:r w:rsidR="008A6CD5">
              <w:t xml:space="preserve"> (</w:t>
            </w:r>
            <w:proofErr w:type="spellStart"/>
            <w:r w:rsidR="008A6CD5">
              <w:t>CDx</w:t>
            </w:r>
            <w:proofErr w:type="spellEnd"/>
            <w:r w:rsidR="008A6CD5">
              <w:t>)</w:t>
            </w:r>
            <w:r w:rsidR="000A207F">
              <w:t>.</w:t>
            </w:r>
          </w:p>
        </w:tc>
        <w:tc>
          <w:tcPr>
            <w:tcW w:w="4394" w:type="dxa"/>
          </w:tcPr>
          <w:p w14:paraId="609CE36E" w14:textId="309296D1" w:rsidR="00DD308E" w:rsidRPr="00BD2355" w:rsidRDefault="0004708B" w:rsidP="00A256E0">
            <w:pPr>
              <w:rPr>
                <w:b/>
                <w:szCs w:val="20"/>
              </w:rPr>
            </w:pPr>
            <w:hyperlink r:id="rId17" w:history="1">
              <w:r w:rsidR="00993351" w:rsidRPr="00847D46">
                <w:rPr>
                  <w:rStyle w:val="Hyperlink"/>
                </w:rPr>
                <w:t>www.ncbi.nlm.nih.gov/pubmed/31091374</w:t>
              </w:r>
            </w:hyperlink>
            <w:r w:rsidR="00993351">
              <w:t xml:space="preserve"> </w:t>
            </w:r>
          </w:p>
        </w:tc>
        <w:tc>
          <w:tcPr>
            <w:tcW w:w="1337" w:type="dxa"/>
          </w:tcPr>
          <w:p w14:paraId="7DCDE333" w14:textId="77777777" w:rsidR="00DD308E" w:rsidRPr="00BD2355" w:rsidRDefault="00993351" w:rsidP="00DD308E">
            <w:pPr>
              <w:rPr>
                <w:b/>
                <w:szCs w:val="20"/>
              </w:rPr>
            </w:pPr>
            <w:r>
              <w:t>Andr</w:t>
            </w:r>
            <w:r>
              <w:rPr>
                <w:rFonts w:cstheme="minorHAnsi"/>
              </w:rPr>
              <w:t>é</w:t>
            </w:r>
            <w:r>
              <w:t xml:space="preserve"> 2019</w:t>
            </w:r>
            <w:bookmarkStart w:id="2" w:name="_GoBack"/>
            <w:bookmarkEnd w:id="2"/>
          </w:p>
        </w:tc>
      </w:tr>
      <w:tr w:rsidR="004B1BE8" w:rsidRPr="004B1BE8" w14:paraId="564DF01A" w14:textId="77777777" w:rsidTr="007B07BE">
        <w:trPr>
          <w:cantSplit/>
        </w:trPr>
        <w:tc>
          <w:tcPr>
            <w:tcW w:w="13948" w:type="dxa"/>
            <w:gridSpan w:val="6"/>
          </w:tcPr>
          <w:p w14:paraId="26CE6037" w14:textId="77777777" w:rsidR="004B1BE8" w:rsidRPr="004B1BE8" w:rsidRDefault="004B1BE8" w:rsidP="00680BA8">
            <w:pPr>
              <w:keepNext/>
              <w:keepLines/>
              <w:rPr>
                <w:b/>
              </w:rPr>
            </w:pPr>
            <w:r>
              <w:rPr>
                <w:b/>
              </w:rPr>
              <w:lastRenderedPageBreak/>
              <w:t>PIK3CA testing studies</w:t>
            </w:r>
            <w:r w:rsidR="008A6CD5">
              <w:rPr>
                <w:b/>
              </w:rPr>
              <w:t xml:space="preserve"> </w:t>
            </w:r>
          </w:p>
        </w:tc>
      </w:tr>
      <w:tr w:rsidR="008A6CD5" w:rsidRPr="008A6CD5" w14:paraId="4A5B9005" w14:textId="77777777" w:rsidTr="007B07BE">
        <w:trPr>
          <w:cantSplit/>
        </w:trPr>
        <w:tc>
          <w:tcPr>
            <w:tcW w:w="13948" w:type="dxa"/>
            <w:gridSpan w:val="6"/>
          </w:tcPr>
          <w:p w14:paraId="0700F249" w14:textId="77777777" w:rsidR="008A6CD5" w:rsidRPr="008A6CD5" w:rsidRDefault="008A6CD5" w:rsidP="00680BA8">
            <w:pPr>
              <w:keepNext/>
              <w:keepLines/>
              <w:rPr>
                <w:i/>
              </w:rPr>
            </w:pPr>
            <w:r w:rsidRPr="008A6CD5">
              <w:rPr>
                <w:i/>
              </w:rPr>
              <w:t xml:space="preserve">Tests </w:t>
            </w:r>
            <w:r>
              <w:rPr>
                <w:i/>
              </w:rPr>
              <w:t xml:space="preserve">directly </w:t>
            </w:r>
            <w:r w:rsidRPr="008A6CD5">
              <w:rPr>
                <w:i/>
              </w:rPr>
              <w:t xml:space="preserve">compared against </w:t>
            </w:r>
            <w:r>
              <w:rPr>
                <w:i/>
              </w:rPr>
              <w:t xml:space="preserve">the </w:t>
            </w:r>
            <w:r w:rsidRPr="008A6CD5">
              <w:rPr>
                <w:i/>
              </w:rPr>
              <w:t>evidentiary standard</w:t>
            </w:r>
            <w:r w:rsidR="00347346">
              <w:rPr>
                <w:i/>
              </w:rPr>
              <w:t>s</w:t>
            </w:r>
            <w:r w:rsidRPr="008A6CD5">
              <w:rPr>
                <w:i/>
              </w:rPr>
              <w:t xml:space="preserve"> </w:t>
            </w:r>
            <w:r w:rsidR="00A50895">
              <w:rPr>
                <w:i/>
              </w:rPr>
              <w:t xml:space="preserve">- </w:t>
            </w:r>
            <w:r w:rsidRPr="008A6CD5">
              <w:rPr>
                <w:i/>
              </w:rPr>
              <w:t xml:space="preserve">tissue </w:t>
            </w:r>
            <w:proofErr w:type="spellStart"/>
            <w:r w:rsidRPr="008A6CD5">
              <w:rPr>
                <w:i/>
              </w:rPr>
              <w:t>CDx</w:t>
            </w:r>
            <w:proofErr w:type="spellEnd"/>
            <w:r w:rsidRPr="008A6CD5">
              <w:rPr>
                <w:i/>
              </w:rPr>
              <w:t xml:space="preserve"> </w:t>
            </w:r>
            <w:r w:rsidR="00A50895">
              <w:rPr>
                <w:i/>
              </w:rPr>
              <w:t>(</w:t>
            </w:r>
            <w:proofErr w:type="spellStart"/>
            <w:r w:rsidR="00A50895">
              <w:rPr>
                <w:i/>
              </w:rPr>
              <w:t>Qiagen</w:t>
            </w:r>
            <w:proofErr w:type="spellEnd"/>
            <w:r w:rsidR="00A50895">
              <w:rPr>
                <w:i/>
              </w:rPr>
              <w:t xml:space="preserve"> </w:t>
            </w:r>
            <w:proofErr w:type="spellStart"/>
            <w:r w:rsidR="00A50895">
              <w:rPr>
                <w:i/>
              </w:rPr>
              <w:t>therascreen</w:t>
            </w:r>
            <w:proofErr w:type="spellEnd"/>
            <w:r w:rsidR="00A50895">
              <w:rPr>
                <w:i/>
              </w:rPr>
              <w:t xml:space="preserve">) </w:t>
            </w:r>
            <w:r w:rsidRPr="008A6CD5">
              <w:rPr>
                <w:i/>
              </w:rPr>
              <w:t>and tissue CTA</w:t>
            </w:r>
            <w:r w:rsidR="00A50895">
              <w:rPr>
                <w:i/>
              </w:rPr>
              <w:t xml:space="preserve"> (Roche </w:t>
            </w:r>
            <w:proofErr w:type="spellStart"/>
            <w:r w:rsidR="00A50895">
              <w:rPr>
                <w:i/>
              </w:rPr>
              <w:t>cobas</w:t>
            </w:r>
            <w:proofErr w:type="spellEnd"/>
            <w:r w:rsidR="00A50895">
              <w:rPr>
                <w:i/>
              </w:rPr>
              <w:t>)</w:t>
            </w:r>
          </w:p>
        </w:tc>
      </w:tr>
      <w:tr w:rsidR="004B1BE8" w:rsidRPr="00BD2355" w14:paraId="71728C85" w14:textId="77777777" w:rsidTr="008A6CD5">
        <w:trPr>
          <w:cantSplit/>
        </w:trPr>
        <w:tc>
          <w:tcPr>
            <w:tcW w:w="421" w:type="dxa"/>
          </w:tcPr>
          <w:p w14:paraId="35B0DDD1" w14:textId="77777777" w:rsidR="004B1BE8" w:rsidRPr="00BD2355" w:rsidRDefault="008A6CD5" w:rsidP="007B07BE">
            <w:pPr>
              <w:rPr>
                <w:szCs w:val="20"/>
              </w:rPr>
            </w:pPr>
            <w:r>
              <w:rPr>
                <w:szCs w:val="20"/>
              </w:rPr>
              <w:t>2</w:t>
            </w:r>
          </w:p>
        </w:tc>
        <w:tc>
          <w:tcPr>
            <w:tcW w:w="1559" w:type="dxa"/>
          </w:tcPr>
          <w:p w14:paraId="5D3A7823" w14:textId="77777777" w:rsidR="004B1BE8" w:rsidRPr="00BD2355" w:rsidRDefault="00256952" w:rsidP="007B07BE">
            <w:pPr>
              <w:rPr>
                <w:b/>
                <w:szCs w:val="20"/>
              </w:rPr>
            </w:pPr>
            <w:r>
              <w:t>RCT</w:t>
            </w:r>
          </w:p>
        </w:tc>
        <w:tc>
          <w:tcPr>
            <w:tcW w:w="2835" w:type="dxa"/>
          </w:tcPr>
          <w:p w14:paraId="271FAF0F" w14:textId="77777777" w:rsidR="004B1BE8" w:rsidRDefault="004B1BE8" w:rsidP="004B1BE8">
            <w:r>
              <w:t xml:space="preserve">A Phase III randomized double-blind, placebo controlled study of </w:t>
            </w:r>
            <w:proofErr w:type="spellStart"/>
            <w:r>
              <w:t>alpelisib</w:t>
            </w:r>
            <w:proofErr w:type="spellEnd"/>
            <w:r>
              <w:t xml:space="preserve"> in combination with </w:t>
            </w:r>
            <w:proofErr w:type="spellStart"/>
            <w:r>
              <w:t>fulvestrant</w:t>
            </w:r>
            <w:proofErr w:type="spellEnd"/>
            <w:r>
              <w:t xml:space="preserve"> for men and postmenopausal women with hormone receptor positive, HER2-negative advanced breast cancer which progressed on or after aromatase inhibitor treatment: Summary of PIK3CA Mutation Testing</w:t>
            </w:r>
          </w:p>
          <w:p w14:paraId="058B8BD9" w14:textId="77777777" w:rsidR="004B1BE8" w:rsidRPr="00BD2355" w:rsidRDefault="004B1BE8" w:rsidP="007B07BE">
            <w:r w:rsidRPr="00BD2355">
              <w:t>CBYL719C2301</w:t>
            </w:r>
          </w:p>
        </w:tc>
        <w:tc>
          <w:tcPr>
            <w:tcW w:w="3402" w:type="dxa"/>
          </w:tcPr>
          <w:p w14:paraId="5580BC8D" w14:textId="77777777" w:rsidR="0044443E" w:rsidRDefault="0044443E" w:rsidP="007B07BE">
            <w:r w:rsidRPr="004B1BE8">
              <w:t xml:space="preserve">A companion summary report </w:t>
            </w:r>
            <w:r>
              <w:t xml:space="preserve">to the SOLAR 1 CSR </w:t>
            </w:r>
            <w:r w:rsidRPr="004B1BE8">
              <w:t>outlining the findings of the PIK3CA testing in terms of diagnostic performance and clinical outcome</w:t>
            </w:r>
            <w:r>
              <w:t xml:space="preserve">. </w:t>
            </w:r>
          </w:p>
          <w:p w14:paraId="46CE5A51" w14:textId="77777777" w:rsidR="008A6CD5" w:rsidRDefault="008A6CD5" w:rsidP="007B07BE">
            <w:pPr>
              <w:rPr>
                <w:b/>
              </w:rPr>
            </w:pPr>
            <w:r>
              <w:rPr>
                <w:b/>
              </w:rPr>
              <w:t>T</w:t>
            </w:r>
            <w:r w:rsidRPr="008A6CD5">
              <w:rPr>
                <w:b/>
              </w:rPr>
              <w:t xml:space="preserve">issue </w:t>
            </w:r>
            <w:r w:rsidR="0044443E">
              <w:rPr>
                <w:b/>
              </w:rPr>
              <w:t xml:space="preserve">real time PCR </w:t>
            </w:r>
            <w:proofErr w:type="spellStart"/>
            <w:r w:rsidRPr="008A6CD5">
              <w:rPr>
                <w:b/>
              </w:rPr>
              <w:t>CDx</w:t>
            </w:r>
            <w:proofErr w:type="spellEnd"/>
            <w:r w:rsidRPr="008A6CD5">
              <w:rPr>
                <w:b/>
              </w:rPr>
              <w:t xml:space="preserve"> </w:t>
            </w:r>
            <w:r w:rsidR="001539E2">
              <w:rPr>
                <w:b/>
              </w:rPr>
              <w:t>(</w:t>
            </w:r>
            <w:proofErr w:type="spellStart"/>
            <w:r w:rsidR="001539E2">
              <w:rPr>
                <w:b/>
              </w:rPr>
              <w:t>Qiagen</w:t>
            </w:r>
            <w:proofErr w:type="spellEnd"/>
            <w:r w:rsidR="001539E2">
              <w:rPr>
                <w:b/>
              </w:rPr>
              <w:t xml:space="preserve"> </w:t>
            </w:r>
            <w:proofErr w:type="spellStart"/>
            <w:r w:rsidR="001539E2">
              <w:rPr>
                <w:b/>
              </w:rPr>
              <w:t>therascreen</w:t>
            </w:r>
            <w:proofErr w:type="spellEnd"/>
            <w:r w:rsidR="001539E2">
              <w:rPr>
                <w:b/>
              </w:rPr>
              <w:t xml:space="preserve">) </w:t>
            </w:r>
            <w:r>
              <w:rPr>
                <w:b/>
              </w:rPr>
              <w:t xml:space="preserve">vs tissue </w:t>
            </w:r>
            <w:r w:rsidR="0044443E">
              <w:rPr>
                <w:b/>
              </w:rPr>
              <w:t xml:space="preserve">real time PCR </w:t>
            </w:r>
            <w:r>
              <w:rPr>
                <w:b/>
              </w:rPr>
              <w:t xml:space="preserve">CTA </w:t>
            </w:r>
            <w:r w:rsidR="001539E2">
              <w:rPr>
                <w:b/>
              </w:rPr>
              <w:t xml:space="preserve">(Roche </w:t>
            </w:r>
            <w:proofErr w:type="spellStart"/>
            <w:r w:rsidR="001539E2">
              <w:rPr>
                <w:b/>
              </w:rPr>
              <w:t>cobas</w:t>
            </w:r>
            <w:proofErr w:type="spellEnd"/>
            <w:r w:rsidR="001539E2">
              <w:rPr>
                <w:b/>
              </w:rPr>
              <w:t>)</w:t>
            </w:r>
          </w:p>
          <w:p w14:paraId="756BC13F" w14:textId="77777777" w:rsidR="0044443E" w:rsidRPr="0044443E" w:rsidRDefault="0044443E" w:rsidP="007B07BE">
            <w:r>
              <w:t>N=395</w:t>
            </w:r>
          </w:p>
          <w:p w14:paraId="41E17656" w14:textId="77777777" w:rsidR="008A6CD5" w:rsidRPr="008A6CD5" w:rsidRDefault="008A6CD5" w:rsidP="007B07BE">
            <w:pPr>
              <w:rPr>
                <w:b/>
              </w:rPr>
            </w:pPr>
            <w:r>
              <w:rPr>
                <w:b/>
              </w:rPr>
              <w:t xml:space="preserve">Tissue </w:t>
            </w:r>
            <w:r w:rsidR="0044443E">
              <w:rPr>
                <w:b/>
              </w:rPr>
              <w:t xml:space="preserve">real time PCR </w:t>
            </w:r>
            <w:proofErr w:type="spellStart"/>
            <w:r>
              <w:rPr>
                <w:b/>
              </w:rPr>
              <w:t>CDx</w:t>
            </w:r>
            <w:proofErr w:type="spellEnd"/>
            <w:r>
              <w:rPr>
                <w:b/>
              </w:rPr>
              <w:t xml:space="preserve"> </w:t>
            </w:r>
            <w:r w:rsidR="001539E2">
              <w:rPr>
                <w:b/>
              </w:rPr>
              <w:t>(</w:t>
            </w:r>
            <w:proofErr w:type="spellStart"/>
            <w:r w:rsidR="001539E2">
              <w:rPr>
                <w:b/>
              </w:rPr>
              <w:t>Qiagen</w:t>
            </w:r>
            <w:proofErr w:type="spellEnd"/>
            <w:r w:rsidR="001539E2">
              <w:rPr>
                <w:b/>
              </w:rPr>
              <w:t xml:space="preserve"> </w:t>
            </w:r>
            <w:proofErr w:type="spellStart"/>
            <w:r w:rsidR="001539E2">
              <w:rPr>
                <w:b/>
              </w:rPr>
              <w:t>therascreen</w:t>
            </w:r>
            <w:proofErr w:type="spellEnd"/>
            <w:r w:rsidR="001539E2">
              <w:rPr>
                <w:b/>
              </w:rPr>
              <w:t xml:space="preserve">) </w:t>
            </w:r>
            <w:r>
              <w:rPr>
                <w:b/>
              </w:rPr>
              <w:t xml:space="preserve">vs </w:t>
            </w:r>
            <w:r w:rsidRPr="008A6CD5">
              <w:rPr>
                <w:b/>
              </w:rPr>
              <w:t xml:space="preserve">plasma </w:t>
            </w:r>
            <w:r w:rsidR="0044443E">
              <w:rPr>
                <w:b/>
              </w:rPr>
              <w:t xml:space="preserve">real time PCR </w:t>
            </w:r>
            <w:proofErr w:type="spellStart"/>
            <w:r w:rsidRPr="008A6CD5">
              <w:rPr>
                <w:b/>
              </w:rPr>
              <w:t>CDx</w:t>
            </w:r>
            <w:proofErr w:type="spellEnd"/>
            <w:r w:rsidR="001539E2">
              <w:rPr>
                <w:b/>
              </w:rPr>
              <w:t xml:space="preserve"> (</w:t>
            </w:r>
            <w:proofErr w:type="spellStart"/>
            <w:r w:rsidR="001539E2">
              <w:rPr>
                <w:b/>
              </w:rPr>
              <w:t>Qiagen</w:t>
            </w:r>
            <w:proofErr w:type="spellEnd"/>
            <w:r w:rsidR="001539E2">
              <w:rPr>
                <w:b/>
              </w:rPr>
              <w:t xml:space="preserve"> </w:t>
            </w:r>
            <w:proofErr w:type="spellStart"/>
            <w:r w:rsidR="001539E2">
              <w:rPr>
                <w:b/>
              </w:rPr>
              <w:t>therascreen</w:t>
            </w:r>
            <w:proofErr w:type="spellEnd"/>
            <w:r w:rsidR="001539E2">
              <w:rPr>
                <w:b/>
              </w:rPr>
              <w:t>)</w:t>
            </w:r>
          </w:p>
          <w:p w14:paraId="0185A32D" w14:textId="77777777" w:rsidR="004B1BE8" w:rsidRPr="005160AE" w:rsidRDefault="0044443E" w:rsidP="007B07BE">
            <w:r>
              <w:t>N=549</w:t>
            </w:r>
          </w:p>
        </w:tc>
        <w:tc>
          <w:tcPr>
            <w:tcW w:w="4394" w:type="dxa"/>
          </w:tcPr>
          <w:p w14:paraId="7ED1B854" w14:textId="77777777" w:rsidR="004B1BE8" w:rsidRPr="00BD2355" w:rsidRDefault="008A6CD5" w:rsidP="008A6CD5">
            <w:r>
              <w:t>Not available</w:t>
            </w:r>
          </w:p>
        </w:tc>
        <w:tc>
          <w:tcPr>
            <w:tcW w:w="1337" w:type="dxa"/>
          </w:tcPr>
          <w:p w14:paraId="4E997D8E" w14:textId="77777777" w:rsidR="004B1BE8" w:rsidRPr="00BD2355" w:rsidRDefault="008A6CD5" w:rsidP="007B07BE">
            <w:pPr>
              <w:rPr>
                <w:b/>
                <w:szCs w:val="20"/>
              </w:rPr>
            </w:pPr>
            <w:r>
              <w:t>Dec 2018</w:t>
            </w:r>
          </w:p>
        </w:tc>
      </w:tr>
      <w:tr w:rsidR="00640098" w:rsidRPr="00BD2355" w14:paraId="31A1E0F2" w14:textId="77777777" w:rsidTr="008A6CD5">
        <w:trPr>
          <w:cantSplit/>
        </w:trPr>
        <w:tc>
          <w:tcPr>
            <w:tcW w:w="421" w:type="dxa"/>
          </w:tcPr>
          <w:p w14:paraId="5285C5A6" w14:textId="77777777" w:rsidR="00640098" w:rsidRDefault="00CE6D95" w:rsidP="007B07BE">
            <w:pPr>
              <w:rPr>
                <w:szCs w:val="20"/>
              </w:rPr>
            </w:pPr>
            <w:r>
              <w:rPr>
                <w:szCs w:val="20"/>
              </w:rPr>
              <w:t>3</w:t>
            </w:r>
          </w:p>
        </w:tc>
        <w:tc>
          <w:tcPr>
            <w:tcW w:w="1559" w:type="dxa"/>
          </w:tcPr>
          <w:p w14:paraId="70FC4A8B" w14:textId="77777777" w:rsidR="00640098" w:rsidRDefault="00640098" w:rsidP="007B07BE">
            <w:r>
              <w:t>Observational/ diagnostic</w:t>
            </w:r>
          </w:p>
        </w:tc>
        <w:tc>
          <w:tcPr>
            <w:tcW w:w="2835" w:type="dxa"/>
          </w:tcPr>
          <w:p w14:paraId="19C49D27" w14:textId="77777777" w:rsidR="00640098" w:rsidRPr="008A6CD5" w:rsidRDefault="00640098" w:rsidP="004B1BE8">
            <w:r w:rsidRPr="00640098">
              <w:t>PIK3CA mutations may be discordant between primary and corresponding metastatic disease in breast cancer</w:t>
            </w:r>
          </w:p>
        </w:tc>
        <w:tc>
          <w:tcPr>
            <w:tcW w:w="3402" w:type="dxa"/>
          </w:tcPr>
          <w:p w14:paraId="26CD8EF3" w14:textId="77777777" w:rsidR="00347346" w:rsidRPr="00347346" w:rsidRDefault="00347346" w:rsidP="007B07BE">
            <w:r>
              <w:t>Assessed diagnostic performance only</w:t>
            </w:r>
          </w:p>
          <w:p w14:paraId="36F1D971" w14:textId="77777777" w:rsidR="00640098" w:rsidRPr="00347346" w:rsidRDefault="00640098" w:rsidP="007B07BE">
            <w:pPr>
              <w:rPr>
                <w:b/>
              </w:rPr>
            </w:pPr>
            <w:r w:rsidRPr="00347346">
              <w:rPr>
                <w:b/>
              </w:rPr>
              <w:t xml:space="preserve">Tissue real time PCR </w:t>
            </w:r>
            <w:proofErr w:type="spellStart"/>
            <w:r w:rsidRPr="00347346">
              <w:rPr>
                <w:b/>
              </w:rPr>
              <w:t>CDx</w:t>
            </w:r>
            <w:proofErr w:type="spellEnd"/>
            <w:r w:rsidRPr="00347346">
              <w:rPr>
                <w:b/>
              </w:rPr>
              <w:t xml:space="preserve"> (</w:t>
            </w:r>
            <w:proofErr w:type="spellStart"/>
            <w:r w:rsidRPr="00347346">
              <w:rPr>
                <w:b/>
              </w:rPr>
              <w:t>Qiagen</w:t>
            </w:r>
            <w:proofErr w:type="spellEnd"/>
            <w:r w:rsidRPr="00347346">
              <w:rPr>
                <w:b/>
              </w:rPr>
              <w:t xml:space="preserve"> </w:t>
            </w:r>
            <w:proofErr w:type="spellStart"/>
            <w:r w:rsidRPr="00347346">
              <w:rPr>
                <w:b/>
              </w:rPr>
              <w:t>therascreen</w:t>
            </w:r>
            <w:proofErr w:type="spellEnd"/>
            <w:r w:rsidRPr="00347346">
              <w:rPr>
                <w:b/>
              </w:rPr>
              <w:t xml:space="preserve">) vs </w:t>
            </w:r>
            <w:proofErr w:type="spellStart"/>
            <w:r w:rsidRPr="00347346">
              <w:rPr>
                <w:b/>
              </w:rPr>
              <w:t>SNaPshot</w:t>
            </w:r>
            <w:proofErr w:type="spellEnd"/>
            <w:r w:rsidRPr="00347346">
              <w:rPr>
                <w:b/>
              </w:rPr>
              <w:t xml:space="preserve"> PCR</w:t>
            </w:r>
          </w:p>
          <w:p w14:paraId="772FA3BB" w14:textId="77777777" w:rsidR="00640098" w:rsidRDefault="00640098" w:rsidP="007B07BE">
            <w:r>
              <w:t>N=21</w:t>
            </w:r>
          </w:p>
        </w:tc>
        <w:tc>
          <w:tcPr>
            <w:tcW w:w="4394" w:type="dxa"/>
          </w:tcPr>
          <w:p w14:paraId="79A93B69" w14:textId="50433672" w:rsidR="00640098" w:rsidRDefault="0004708B" w:rsidP="00A256E0">
            <w:hyperlink r:id="rId18" w:history="1">
              <w:r w:rsidR="00640098" w:rsidRPr="00847D46">
                <w:rPr>
                  <w:rStyle w:val="Hyperlink"/>
                </w:rPr>
                <w:t>www.ncbi.nlm.nih.gov/pubmed/20940279</w:t>
              </w:r>
            </w:hyperlink>
            <w:r w:rsidR="00640098">
              <w:t xml:space="preserve"> </w:t>
            </w:r>
          </w:p>
        </w:tc>
        <w:tc>
          <w:tcPr>
            <w:tcW w:w="1337" w:type="dxa"/>
          </w:tcPr>
          <w:p w14:paraId="6C591C5C" w14:textId="77777777" w:rsidR="00640098" w:rsidRDefault="00640098" w:rsidP="007B07BE">
            <w:r>
              <w:t>Jensen 2011</w:t>
            </w:r>
          </w:p>
        </w:tc>
      </w:tr>
      <w:tr w:rsidR="008A6CD5" w:rsidRPr="00BD2355" w14:paraId="2356E0EB" w14:textId="77777777" w:rsidTr="008A6CD5">
        <w:trPr>
          <w:cantSplit/>
        </w:trPr>
        <w:tc>
          <w:tcPr>
            <w:tcW w:w="421" w:type="dxa"/>
          </w:tcPr>
          <w:p w14:paraId="2A3F7091" w14:textId="77777777" w:rsidR="008A6CD5" w:rsidRDefault="00CE6D95" w:rsidP="007B07BE">
            <w:pPr>
              <w:rPr>
                <w:szCs w:val="20"/>
              </w:rPr>
            </w:pPr>
            <w:r>
              <w:rPr>
                <w:szCs w:val="20"/>
              </w:rPr>
              <w:lastRenderedPageBreak/>
              <w:t>4</w:t>
            </w:r>
          </w:p>
        </w:tc>
        <w:tc>
          <w:tcPr>
            <w:tcW w:w="1559" w:type="dxa"/>
          </w:tcPr>
          <w:p w14:paraId="5ECE3D8B" w14:textId="77777777" w:rsidR="008A6CD5" w:rsidRPr="00BD2355" w:rsidRDefault="008A6CD5" w:rsidP="007B07BE">
            <w:r>
              <w:t>Observational/ diagnostic</w:t>
            </w:r>
          </w:p>
        </w:tc>
        <w:tc>
          <w:tcPr>
            <w:tcW w:w="2835" w:type="dxa"/>
          </w:tcPr>
          <w:p w14:paraId="291BF9A7" w14:textId="77777777" w:rsidR="008A6CD5" w:rsidRDefault="008A6CD5" w:rsidP="004B1BE8">
            <w:r w:rsidRPr="008A6CD5">
              <w:t>Comparison of Three Real-Time PCR Assays for the Detection of PIK3CA Somatic Mutations in Formalin-Fixed Paraffin Embedded Tissues of Patients with Breast Carcinomas</w:t>
            </w:r>
          </w:p>
        </w:tc>
        <w:tc>
          <w:tcPr>
            <w:tcW w:w="3402" w:type="dxa"/>
          </w:tcPr>
          <w:p w14:paraId="314554AF" w14:textId="77777777" w:rsidR="0044443E" w:rsidRPr="0044443E" w:rsidRDefault="0044443E" w:rsidP="007B07BE">
            <w:r>
              <w:t>Assessed diagnostic performance only</w:t>
            </w:r>
          </w:p>
          <w:p w14:paraId="4BCE8F52" w14:textId="77777777" w:rsidR="008A6CD5" w:rsidRDefault="008A6CD5" w:rsidP="007B07BE">
            <w:pPr>
              <w:rPr>
                <w:b/>
              </w:rPr>
            </w:pPr>
            <w:r>
              <w:rPr>
                <w:b/>
              </w:rPr>
              <w:t xml:space="preserve">Tissue real time PCR CTA </w:t>
            </w:r>
            <w:r w:rsidR="001539E2">
              <w:rPr>
                <w:b/>
              </w:rPr>
              <w:t xml:space="preserve">(Roche </w:t>
            </w:r>
            <w:proofErr w:type="spellStart"/>
            <w:r w:rsidR="001539E2">
              <w:rPr>
                <w:b/>
              </w:rPr>
              <w:t>cobas</w:t>
            </w:r>
            <w:proofErr w:type="spellEnd"/>
            <w:r w:rsidR="001539E2">
              <w:rPr>
                <w:b/>
              </w:rPr>
              <w:t xml:space="preserve">) </w:t>
            </w:r>
            <w:r>
              <w:rPr>
                <w:b/>
              </w:rPr>
              <w:t>vs ARMS/Scorpion PCR</w:t>
            </w:r>
          </w:p>
          <w:p w14:paraId="4E5D1D25" w14:textId="77777777" w:rsidR="0044443E" w:rsidRPr="0044443E" w:rsidRDefault="0044443E" w:rsidP="007B07BE">
            <w:r w:rsidRPr="0044443E">
              <w:t>N=</w:t>
            </w:r>
            <w:r w:rsidR="00640098">
              <w:t>45</w:t>
            </w:r>
          </w:p>
          <w:p w14:paraId="653404E8" w14:textId="77777777" w:rsidR="0044443E" w:rsidRDefault="0044443E" w:rsidP="0044443E">
            <w:pPr>
              <w:rPr>
                <w:b/>
              </w:rPr>
            </w:pPr>
            <w:r>
              <w:rPr>
                <w:b/>
              </w:rPr>
              <w:t xml:space="preserve">Tissue real time PCR CTA </w:t>
            </w:r>
            <w:r w:rsidR="001539E2">
              <w:rPr>
                <w:b/>
              </w:rPr>
              <w:t xml:space="preserve">(Roche </w:t>
            </w:r>
            <w:proofErr w:type="spellStart"/>
            <w:r w:rsidR="001539E2">
              <w:rPr>
                <w:b/>
              </w:rPr>
              <w:t>cobas</w:t>
            </w:r>
            <w:proofErr w:type="spellEnd"/>
            <w:r w:rsidR="001539E2">
              <w:rPr>
                <w:b/>
              </w:rPr>
              <w:t xml:space="preserve">) </w:t>
            </w:r>
            <w:r>
              <w:rPr>
                <w:b/>
              </w:rPr>
              <w:t>vs HRM</w:t>
            </w:r>
          </w:p>
          <w:p w14:paraId="17AD2AC6" w14:textId="77777777" w:rsidR="008A6CD5" w:rsidRPr="0044443E" w:rsidRDefault="0044443E" w:rsidP="007B07BE">
            <w:r w:rsidRPr="0044443E">
              <w:t>N=45</w:t>
            </w:r>
          </w:p>
        </w:tc>
        <w:tc>
          <w:tcPr>
            <w:tcW w:w="4394" w:type="dxa"/>
          </w:tcPr>
          <w:p w14:paraId="694EB662" w14:textId="4FB0B673" w:rsidR="008A6CD5" w:rsidRDefault="0004708B" w:rsidP="00A256E0">
            <w:hyperlink r:id="rId19" w:history="1">
              <w:r w:rsidR="008A6CD5" w:rsidRPr="00847D46">
                <w:rPr>
                  <w:rStyle w:val="Hyperlink"/>
                </w:rPr>
                <w:t>www.ncbi.nlm.nih.gov/pubmed/30426328</w:t>
              </w:r>
            </w:hyperlink>
            <w:r w:rsidR="008A6CD5">
              <w:t xml:space="preserve"> </w:t>
            </w:r>
          </w:p>
        </w:tc>
        <w:tc>
          <w:tcPr>
            <w:tcW w:w="1337" w:type="dxa"/>
          </w:tcPr>
          <w:p w14:paraId="0BB7C03F" w14:textId="77777777" w:rsidR="008A6CD5" w:rsidRDefault="008A6CD5" w:rsidP="007B07BE">
            <w:r>
              <w:t>Lambert 2018</w:t>
            </w:r>
          </w:p>
        </w:tc>
      </w:tr>
      <w:tr w:rsidR="008A6CD5" w:rsidRPr="00BD2355" w14:paraId="4690CF33" w14:textId="77777777" w:rsidTr="008A6CD5">
        <w:trPr>
          <w:cantSplit/>
        </w:trPr>
        <w:tc>
          <w:tcPr>
            <w:tcW w:w="421" w:type="dxa"/>
          </w:tcPr>
          <w:p w14:paraId="56FF5B68" w14:textId="77777777" w:rsidR="008A6CD5" w:rsidRDefault="00CE6D95" w:rsidP="007B07BE">
            <w:pPr>
              <w:rPr>
                <w:szCs w:val="20"/>
              </w:rPr>
            </w:pPr>
            <w:r>
              <w:rPr>
                <w:szCs w:val="20"/>
              </w:rPr>
              <w:t>5</w:t>
            </w:r>
          </w:p>
        </w:tc>
        <w:tc>
          <w:tcPr>
            <w:tcW w:w="1559" w:type="dxa"/>
          </w:tcPr>
          <w:p w14:paraId="1D627BED" w14:textId="77777777" w:rsidR="008A6CD5" w:rsidRPr="00BD2355" w:rsidRDefault="00256952" w:rsidP="007B07BE">
            <w:r>
              <w:t>RCT</w:t>
            </w:r>
          </w:p>
        </w:tc>
        <w:tc>
          <w:tcPr>
            <w:tcW w:w="2835" w:type="dxa"/>
          </w:tcPr>
          <w:p w14:paraId="6638F016" w14:textId="77777777" w:rsidR="008A6CD5" w:rsidRDefault="00256952" w:rsidP="00256952">
            <w:proofErr w:type="spellStart"/>
            <w:r>
              <w:t>Buparlisib</w:t>
            </w:r>
            <w:proofErr w:type="spellEnd"/>
            <w:r>
              <w:t xml:space="preserve"> plus </w:t>
            </w:r>
            <w:proofErr w:type="spellStart"/>
            <w:r>
              <w:t>fulvestrant</w:t>
            </w:r>
            <w:proofErr w:type="spellEnd"/>
            <w:r>
              <w:t xml:space="preserve"> in postmenopausal women with hormone-receptor-positive, HER2-negative, advanced breast cancer progressing on or after </w:t>
            </w:r>
            <w:proofErr w:type="spellStart"/>
            <w:r>
              <w:t>mTOR</w:t>
            </w:r>
            <w:proofErr w:type="spellEnd"/>
            <w:r>
              <w:t xml:space="preserve"> inhibition (BELLE-3): a randomised, double-blind, placebo-controlled, phase 3 trial</w:t>
            </w:r>
          </w:p>
          <w:p w14:paraId="315F76A7" w14:textId="77777777" w:rsidR="001539E2" w:rsidRDefault="001539E2" w:rsidP="004B1BE8">
            <w:r>
              <w:t>BELLE-3</w:t>
            </w:r>
          </w:p>
        </w:tc>
        <w:tc>
          <w:tcPr>
            <w:tcW w:w="3402" w:type="dxa"/>
          </w:tcPr>
          <w:p w14:paraId="3657A568" w14:textId="77777777" w:rsidR="008A6CD5" w:rsidRPr="001539E2" w:rsidRDefault="00256952" w:rsidP="007B07BE">
            <w:r>
              <w:t xml:space="preserve">Clinical performance of </w:t>
            </w:r>
            <w:proofErr w:type="spellStart"/>
            <w:r>
              <w:t>buparlisib</w:t>
            </w:r>
            <w:proofErr w:type="spellEnd"/>
            <w:r>
              <w:t xml:space="preserve"> plus </w:t>
            </w:r>
            <w:proofErr w:type="spellStart"/>
            <w:r>
              <w:t>fulvestrant</w:t>
            </w:r>
            <w:proofErr w:type="spellEnd"/>
            <w:r>
              <w:t xml:space="preserve"> and </w:t>
            </w:r>
            <w:r w:rsidR="001539E2" w:rsidRPr="001539E2">
              <w:t xml:space="preserve">diagnostic performance </w:t>
            </w:r>
            <w:r>
              <w:t>of PIK3CA testing</w:t>
            </w:r>
          </w:p>
          <w:p w14:paraId="5B715E39" w14:textId="77777777" w:rsidR="001539E2" w:rsidRDefault="00256952" w:rsidP="001539E2">
            <w:pPr>
              <w:rPr>
                <w:b/>
              </w:rPr>
            </w:pPr>
            <w:r>
              <w:rPr>
                <w:b/>
              </w:rPr>
              <w:t>T</w:t>
            </w:r>
            <w:r w:rsidR="001539E2">
              <w:rPr>
                <w:b/>
              </w:rPr>
              <w:t xml:space="preserve">issue real time PCR CTA </w:t>
            </w:r>
            <w:r w:rsidR="007B07BE">
              <w:rPr>
                <w:b/>
              </w:rPr>
              <w:t xml:space="preserve">(Roche </w:t>
            </w:r>
            <w:proofErr w:type="spellStart"/>
            <w:r w:rsidR="007B07BE">
              <w:rPr>
                <w:b/>
              </w:rPr>
              <w:t>cobas</w:t>
            </w:r>
            <w:proofErr w:type="spellEnd"/>
            <w:r w:rsidR="007B07BE">
              <w:rPr>
                <w:b/>
              </w:rPr>
              <w:t xml:space="preserve">) </w:t>
            </w:r>
            <w:r w:rsidR="001539E2">
              <w:rPr>
                <w:b/>
              </w:rPr>
              <w:t xml:space="preserve">vs </w:t>
            </w:r>
            <w:r>
              <w:rPr>
                <w:b/>
              </w:rPr>
              <w:t xml:space="preserve">plasma </w:t>
            </w:r>
            <w:proofErr w:type="spellStart"/>
            <w:r>
              <w:rPr>
                <w:b/>
              </w:rPr>
              <w:t>BEAMing</w:t>
            </w:r>
            <w:proofErr w:type="spellEnd"/>
            <w:r>
              <w:rPr>
                <w:b/>
              </w:rPr>
              <w:t xml:space="preserve"> PCR</w:t>
            </w:r>
          </w:p>
          <w:p w14:paraId="27388993" w14:textId="77777777" w:rsidR="00256952" w:rsidRPr="00256952" w:rsidRDefault="00256952" w:rsidP="001539E2">
            <w:r>
              <w:t>N=256</w:t>
            </w:r>
          </w:p>
          <w:p w14:paraId="3F029036" w14:textId="77777777" w:rsidR="001539E2" w:rsidRPr="008A6CD5" w:rsidRDefault="001539E2" w:rsidP="007B07BE">
            <w:pPr>
              <w:rPr>
                <w:b/>
              </w:rPr>
            </w:pPr>
          </w:p>
        </w:tc>
        <w:tc>
          <w:tcPr>
            <w:tcW w:w="4394" w:type="dxa"/>
          </w:tcPr>
          <w:p w14:paraId="60635037" w14:textId="400194BA" w:rsidR="008A6CD5" w:rsidRDefault="0004708B" w:rsidP="00A256E0">
            <w:hyperlink r:id="rId20" w:history="1">
              <w:r w:rsidR="001539E2" w:rsidRPr="00847D46">
                <w:rPr>
                  <w:rStyle w:val="Hyperlink"/>
                </w:rPr>
                <w:t>www.ncbi.nlm.nih.gov/pubmed/29223745</w:t>
              </w:r>
            </w:hyperlink>
            <w:r w:rsidR="001539E2">
              <w:t xml:space="preserve"> </w:t>
            </w:r>
          </w:p>
        </w:tc>
        <w:tc>
          <w:tcPr>
            <w:tcW w:w="1337" w:type="dxa"/>
          </w:tcPr>
          <w:p w14:paraId="5D093DB2" w14:textId="77777777" w:rsidR="008A6CD5" w:rsidRDefault="001539E2" w:rsidP="007B07BE">
            <w:r>
              <w:t>Di Leo 2018</w:t>
            </w:r>
          </w:p>
        </w:tc>
      </w:tr>
      <w:tr w:rsidR="00640098" w:rsidRPr="008A6CD5" w14:paraId="3B988DE9" w14:textId="77777777" w:rsidTr="007B07BE">
        <w:trPr>
          <w:cantSplit/>
        </w:trPr>
        <w:tc>
          <w:tcPr>
            <w:tcW w:w="13948" w:type="dxa"/>
            <w:gridSpan w:val="6"/>
          </w:tcPr>
          <w:p w14:paraId="3C69A2D5" w14:textId="77777777" w:rsidR="00640098" w:rsidRPr="008A6CD5" w:rsidRDefault="00640098" w:rsidP="007B07BE">
            <w:pPr>
              <w:rPr>
                <w:i/>
              </w:rPr>
            </w:pPr>
            <w:r w:rsidRPr="008A6CD5">
              <w:rPr>
                <w:i/>
              </w:rPr>
              <w:t xml:space="preserve">Tests compared against </w:t>
            </w:r>
            <w:r>
              <w:rPr>
                <w:i/>
              </w:rPr>
              <w:t>other tests</w:t>
            </w:r>
          </w:p>
        </w:tc>
      </w:tr>
      <w:tr w:rsidR="00640098" w:rsidRPr="00640098" w14:paraId="67CFA10F" w14:textId="77777777" w:rsidTr="007B07BE">
        <w:trPr>
          <w:cantSplit/>
        </w:trPr>
        <w:tc>
          <w:tcPr>
            <w:tcW w:w="421" w:type="dxa"/>
          </w:tcPr>
          <w:p w14:paraId="6688F6E3" w14:textId="77777777" w:rsidR="00640098" w:rsidRPr="00640098" w:rsidRDefault="00CE6D95" w:rsidP="007B07BE">
            <w:pPr>
              <w:rPr>
                <w:szCs w:val="20"/>
              </w:rPr>
            </w:pPr>
            <w:r>
              <w:rPr>
                <w:szCs w:val="20"/>
              </w:rPr>
              <w:lastRenderedPageBreak/>
              <w:t>6</w:t>
            </w:r>
          </w:p>
        </w:tc>
        <w:tc>
          <w:tcPr>
            <w:tcW w:w="1559" w:type="dxa"/>
          </w:tcPr>
          <w:p w14:paraId="2F745B1A" w14:textId="77777777" w:rsidR="00640098" w:rsidRPr="00640098" w:rsidRDefault="0007561F" w:rsidP="007B07BE">
            <w:pPr>
              <w:rPr>
                <w:szCs w:val="20"/>
              </w:rPr>
            </w:pPr>
            <w:r>
              <w:rPr>
                <w:szCs w:val="20"/>
              </w:rPr>
              <w:t>Observational/ diagnostic</w:t>
            </w:r>
          </w:p>
        </w:tc>
        <w:tc>
          <w:tcPr>
            <w:tcW w:w="2835" w:type="dxa"/>
          </w:tcPr>
          <w:p w14:paraId="1DD7B8DB" w14:textId="77777777" w:rsidR="00640098" w:rsidRPr="00640098" w:rsidRDefault="0007561F" w:rsidP="007B07BE">
            <w:r w:rsidRPr="0007561F">
              <w:t>PIK3CA mutation profiling in patients with breast cancer, using a highly sensitive detection system</w:t>
            </w:r>
          </w:p>
        </w:tc>
        <w:tc>
          <w:tcPr>
            <w:tcW w:w="3402" w:type="dxa"/>
          </w:tcPr>
          <w:p w14:paraId="77DB7D2D" w14:textId="77777777" w:rsidR="0007561F" w:rsidRPr="0007561F" w:rsidRDefault="0007561F" w:rsidP="007B07BE">
            <w:r>
              <w:t>Diagnostic performance of PIK3CA testing and prognostic impact</w:t>
            </w:r>
          </w:p>
          <w:p w14:paraId="3A5E1C76" w14:textId="77777777" w:rsidR="00640098" w:rsidRPr="00640098" w:rsidRDefault="00640098" w:rsidP="007B07BE">
            <w:pPr>
              <w:rPr>
                <w:b/>
              </w:rPr>
            </w:pPr>
            <w:r w:rsidRPr="00640098">
              <w:rPr>
                <w:b/>
              </w:rPr>
              <w:t xml:space="preserve">Tissue </w:t>
            </w:r>
            <w:proofErr w:type="spellStart"/>
            <w:r w:rsidRPr="00640098">
              <w:rPr>
                <w:b/>
              </w:rPr>
              <w:t>ddPCR</w:t>
            </w:r>
            <w:proofErr w:type="spellEnd"/>
            <w:r w:rsidRPr="00640098">
              <w:rPr>
                <w:b/>
              </w:rPr>
              <w:t xml:space="preserve"> vs tissue direct sequencing</w:t>
            </w:r>
          </w:p>
          <w:p w14:paraId="4776B11C" w14:textId="77777777" w:rsidR="00640098" w:rsidRDefault="0007561F" w:rsidP="007B07BE">
            <w:r>
              <w:t>N=30</w:t>
            </w:r>
          </w:p>
          <w:p w14:paraId="2F755BA2" w14:textId="77777777" w:rsidR="0007561F" w:rsidRPr="0007561F" w:rsidRDefault="0007561F" w:rsidP="007B07BE">
            <w:pPr>
              <w:rPr>
                <w:b/>
              </w:rPr>
            </w:pPr>
            <w:r w:rsidRPr="0007561F">
              <w:rPr>
                <w:b/>
              </w:rPr>
              <w:t xml:space="preserve">Tissue </w:t>
            </w:r>
            <w:proofErr w:type="spellStart"/>
            <w:r w:rsidRPr="0007561F">
              <w:rPr>
                <w:b/>
              </w:rPr>
              <w:t>ddPCR</w:t>
            </w:r>
            <w:proofErr w:type="spellEnd"/>
            <w:r w:rsidRPr="0007561F">
              <w:rPr>
                <w:b/>
              </w:rPr>
              <w:t xml:space="preserve"> vs tissue QP system</w:t>
            </w:r>
          </w:p>
          <w:p w14:paraId="4449353C" w14:textId="77777777" w:rsidR="0007561F" w:rsidRPr="00640098" w:rsidRDefault="0007561F" w:rsidP="007B07BE">
            <w:r>
              <w:t>N=30</w:t>
            </w:r>
          </w:p>
        </w:tc>
        <w:tc>
          <w:tcPr>
            <w:tcW w:w="4394" w:type="dxa"/>
          </w:tcPr>
          <w:p w14:paraId="478C2167" w14:textId="1A7BAEF5" w:rsidR="00640098" w:rsidRPr="00640098" w:rsidRDefault="0004708B" w:rsidP="00A256E0">
            <w:hyperlink r:id="rId21" w:history="1">
              <w:r w:rsidR="0007561F">
                <w:rPr>
                  <w:rStyle w:val="Hyperlink"/>
                </w:rPr>
                <w:t>www.ncbi.nlm.nih.gov/pubmed/29906308</w:t>
              </w:r>
            </w:hyperlink>
          </w:p>
        </w:tc>
        <w:tc>
          <w:tcPr>
            <w:tcW w:w="1337" w:type="dxa"/>
          </w:tcPr>
          <w:p w14:paraId="65EA47C1" w14:textId="77777777" w:rsidR="00640098" w:rsidRPr="00640098" w:rsidRDefault="00640098" w:rsidP="007B07BE">
            <w:pPr>
              <w:rPr>
                <w:szCs w:val="20"/>
              </w:rPr>
            </w:pPr>
            <w:proofErr w:type="spellStart"/>
            <w:r w:rsidRPr="00640098">
              <w:rPr>
                <w:szCs w:val="20"/>
              </w:rPr>
              <w:t>Shimoi</w:t>
            </w:r>
            <w:proofErr w:type="spellEnd"/>
            <w:r w:rsidRPr="00640098">
              <w:rPr>
                <w:szCs w:val="20"/>
              </w:rPr>
              <w:t xml:space="preserve"> 2018</w:t>
            </w:r>
          </w:p>
        </w:tc>
      </w:tr>
      <w:tr w:rsidR="008A6CD5" w:rsidRPr="00640098" w14:paraId="3750F0BD" w14:textId="77777777" w:rsidTr="008A6CD5">
        <w:trPr>
          <w:cantSplit/>
        </w:trPr>
        <w:tc>
          <w:tcPr>
            <w:tcW w:w="421" w:type="dxa"/>
          </w:tcPr>
          <w:p w14:paraId="2362B682" w14:textId="77777777" w:rsidR="008A6CD5" w:rsidRPr="00640098" w:rsidRDefault="00CE6D95" w:rsidP="007B07BE">
            <w:pPr>
              <w:rPr>
                <w:szCs w:val="20"/>
              </w:rPr>
            </w:pPr>
            <w:r>
              <w:rPr>
                <w:szCs w:val="20"/>
              </w:rPr>
              <w:t>7</w:t>
            </w:r>
          </w:p>
        </w:tc>
        <w:tc>
          <w:tcPr>
            <w:tcW w:w="1559" w:type="dxa"/>
          </w:tcPr>
          <w:p w14:paraId="1D006EF2" w14:textId="77777777" w:rsidR="008A6CD5" w:rsidRPr="00640098" w:rsidRDefault="0007561F" w:rsidP="007B07BE">
            <w:r>
              <w:t>RCT</w:t>
            </w:r>
          </w:p>
        </w:tc>
        <w:tc>
          <w:tcPr>
            <w:tcW w:w="2835" w:type="dxa"/>
          </w:tcPr>
          <w:p w14:paraId="34AD0BF6" w14:textId="77777777" w:rsidR="008A6CD5" w:rsidRDefault="0007561F" w:rsidP="004B1BE8">
            <w:proofErr w:type="spellStart"/>
            <w:r w:rsidRPr="0007561F">
              <w:t>Buparlisib</w:t>
            </w:r>
            <w:proofErr w:type="spellEnd"/>
            <w:r w:rsidRPr="0007561F">
              <w:t xml:space="preserve"> plus </w:t>
            </w:r>
            <w:proofErr w:type="spellStart"/>
            <w:r w:rsidRPr="0007561F">
              <w:t>fulvestrant</w:t>
            </w:r>
            <w:proofErr w:type="spellEnd"/>
            <w:r w:rsidRPr="0007561F">
              <w:t xml:space="preserve"> versus placebo plus </w:t>
            </w:r>
            <w:proofErr w:type="spellStart"/>
            <w:r w:rsidRPr="0007561F">
              <w:t>fulvestrant</w:t>
            </w:r>
            <w:proofErr w:type="spellEnd"/>
            <w:r w:rsidRPr="0007561F">
              <w:t xml:space="preserve"> in postmenopausal, hormone receptor-positive, HER2-negative, advanced breast cancer (BELLE-2): a randomised, double-blind, placebo-controlled, phase 3 trial</w:t>
            </w:r>
          </w:p>
          <w:p w14:paraId="6DB0B23C" w14:textId="77777777" w:rsidR="0007561F" w:rsidRPr="00640098" w:rsidRDefault="0007561F" w:rsidP="004B1BE8">
            <w:r>
              <w:t>BELLE-2</w:t>
            </w:r>
          </w:p>
        </w:tc>
        <w:tc>
          <w:tcPr>
            <w:tcW w:w="3402" w:type="dxa"/>
          </w:tcPr>
          <w:p w14:paraId="2EB287C8" w14:textId="77777777" w:rsidR="0007561F" w:rsidRPr="001539E2" w:rsidRDefault="0007561F" w:rsidP="0007561F">
            <w:r>
              <w:t xml:space="preserve">Clinical performance of </w:t>
            </w:r>
            <w:proofErr w:type="spellStart"/>
            <w:r>
              <w:t>buparlisib</w:t>
            </w:r>
            <w:proofErr w:type="spellEnd"/>
            <w:r>
              <w:t xml:space="preserve"> plus </w:t>
            </w:r>
            <w:proofErr w:type="spellStart"/>
            <w:r>
              <w:t>fulvestrant</w:t>
            </w:r>
            <w:proofErr w:type="spellEnd"/>
            <w:r>
              <w:t xml:space="preserve"> and </w:t>
            </w:r>
            <w:r w:rsidRPr="001539E2">
              <w:t xml:space="preserve">diagnostic performance </w:t>
            </w:r>
            <w:r>
              <w:t>of PIK3CA testing</w:t>
            </w:r>
          </w:p>
          <w:p w14:paraId="120FD15C" w14:textId="77777777" w:rsidR="008A6CD5" w:rsidRPr="0007561F" w:rsidRDefault="0007561F" w:rsidP="007B07BE">
            <w:pPr>
              <w:rPr>
                <w:b/>
              </w:rPr>
            </w:pPr>
            <w:r w:rsidRPr="0007561F">
              <w:rPr>
                <w:b/>
              </w:rPr>
              <w:t xml:space="preserve">Tissue sanger sequencing vs plasma </w:t>
            </w:r>
            <w:proofErr w:type="spellStart"/>
            <w:r w:rsidRPr="0007561F">
              <w:rPr>
                <w:b/>
              </w:rPr>
              <w:t>BEAMing</w:t>
            </w:r>
            <w:proofErr w:type="spellEnd"/>
            <w:r w:rsidRPr="0007561F">
              <w:rPr>
                <w:b/>
              </w:rPr>
              <w:t xml:space="preserve"> PCR</w:t>
            </w:r>
          </w:p>
          <w:p w14:paraId="03DF77C3" w14:textId="77777777" w:rsidR="0007561F" w:rsidRDefault="0007561F" w:rsidP="007B07BE">
            <w:r>
              <w:t>N=582</w:t>
            </w:r>
          </w:p>
          <w:p w14:paraId="2F02364D" w14:textId="77777777" w:rsidR="0007561F" w:rsidRPr="00640098" w:rsidRDefault="0007561F" w:rsidP="007B07BE"/>
        </w:tc>
        <w:tc>
          <w:tcPr>
            <w:tcW w:w="4394" w:type="dxa"/>
          </w:tcPr>
          <w:p w14:paraId="02EA063D" w14:textId="6231E39E" w:rsidR="008A6CD5" w:rsidRPr="00640098" w:rsidRDefault="0004708B" w:rsidP="00A256E0">
            <w:hyperlink r:id="rId22" w:history="1">
              <w:r w:rsidR="0007561F" w:rsidRPr="00847D46">
                <w:rPr>
                  <w:rStyle w:val="Hyperlink"/>
                </w:rPr>
                <w:t>www.ncbi.nlm.nih.gov/pubmed/28576675</w:t>
              </w:r>
            </w:hyperlink>
            <w:r w:rsidR="00577AD3">
              <w:rPr>
                <w:rStyle w:val="FootnoteReference"/>
              </w:rPr>
              <w:footnoteReference w:id="7"/>
            </w:r>
            <w:r w:rsidR="0007561F">
              <w:t xml:space="preserve"> </w:t>
            </w:r>
          </w:p>
        </w:tc>
        <w:tc>
          <w:tcPr>
            <w:tcW w:w="1337" w:type="dxa"/>
          </w:tcPr>
          <w:p w14:paraId="66FDF29A" w14:textId="77777777" w:rsidR="008A6CD5" w:rsidRPr="00640098" w:rsidRDefault="0007561F" w:rsidP="007B07BE">
            <w:proofErr w:type="spellStart"/>
            <w:r>
              <w:t>Baselga</w:t>
            </w:r>
            <w:proofErr w:type="spellEnd"/>
            <w:r>
              <w:t xml:space="preserve"> 2017</w:t>
            </w:r>
          </w:p>
        </w:tc>
      </w:tr>
      <w:tr w:rsidR="008A6CD5" w:rsidRPr="00640098" w14:paraId="6A6A9810" w14:textId="77777777" w:rsidTr="008A6CD5">
        <w:trPr>
          <w:cantSplit/>
        </w:trPr>
        <w:tc>
          <w:tcPr>
            <w:tcW w:w="421" w:type="dxa"/>
          </w:tcPr>
          <w:p w14:paraId="373057A1" w14:textId="77777777" w:rsidR="008A6CD5" w:rsidRPr="00640098" w:rsidRDefault="00CE6D95" w:rsidP="007B07BE">
            <w:pPr>
              <w:rPr>
                <w:szCs w:val="20"/>
              </w:rPr>
            </w:pPr>
            <w:r>
              <w:rPr>
                <w:szCs w:val="20"/>
              </w:rPr>
              <w:lastRenderedPageBreak/>
              <w:t>8</w:t>
            </w:r>
          </w:p>
        </w:tc>
        <w:tc>
          <w:tcPr>
            <w:tcW w:w="1559" w:type="dxa"/>
          </w:tcPr>
          <w:p w14:paraId="549E9494" w14:textId="77777777" w:rsidR="008A6CD5" w:rsidRPr="00640098" w:rsidRDefault="00347346" w:rsidP="007B07BE">
            <w:r>
              <w:t>Observational/ diagnostic</w:t>
            </w:r>
          </w:p>
        </w:tc>
        <w:tc>
          <w:tcPr>
            <w:tcW w:w="2835" w:type="dxa"/>
          </w:tcPr>
          <w:p w14:paraId="62B6CA7B" w14:textId="77777777" w:rsidR="008A6CD5" w:rsidRPr="00640098" w:rsidRDefault="00347346" w:rsidP="00347346">
            <w:r>
              <w:t xml:space="preserve">Phase I/II dose-escalation study of PI3K inhibitors </w:t>
            </w:r>
            <w:proofErr w:type="spellStart"/>
            <w:r>
              <w:t>pilaralisib</w:t>
            </w:r>
            <w:proofErr w:type="spellEnd"/>
            <w:r>
              <w:t xml:space="preserve"> or </w:t>
            </w:r>
            <w:proofErr w:type="spellStart"/>
            <w:r>
              <w:t>voxtalisib</w:t>
            </w:r>
            <w:proofErr w:type="spellEnd"/>
            <w:r>
              <w:t xml:space="preserve"> in combination with </w:t>
            </w:r>
            <w:proofErr w:type="spellStart"/>
            <w:r>
              <w:t>letrozole</w:t>
            </w:r>
            <w:proofErr w:type="spellEnd"/>
            <w:r>
              <w:t xml:space="preserve"> in patients with hormone-receptor-positive and HER2-negative metastatic breast cancer refractory to a non-steroidal aromatase inhibitor</w:t>
            </w:r>
          </w:p>
        </w:tc>
        <w:tc>
          <w:tcPr>
            <w:tcW w:w="3402" w:type="dxa"/>
          </w:tcPr>
          <w:p w14:paraId="1982ACEC" w14:textId="77777777" w:rsidR="00347346" w:rsidRDefault="00347346" w:rsidP="007B07BE">
            <w:r>
              <w:t xml:space="preserve">Clinical performance of </w:t>
            </w:r>
            <w:proofErr w:type="spellStart"/>
            <w:r>
              <w:t>pilaralisib</w:t>
            </w:r>
            <w:proofErr w:type="spellEnd"/>
            <w:r>
              <w:t xml:space="preserve"> or </w:t>
            </w:r>
            <w:proofErr w:type="spellStart"/>
            <w:r>
              <w:t>voxtalisib</w:t>
            </w:r>
            <w:proofErr w:type="spellEnd"/>
            <w:r>
              <w:t xml:space="preserve"> in combination with </w:t>
            </w:r>
            <w:proofErr w:type="spellStart"/>
            <w:r>
              <w:t>letrozole</w:t>
            </w:r>
            <w:proofErr w:type="spellEnd"/>
            <w:r>
              <w:t xml:space="preserve"> and diagnostic performance of PIK3CA testing</w:t>
            </w:r>
          </w:p>
          <w:p w14:paraId="4530A437" w14:textId="77777777" w:rsidR="008A6CD5" w:rsidRPr="00347346" w:rsidRDefault="00347346" w:rsidP="007B07BE">
            <w:pPr>
              <w:rPr>
                <w:b/>
              </w:rPr>
            </w:pPr>
            <w:r w:rsidRPr="00347346">
              <w:rPr>
                <w:b/>
              </w:rPr>
              <w:t xml:space="preserve">Tissue NGS vs plasma </w:t>
            </w:r>
            <w:proofErr w:type="spellStart"/>
            <w:r w:rsidRPr="00347346">
              <w:rPr>
                <w:b/>
              </w:rPr>
              <w:t>BEAMing</w:t>
            </w:r>
            <w:proofErr w:type="spellEnd"/>
            <w:r w:rsidRPr="00347346">
              <w:rPr>
                <w:b/>
              </w:rPr>
              <w:t xml:space="preserve"> PCR</w:t>
            </w:r>
          </w:p>
          <w:p w14:paraId="76189A95" w14:textId="77777777" w:rsidR="00347346" w:rsidRPr="00640098" w:rsidRDefault="00347346" w:rsidP="007B07BE">
            <w:r>
              <w:t>N=31</w:t>
            </w:r>
          </w:p>
        </w:tc>
        <w:tc>
          <w:tcPr>
            <w:tcW w:w="4394" w:type="dxa"/>
          </w:tcPr>
          <w:p w14:paraId="28EF46B5" w14:textId="74DBA24E" w:rsidR="008A6CD5" w:rsidRPr="00640098" w:rsidRDefault="0004708B" w:rsidP="00A256E0">
            <w:hyperlink r:id="rId23" w:history="1">
              <w:r w:rsidR="00347346" w:rsidRPr="00847D46">
                <w:rPr>
                  <w:rStyle w:val="Hyperlink"/>
                </w:rPr>
                <w:t>www.ncbi.nlm.nih.gov/pubmed/26497877</w:t>
              </w:r>
            </w:hyperlink>
            <w:r w:rsidR="00347346">
              <w:t xml:space="preserve"> </w:t>
            </w:r>
          </w:p>
        </w:tc>
        <w:tc>
          <w:tcPr>
            <w:tcW w:w="1337" w:type="dxa"/>
          </w:tcPr>
          <w:p w14:paraId="7E785BE7" w14:textId="77777777" w:rsidR="008A6CD5" w:rsidRPr="00640098" w:rsidRDefault="00347346" w:rsidP="007B07BE">
            <w:r>
              <w:t>Blackwell 2015</w:t>
            </w:r>
          </w:p>
        </w:tc>
      </w:tr>
      <w:tr w:rsidR="00BE0943" w:rsidRPr="00640098" w14:paraId="7E0A9ED0" w14:textId="77777777" w:rsidTr="008A6CD5">
        <w:trPr>
          <w:cantSplit/>
        </w:trPr>
        <w:tc>
          <w:tcPr>
            <w:tcW w:w="421" w:type="dxa"/>
          </w:tcPr>
          <w:p w14:paraId="1658946D" w14:textId="77777777" w:rsidR="00BE0943" w:rsidRPr="00640098" w:rsidRDefault="00CE6D95" w:rsidP="007B07BE">
            <w:pPr>
              <w:rPr>
                <w:szCs w:val="20"/>
              </w:rPr>
            </w:pPr>
            <w:r>
              <w:rPr>
                <w:szCs w:val="20"/>
              </w:rPr>
              <w:t>9</w:t>
            </w:r>
          </w:p>
        </w:tc>
        <w:tc>
          <w:tcPr>
            <w:tcW w:w="1559" w:type="dxa"/>
          </w:tcPr>
          <w:p w14:paraId="5F42E1AD" w14:textId="77777777" w:rsidR="00BE0943" w:rsidRPr="00640098" w:rsidRDefault="00347346" w:rsidP="007B07BE">
            <w:r>
              <w:t>Observational/ diagnostic</w:t>
            </w:r>
          </w:p>
        </w:tc>
        <w:tc>
          <w:tcPr>
            <w:tcW w:w="2835" w:type="dxa"/>
          </w:tcPr>
          <w:p w14:paraId="23D8A003" w14:textId="77777777" w:rsidR="00BE0943" w:rsidRPr="00640098" w:rsidRDefault="00347346" w:rsidP="00347346">
            <w:r>
              <w:t xml:space="preserve">Concordance of Genomic Alterations by Next-Generation Sequencing in </w:t>
            </w:r>
            <w:proofErr w:type="spellStart"/>
            <w:r>
              <w:t>Tumor</w:t>
            </w:r>
            <w:proofErr w:type="spellEnd"/>
            <w:r>
              <w:t xml:space="preserve"> Tissue versus Circulating </w:t>
            </w:r>
            <w:proofErr w:type="spellStart"/>
            <w:r>
              <w:t>Tumor</w:t>
            </w:r>
            <w:proofErr w:type="spellEnd"/>
            <w:r>
              <w:t xml:space="preserve"> DNA in Breast Cancer</w:t>
            </w:r>
          </w:p>
        </w:tc>
        <w:tc>
          <w:tcPr>
            <w:tcW w:w="3402" w:type="dxa"/>
          </w:tcPr>
          <w:p w14:paraId="487F57B9" w14:textId="77777777" w:rsidR="00347346" w:rsidRPr="0044443E" w:rsidRDefault="00347346" w:rsidP="00347346">
            <w:r>
              <w:t>Assessed diagnostic performance only</w:t>
            </w:r>
          </w:p>
          <w:p w14:paraId="58553CBB" w14:textId="77777777" w:rsidR="00BE0943" w:rsidRPr="00347346" w:rsidRDefault="00347346" w:rsidP="007B07BE">
            <w:pPr>
              <w:rPr>
                <w:b/>
              </w:rPr>
            </w:pPr>
            <w:r w:rsidRPr="00347346">
              <w:rPr>
                <w:b/>
              </w:rPr>
              <w:t>Tissue NGS vs plasma NGS</w:t>
            </w:r>
          </w:p>
          <w:p w14:paraId="5907BAAF" w14:textId="77777777" w:rsidR="00347346" w:rsidRPr="00640098" w:rsidRDefault="00347346" w:rsidP="007B07BE">
            <w:r>
              <w:t>N=45</w:t>
            </w:r>
          </w:p>
        </w:tc>
        <w:tc>
          <w:tcPr>
            <w:tcW w:w="4394" w:type="dxa"/>
          </w:tcPr>
          <w:p w14:paraId="1891A2DE" w14:textId="349C5809" w:rsidR="00BE0943" w:rsidRPr="00640098" w:rsidRDefault="0004708B" w:rsidP="00A256E0">
            <w:hyperlink r:id="rId24" w:history="1">
              <w:r w:rsidR="00347346" w:rsidRPr="00847D46">
                <w:rPr>
                  <w:rStyle w:val="Hyperlink"/>
                </w:rPr>
                <w:t>www.ncbi.nlm.nih.gov/pubmed/28446639</w:t>
              </w:r>
            </w:hyperlink>
            <w:r w:rsidR="00347346">
              <w:t xml:space="preserve"> </w:t>
            </w:r>
          </w:p>
        </w:tc>
        <w:tc>
          <w:tcPr>
            <w:tcW w:w="1337" w:type="dxa"/>
          </w:tcPr>
          <w:p w14:paraId="2621E994" w14:textId="77777777" w:rsidR="00BE0943" w:rsidRPr="00640098" w:rsidRDefault="00347346" w:rsidP="007B07BE">
            <w:proofErr w:type="spellStart"/>
            <w:r>
              <w:t>Chae</w:t>
            </w:r>
            <w:proofErr w:type="spellEnd"/>
            <w:r>
              <w:t xml:space="preserve"> 2017</w:t>
            </w:r>
          </w:p>
        </w:tc>
      </w:tr>
      <w:tr w:rsidR="00BE0943" w:rsidRPr="00640098" w14:paraId="3CF5A6C1" w14:textId="77777777" w:rsidTr="008A6CD5">
        <w:trPr>
          <w:cantSplit/>
        </w:trPr>
        <w:tc>
          <w:tcPr>
            <w:tcW w:w="421" w:type="dxa"/>
          </w:tcPr>
          <w:p w14:paraId="787B9FC6" w14:textId="77777777" w:rsidR="00BE0943" w:rsidRPr="00640098" w:rsidRDefault="00CE6D95" w:rsidP="007B07BE">
            <w:pPr>
              <w:rPr>
                <w:szCs w:val="20"/>
              </w:rPr>
            </w:pPr>
            <w:r>
              <w:rPr>
                <w:szCs w:val="20"/>
              </w:rPr>
              <w:t>10</w:t>
            </w:r>
          </w:p>
        </w:tc>
        <w:tc>
          <w:tcPr>
            <w:tcW w:w="1559" w:type="dxa"/>
          </w:tcPr>
          <w:p w14:paraId="39AD65D7" w14:textId="77777777" w:rsidR="00BE0943" w:rsidRPr="00640098" w:rsidRDefault="00413419" w:rsidP="007B07BE">
            <w:r>
              <w:t>RCT</w:t>
            </w:r>
          </w:p>
        </w:tc>
        <w:tc>
          <w:tcPr>
            <w:tcW w:w="2835" w:type="dxa"/>
          </w:tcPr>
          <w:p w14:paraId="4C28CD22" w14:textId="77777777" w:rsidR="00BE0943" w:rsidRPr="00640098" w:rsidRDefault="00413419" w:rsidP="00413419">
            <w:r>
              <w:t xml:space="preserve">A randomized phase II trial of </w:t>
            </w:r>
            <w:proofErr w:type="spellStart"/>
            <w:r>
              <w:t>trastuzumab</w:t>
            </w:r>
            <w:proofErr w:type="spellEnd"/>
            <w:r>
              <w:t xml:space="preserve"> plus </w:t>
            </w:r>
            <w:proofErr w:type="spellStart"/>
            <w:r>
              <w:t>capecitabine</w:t>
            </w:r>
            <w:proofErr w:type="spellEnd"/>
            <w:r>
              <w:t xml:space="preserve"> versus </w:t>
            </w:r>
            <w:proofErr w:type="spellStart"/>
            <w:r>
              <w:t>lapatinib</w:t>
            </w:r>
            <w:proofErr w:type="spellEnd"/>
            <w:r>
              <w:t xml:space="preserve"> plus </w:t>
            </w:r>
            <w:proofErr w:type="spellStart"/>
            <w:r>
              <w:t>capecitabine</w:t>
            </w:r>
            <w:proofErr w:type="spellEnd"/>
            <w:r>
              <w:t xml:space="preserve"> in patients with HER2-positive metastatic breast cancer previously treated with </w:t>
            </w:r>
            <w:proofErr w:type="spellStart"/>
            <w:r>
              <w:t>trastuzumab</w:t>
            </w:r>
            <w:proofErr w:type="spellEnd"/>
            <w:r>
              <w:t xml:space="preserve"> and </w:t>
            </w:r>
            <w:proofErr w:type="spellStart"/>
            <w:r>
              <w:t>taxanes</w:t>
            </w:r>
            <w:proofErr w:type="spellEnd"/>
            <w:r>
              <w:t>: WJOG6110B/ELTOP</w:t>
            </w:r>
          </w:p>
        </w:tc>
        <w:tc>
          <w:tcPr>
            <w:tcW w:w="3402" w:type="dxa"/>
          </w:tcPr>
          <w:p w14:paraId="54527DFF" w14:textId="77777777" w:rsidR="00413419" w:rsidRDefault="00413419" w:rsidP="00413419">
            <w:r>
              <w:t xml:space="preserve">Clinical performance of </w:t>
            </w:r>
            <w:proofErr w:type="spellStart"/>
            <w:r>
              <w:t>trastuzumab</w:t>
            </w:r>
            <w:proofErr w:type="spellEnd"/>
            <w:r>
              <w:t xml:space="preserve"> plus </w:t>
            </w:r>
            <w:proofErr w:type="spellStart"/>
            <w:r>
              <w:t>capecitabine</w:t>
            </w:r>
            <w:proofErr w:type="spellEnd"/>
            <w:r>
              <w:t xml:space="preserve"> versus </w:t>
            </w:r>
            <w:proofErr w:type="spellStart"/>
            <w:r>
              <w:t>lapatinib</w:t>
            </w:r>
            <w:proofErr w:type="spellEnd"/>
            <w:r>
              <w:t xml:space="preserve"> plus </w:t>
            </w:r>
            <w:proofErr w:type="spellStart"/>
            <w:r>
              <w:t>capecitabine</w:t>
            </w:r>
            <w:proofErr w:type="spellEnd"/>
            <w:r>
              <w:t xml:space="preserve"> and diagnostic performance of PIK3CA testing</w:t>
            </w:r>
          </w:p>
          <w:p w14:paraId="7BB88802" w14:textId="77777777" w:rsidR="00BE0943" w:rsidRPr="00413419" w:rsidRDefault="00413419" w:rsidP="007B07BE">
            <w:pPr>
              <w:rPr>
                <w:b/>
              </w:rPr>
            </w:pPr>
            <w:r w:rsidRPr="00413419">
              <w:rPr>
                <w:b/>
              </w:rPr>
              <w:t xml:space="preserve">Tissue </w:t>
            </w:r>
            <w:proofErr w:type="spellStart"/>
            <w:r w:rsidRPr="00413419">
              <w:rPr>
                <w:b/>
              </w:rPr>
              <w:t>ddPCR</w:t>
            </w:r>
            <w:proofErr w:type="spellEnd"/>
            <w:r w:rsidRPr="00413419">
              <w:rPr>
                <w:b/>
              </w:rPr>
              <w:t xml:space="preserve"> vs plasma </w:t>
            </w:r>
            <w:proofErr w:type="spellStart"/>
            <w:r w:rsidRPr="00413419">
              <w:rPr>
                <w:b/>
              </w:rPr>
              <w:t>ddPCR</w:t>
            </w:r>
            <w:proofErr w:type="spellEnd"/>
          </w:p>
          <w:p w14:paraId="7146B5E6" w14:textId="77777777" w:rsidR="00413419" w:rsidRPr="00640098" w:rsidRDefault="00413419" w:rsidP="007B07BE">
            <w:r>
              <w:t>N=26</w:t>
            </w:r>
          </w:p>
        </w:tc>
        <w:tc>
          <w:tcPr>
            <w:tcW w:w="4394" w:type="dxa"/>
          </w:tcPr>
          <w:p w14:paraId="40BD3E74" w14:textId="0E244F5C" w:rsidR="00BE0943" w:rsidRPr="00640098" w:rsidRDefault="0004708B" w:rsidP="00A256E0">
            <w:hyperlink r:id="rId25" w:history="1">
              <w:r w:rsidR="00413419" w:rsidRPr="00847D46">
                <w:rPr>
                  <w:rStyle w:val="Hyperlink"/>
                </w:rPr>
                <w:t>www.ncbi.nlm.nih.gov/pubmed/29698927</w:t>
              </w:r>
            </w:hyperlink>
            <w:r w:rsidR="00413419">
              <w:t xml:space="preserve"> </w:t>
            </w:r>
          </w:p>
        </w:tc>
        <w:tc>
          <w:tcPr>
            <w:tcW w:w="1337" w:type="dxa"/>
          </w:tcPr>
          <w:p w14:paraId="3711B265" w14:textId="77777777" w:rsidR="00BE0943" w:rsidRPr="00640098" w:rsidRDefault="00413419" w:rsidP="007B07BE">
            <w:r>
              <w:t>Takano 2018</w:t>
            </w:r>
          </w:p>
        </w:tc>
      </w:tr>
      <w:tr w:rsidR="00BE0943" w:rsidRPr="00640098" w14:paraId="0E5CCA83" w14:textId="77777777" w:rsidTr="008A6CD5">
        <w:trPr>
          <w:cantSplit/>
        </w:trPr>
        <w:tc>
          <w:tcPr>
            <w:tcW w:w="421" w:type="dxa"/>
          </w:tcPr>
          <w:p w14:paraId="370B20B1" w14:textId="77777777" w:rsidR="00BE0943" w:rsidRPr="00640098" w:rsidRDefault="00CE6D95" w:rsidP="007B07BE">
            <w:pPr>
              <w:rPr>
                <w:szCs w:val="20"/>
              </w:rPr>
            </w:pPr>
            <w:r>
              <w:rPr>
                <w:szCs w:val="20"/>
              </w:rPr>
              <w:lastRenderedPageBreak/>
              <w:t>11</w:t>
            </w:r>
          </w:p>
        </w:tc>
        <w:tc>
          <w:tcPr>
            <w:tcW w:w="1559" w:type="dxa"/>
          </w:tcPr>
          <w:p w14:paraId="40F1F354" w14:textId="77777777" w:rsidR="00BE0943" w:rsidRPr="00640098" w:rsidRDefault="00413419" w:rsidP="007B07BE">
            <w:r w:rsidRPr="00413419">
              <w:t>Open-label Phase I-II /clinical</w:t>
            </w:r>
          </w:p>
        </w:tc>
        <w:tc>
          <w:tcPr>
            <w:tcW w:w="2835" w:type="dxa"/>
          </w:tcPr>
          <w:p w14:paraId="1D10ACDE" w14:textId="77777777" w:rsidR="00BE0943" w:rsidRPr="00640098" w:rsidRDefault="00413419" w:rsidP="00413419">
            <w:r>
              <w:t xml:space="preserve">Phase I/II clinical trial of </w:t>
            </w:r>
            <w:proofErr w:type="spellStart"/>
            <w:r>
              <w:t>everolimus</w:t>
            </w:r>
            <w:proofErr w:type="spellEnd"/>
            <w:r>
              <w:t xml:space="preserve"> combined with gemcitabine/cisplatin for metastatic triple-negative breast cancer</w:t>
            </w:r>
          </w:p>
        </w:tc>
        <w:tc>
          <w:tcPr>
            <w:tcW w:w="3402" w:type="dxa"/>
          </w:tcPr>
          <w:p w14:paraId="23C481D7" w14:textId="77777777" w:rsidR="00413419" w:rsidRDefault="00413419" w:rsidP="00413419">
            <w:r>
              <w:t xml:space="preserve">Clinical performance of </w:t>
            </w:r>
            <w:proofErr w:type="spellStart"/>
            <w:r>
              <w:t>everolimus</w:t>
            </w:r>
            <w:proofErr w:type="spellEnd"/>
            <w:r>
              <w:t xml:space="preserve"> combined with gemcitabine/cisplatin and diagnostic performance of PIK3CA testing</w:t>
            </w:r>
          </w:p>
          <w:p w14:paraId="44B5C9A1" w14:textId="77777777" w:rsidR="00413419" w:rsidRPr="00413419" w:rsidRDefault="00413419" w:rsidP="00413419">
            <w:pPr>
              <w:rPr>
                <w:b/>
              </w:rPr>
            </w:pPr>
            <w:r w:rsidRPr="00413419">
              <w:rPr>
                <w:b/>
              </w:rPr>
              <w:t xml:space="preserve">Tissue </w:t>
            </w:r>
            <w:proofErr w:type="spellStart"/>
            <w:r w:rsidRPr="00413419">
              <w:rPr>
                <w:b/>
              </w:rPr>
              <w:t>ddPCR</w:t>
            </w:r>
            <w:proofErr w:type="spellEnd"/>
            <w:r w:rsidRPr="00413419">
              <w:rPr>
                <w:b/>
              </w:rPr>
              <w:t xml:space="preserve"> vs plasma </w:t>
            </w:r>
            <w:proofErr w:type="spellStart"/>
            <w:r w:rsidRPr="00413419">
              <w:rPr>
                <w:b/>
              </w:rPr>
              <w:t>ddPCR</w:t>
            </w:r>
            <w:proofErr w:type="spellEnd"/>
          </w:p>
          <w:p w14:paraId="0D050BFE" w14:textId="77777777" w:rsidR="00BE0943" w:rsidRPr="00640098" w:rsidRDefault="00413419" w:rsidP="00413419">
            <w:r>
              <w:t>N=23</w:t>
            </w:r>
          </w:p>
        </w:tc>
        <w:tc>
          <w:tcPr>
            <w:tcW w:w="4394" w:type="dxa"/>
          </w:tcPr>
          <w:p w14:paraId="15A9D556" w14:textId="6B4BE295" w:rsidR="00BE0943" w:rsidRPr="00640098" w:rsidRDefault="0004708B" w:rsidP="00A256E0">
            <w:hyperlink r:id="rId26" w:history="1">
              <w:r w:rsidR="00413419" w:rsidRPr="00847D46">
                <w:rPr>
                  <w:rStyle w:val="Hyperlink"/>
                </w:rPr>
                <w:t>www.ncbi.nlm.nih.gov/pubmed/29675095</w:t>
              </w:r>
            </w:hyperlink>
            <w:r w:rsidR="00413419">
              <w:t xml:space="preserve"> </w:t>
            </w:r>
          </w:p>
        </w:tc>
        <w:tc>
          <w:tcPr>
            <w:tcW w:w="1337" w:type="dxa"/>
          </w:tcPr>
          <w:p w14:paraId="2F69F15A" w14:textId="77777777" w:rsidR="00BE0943" w:rsidRPr="00640098" w:rsidRDefault="00413419" w:rsidP="007B07BE">
            <w:r>
              <w:t>Park 2018</w:t>
            </w:r>
          </w:p>
        </w:tc>
      </w:tr>
      <w:tr w:rsidR="00BE0943" w:rsidRPr="00640098" w14:paraId="3A072313" w14:textId="77777777" w:rsidTr="008A6CD5">
        <w:trPr>
          <w:cantSplit/>
        </w:trPr>
        <w:tc>
          <w:tcPr>
            <w:tcW w:w="421" w:type="dxa"/>
          </w:tcPr>
          <w:p w14:paraId="18D1BBA4" w14:textId="77777777" w:rsidR="00BE0943" w:rsidRPr="00640098" w:rsidRDefault="00CE6D95" w:rsidP="007B07BE">
            <w:pPr>
              <w:rPr>
                <w:szCs w:val="20"/>
              </w:rPr>
            </w:pPr>
            <w:r>
              <w:rPr>
                <w:szCs w:val="20"/>
              </w:rPr>
              <w:t>12</w:t>
            </w:r>
          </w:p>
        </w:tc>
        <w:tc>
          <w:tcPr>
            <w:tcW w:w="1559" w:type="dxa"/>
          </w:tcPr>
          <w:p w14:paraId="411830F6" w14:textId="77777777" w:rsidR="00BE0943" w:rsidRPr="00640098" w:rsidRDefault="00413419" w:rsidP="007B07BE">
            <w:r>
              <w:t>Observational/ diagnostic</w:t>
            </w:r>
          </w:p>
        </w:tc>
        <w:tc>
          <w:tcPr>
            <w:tcW w:w="2835" w:type="dxa"/>
          </w:tcPr>
          <w:p w14:paraId="581B118D" w14:textId="77777777" w:rsidR="00BE0943" w:rsidRPr="00640098" w:rsidRDefault="00413419" w:rsidP="00413419">
            <w:r>
              <w:t>Detection of PIK3CA mutations in circulating free DNA in patients with breast cancer</w:t>
            </w:r>
          </w:p>
        </w:tc>
        <w:tc>
          <w:tcPr>
            <w:tcW w:w="3402" w:type="dxa"/>
          </w:tcPr>
          <w:p w14:paraId="217D334E" w14:textId="77777777" w:rsidR="00413419" w:rsidRPr="0044443E" w:rsidRDefault="00413419" w:rsidP="00413419">
            <w:r>
              <w:t>Assessed diagnostic performance only</w:t>
            </w:r>
          </w:p>
          <w:p w14:paraId="5B25EC16" w14:textId="77777777" w:rsidR="00BE0943" w:rsidRPr="00413419" w:rsidRDefault="00413419" w:rsidP="007B07BE">
            <w:pPr>
              <w:rPr>
                <w:b/>
              </w:rPr>
            </w:pPr>
            <w:r w:rsidRPr="00413419">
              <w:rPr>
                <w:b/>
              </w:rPr>
              <w:t>Tissue ARMS PCR vs plasma ARMS PCR</w:t>
            </w:r>
          </w:p>
          <w:p w14:paraId="58DEDD09" w14:textId="77777777" w:rsidR="00413419" w:rsidRDefault="00413419" w:rsidP="007B07BE">
            <w:r>
              <w:t>N=41</w:t>
            </w:r>
          </w:p>
          <w:p w14:paraId="78D28253" w14:textId="77777777" w:rsidR="00413419" w:rsidRPr="00413419" w:rsidRDefault="00413419" w:rsidP="00413419">
            <w:pPr>
              <w:rPr>
                <w:b/>
              </w:rPr>
            </w:pPr>
            <w:r w:rsidRPr="00413419">
              <w:rPr>
                <w:b/>
              </w:rPr>
              <w:t xml:space="preserve">Tissue ARMS PCR vs </w:t>
            </w:r>
            <w:r>
              <w:rPr>
                <w:b/>
              </w:rPr>
              <w:t>serum</w:t>
            </w:r>
            <w:r w:rsidRPr="00413419">
              <w:rPr>
                <w:b/>
              </w:rPr>
              <w:t xml:space="preserve"> ARMS PCR</w:t>
            </w:r>
          </w:p>
          <w:p w14:paraId="3EDEA51C" w14:textId="77777777" w:rsidR="00413419" w:rsidRPr="00640098" w:rsidRDefault="00413419" w:rsidP="007B07BE">
            <w:r>
              <w:t>N=41</w:t>
            </w:r>
          </w:p>
        </w:tc>
        <w:tc>
          <w:tcPr>
            <w:tcW w:w="4394" w:type="dxa"/>
          </w:tcPr>
          <w:p w14:paraId="7E70FFDB" w14:textId="2F90122D" w:rsidR="00BE0943" w:rsidRPr="00640098" w:rsidRDefault="0004708B" w:rsidP="00A256E0">
            <w:hyperlink r:id="rId27" w:history="1">
              <w:r w:rsidR="00413419" w:rsidRPr="00847D46">
                <w:rPr>
                  <w:rStyle w:val="Hyperlink"/>
                </w:rPr>
                <w:t>www.ncbi.nlm.nih.gov/pubmed/20107891</w:t>
              </w:r>
            </w:hyperlink>
            <w:r w:rsidR="00413419">
              <w:t xml:space="preserve"> </w:t>
            </w:r>
          </w:p>
        </w:tc>
        <w:tc>
          <w:tcPr>
            <w:tcW w:w="1337" w:type="dxa"/>
          </w:tcPr>
          <w:p w14:paraId="501468D9" w14:textId="77777777" w:rsidR="00BE0943" w:rsidRPr="00640098" w:rsidRDefault="00413419" w:rsidP="007B07BE">
            <w:r>
              <w:t>Board 2010</w:t>
            </w:r>
          </w:p>
        </w:tc>
      </w:tr>
      <w:tr w:rsidR="00413419" w:rsidRPr="00640098" w14:paraId="110869D4" w14:textId="77777777" w:rsidTr="008A6CD5">
        <w:trPr>
          <w:cantSplit/>
        </w:trPr>
        <w:tc>
          <w:tcPr>
            <w:tcW w:w="421" w:type="dxa"/>
          </w:tcPr>
          <w:p w14:paraId="3ED96C5D" w14:textId="77777777" w:rsidR="00413419" w:rsidRPr="00640098" w:rsidRDefault="00CE6D95" w:rsidP="007B07BE">
            <w:pPr>
              <w:rPr>
                <w:szCs w:val="20"/>
              </w:rPr>
            </w:pPr>
            <w:r>
              <w:rPr>
                <w:szCs w:val="20"/>
              </w:rPr>
              <w:t>13</w:t>
            </w:r>
          </w:p>
        </w:tc>
        <w:tc>
          <w:tcPr>
            <w:tcW w:w="1559" w:type="dxa"/>
          </w:tcPr>
          <w:p w14:paraId="361F0B2B" w14:textId="77777777" w:rsidR="00413419" w:rsidRPr="00640098" w:rsidRDefault="00CE6D95" w:rsidP="007B07BE">
            <w:r>
              <w:t>Observational/ diagnostic</w:t>
            </w:r>
          </w:p>
        </w:tc>
        <w:tc>
          <w:tcPr>
            <w:tcW w:w="2835" w:type="dxa"/>
          </w:tcPr>
          <w:p w14:paraId="5FFC533A" w14:textId="77777777" w:rsidR="00CE6D95" w:rsidRDefault="00CE6D95" w:rsidP="00CE6D95">
            <w:r>
              <w:t>Association of urinary and plasma DNA in early breast cancer patients and its links to disease relapse</w:t>
            </w:r>
          </w:p>
          <w:p w14:paraId="6E11B368" w14:textId="77777777" w:rsidR="00413419" w:rsidRPr="00640098" w:rsidRDefault="00413419" w:rsidP="004B1BE8"/>
        </w:tc>
        <w:tc>
          <w:tcPr>
            <w:tcW w:w="3402" w:type="dxa"/>
          </w:tcPr>
          <w:p w14:paraId="381C86BB" w14:textId="77777777" w:rsidR="00CE6D95" w:rsidRPr="00CE6D95" w:rsidRDefault="00CE6D95" w:rsidP="007B07BE">
            <w:r>
              <w:t>Prognosis and diagnostic performance</w:t>
            </w:r>
          </w:p>
          <w:p w14:paraId="396987C7" w14:textId="77777777" w:rsidR="00413419" w:rsidRPr="00CE6D95" w:rsidRDefault="00CE6D95" w:rsidP="007B07BE">
            <w:pPr>
              <w:rPr>
                <w:b/>
              </w:rPr>
            </w:pPr>
            <w:r w:rsidRPr="00CE6D95">
              <w:rPr>
                <w:b/>
              </w:rPr>
              <w:t xml:space="preserve">Tissue (NR) vs </w:t>
            </w:r>
            <w:proofErr w:type="spellStart"/>
            <w:r>
              <w:rPr>
                <w:b/>
              </w:rPr>
              <w:t>dd</w:t>
            </w:r>
            <w:r w:rsidRPr="00CE6D95">
              <w:rPr>
                <w:b/>
              </w:rPr>
              <w:t>PCR</w:t>
            </w:r>
            <w:proofErr w:type="spellEnd"/>
            <w:r w:rsidRPr="00CE6D95">
              <w:rPr>
                <w:b/>
              </w:rPr>
              <w:t xml:space="preserve"> (urine)</w:t>
            </w:r>
          </w:p>
          <w:p w14:paraId="208AC0F3" w14:textId="77777777" w:rsidR="00CE6D95" w:rsidRPr="00640098" w:rsidRDefault="00CE6D95" w:rsidP="007B07BE">
            <w:r>
              <w:t>N=200</w:t>
            </w:r>
          </w:p>
        </w:tc>
        <w:tc>
          <w:tcPr>
            <w:tcW w:w="4394" w:type="dxa"/>
          </w:tcPr>
          <w:p w14:paraId="0618F416" w14:textId="7C741619" w:rsidR="00413419" w:rsidRPr="00640098" w:rsidRDefault="0004708B" w:rsidP="00A256E0">
            <w:hyperlink r:id="rId28" w:history="1">
              <w:r w:rsidR="00CE6D95" w:rsidRPr="00847D46">
                <w:rPr>
                  <w:rStyle w:val="Hyperlink"/>
                </w:rPr>
                <w:t>www.ncbi.nlm.nih.gov/pubmed/29392540</w:t>
              </w:r>
            </w:hyperlink>
            <w:r w:rsidR="00CE6D95">
              <w:t xml:space="preserve"> </w:t>
            </w:r>
          </w:p>
        </w:tc>
        <w:tc>
          <w:tcPr>
            <w:tcW w:w="1337" w:type="dxa"/>
          </w:tcPr>
          <w:p w14:paraId="0658A040" w14:textId="77777777" w:rsidR="00413419" w:rsidRPr="00640098" w:rsidRDefault="00CE6D95" w:rsidP="007B07BE">
            <w:r>
              <w:t>Liu 2018</w:t>
            </w:r>
          </w:p>
        </w:tc>
      </w:tr>
    </w:tbl>
    <w:p w14:paraId="0AD0B4CC" w14:textId="77777777" w:rsidR="00DD308E" w:rsidRDefault="000A207F" w:rsidP="000A207F">
      <w:r>
        <w:t xml:space="preserve">Abbreviations: </w:t>
      </w:r>
      <w:r w:rsidR="00BE14E0">
        <w:t xml:space="preserve">ARMS, amplification-refractory mutation system; BEAM, </w:t>
      </w:r>
      <w:r w:rsidR="00392FCC" w:rsidRPr="00392FCC">
        <w:t>beads, emulsion, amplification, magnetics</w:t>
      </w:r>
      <w:r w:rsidR="00392FCC">
        <w:t xml:space="preserve">; </w:t>
      </w:r>
      <w:proofErr w:type="spellStart"/>
      <w:r w:rsidR="00BE14E0">
        <w:t>ddPCR</w:t>
      </w:r>
      <w:proofErr w:type="spellEnd"/>
      <w:r w:rsidR="00BE14E0">
        <w:t xml:space="preserve">, Droplet Digital polymerase chain reaction; DNA, deoxyribonucleic acid; </w:t>
      </w:r>
      <w:r>
        <w:t xml:space="preserve">HER2, </w:t>
      </w:r>
      <w:r w:rsidRPr="000A207F">
        <w:t>human epidermal growth factor receptor 2</w:t>
      </w:r>
      <w:r>
        <w:t xml:space="preserve">; HR, hormone receptor; </w:t>
      </w:r>
      <w:r w:rsidR="00BE14E0">
        <w:t xml:space="preserve">NGS, next generation sequencing; </w:t>
      </w:r>
      <w:r>
        <w:t>PCR, polymerase chain reaction</w:t>
      </w:r>
      <w:r w:rsidR="007D6AEC">
        <w:t>; QP, quenching probe</w:t>
      </w:r>
      <w:r>
        <w:t xml:space="preserve">. </w:t>
      </w:r>
      <w:r w:rsidR="00DD308E">
        <w:br w:type="page"/>
      </w:r>
    </w:p>
    <w:p w14:paraId="03B4B43B"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4672DECD" w14:textId="77777777" w:rsidR="004C49EF" w:rsidRPr="001A067E" w:rsidRDefault="004C49EF" w:rsidP="00530204">
      <w:pPr>
        <w:pStyle w:val="Heading2"/>
      </w:pPr>
      <w:r w:rsidRPr="001A067E">
        <w:lastRenderedPageBreak/>
        <w:t>Identify yet to be published research that may have results available in the near future that could be relevant in the consideration of your application by MSAC (limiting these to the English language only).</w:t>
      </w:r>
      <w:r w:rsidRPr="001A067E">
        <w:rPr>
          <w:i/>
        </w:rPr>
        <w:t xml:space="preserve"> Please do not attach full text articles, this is just intended to be a summary.</w:t>
      </w:r>
    </w:p>
    <w:tbl>
      <w:tblPr>
        <w:tblStyle w:val="TableGrid"/>
        <w:tblW w:w="0" w:type="auto"/>
        <w:tblLook w:val="04A0" w:firstRow="1" w:lastRow="0" w:firstColumn="1" w:lastColumn="0" w:noHBand="0" w:noVBand="1"/>
        <w:tblCaption w:val="Summary of Evidence - Yet to be Published"/>
      </w:tblPr>
      <w:tblGrid>
        <w:gridCol w:w="368"/>
        <w:gridCol w:w="1370"/>
        <w:gridCol w:w="3423"/>
        <w:gridCol w:w="3750"/>
        <w:gridCol w:w="3574"/>
        <w:gridCol w:w="1463"/>
      </w:tblGrid>
      <w:tr w:rsidR="001A067E" w14:paraId="547052EC" w14:textId="77777777" w:rsidTr="001A067E">
        <w:trPr>
          <w:cantSplit/>
          <w:tblHeader/>
        </w:trPr>
        <w:tc>
          <w:tcPr>
            <w:tcW w:w="0" w:type="auto"/>
          </w:tcPr>
          <w:p w14:paraId="3FDA2E1F" w14:textId="77777777" w:rsidR="004C49EF" w:rsidRDefault="004C49EF" w:rsidP="00855944">
            <w:pPr>
              <w:pStyle w:val="TableHEADER"/>
            </w:pPr>
          </w:p>
        </w:tc>
        <w:tc>
          <w:tcPr>
            <w:tcW w:w="0" w:type="auto"/>
          </w:tcPr>
          <w:p w14:paraId="30283853" w14:textId="77777777" w:rsidR="004C49EF" w:rsidRDefault="00BE14E0" w:rsidP="00855944">
            <w:pPr>
              <w:pStyle w:val="TableHEADER"/>
            </w:pPr>
            <w:r>
              <w:t>Type of study design</w:t>
            </w:r>
          </w:p>
        </w:tc>
        <w:tc>
          <w:tcPr>
            <w:tcW w:w="0" w:type="auto"/>
          </w:tcPr>
          <w:p w14:paraId="1205928F" w14:textId="77777777" w:rsidR="004C49EF" w:rsidRDefault="004C49EF" w:rsidP="00855944">
            <w:pPr>
              <w:pStyle w:val="TableHEADER"/>
            </w:pPr>
            <w:r>
              <w:t>Title of research (including any trial identifier if relevant)</w:t>
            </w:r>
          </w:p>
        </w:tc>
        <w:tc>
          <w:tcPr>
            <w:tcW w:w="0" w:type="auto"/>
          </w:tcPr>
          <w:p w14:paraId="7AD43995" w14:textId="77777777" w:rsidR="004C49EF" w:rsidRDefault="00367C1B" w:rsidP="00855944">
            <w:pPr>
              <w:pStyle w:val="TableHEADER"/>
            </w:pPr>
            <w:r>
              <w:t xml:space="preserve">Short description of research </w:t>
            </w:r>
            <w:r w:rsidR="004C49EF">
              <w:t>(max 50 words)</w:t>
            </w:r>
          </w:p>
        </w:tc>
        <w:tc>
          <w:tcPr>
            <w:tcW w:w="0" w:type="auto"/>
          </w:tcPr>
          <w:p w14:paraId="3AB20DD4" w14:textId="77777777" w:rsidR="004C49EF" w:rsidRDefault="004C49EF" w:rsidP="00855944">
            <w:pPr>
              <w:pStyle w:val="TableHEADER"/>
            </w:pPr>
            <w:r w:rsidRPr="00E82F54">
              <w:t xml:space="preserve">Website link to </w:t>
            </w:r>
            <w:r>
              <w:t>research (if available)</w:t>
            </w:r>
          </w:p>
        </w:tc>
        <w:tc>
          <w:tcPr>
            <w:tcW w:w="0" w:type="auto"/>
          </w:tcPr>
          <w:p w14:paraId="5BC94BDD" w14:textId="77777777" w:rsidR="004C49EF" w:rsidRDefault="00BE14E0" w:rsidP="00855944">
            <w:pPr>
              <w:pStyle w:val="TableHEADER"/>
            </w:pPr>
            <w:r>
              <w:t>Date</w:t>
            </w:r>
          </w:p>
        </w:tc>
      </w:tr>
      <w:tr w:rsidR="001A067E" w14:paraId="6D67443D" w14:textId="77777777" w:rsidTr="001A067E">
        <w:trPr>
          <w:cantSplit/>
        </w:trPr>
        <w:tc>
          <w:tcPr>
            <w:tcW w:w="0" w:type="auto"/>
          </w:tcPr>
          <w:p w14:paraId="742A0850" w14:textId="77777777" w:rsidR="004C49EF" w:rsidRPr="00965B6B" w:rsidRDefault="004C49EF" w:rsidP="00526478">
            <w:pPr>
              <w:rPr>
                <w:szCs w:val="20"/>
              </w:rPr>
            </w:pPr>
            <w:r w:rsidRPr="00965B6B">
              <w:rPr>
                <w:szCs w:val="20"/>
              </w:rPr>
              <w:t>1</w:t>
            </w:r>
            <w:r>
              <w:rPr>
                <w:szCs w:val="20"/>
              </w:rPr>
              <w:t>.</w:t>
            </w:r>
          </w:p>
        </w:tc>
        <w:tc>
          <w:tcPr>
            <w:tcW w:w="0" w:type="auto"/>
          </w:tcPr>
          <w:p w14:paraId="0B8DEA70" w14:textId="77777777" w:rsidR="004C49EF" w:rsidRDefault="001A067E" w:rsidP="00526478">
            <w:pPr>
              <w:rPr>
                <w:b/>
                <w:szCs w:val="20"/>
              </w:rPr>
            </w:pPr>
            <w:r>
              <w:t>Non-randomised controlled trial</w:t>
            </w:r>
          </w:p>
        </w:tc>
        <w:tc>
          <w:tcPr>
            <w:tcW w:w="0" w:type="auto"/>
          </w:tcPr>
          <w:p w14:paraId="5E678A73" w14:textId="77777777" w:rsidR="004C49EF" w:rsidRDefault="001A067E" w:rsidP="00526478">
            <w:r w:rsidRPr="001A067E">
              <w:t xml:space="preserve">Study Assessing the Efficacy and Safety of </w:t>
            </w:r>
            <w:proofErr w:type="spellStart"/>
            <w:r w:rsidRPr="001A067E">
              <w:t>Alpelisib</w:t>
            </w:r>
            <w:proofErr w:type="spellEnd"/>
            <w:r w:rsidRPr="001A067E">
              <w:t xml:space="preserve"> Plus </w:t>
            </w:r>
            <w:proofErr w:type="spellStart"/>
            <w:r w:rsidRPr="001A067E">
              <w:t>Fulvestrant</w:t>
            </w:r>
            <w:proofErr w:type="spellEnd"/>
            <w:r w:rsidRPr="001A067E">
              <w:t xml:space="preserve"> or </w:t>
            </w:r>
            <w:proofErr w:type="spellStart"/>
            <w:r w:rsidRPr="001A067E">
              <w:t>Letrozole</w:t>
            </w:r>
            <w:proofErr w:type="spellEnd"/>
            <w:r w:rsidRPr="001A067E">
              <w:t>, Based on Prior Endocrine Therapy, in Patients With PIK3CA Mutation With Advanced Breast Cancer Who Have Progressed on or After Prior Treatments (</w:t>
            </w:r>
            <w:proofErr w:type="spellStart"/>
            <w:r w:rsidRPr="001A067E">
              <w:t>BYLieve</w:t>
            </w:r>
            <w:proofErr w:type="spellEnd"/>
            <w:r w:rsidRPr="001A067E">
              <w:t>)</w:t>
            </w:r>
          </w:p>
          <w:p w14:paraId="45374DB8" w14:textId="77777777" w:rsidR="001A067E" w:rsidRDefault="001A067E" w:rsidP="00526478">
            <w:pPr>
              <w:rPr>
                <w:b/>
                <w:szCs w:val="20"/>
              </w:rPr>
            </w:pPr>
            <w:r>
              <w:t>NCT03056755</w:t>
            </w:r>
          </w:p>
        </w:tc>
        <w:tc>
          <w:tcPr>
            <w:tcW w:w="0" w:type="auto"/>
          </w:tcPr>
          <w:p w14:paraId="75AD73EB" w14:textId="77777777" w:rsidR="001A067E" w:rsidRDefault="001A067E" w:rsidP="00526478">
            <w:r>
              <w:t>Status: Recruiting</w:t>
            </w:r>
          </w:p>
          <w:p w14:paraId="1A44E3AD" w14:textId="77777777" w:rsidR="001A067E" w:rsidRDefault="001A067E" w:rsidP="00526478">
            <w:r>
              <w:t>Estimated enrolment: 336</w:t>
            </w:r>
          </w:p>
          <w:p w14:paraId="5FDF2D80" w14:textId="77777777" w:rsidR="004C49EF" w:rsidRDefault="001A067E" w:rsidP="00526478">
            <w:pPr>
              <w:rPr>
                <w:b/>
                <w:szCs w:val="20"/>
              </w:rPr>
            </w:pPr>
            <w:r w:rsidRPr="001A067E">
              <w:t xml:space="preserve">This is a phase II, </w:t>
            </w:r>
            <w:proofErr w:type="spellStart"/>
            <w:r w:rsidRPr="001A067E">
              <w:t>multicenter</w:t>
            </w:r>
            <w:proofErr w:type="spellEnd"/>
            <w:r w:rsidRPr="001A067E">
              <w:t xml:space="preserve">, open-label, three-cohort, non-comparative study of </w:t>
            </w:r>
            <w:proofErr w:type="spellStart"/>
            <w:r w:rsidRPr="001A067E">
              <w:t>alpelisib</w:t>
            </w:r>
            <w:proofErr w:type="spellEnd"/>
            <w:r w:rsidRPr="001A067E">
              <w:t xml:space="preserve"> plus endocrine therapy (either </w:t>
            </w:r>
            <w:proofErr w:type="spellStart"/>
            <w:r w:rsidRPr="001A067E">
              <w:t>fulvestrant</w:t>
            </w:r>
            <w:proofErr w:type="spellEnd"/>
            <w:r w:rsidRPr="001A067E">
              <w:t xml:space="preserve"> or </w:t>
            </w:r>
            <w:proofErr w:type="spellStart"/>
            <w:r w:rsidRPr="001A067E">
              <w:t>letrozole</w:t>
            </w:r>
            <w:proofErr w:type="spellEnd"/>
            <w:r w:rsidRPr="001A067E">
              <w:t xml:space="preserve">) in patients with HR+, HER2-negative </w:t>
            </w:r>
            <w:proofErr w:type="spellStart"/>
            <w:r w:rsidRPr="001A067E">
              <w:t>aBC</w:t>
            </w:r>
            <w:proofErr w:type="spellEnd"/>
            <w:r w:rsidRPr="001A067E">
              <w:t xml:space="preserve"> </w:t>
            </w:r>
            <w:proofErr w:type="spellStart"/>
            <w:r w:rsidRPr="001A067E">
              <w:t>harboring</w:t>
            </w:r>
            <w:proofErr w:type="spellEnd"/>
            <w:r w:rsidRPr="001A067E">
              <w:t xml:space="preserve"> PIK3CA mutation(s) in the </w:t>
            </w:r>
            <w:proofErr w:type="spellStart"/>
            <w:r w:rsidRPr="001A067E">
              <w:t>tumor</w:t>
            </w:r>
            <w:proofErr w:type="spellEnd"/>
            <w:r w:rsidRPr="001A067E">
              <w:t xml:space="preserve"> whose disease has progressed on or after prior treatments</w:t>
            </w:r>
          </w:p>
        </w:tc>
        <w:tc>
          <w:tcPr>
            <w:tcW w:w="0" w:type="auto"/>
          </w:tcPr>
          <w:p w14:paraId="0FE1768C" w14:textId="152A1EA4" w:rsidR="004C49EF" w:rsidRPr="00E82F54" w:rsidRDefault="0004708B" w:rsidP="00A256E0">
            <w:pPr>
              <w:rPr>
                <w:b/>
                <w:szCs w:val="20"/>
              </w:rPr>
            </w:pPr>
            <w:hyperlink r:id="rId29" w:history="1">
              <w:r w:rsidR="001A067E" w:rsidRPr="00847D46">
                <w:rPr>
                  <w:rStyle w:val="Hyperlink"/>
                </w:rPr>
                <w:t>clinicaltrials.gov/ct2/show/NCT03056755</w:t>
              </w:r>
            </w:hyperlink>
            <w:r w:rsidR="001A067E">
              <w:t xml:space="preserve"> </w:t>
            </w:r>
          </w:p>
        </w:tc>
        <w:tc>
          <w:tcPr>
            <w:tcW w:w="0" w:type="auto"/>
          </w:tcPr>
          <w:p w14:paraId="578D93AD" w14:textId="77777777" w:rsidR="004C49EF" w:rsidRPr="00E82F54" w:rsidRDefault="001A067E" w:rsidP="00526478">
            <w:pPr>
              <w:rPr>
                <w:b/>
                <w:szCs w:val="20"/>
              </w:rPr>
            </w:pPr>
            <w:r>
              <w:t>Estimate</w:t>
            </w:r>
            <w:r w:rsidR="00680BA8">
              <w:t>d</w:t>
            </w:r>
            <w:r>
              <w:t xml:space="preserve"> primary completion date: April 2020</w:t>
            </w:r>
          </w:p>
        </w:tc>
      </w:tr>
    </w:tbl>
    <w:p w14:paraId="2DB1C3AF"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7ACDD3B"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5DAFCCF1"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3C560F58" w14:textId="43A49F04" w:rsidR="00A727B6" w:rsidRDefault="007D6AEC" w:rsidP="00A727B6">
      <w:pPr>
        <w:ind w:left="426"/>
      </w:pPr>
      <w:r w:rsidRPr="00864F3C">
        <w:t>The Royal College of Pathologists of Australasia (RCPA)</w:t>
      </w:r>
      <w:r w:rsidR="00864F3C">
        <w:t xml:space="preserve"> – </w:t>
      </w:r>
      <w:r w:rsidR="00FF04CE" w:rsidRPr="00FA3055">
        <w:rPr>
          <w:b/>
        </w:rPr>
        <w:t>REDACTED</w:t>
      </w:r>
      <w:r w:rsidR="001A568D" w:rsidRPr="00FA3055">
        <w:rPr>
          <w:b/>
        </w:rPr>
        <w:t>.</w:t>
      </w:r>
      <w:r w:rsidR="00864F3C" w:rsidRPr="00C24BFF">
        <w:t xml:space="preserve"> </w:t>
      </w:r>
    </w:p>
    <w:p w14:paraId="4C977BFC" w14:textId="0BF58809" w:rsidR="007D6AEC" w:rsidRPr="00A727B6" w:rsidRDefault="007D6AEC" w:rsidP="00A727B6">
      <w:pPr>
        <w:ind w:left="426"/>
      </w:pPr>
      <w:r>
        <w:t xml:space="preserve">Medical Oncology Group of Australia (MOGA) </w:t>
      </w:r>
      <w:r w:rsidR="00864F3C">
        <w:t xml:space="preserve">– </w:t>
      </w:r>
      <w:r w:rsidR="00FF04CE" w:rsidRPr="00FA3055">
        <w:rPr>
          <w:b/>
        </w:rPr>
        <w:t>REDACTED</w:t>
      </w:r>
      <w:r w:rsidR="00864F3C" w:rsidRPr="00FA3055">
        <w:rPr>
          <w:b/>
        </w:rPr>
        <w:t>.</w:t>
      </w:r>
      <w:r w:rsidR="00864F3C" w:rsidRPr="00DB7B56">
        <w:t xml:space="preserve"> </w:t>
      </w:r>
    </w:p>
    <w:p w14:paraId="6A7C444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3C54D19B" w14:textId="77777777" w:rsidR="00EA173C" w:rsidRDefault="007D6AEC" w:rsidP="00A727B6">
      <w:pPr>
        <w:ind w:left="426"/>
      </w:pPr>
      <w:r>
        <w:t>Not applicable</w:t>
      </w:r>
    </w:p>
    <w:p w14:paraId="1CF9F16A"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BAF3BA3" w14:textId="259E95AB" w:rsidR="00E82F54" w:rsidRDefault="007D6AEC" w:rsidP="00A727B6">
      <w:pPr>
        <w:ind w:left="426"/>
        <w:rPr>
          <w:szCs w:val="20"/>
        </w:rPr>
      </w:pPr>
      <w:r w:rsidRPr="00864F3C">
        <w:t>Breast Cancer Network Australia (BCNA)</w:t>
      </w:r>
      <w:r w:rsidR="00864F3C" w:rsidRPr="00864F3C">
        <w:t xml:space="preserve"> – </w:t>
      </w:r>
      <w:r w:rsidR="00FF04CE" w:rsidRPr="00FA3055">
        <w:rPr>
          <w:b/>
        </w:rPr>
        <w:t>REDACTED</w:t>
      </w:r>
    </w:p>
    <w:p w14:paraId="4C8FA4AC"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3DAD26C3" w14:textId="77777777" w:rsidR="00EE6450" w:rsidRDefault="007D6AEC" w:rsidP="00EE6450">
      <w:pPr>
        <w:ind w:left="426"/>
        <w:rPr>
          <w:szCs w:val="20"/>
        </w:rPr>
      </w:pPr>
      <w:r>
        <w:t>Not applicable</w:t>
      </w:r>
    </w:p>
    <w:p w14:paraId="36B4DD3C" w14:textId="77777777" w:rsidR="00E82F54" w:rsidRDefault="00E82F54" w:rsidP="00530204">
      <w:pPr>
        <w:pStyle w:val="Heading2"/>
      </w:pPr>
      <w:r w:rsidRPr="00154B00">
        <w:t>Nominate two experts who could be approached about the proposed medical service and the current clinical management of the service(s):</w:t>
      </w:r>
    </w:p>
    <w:p w14:paraId="34A946E5" w14:textId="29C41D66" w:rsidR="00FF04CE" w:rsidRPr="00FA3055" w:rsidRDefault="00DB7B56" w:rsidP="00FA3055">
      <w:pPr>
        <w:ind w:left="426"/>
      </w:pPr>
      <w:r w:rsidRPr="007E248E">
        <w:rPr>
          <w:szCs w:val="20"/>
        </w:rPr>
        <w:t>Name of</w:t>
      </w:r>
      <w:r>
        <w:rPr>
          <w:szCs w:val="20"/>
        </w:rPr>
        <w:t xml:space="preserve"> Pathologist 1</w:t>
      </w:r>
      <w:r w:rsidRPr="007E248E">
        <w:rPr>
          <w:szCs w:val="20"/>
        </w:rPr>
        <w:t xml:space="preserve">: </w:t>
      </w:r>
      <w:r w:rsidR="00FF04CE" w:rsidRPr="00FA3055">
        <w:rPr>
          <w:b/>
        </w:rPr>
        <w:t>REDACTED</w:t>
      </w:r>
    </w:p>
    <w:p w14:paraId="0AAF0376" w14:textId="0102852C" w:rsidR="00FF04CE" w:rsidRPr="00FA3055" w:rsidRDefault="00DB7B56" w:rsidP="00FA3055">
      <w:pPr>
        <w:ind w:left="426"/>
      </w:pPr>
      <w:r w:rsidRPr="007E248E">
        <w:rPr>
          <w:szCs w:val="20"/>
        </w:rPr>
        <w:t xml:space="preserve">Name of </w:t>
      </w:r>
      <w:r>
        <w:rPr>
          <w:szCs w:val="20"/>
        </w:rPr>
        <w:t>Pathologist 2</w:t>
      </w:r>
      <w:r w:rsidRPr="007E248E">
        <w:rPr>
          <w:szCs w:val="20"/>
        </w:rPr>
        <w:t xml:space="preserve">: </w:t>
      </w:r>
      <w:r w:rsidR="00FF04CE" w:rsidRPr="00FA3055">
        <w:rPr>
          <w:b/>
        </w:rPr>
        <w:t>REDACTED</w:t>
      </w:r>
    </w:p>
    <w:p w14:paraId="0D26FFBE" w14:textId="70885B50" w:rsidR="00987ABE" w:rsidRPr="00FF04CE" w:rsidRDefault="00DB7B56" w:rsidP="00FF04CE">
      <w:pPr>
        <w:ind w:left="426"/>
      </w:pPr>
      <w:r w:rsidRPr="00DB7B56">
        <w:rPr>
          <w:szCs w:val="20"/>
        </w:rPr>
        <w:t xml:space="preserve">Name of Medical Oncologist 1: </w:t>
      </w:r>
      <w:r w:rsidR="00FF04CE" w:rsidRPr="00FA3055">
        <w:rPr>
          <w:b/>
        </w:rPr>
        <w:t>REDACTED</w:t>
      </w:r>
    </w:p>
    <w:p w14:paraId="1A1A148A" w14:textId="77777777" w:rsidR="00FA3055" w:rsidRDefault="00FA3055" w:rsidP="00E82F54">
      <w:pPr>
        <w:ind w:left="426"/>
        <w:rPr>
          <w:i/>
          <w:szCs w:val="20"/>
        </w:rPr>
      </w:pPr>
    </w:p>
    <w:p w14:paraId="2C2DD1C0" w14:textId="42F05C84"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74D46F4A" w14:textId="77777777" w:rsidR="003433D1" w:rsidRDefault="003433D1">
      <w:pPr>
        <w:rPr>
          <w:b/>
          <w:sz w:val="32"/>
          <w:szCs w:val="32"/>
        </w:rPr>
      </w:pPr>
      <w:r>
        <w:rPr>
          <w:b/>
          <w:sz w:val="32"/>
          <w:szCs w:val="32"/>
        </w:rPr>
        <w:br w:type="page"/>
      </w:r>
    </w:p>
    <w:p w14:paraId="14BE6119"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669FAF42" w14:textId="77777777" w:rsidR="0021185D" w:rsidRPr="005C3AE7" w:rsidRDefault="005C3AE7" w:rsidP="005C3AE7">
      <w:pPr>
        <w:pStyle w:val="Subtitle"/>
      </w:pPr>
      <w:r w:rsidRPr="005C3AE7">
        <w:t xml:space="preserve">PART 6a – </w:t>
      </w:r>
      <w:r w:rsidR="0021185D" w:rsidRPr="005C3AE7">
        <w:t>INFORMATION ABOUT THE PROPOSED POPULATION</w:t>
      </w:r>
    </w:p>
    <w:p w14:paraId="17135324"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B694F96" w14:textId="77777777" w:rsidR="002A6753" w:rsidRDefault="00430FB2" w:rsidP="00B45D8C">
      <w:pPr>
        <w:ind w:left="426"/>
      </w:pPr>
      <w:r>
        <w:t>Worldwide, b</w:t>
      </w:r>
      <w:r w:rsidR="00B45D8C">
        <w:t xml:space="preserve">reast cancer is the most common cancer diagnosed </w:t>
      </w:r>
      <w:r w:rsidR="004F3429">
        <w:t xml:space="preserve">and the leading cause of cancer-related death </w:t>
      </w:r>
      <w:r w:rsidR="00B45D8C">
        <w:t>in women (</w:t>
      </w:r>
      <w:r w:rsidRPr="00430FB2">
        <w:t>Global Burden of Disease Cancer Collaboration</w:t>
      </w:r>
      <w:r>
        <w:t xml:space="preserve"> 2018</w:t>
      </w:r>
      <w:r w:rsidR="00B45D8C">
        <w:t>).</w:t>
      </w:r>
      <w:r w:rsidR="009F3B77">
        <w:rPr>
          <w:rStyle w:val="FootnoteReference"/>
        </w:rPr>
        <w:footnoteReference w:id="8"/>
      </w:r>
      <w:r w:rsidR="00B45D8C">
        <w:t xml:space="preserve"> </w:t>
      </w:r>
      <w:r w:rsidR="009579EF">
        <w:t>In Australia</w:t>
      </w:r>
      <w:r w:rsidR="004F3429">
        <w:t xml:space="preserve"> in </w:t>
      </w:r>
      <w:r w:rsidR="0030134C">
        <w:t>2018</w:t>
      </w:r>
      <w:r w:rsidR="009579EF">
        <w:t xml:space="preserve">, it </w:t>
      </w:r>
      <w:r w:rsidR="0030134C">
        <w:t xml:space="preserve">was estimated that </w:t>
      </w:r>
      <w:r w:rsidR="009B722F">
        <w:t>18,235 patients would be diagnosed with breast cancer (99.2% women), and 3,157 patients would die of their disease (99.1% women).</w:t>
      </w:r>
      <w:r w:rsidR="009B722F">
        <w:rPr>
          <w:rStyle w:val="FootnoteReference"/>
        </w:rPr>
        <w:footnoteReference w:id="9"/>
      </w:r>
      <w:r w:rsidR="0030134C">
        <w:t xml:space="preserve"> </w:t>
      </w:r>
      <w:r w:rsidR="009B722F">
        <w:t xml:space="preserve">While breast </w:t>
      </w:r>
      <w:r w:rsidR="00B45D8C">
        <w:t>cancer in men is rare, with &lt; 1% of breast cancer diagnoses in male subjects</w:t>
      </w:r>
      <w:r w:rsidR="009B722F">
        <w:t>, t</w:t>
      </w:r>
      <w:r w:rsidR="00B45D8C">
        <w:t>reatment recommendations are the same for both the genders.</w:t>
      </w:r>
    </w:p>
    <w:p w14:paraId="721F2094" w14:textId="77777777" w:rsidR="009579EF" w:rsidRDefault="009579EF" w:rsidP="009579EF">
      <w:pPr>
        <w:ind w:left="426"/>
        <w:rPr>
          <w:szCs w:val="20"/>
        </w:rPr>
      </w:pPr>
      <w:r w:rsidRPr="009579EF">
        <w:rPr>
          <w:szCs w:val="20"/>
        </w:rPr>
        <w:t xml:space="preserve">Based on the expression of </w:t>
      </w:r>
      <w:r w:rsidR="009F3B77">
        <w:rPr>
          <w:szCs w:val="20"/>
        </w:rPr>
        <w:t>hormone receptors</w:t>
      </w:r>
      <w:r w:rsidRPr="009579EF">
        <w:rPr>
          <w:szCs w:val="20"/>
        </w:rPr>
        <w:t xml:space="preserve"> and HER2, breast cancer can be categori</w:t>
      </w:r>
      <w:r w:rsidR="009F3B77">
        <w:rPr>
          <w:szCs w:val="20"/>
        </w:rPr>
        <w:t>s</w:t>
      </w:r>
      <w:r w:rsidRPr="009579EF">
        <w:rPr>
          <w:szCs w:val="20"/>
        </w:rPr>
        <w:t>ed into different</w:t>
      </w:r>
      <w:r>
        <w:rPr>
          <w:szCs w:val="20"/>
        </w:rPr>
        <w:t xml:space="preserve"> </w:t>
      </w:r>
      <w:r w:rsidRPr="009579EF">
        <w:rPr>
          <w:szCs w:val="20"/>
        </w:rPr>
        <w:t>histopathologic subtypes. Approximately 60-70% of breast tumo</w:t>
      </w:r>
      <w:r w:rsidR="001500B8">
        <w:rPr>
          <w:szCs w:val="20"/>
        </w:rPr>
        <w:t>u</w:t>
      </w:r>
      <w:r w:rsidRPr="009579EF">
        <w:rPr>
          <w:szCs w:val="20"/>
        </w:rPr>
        <w:t xml:space="preserve">rs are </w:t>
      </w:r>
      <w:r w:rsidR="009F3B77">
        <w:rPr>
          <w:szCs w:val="20"/>
        </w:rPr>
        <w:t>HR+</w:t>
      </w:r>
      <w:r w:rsidR="001500B8">
        <w:rPr>
          <w:szCs w:val="20"/>
        </w:rPr>
        <w:t>/</w:t>
      </w:r>
      <w:r w:rsidRPr="009579EF">
        <w:rPr>
          <w:szCs w:val="20"/>
        </w:rPr>
        <w:t>HER2</w:t>
      </w:r>
      <w:r w:rsidR="00B33B16">
        <w:rPr>
          <w:szCs w:val="20"/>
        </w:rPr>
        <w:t>–</w:t>
      </w:r>
      <w:r w:rsidR="009F3B77">
        <w:rPr>
          <w:szCs w:val="20"/>
        </w:rPr>
        <w:t>.</w:t>
      </w:r>
      <w:r w:rsidR="009F3B77">
        <w:rPr>
          <w:rStyle w:val="FootnoteReference"/>
          <w:szCs w:val="20"/>
        </w:rPr>
        <w:footnoteReference w:id="10"/>
      </w:r>
      <w:r w:rsidR="009F3B77">
        <w:rPr>
          <w:szCs w:val="20"/>
        </w:rPr>
        <w:t xml:space="preserve"> </w:t>
      </w:r>
      <w:r w:rsidRPr="009579EF">
        <w:rPr>
          <w:szCs w:val="20"/>
        </w:rPr>
        <w:t>Endocrine therapy is the treatment of choice for subjects with HR</w:t>
      </w:r>
      <w:r w:rsidR="009F3B77">
        <w:rPr>
          <w:szCs w:val="20"/>
        </w:rPr>
        <w:t>+</w:t>
      </w:r>
      <w:r w:rsidRPr="009579EF">
        <w:rPr>
          <w:szCs w:val="20"/>
        </w:rPr>
        <w:t xml:space="preserve"> advanced breast</w:t>
      </w:r>
      <w:r>
        <w:rPr>
          <w:szCs w:val="20"/>
        </w:rPr>
        <w:t xml:space="preserve"> </w:t>
      </w:r>
      <w:r w:rsidRPr="009579EF">
        <w:rPr>
          <w:szCs w:val="20"/>
        </w:rPr>
        <w:t xml:space="preserve">cancer. Endocrine therapies include selective </w:t>
      </w:r>
      <w:r w:rsidR="009F3B77">
        <w:rPr>
          <w:szCs w:val="20"/>
        </w:rPr>
        <w:t>oestrogen receptor (ER)</w:t>
      </w:r>
      <w:r w:rsidRPr="009579EF">
        <w:rPr>
          <w:szCs w:val="20"/>
        </w:rPr>
        <w:t xml:space="preserve"> modulators (SERM</w:t>
      </w:r>
      <w:r w:rsidR="009F3B77">
        <w:rPr>
          <w:szCs w:val="20"/>
        </w:rPr>
        <w:t>s</w:t>
      </w:r>
      <w:r w:rsidRPr="009579EF">
        <w:rPr>
          <w:szCs w:val="20"/>
        </w:rPr>
        <w:t>; e.g. tamoxifen), selective</w:t>
      </w:r>
      <w:r>
        <w:rPr>
          <w:szCs w:val="20"/>
        </w:rPr>
        <w:t xml:space="preserve"> </w:t>
      </w:r>
      <w:r w:rsidRPr="009579EF">
        <w:rPr>
          <w:szCs w:val="20"/>
        </w:rPr>
        <w:t xml:space="preserve">non-steroidal </w:t>
      </w:r>
      <w:r w:rsidR="00302490">
        <w:rPr>
          <w:szCs w:val="20"/>
        </w:rPr>
        <w:t>aromatase inhibitors</w:t>
      </w:r>
      <w:r w:rsidRPr="009579EF">
        <w:rPr>
          <w:szCs w:val="20"/>
        </w:rPr>
        <w:t xml:space="preserve"> (NSAI; </w:t>
      </w:r>
      <w:r w:rsidR="00302490">
        <w:rPr>
          <w:szCs w:val="20"/>
        </w:rPr>
        <w:t xml:space="preserve">e.g. </w:t>
      </w:r>
      <w:proofErr w:type="spellStart"/>
      <w:r w:rsidRPr="009579EF">
        <w:rPr>
          <w:szCs w:val="20"/>
        </w:rPr>
        <w:t>letrozole</w:t>
      </w:r>
      <w:proofErr w:type="spellEnd"/>
      <w:r w:rsidRPr="009579EF">
        <w:rPr>
          <w:szCs w:val="20"/>
        </w:rPr>
        <w:t xml:space="preserve"> and </w:t>
      </w:r>
      <w:proofErr w:type="spellStart"/>
      <w:r w:rsidRPr="009579EF">
        <w:rPr>
          <w:szCs w:val="20"/>
        </w:rPr>
        <w:t>anastrozole</w:t>
      </w:r>
      <w:proofErr w:type="spellEnd"/>
      <w:r w:rsidRPr="009579EF">
        <w:rPr>
          <w:szCs w:val="20"/>
        </w:rPr>
        <w:t xml:space="preserve">), steroidal </w:t>
      </w:r>
      <w:r w:rsidR="00302490">
        <w:rPr>
          <w:szCs w:val="20"/>
        </w:rPr>
        <w:t>aromatase inhibitors</w:t>
      </w:r>
      <w:r w:rsidRPr="009579EF">
        <w:rPr>
          <w:szCs w:val="20"/>
        </w:rPr>
        <w:t xml:space="preserve"> (e.g. </w:t>
      </w:r>
      <w:proofErr w:type="spellStart"/>
      <w:r w:rsidRPr="009579EF">
        <w:rPr>
          <w:szCs w:val="20"/>
        </w:rPr>
        <w:t>exemestane</w:t>
      </w:r>
      <w:proofErr w:type="spellEnd"/>
      <w:r w:rsidRPr="009579EF">
        <w:rPr>
          <w:szCs w:val="20"/>
        </w:rPr>
        <w:t>), and</w:t>
      </w:r>
      <w:r>
        <w:rPr>
          <w:szCs w:val="20"/>
        </w:rPr>
        <w:t xml:space="preserve"> </w:t>
      </w:r>
      <w:r w:rsidRPr="009579EF">
        <w:rPr>
          <w:szCs w:val="20"/>
        </w:rPr>
        <w:t xml:space="preserve">ER antagonists (e.g. </w:t>
      </w:r>
      <w:proofErr w:type="spellStart"/>
      <w:r w:rsidRPr="009579EF">
        <w:rPr>
          <w:szCs w:val="20"/>
        </w:rPr>
        <w:t>fulvestrant</w:t>
      </w:r>
      <w:proofErr w:type="spellEnd"/>
      <w:r w:rsidRPr="009579EF">
        <w:rPr>
          <w:szCs w:val="20"/>
        </w:rPr>
        <w:t>).</w:t>
      </w:r>
      <w:r w:rsidR="009F3B77">
        <w:rPr>
          <w:rStyle w:val="FootnoteReference"/>
          <w:szCs w:val="20"/>
        </w:rPr>
        <w:footnoteReference w:id="11"/>
      </w:r>
      <w:r w:rsidRPr="009579EF">
        <w:rPr>
          <w:szCs w:val="20"/>
        </w:rPr>
        <w:t xml:space="preserve"> Endocrine therapy may be given in first,</w:t>
      </w:r>
      <w:r>
        <w:rPr>
          <w:szCs w:val="20"/>
        </w:rPr>
        <w:t xml:space="preserve"> </w:t>
      </w:r>
      <w:r w:rsidRPr="009579EF">
        <w:rPr>
          <w:szCs w:val="20"/>
        </w:rPr>
        <w:t xml:space="preserve">second, or later lines of therapy for advanced </w:t>
      </w:r>
      <w:r w:rsidR="009F3B77">
        <w:rPr>
          <w:szCs w:val="20"/>
        </w:rPr>
        <w:t>breast cancer</w:t>
      </w:r>
      <w:r w:rsidRPr="001500B8">
        <w:rPr>
          <w:szCs w:val="20"/>
        </w:rPr>
        <w:t>.</w:t>
      </w:r>
      <w:r w:rsidR="009F3B77">
        <w:rPr>
          <w:rStyle w:val="FootnoteReference"/>
          <w:szCs w:val="20"/>
        </w:rPr>
        <w:footnoteReference w:id="12"/>
      </w:r>
      <w:r w:rsidRPr="001500B8">
        <w:rPr>
          <w:szCs w:val="20"/>
        </w:rPr>
        <w:t xml:space="preserve"> Progressive disease ultimately develops in all subjects, either due to primary resistance (de novo resistance) or relapse/progression following an initial response (acquired resistance). Despite significant advances in treating subjects with HR</w:t>
      </w:r>
      <w:r w:rsidR="003A2B83">
        <w:rPr>
          <w:szCs w:val="20"/>
        </w:rPr>
        <w:t>+</w:t>
      </w:r>
      <w:r w:rsidRPr="001500B8">
        <w:rPr>
          <w:szCs w:val="20"/>
        </w:rPr>
        <w:t xml:space="preserve"> breast cancer, the development of endocrine resistance and hence disease progression, remains a critical problem.</w:t>
      </w:r>
      <w:r w:rsidR="009F3B77">
        <w:rPr>
          <w:rStyle w:val="FootnoteReference"/>
          <w:szCs w:val="20"/>
        </w:rPr>
        <w:footnoteReference w:id="13"/>
      </w:r>
      <w:r w:rsidRPr="001500B8">
        <w:rPr>
          <w:szCs w:val="20"/>
        </w:rPr>
        <w:t xml:space="preserve"> New therapies with improved efficacy, ideally paired with predictive biomarkers to allow selection of subjects who would benefit the most, are therefore required.</w:t>
      </w:r>
    </w:p>
    <w:p w14:paraId="2F31CDF8" w14:textId="77777777" w:rsidR="0030134C" w:rsidRDefault="0030134C" w:rsidP="0030134C">
      <w:pPr>
        <w:ind w:left="426"/>
        <w:rPr>
          <w:szCs w:val="20"/>
        </w:rPr>
      </w:pPr>
      <w:r w:rsidRPr="0030134C">
        <w:rPr>
          <w:szCs w:val="20"/>
        </w:rPr>
        <w:t>Two new classes of targeted compounds have demonstrated clinical efficacy when combined with endocrine</w:t>
      </w:r>
      <w:r>
        <w:rPr>
          <w:szCs w:val="20"/>
        </w:rPr>
        <w:t xml:space="preserve"> </w:t>
      </w:r>
      <w:r w:rsidRPr="0030134C">
        <w:rPr>
          <w:szCs w:val="20"/>
        </w:rPr>
        <w:t>therapy and obtained regulatory approvals in HR</w:t>
      </w:r>
      <w:r w:rsidR="009F3B77">
        <w:rPr>
          <w:szCs w:val="20"/>
        </w:rPr>
        <w:t>+/</w:t>
      </w:r>
      <w:r w:rsidRPr="0030134C">
        <w:rPr>
          <w:szCs w:val="20"/>
        </w:rPr>
        <w:t>HER2</w:t>
      </w:r>
      <w:r w:rsidR="00B33B16">
        <w:rPr>
          <w:szCs w:val="20"/>
        </w:rPr>
        <w:t>–</w:t>
      </w:r>
      <w:r w:rsidR="009F3B77">
        <w:rPr>
          <w:szCs w:val="20"/>
        </w:rPr>
        <w:t xml:space="preserve"> </w:t>
      </w:r>
      <w:r w:rsidR="009F3B77" w:rsidRPr="0030134C">
        <w:rPr>
          <w:szCs w:val="20"/>
        </w:rPr>
        <w:t xml:space="preserve">advanced </w:t>
      </w:r>
      <w:r w:rsidRPr="0030134C">
        <w:rPr>
          <w:szCs w:val="20"/>
        </w:rPr>
        <w:t>breast</w:t>
      </w:r>
      <w:r>
        <w:rPr>
          <w:szCs w:val="20"/>
        </w:rPr>
        <w:t xml:space="preserve"> </w:t>
      </w:r>
      <w:r w:rsidRPr="0030134C">
        <w:rPr>
          <w:szCs w:val="20"/>
        </w:rPr>
        <w:t>cancer</w:t>
      </w:r>
      <w:r>
        <w:rPr>
          <w:szCs w:val="20"/>
        </w:rPr>
        <w:t>: (</w:t>
      </w:r>
      <w:proofErr w:type="spellStart"/>
      <w:r>
        <w:rPr>
          <w:szCs w:val="20"/>
        </w:rPr>
        <w:t>i</w:t>
      </w:r>
      <w:proofErr w:type="spellEnd"/>
      <w:r>
        <w:rPr>
          <w:szCs w:val="20"/>
        </w:rPr>
        <w:t xml:space="preserve">) </w:t>
      </w:r>
      <w:r w:rsidRPr="0030134C">
        <w:rPr>
          <w:szCs w:val="20"/>
        </w:rPr>
        <w:t>mammalian target of rapamycin (</w:t>
      </w:r>
      <w:proofErr w:type="spellStart"/>
      <w:r w:rsidRPr="0030134C">
        <w:rPr>
          <w:szCs w:val="20"/>
        </w:rPr>
        <w:t>mTOR</w:t>
      </w:r>
      <w:proofErr w:type="spellEnd"/>
      <w:r w:rsidRPr="0030134C">
        <w:rPr>
          <w:szCs w:val="20"/>
        </w:rPr>
        <w:t>) inhibitors,</w:t>
      </w:r>
      <w:r>
        <w:rPr>
          <w:szCs w:val="20"/>
        </w:rPr>
        <w:t xml:space="preserve"> </w:t>
      </w:r>
      <w:r w:rsidRPr="0030134C">
        <w:rPr>
          <w:szCs w:val="20"/>
        </w:rPr>
        <w:t xml:space="preserve">e.g. </w:t>
      </w:r>
      <w:proofErr w:type="spellStart"/>
      <w:r w:rsidRPr="0030134C">
        <w:rPr>
          <w:szCs w:val="20"/>
        </w:rPr>
        <w:t>everolimus</w:t>
      </w:r>
      <w:proofErr w:type="spellEnd"/>
      <w:r w:rsidRPr="0030134C">
        <w:rPr>
          <w:szCs w:val="20"/>
        </w:rPr>
        <w:t xml:space="preserve">, and </w:t>
      </w:r>
      <w:r>
        <w:rPr>
          <w:szCs w:val="20"/>
        </w:rPr>
        <w:t xml:space="preserve">(ii) </w:t>
      </w:r>
      <w:r w:rsidRPr="0030134C">
        <w:rPr>
          <w:szCs w:val="20"/>
        </w:rPr>
        <w:t xml:space="preserve">cyclin-dependent kinase 4/6 (CDK4/6) inhibitors, e.g. </w:t>
      </w:r>
      <w:proofErr w:type="spellStart"/>
      <w:r w:rsidRPr="0030134C">
        <w:rPr>
          <w:szCs w:val="20"/>
        </w:rPr>
        <w:t>palbociclib</w:t>
      </w:r>
      <w:proofErr w:type="spellEnd"/>
      <w:r w:rsidRPr="0030134C">
        <w:rPr>
          <w:szCs w:val="20"/>
        </w:rPr>
        <w:t>,</w:t>
      </w:r>
      <w:r>
        <w:rPr>
          <w:szCs w:val="20"/>
        </w:rPr>
        <w:t xml:space="preserve"> </w:t>
      </w:r>
      <w:proofErr w:type="spellStart"/>
      <w:r w:rsidRPr="0030134C">
        <w:rPr>
          <w:szCs w:val="20"/>
        </w:rPr>
        <w:t>ribociclib</w:t>
      </w:r>
      <w:proofErr w:type="spellEnd"/>
      <w:r w:rsidRPr="0030134C">
        <w:rPr>
          <w:szCs w:val="20"/>
        </w:rPr>
        <w:t xml:space="preserve">, and </w:t>
      </w:r>
      <w:proofErr w:type="spellStart"/>
      <w:r w:rsidRPr="0030134C">
        <w:rPr>
          <w:szCs w:val="20"/>
        </w:rPr>
        <w:t>abemaciclib</w:t>
      </w:r>
      <w:proofErr w:type="spellEnd"/>
      <w:r w:rsidR="00922CB9">
        <w:rPr>
          <w:szCs w:val="20"/>
        </w:rPr>
        <w:t>)</w:t>
      </w:r>
      <w:r w:rsidRPr="0030134C">
        <w:rPr>
          <w:szCs w:val="20"/>
        </w:rPr>
        <w:t>.</w:t>
      </w:r>
      <w:r w:rsidR="009F3B77">
        <w:rPr>
          <w:rStyle w:val="FootnoteReference"/>
          <w:szCs w:val="20"/>
        </w:rPr>
        <w:footnoteReference w:id="14"/>
      </w:r>
      <w:r w:rsidRPr="0030134C">
        <w:rPr>
          <w:szCs w:val="20"/>
        </w:rPr>
        <w:t xml:space="preserve"> No predictive biomarkers have been identified to select patients</w:t>
      </w:r>
      <w:r>
        <w:rPr>
          <w:szCs w:val="20"/>
        </w:rPr>
        <w:t xml:space="preserve"> </w:t>
      </w:r>
      <w:r w:rsidRPr="0030134C">
        <w:rPr>
          <w:szCs w:val="20"/>
        </w:rPr>
        <w:t>that would benefit the most from these therapies to date.</w:t>
      </w:r>
      <w:r w:rsidR="00922CB9">
        <w:rPr>
          <w:rStyle w:val="FootnoteReference"/>
          <w:szCs w:val="20"/>
        </w:rPr>
        <w:footnoteReference w:id="15"/>
      </w:r>
    </w:p>
    <w:p w14:paraId="24B774D8" w14:textId="77777777" w:rsidR="0030134C" w:rsidRPr="00154B00" w:rsidRDefault="0030134C" w:rsidP="0030134C">
      <w:pPr>
        <w:ind w:left="426"/>
        <w:rPr>
          <w:szCs w:val="20"/>
        </w:rPr>
      </w:pPr>
      <w:r w:rsidRPr="0030134C">
        <w:rPr>
          <w:szCs w:val="20"/>
        </w:rPr>
        <w:lastRenderedPageBreak/>
        <w:t xml:space="preserve">The </w:t>
      </w:r>
      <w:r>
        <w:rPr>
          <w:szCs w:val="20"/>
        </w:rPr>
        <w:t>p</w:t>
      </w:r>
      <w:r w:rsidRPr="0030134C">
        <w:rPr>
          <w:szCs w:val="20"/>
        </w:rPr>
        <w:t xml:space="preserve">hosphoinositide 3-kinase </w:t>
      </w:r>
      <w:r>
        <w:rPr>
          <w:szCs w:val="20"/>
        </w:rPr>
        <w:t>(</w:t>
      </w:r>
      <w:r w:rsidRPr="0030134C">
        <w:rPr>
          <w:szCs w:val="20"/>
        </w:rPr>
        <w:t>PI3K</w:t>
      </w:r>
      <w:r>
        <w:rPr>
          <w:szCs w:val="20"/>
        </w:rPr>
        <w:t>)</w:t>
      </w:r>
      <w:r w:rsidRPr="0030134C">
        <w:rPr>
          <w:szCs w:val="20"/>
        </w:rPr>
        <w:t>/</w:t>
      </w:r>
      <w:r>
        <w:rPr>
          <w:szCs w:val="20"/>
        </w:rPr>
        <w:t>protein kinase B (</w:t>
      </w:r>
      <w:r w:rsidRPr="0030134C">
        <w:rPr>
          <w:szCs w:val="20"/>
        </w:rPr>
        <w:t>AKT</w:t>
      </w:r>
      <w:r>
        <w:rPr>
          <w:szCs w:val="20"/>
        </w:rPr>
        <w:t>)</w:t>
      </w:r>
      <w:r w:rsidRPr="0030134C">
        <w:rPr>
          <w:szCs w:val="20"/>
        </w:rPr>
        <w:t>/</w:t>
      </w:r>
      <w:proofErr w:type="spellStart"/>
      <w:r w:rsidRPr="0030134C">
        <w:rPr>
          <w:szCs w:val="20"/>
        </w:rPr>
        <w:t>mTOR</w:t>
      </w:r>
      <w:proofErr w:type="spellEnd"/>
      <w:r w:rsidRPr="0030134C">
        <w:rPr>
          <w:szCs w:val="20"/>
        </w:rPr>
        <w:t xml:space="preserve"> pathway is postulated to be a central oncogenic pathway that regulates</w:t>
      </w:r>
      <w:r>
        <w:rPr>
          <w:szCs w:val="20"/>
        </w:rPr>
        <w:t xml:space="preserve"> </w:t>
      </w:r>
      <w:r w:rsidRPr="0030134C">
        <w:rPr>
          <w:szCs w:val="20"/>
        </w:rPr>
        <w:t xml:space="preserve">cell proliferation, cell metabolism, growth, survival, and apoptosis. </w:t>
      </w:r>
      <w:r>
        <w:rPr>
          <w:szCs w:val="20"/>
        </w:rPr>
        <w:t>The</w:t>
      </w:r>
      <w:r w:rsidRPr="0030134C">
        <w:rPr>
          <w:szCs w:val="20"/>
        </w:rPr>
        <w:t xml:space="preserve"> PI3K pathway may be activated by gain of function mutations and/or amplification of the</w:t>
      </w:r>
      <w:r>
        <w:rPr>
          <w:szCs w:val="20"/>
        </w:rPr>
        <w:t xml:space="preserve"> </w:t>
      </w:r>
      <w:r w:rsidRPr="0030134C">
        <w:rPr>
          <w:szCs w:val="20"/>
        </w:rPr>
        <w:t>PIK3CA gene.</w:t>
      </w:r>
      <w:r w:rsidR="00922CB9">
        <w:rPr>
          <w:rStyle w:val="FootnoteReference"/>
          <w:szCs w:val="20"/>
        </w:rPr>
        <w:footnoteReference w:id="16"/>
      </w:r>
      <w:r w:rsidRPr="0030134C">
        <w:rPr>
          <w:szCs w:val="20"/>
        </w:rPr>
        <w:t xml:space="preserve"> PI3K </w:t>
      </w:r>
      <w:r w:rsidR="00922CB9" w:rsidRPr="0030134C">
        <w:rPr>
          <w:szCs w:val="20"/>
        </w:rPr>
        <w:t>signalling</w:t>
      </w:r>
      <w:r w:rsidRPr="0030134C">
        <w:rPr>
          <w:szCs w:val="20"/>
        </w:rPr>
        <w:t xml:space="preserve"> is known to be a critical step in mediating the transforming</w:t>
      </w:r>
      <w:r>
        <w:rPr>
          <w:szCs w:val="20"/>
        </w:rPr>
        <w:t xml:space="preserve"> </w:t>
      </w:r>
      <w:r w:rsidRPr="0030134C">
        <w:rPr>
          <w:szCs w:val="20"/>
        </w:rPr>
        <w:t xml:space="preserve">potential of oncogenes and </w:t>
      </w:r>
      <w:proofErr w:type="spellStart"/>
      <w:r w:rsidRPr="0030134C">
        <w:rPr>
          <w:szCs w:val="20"/>
        </w:rPr>
        <w:t>tumor</w:t>
      </w:r>
      <w:proofErr w:type="spellEnd"/>
      <w:r w:rsidRPr="0030134C">
        <w:rPr>
          <w:szCs w:val="20"/>
        </w:rPr>
        <w:t xml:space="preserve"> suppressors in many</w:t>
      </w:r>
      <w:r>
        <w:rPr>
          <w:szCs w:val="20"/>
        </w:rPr>
        <w:t xml:space="preserve"> </w:t>
      </w:r>
      <w:proofErr w:type="spellStart"/>
      <w:r>
        <w:rPr>
          <w:szCs w:val="20"/>
        </w:rPr>
        <w:t>tumor</w:t>
      </w:r>
      <w:proofErr w:type="spellEnd"/>
      <w:r>
        <w:rPr>
          <w:szCs w:val="20"/>
        </w:rPr>
        <w:t xml:space="preserve"> types,</w:t>
      </w:r>
      <w:r w:rsidR="00922CB9">
        <w:rPr>
          <w:rStyle w:val="FootnoteReference"/>
          <w:szCs w:val="20"/>
        </w:rPr>
        <w:footnoteReference w:id="17"/>
      </w:r>
      <w:r>
        <w:rPr>
          <w:szCs w:val="20"/>
        </w:rPr>
        <w:t xml:space="preserve"> and c</w:t>
      </w:r>
      <w:r w:rsidRPr="0030134C">
        <w:rPr>
          <w:szCs w:val="20"/>
        </w:rPr>
        <w:t>hanges</w:t>
      </w:r>
      <w:r>
        <w:rPr>
          <w:szCs w:val="20"/>
        </w:rPr>
        <w:t xml:space="preserve"> </w:t>
      </w:r>
      <w:r w:rsidRPr="0030134C">
        <w:rPr>
          <w:szCs w:val="20"/>
        </w:rPr>
        <w:t>in PI3K activity are associated with resistance to endocrine, chemo-, radio-, and anti-HER2</w:t>
      </w:r>
      <w:r>
        <w:rPr>
          <w:szCs w:val="20"/>
        </w:rPr>
        <w:t xml:space="preserve"> </w:t>
      </w:r>
      <w:r w:rsidRPr="0030134C">
        <w:rPr>
          <w:szCs w:val="20"/>
        </w:rPr>
        <w:t>therapies.</w:t>
      </w:r>
      <w:r w:rsidR="00922CB9">
        <w:rPr>
          <w:rStyle w:val="FootnoteReference"/>
          <w:szCs w:val="20"/>
        </w:rPr>
        <w:footnoteReference w:id="18"/>
      </w:r>
      <w:r w:rsidRPr="0030134C">
        <w:rPr>
          <w:szCs w:val="20"/>
        </w:rPr>
        <w:t xml:space="preserve"> Targeted therapy with a PIK3CA inhibitor could therefore be</w:t>
      </w:r>
      <w:r>
        <w:rPr>
          <w:szCs w:val="20"/>
        </w:rPr>
        <w:t xml:space="preserve"> </w:t>
      </w:r>
      <w:r w:rsidRPr="0030134C">
        <w:rPr>
          <w:szCs w:val="20"/>
        </w:rPr>
        <w:t>considered a potentially valuable treatment option for subjects with HR</w:t>
      </w:r>
      <w:r w:rsidR="003A2B83">
        <w:rPr>
          <w:szCs w:val="20"/>
        </w:rPr>
        <w:t>+</w:t>
      </w:r>
      <w:r w:rsidRPr="0030134C">
        <w:rPr>
          <w:szCs w:val="20"/>
        </w:rPr>
        <w:t xml:space="preserve"> advanced</w:t>
      </w:r>
      <w:r>
        <w:rPr>
          <w:szCs w:val="20"/>
        </w:rPr>
        <w:t xml:space="preserve"> </w:t>
      </w:r>
      <w:r w:rsidRPr="0030134C">
        <w:rPr>
          <w:szCs w:val="20"/>
        </w:rPr>
        <w:t>breast cancer with a PIK3CA mutation that has developed resistance to prior endocrine</w:t>
      </w:r>
      <w:r>
        <w:rPr>
          <w:szCs w:val="20"/>
        </w:rPr>
        <w:t xml:space="preserve"> </w:t>
      </w:r>
      <w:r w:rsidRPr="0030134C">
        <w:rPr>
          <w:szCs w:val="20"/>
        </w:rPr>
        <w:t xml:space="preserve">treatment. </w:t>
      </w:r>
    </w:p>
    <w:p w14:paraId="2D0A3C77"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CBE6B55" w14:textId="7F7BAEE3" w:rsidR="000C13FE" w:rsidRDefault="000C13FE" w:rsidP="000C13FE">
      <w:pPr>
        <w:ind w:left="360"/>
      </w:pPr>
      <w:r>
        <w:t xml:space="preserve">As noted in </w:t>
      </w:r>
      <w:r w:rsidR="001A067E">
        <w:t>Question</w:t>
      </w:r>
      <w:r>
        <w:t xml:space="preserve"> 24 above, the population comprises postmenopausal women </w:t>
      </w:r>
      <w:r w:rsidR="00680BA8">
        <w:t xml:space="preserve">and men </w:t>
      </w:r>
      <w:r w:rsidR="00851A87">
        <w:t>with</w:t>
      </w:r>
      <w:r>
        <w:t xml:space="preserve"> HR+/HER2</w:t>
      </w:r>
      <w:r w:rsidR="00B33B16">
        <w:t xml:space="preserve">– </w:t>
      </w:r>
      <w:r w:rsidR="00851A87">
        <w:t xml:space="preserve">advanced breast cancer </w:t>
      </w:r>
      <w:r>
        <w:t xml:space="preserve">who have progressed on or after treatment with an </w:t>
      </w:r>
      <w:r w:rsidR="00302490">
        <w:t>aromatase inhibitor</w:t>
      </w:r>
      <w:r>
        <w:t xml:space="preserve">. Thus, patients </w:t>
      </w:r>
      <w:r w:rsidR="00E70F87">
        <w:t xml:space="preserve">potentially eligible for testing for a PIK3CA mutation </w:t>
      </w:r>
      <w:r>
        <w:t xml:space="preserve">would have had previous pathology testing for diagnosis of and characterisation of their breast cancer, and previous treatment with an </w:t>
      </w:r>
      <w:r w:rsidR="00302490">
        <w:t>aromatase inhibitor</w:t>
      </w:r>
      <w:r>
        <w:t xml:space="preserve">. </w:t>
      </w:r>
      <w:r w:rsidR="00E70F87">
        <w:t xml:space="preserve">In the SOLAR 1 trial, a majority of the </w:t>
      </w:r>
      <w:r w:rsidR="00922CB9">
        <w:t>PIK3CA-</w:t>
      </w:r>
      <w:r w:rsidR="00E70F87">
        <w:t xml:space="preserve">mutant population underwent one or more of surgery, radiotherapy and chemotherapy, </w:t>
      </w:r>
      <w:r w:rsidR="00AA71D5">
        <w:t>REDACTED</w:t>
      </w:r>
      <w:r w:rsidR="00E70F87">
        <w:t xml:space="preserve">.  </w:t>
      </w:r>
    </w:p>
    <w:p w14:paraId="30288E5F" w14:textId="77777777" w:rsidR="00C62941" w:rsidRDefault="00851A87" w:rsidP="00922CB9">
      <w:pPr>
        <w:ind w:left="360"/>
        <w:rPr>
          <w:szCs w:val="20"/>
        </w:rPr>
      </w:pPr>
      <w:r w:rsidRPr="0030134C">
        <w:rPr>
          <w:szCs w:val="20"/>
        </w:rPr>
        <w:t>PIK3CA</w:t>
      </w:r>
      <w:r>
        <w:rPr>
          <w:szCs w:val="20"/>
        </w:rPr>
        <w:t xml:space="preserve"> activating </w:t>
      </w:r>
      <w:r w:rsidR="009B722F" w:rsidRPr="0030134C">
        <w:rPr>
          <w:szCs w:val="20"/>
        </w:rPr>
        <w:t xml:space="preserve">mutations are reported in </w:t>
      </w:r>
      <w:r>
        <w:rPr>
          <w:szCs w:val="20"/>
        </w:rPr>
        <w:t xml:space="preserve">approximately </w:t>
      </w:r>
      <w:r w:rsidR="000934A7">
        <w:rPr>
          <w:szCs w:val="20"/>
        </w:rPr>
        <w:t>45</w:t>
      </w:r>
      <w:r>
        <w:rPr>
          <w:szCs w:val="20"/>
        </w:rPr>
        <w:t>%</w:t>
      </w:r>
      <w:r w:rsidR="009B722F" w:rsidRPr="0030134C">
        <w:rPr>
          <w:szCs w:val="20"/>
        </w:rPr>
        <w:t xml:space="preserve"> of</w:t>
      </w:r>
      <w:r w:rsidR="009B722F">
        <w:rPr>
          <w:szCs w:val="20"/>
        </w:rPr>
        <w:t xml:space="preserve"> </w:t>
      </w:r>
      <w:r w:rsidR="009B722F" w:rsidRPr="0030134C">
        <w:rPr>
          <w:szCs w:val="20"/>
        </w:rPr>
        <w:t>HR</w:t>
      </w:r>
      <w:r w:rsidR="007528EF">
        <w:rPr>
          <w:szCs w:val="20"/>
        </w:rPr>
        <w:t>+/</w:t>
      </w:r>
      <w:r w:rsidR="009B722F" w:rsidRPr="0030134C">
        <w:rPr>
          <w:szCs w:val="20"/>
        </w:rPr>
        <w:t>HER2</w:t>
      </w:r>
      <w:r w:rsidR="00B33B16">
        <w:rPr>
          <w:szCs w:val="20"/>
        </w:rPr>
        <w:t>–</w:t>
      </w:r>
      <w:r w:rsidR="009B722F" w:rsidRPr="0030134C">
        <w:rPr>
          <w:szCs w:val="20"/>
        </w:rPr>
        <w:t xml:space="preserve"> breast cancers.</w:t>
      </w:r>
      <w:r w:rsidR="00063B66">
        <w:rPr>
          <w:rStyle w:val="FootnoteReference"/>
          <w:szCs w:val="20"/>
        </w:rPr>
        <w:footnoteReference w:id="19"/>
      </w:r>
      <w:r w:rsidR="009B722F">
        <w:rPr>
          <w:szCs w:val="20"/>
        </w:rPr>
        <w:t xml:space="preserve"> Multiple PIK3CA hotspot mutations </w:t>
      </w:r>
      <w:r w:rsidR="00BF238A">
        <w:rPr>
          <w:szCs w:val="20"/>
        </w:rPr>
        <w:t xml:space="preserve">can be found on exons 7, 9 and 20. </w:t>
      </w:r>
      <w:r w:rsidR="00EE6B7D">
        <w:rPr>
          <w:szCs w:val="20"/>
        </w:rPr>
        <w:t xml:space="preserve">The SOLAR 1 trial uses the </w:t>
      </w:r>
      <w:proofErr w:type="spellStart"/>
      <w:r w:rsidR="00EE6B7D">
        <w:rPr>
          <w:szCs w:val="20"/>
        </w:rPr>
        <w:t>Qiagen</w:t>
      </w:r>
      <w:proofErr w:type="spellEnd"/>
      <w:r w:rsidR="00F9696A">
        <w:rPr>
          <w:szCs w:val="20"/>
        </w:rPr>
        <w:t xml:space="preserve"> </w:t>
      </w:r>
      <w:proofErr w:type="spellStart"/>
      <w:r w:rsidR="00F9696A" w:rsidRPr="00922CB9">
        <w:rPr>
          <w:i/>
          <w:szCs w:val="20"/>
        </w:rPr>
        <w:t>therascreen</w:t>
      </w:r>
      <w:proofErr w:type="spellEnd"/>
      <w:r w:rsidR="00F9696A">
        <w:rPr>
          <w:rFonts w:cstheme="minorHAnsi"/>
          <w:szCs w:val="20"/>
        </w:rPr>
        <w:t>®</w:t>
      </w:r>
      <w:r w:rsidR="00F9696A">
        <w:rPr>
          <w:szCs w:val="20"/>
        </w:rPr>
        <w:t xml:space="preserve"> RGQ PCR </w:t>
      </w:r>
      <w:r w:rsidR="003515EB">
        <w:rPr>
          <w:szCs w:val="20"/>
        </w:rPr>
        <w:t xml:space="preserve">tissue </w:t>
      </w:r>
      <w:r w:rsidR="00F9696A">
        <w:rPr>
          <w:szCs w:val="20"/>
        </w:rPr>
        <w:t xml:space="preserve">test </w:t>
      </w:r>
      <w:r w:rsidR="00C62941">
        <w:rPr>
          <w:szCs w:val="20"/>
        </w:rPr>
        <w:t>(</w:t>
      </w:r>
      <w:proofErr w:type="spellStart"/>
      <w:r w:rsidR="00C62941">
        <w:rPr>
          <w:szCs w:val="20"/>
        </w:rPr>
        <w:t>CDx</w:t>
      </w:r>
      <w:proofErr w:type="spellEnd"/>
      <w:r w:rsidR="00C62941">
        <w:rPr>
          <w:szCs w:val="20"/>
        </w:rPr>
        <w:t xml:space="preserve">) </w:t>
      </w:r>
      <w:r w:rsidR="00F9696A">
        <w:rPr>
          <w:szCs w:val="20"/>
        </w:rPr>
        <w:t xml:space="preserve">as the main evidentiary standard, although a </w:t>
      </w:r>
      <w:r w:rsidR="00C62941">
        <w:rPr>
          <w:szCs w:val="20"/>
        </w:rPr>
        <w:t xml:space="preserve">proportion of patients were also tested with the Roche </w:t>
      </w:r>
      <w:proofErr w:type="spellStart"/>
      <w:r w:rsidR="00C62941">
        <w:rPr>
          <w:szCs w:val="20"/>
        </w:rPr>
        <w:t>cobas</w:t>
      </w:r>
      <w:proofErr w:type="spellEnd"/>
      <w:r w:rsidR="00C62941">
        <w:rPr>
          <w:rFonts w:cstheme="minorHAnsi"/>
          <w:szCs w:val="20"/>
        </w:rPr>
        <w:t>®</w:t>
      </w:r>
      <w:r w:rsidR="00F9696A">
        <w:rPr>
          <w:szCs w:val="20"/>
        </w:rPr>
        <w:t xml:space="preserve"> </w:t>
      </w:r>
      <w:r w:rsidR="00C62941">
        <w:rPr>
          <w:szCs w:val="20"/>
        </w:rPr>
        <w:t xml:space="preserve">PCR test (CTA). </w:t>
      </w:r>
      <w:r w:rsidR="003515EB">
        <w:rPr>
          <w:szCs w:val="20"/>
        </w:rPr>
        <w:t xml:space="preserve">In addition, a plasma test was also conducted on all patients using the </w:t>
      </w:r>
      <w:proofErr w:type="spellStart"/>
      <w:r w:rsidR="003515EB">
        <w:rPr>
          <w:szCs w:val="20"/>
        </w:rPr>
        <w:t>Qiagen</w:t>
      </w:r>
      <w:proofErr w:type="spellEnd"/>
      <w:r w:rsidR="003515EB">
        <w:rPr>
          <w:szCs w:val="20"/>
        </w:rPr>
        <w:t xml:space="preserve"> </w:t>
      </w:r>
      <w:proofErr w:type="spellStart"/>
      <w:r w:rsidR="003515EB" w:rsidRPr="00816873">
        <w:rPr>
          <w:i/>
          <w:szCs w:val="20"/>
        </w:rPr>
        <w:t>therascreen</w:t>
      </w:r>
      <w:proofErr w:type="spellEnd"/>
      <w:r w:rsidR="003515EB">
        <w:rPr>
          <w:rFonts w:cstheme="minorHAnsi"/>
          <w:szCs w:val="20"/>
        </w:rPr>
        <w:t>®</w:t>
      </w:r>
      <w:r w:rsidR="003515EB">
        <w:rPr>
          <w:szCs w:val="20"/>
        </w:rPr>
        <w:t xml:space="preserve"> RGQ PCR </w:t>
      </w:r>
      <w:r w:rsidR="000C13FE">
        <w:rPr>
          <w:szCs w:val="20"/>
        </w:rPr>
        <w:t>plasma</w:t>
      </w:r>
      <w:r w:rsidR="003515EB">
        <w:rPr>
          <w:szCs w:val="20"/>
        </w:rPr>
        <w:t xml:space="preserve"> test</w:t>
      </w:r>
      <w:r w:rsidR="000C13FE">
        <w:rPr>
          <w:szCs w:val="20"/>
        </w:rPr>
        <w:t>.</w:t>
      </w:r>
      <w:r w:rsidR="003515EB">
        <w:rPr>
          <w:szCs w:val="20"/>
        </w:rPr>
        <w:t xml:space="preserve"> </w:t>
      </w:r>
      <w:r w:rsidR="00C62941">
        <w:rPr>
          <w:szCs w:val="20"/>
        </w:rPr>
        <w:t xml:space="preserve">The PIK3CA mutations targeted by the </w:t>
      </w:r>
      <w:r w:rsidR="000C13FE">
        <w:rPr>
          <w:szCs w:val="20"/>
        </w:rPr>
        <w:t xml:space="preserve">three </w:t>
      </w:r>
      <w:r w:rsidR="00C62941">
        <w:rPr>
          <w:szCs w:val="20"/>
        </w:rPr>
        <w:t xml:space="preserve">tests are shown in </w:t>
      </w:r>
      <w:r w:rsidR="00C62941">
        <w:rPr>
          <w:szCs w:val="20"/>
        </w:rPr>
        <w:fldChar w:fldCharType="begin"/>
      </w:r>
      <w:r w:rsidR="00C62941">
        <w:rPr>
          <w:szCs w:val="20"/>
        </w:rPr>
        <w:instrText xml:space="preserve"> REF _Ref9409013 \h </w:instrText>
      </w:r>
      <w:r w:rsidR="00C62941">
        <w:rPr>
          <w:szCs w:val="20"/>
        </w:rPr>
      </w:r>
      <w:r w:rsidR="00C62941">
        <w:rPr>
          <w:szCs w:val="20"/>
        </w:rPr>
        <w:fldChar w:fldCharType="separate"/>
      </w:r>
      <w:r w:rsidR="00C62941">
        <w:t xml:space="preserve">Table </w:t>
      </w:r>
      <w:r w:rsidR="00C62941">
        <w:rPr>
          <w:noProof/>
        </w:rPr>
        <w:t>1</w:t>
      </w:r>
      <w:r w:rsidR="00C62941">
        <w:rPr>
          <w:szCs w:val="20"/>
        </w:rPr>
        <w:fldChar w:fldCharType="end"/>
      </w:r>
      <w:r w:rsidR="00D45AA1">
        <w:rPr>
          <w:szCs w:val="20"/>
        </w:rPr>
        <w:t xml:space="preserve"> along with the prevalence of the mutations found using </w:t>
      </w:r>
      <w:r w:rsidR="00D45AA1" w:rsidRPr="00DB7B56">
        <w:rPr>
          <w:szCs w:val="20"/>
        </w:rPr>
        <w:t>tissue samples</w:t>
      </w:r>
      <w:r w:rsidR="00C62941" w:rsidRPr="00DB7B56">
        <w:rPr>
          <w:szCs w:val="20"/>
        </w:rPr>
        <w:t xml:space="preserve">. </w:t>
      </w:r>
      <w:r w:rsidR="00D45AA1" w:rsidRPr="00DB7B56">
        <w:rPr>
          <w:szCs w:val="20"/>
        </w:rPr>
        <w:t xml:space="preserve">The most commonly found </w:t>
      </w:r>
      <w:r w:rsidR="00A73E61" w:rsidRPr="00DB7B56">
        <w:rPr>
          <w:szCs w:val="20"/>
        </w:rPr>
        <w:t xml:space="preserve">individual </w:t>
      </w:r>
      <w:r w:rsidR="00D45AA1" w:rsidRPr="00DB7B56">
        <w:rPr>
          <w:szCs w:val="20"/>
        </w:rPr>
        <w:t xml:space="preserve">PIK3CA mutations were E542K, E545K and H1047R. </w:t>
      </w:r>
      <w:r w:rsidR="00EC1DA7" w:rsidRPr="00DB7B56">
        <w:rPr>
          <w:szCs w:val="20"/>
        </w:rPr>
        <w:t xml:space="preserve">It should be noted that the rate of PIK3CA mutations in the SOLAR 1 trial was substantially higher than that reported by the Cancer Genome Atlas Network (60% versus 45%). This </w:t>
      </w:r>
      <w:r w:rsidR="00DB7B56" w:rsidRPr="00DB7B56">
        <w:rPr>
          <w:szCs w:val="20"/>
        </w:rPr>
        <w:t>may be</w:t>
      </w:r>
      <w:r w:rsidR="00EC1DA7" w:rsidRPr="00DB7B56">
        <w:rPr>
          <w:szCs w:val="20"/>
        </w:rPr>
        <w:t xml:space="preserve"> due to the </w:t>
      </w:r>
      <w:r w:rsidR="00451F05" w:rsidRPr="00DB7B56">
        <w:rPr>
          <w:szCs w:val="20"/>
        </w:rPr>
        <w:t>narrower population included in the SOLAR 1 trial, who in addition to being HR+/HER</w:t>
      </w:r>
      <w:r w:rsidR="00DB7B56" w:rsidRPr="00DB7B56">
        <w:rPr>
          <w:szCs w:val="20"/>
        </w:rPr>
        <w:t>2</w:t>
      </w:r>
      <w:r w:rsidR="00451F05" w:rsidRPr="00DB7B56">
        <w:rPr>
          <w:szCs w:val="20"/>
        </w:rPr>
        <w:t xml:space="preserve">– also had to have experienced </w:t>
      </w:r>
      <w:r w:rsidR="00EC1DA7" w:rsidRPr="00DB7B56">
        <w:rPr>
          <w:szCs w:val="20"/>
        </w:rPr>
        <w:t xml:space="preserve">recurrence or progression </w:t>
      </w:r>
      <w:r w:rsidR="00451F05" w:rsidRPr="00DB7B56">
        <w:rPr>
          <w:szCs w:val="20"/>
        </w:rPr>
        <w:t xml:space="preserve">of their breast cancer </w:t>
      </w:r>
      <w:r w:rsidR="00EC1DA7" w:rsidRPr="00DB7B56">
        <w:rPr>
          <w:szCs w:val="20"/>
        </w:rPr>
        <w:t xml:space="preserve">during or after </w:t>
      </w:r>
      <w:r w:rsidR="00451F05" w:rsidRPr="00DB7B56">
        <w:rPr>
          <w:szCs w:val="20"/>
        </w:rPr>
        <w:t>treatment with an aromatase inhibitor</w:t>
      </w:r>
      <w:r w:rsidR="00EC1DA7" w:rsidRPr="00DB7B56">
        <w:rPr>
          <w:szCs w:val="20"/>
        </w:rPr>
        <w:t>.</w:t>
      </w:r>
      <w:r w:rsidR="00EC1DA7">
        <w:rPr>
          <w:szCs w:val="20"/>
        </w:rPr>
        <w:t xml:space="preserve"> </w:t>
      </w:r>
    </w:p>
    <w:p w14:paraId="1EEA9AF8" w14:textId="77777777" w:rsidR="00C62941" w:rsidRDefault="00C62941" w:rsidP="00922CB9">
      <w:pPr>
        <w:pStyle w:val="Caption"/>
        <w:keepNext/>
        <w:keepLines/>
        <w:ind w:left="360"/>
        <w:rPr>
          <w:szCs w:val="20"/>
        </w:rPr>
      </w:pPr>
      <w:bookmarkStart w:id="3" w:name="_Ref9409013"/>
      <w:r>
        <w:lastRenderedPageBreak/>
        <w:t xml:space="preserve">Table </w:t>
      </w:r>
      <w:fldSimple w:instr=" SEQ Table \* ARABIC ">
        <w:r w:rsidR="000E70DE">
          <w:rPr>
            <w:noProof/>
          </w:rPr>
          <w:t>1</w:t>
        </w:r>
      </w:fldSimple>
      <w:bookmarkEnd w:id="3"/>
      <w:r>
        <w:tab/>
        <w:t>Comparison of PIK3CA mutations targeted by the two evidentiary standard tests</w:t>
      </w:r>
      <w:r>
        <w:rPr>
          <w:szCs w:val="20"/>
        </w:rPr>
        <w:t xml:space="preserve"> </w:t>
      </w:r>
    </w:p>
    <w:tbl>
      <w:tblPr>
        <w:tblStyle w:val="TableGrid"/>
        <w:tblW w:w="0" w:type="auto"/>
        <w:tblInd w:w="360" w:type="dxa"/>
        <w:tblLook w:val="04A0" w:firstRow="1" w:lastRow="0" w:firstColumn="1" w:lastColumn="0" w:noHBand="0" w:noVBand="1"/>
        <w:tblCaption w:val="Table 1"/>
        <w:tblDescription w:val="comparison of PIC3CA mutations"/>
      </w:tblPr>
      <w:tblGrid>
        <w:gridCol w:w="2164"/>
        <w:gridCol w:w="2164"/>
        <w:gridCol w:w="2164"/>
        <w:gridCol w:w="2164"/>
      </w:tblGrid>
      <w:tr w:rsidR="003515EB" w:rsidRPr="00C62941" w14:paraId="59CF3EBB" w14:textId="77777777" w:rsidTr="00A256E0">
        <w:trPr>
          <w:tblHeader/>
        </w:trPr>
        <w:tc>
          <w:tcPr>
            <w:tcW w:w="2164" w:type="dxa"/>
          </w:tcPr>
          <w:p w14:paraId="2947E85F" w14:textId="77777777" w:rsidR="003515EB" w:rsidRPr="00922CB9" w:rsidRDefault="003515EB" w:rsidP="00922CB9">
            <w:pPr>
              <w:keepNext/>
              <w:keepLines/>
              <w:spacing w:before="40" w:after="40"/>
              <w:rPr>
                <w:rFonts w:cstheme="minorHAnsi"/>
                <w:b/>
                <w:szCs w:val="16"/>
              </w:rPr>
            </w:pPr>
            <w:r w:rsidRPr="00922CB9">
              <w:rPr>
                <w:rFonts w:cstheme="minorHAnsi"/>
                <w:b/>
                <w:szCs w:val="16"/>
              </w:rPr>
              <w:t>PIK3CA mutation</w:t>
            </w:r>
          </w:p>
        </w:tc>
        <w:tc>
          <w:tcPr>
            <w:tcW w:w="2164" w:type="dxa"/>
          </w:tcPr>
          <w:p w14:paraId="46AA5AE7" w14:textId="77777777" w:rsidR="003515EB" w:rsidRDefault="003515EB" w:rsidP="00922CB9">
            <w:pPr>
              <w:keepNext/>
              <w:keepLines/>
              <w:spacing w:before="40" w:after="40"/>
              <w:jc w:val="center"/>
              <w:rPr>
                <w:rFonts w:cstheme="minorHAnsi"/>
                <w:b/>
                <w:szCs w:val="16"/>
              </w:rPr>
            </w:pPr>
            <w:proofErr w:type="spellStart"/>
            <w:r>
              <w:rPr>
                <w:rFonts w:cstheme="minorHAnsi"/>
                <w:b/>
                <w:szCs w:val="16"/>
              </w:rPr>
              <w:t>Qiagen</w:t>
            </w:r>
            <w:proofErr w:type="spellEnd"/>
            <w:r>
              <w:rPr>
                <w:rFonts w:cstheme="minorHAnsi"/>
                <w:b/>
                <w:szCs w:val="16"/>
              </w:rPr>
              <w:t xml:space="preserve"> </w:t>
            </w:r>
            <w:proofErr w:type="spellStart"/>
            <w:r>
              <w:rPr>
                <w:rFonts w:cstheme="minorHAnsi"/>
                <w:b/>
                <w:szCs w:val="16"/>
              </w:rPr>
              <w:t>therascreen</w:t>
            </w:r>
            <w:proofErr w:type="spellEnd"/>
            <w:r w:rsidR="000174EA">
              <w:rPr>
                <w:rFonts w:cstheme="minorHAnsi"/>
                <w:b/>
                <w:szCs w:val="16"/>
              </w:rPr>
              <w:t xml:space="preserve"> - </w:t>
            </w:r>
            <w:proofErr w:type="spellStart"/>
            <w:r w:rsidR="000174EA">
              <w:rPr>
                <w:rFonts w:cstheme="minorHAnsi"/>
                <w:b/>
                <w:szCs w:val="16"/>
              </w:rPr>
              <w:t>CDx</w:t>
            </w:r>
            <w:proofErr w:type="spellEnd"/>
          </w:p>
          <w:p w14:paraId="106E3A52" w14:textId="77777777" w:rsidR="003515EB" w:rsidRDefault="003515EB" w:rsidP="00922CB9">
            <w:pPr>
              <w:keepNext/>
              <w:keepLines/>
              <w:spacing w:before="40" w:after="40"/>
              <w:jc w:val="center"/>
              <w:rPr>
                <w:rFonts w:cstheme="minorHAnsi"/>
                <w:b/>
                <w:szCs w:val="16"/>
              </w:rPr>
            </w:pPr>
            <w:r>
              <w:rPr>
                <w:rFonts w:cstheme="minorHAnsi"/>
                <w:b/>
                <w:szCs w:val="16"/>
              </w:rPr>
              <w:t>(tissue or plasma)</w:t>
            </w:r>
          </w:p>
          <w:p w14:paraId="6FC00C91" w14:textId="77777777" w:rsidR="006D79CF" w:rsidRPr="00922CB9" w:rsidRDefault="006D79CF" w:rsidP="00922CB9">
            <w:pPr>
              <w:keepNext/>
              <w:keepLines/>
              <w:spacing w:before="40" w:after="40"/>
              <w:jc w:val="center"/>
              <w:rPr>
                <w:rFonts w:cstheme="minorHAnsi"/>
                <w:b/>
                <w:szCs w:val="16"/>
              </w:rPr>
            </w:pPr>
            <w:r>
              <w:rPr>
                <w:rFonts w:cstheme="minorHAnsi"/>
                <w:b/>
                <w:szCs w:val="16"/>
              </w:rPr>
              <w:t>N=572</w:t>
            </w:r>
          </w:p>
        </w:tc>
        <w:tc>
          <w:tcPr>
            <w:tcW w:w="2164" w:type="dxa"/>
          </w:tcPr>
          <w:p w14:paraId="35AEFA08" w14:textId="77777777" w:rsidR="003515EB" w:rsidRDefault="003515EB" w:rsidP="00922CB9">
            <w:pPr>
              <w:keepNext/>
              <w:keepLines/>
              <w:spacing w:before="40" w:after="40"/>
              <w:jc w:val="center"/>
              <w:rPr>
                <w:rFonts w:cstheme="minorHAnsi"/>
                <w:b/>
                <w:szCs w:val="16"/>
              </w:rPr>
            </w:pPr>
            <w:r>
              <w:rPr>
                <w:rFonts w:cstheme="minorHAnsi"/>
                <w:b/>
                <w:szCs w:val="16"/>
              </w:rPr>
              <w:t xml:space="preserve">Roche </w:t>
            </w:r>
            <w:proofErr w:type="spellStart"/>
            <w:r>
              <w:rPr>
                <w:rFonts w:cstheme="minorHAnsi"/>
                <w:b/>
                <w:szCs w:val="16"/>
              </w:rPr>
              <w:t>cobas</w:t>
            </w:r>
            <w:proofErr w:type="spellEnd"/>
            <w:r w:rsidR="000174EA">
              <w:rPr>
                <w:rFonts w:cstheme="minorHAnsi"/>
                <w:b/>
                <w:szCs w:val="16"/>
              </w:rPr>
              <w:t xml:space="preserve"> - CTA</w:t>
            </w:r>
          </w:p>
          <w:p w14:paraId="14BAD95A" w14:textId="77777777" w:rsidR="003515EB" w:rsidRDefault="003515EB" w:rsidP="00922CB9">
            <w:pPr>
              <w:keepNext/>
              <w:keepLines/>
              <w:spacing w:before="40" w:after="40"/>
              <w:jc w:val="center"/>
              <w:rPr>
                <w:rFonts w:cstheme="minorHAnsi"/>
                <w:b/>
                <w:szCs w:val="16"/>
              </w:rPr>
            </w:pPr>
            <w:r>
              <w:rPr>
                <w:rFonts w:cstheme="minorHAnsi"/>
                <w:b/>
                <w:szCs w:val="16"/>
              </w:rPr>
              <w:t>(tissue)</w:t>
            </w:r>
          </w:p>
          <w:p w14:paraId="5F31205E" w14:textId="77777777" w:rsidR="006D79CF" w:rsidRPr="00922CB9" w:rsidRDefault="006D79CF" w:rsidP="00922CB9">
            <w:pPr>
              <w:keepNext/>
              <w:keepLines/>
              <w:spacing w:before="40" w:after="40"/>
              <w:jc w:val="center"/>
              <w:rPr>
                <w:rFonts w:cstheme="minorHAnsi"/>
                <w:b/>
                <w:szCs w:val="16"/>
              </w:rPr>
            </w:pPr>
            <w:r>
              <w:rPr>
                <w:rFonts w:cstheme="minorHAnsi"/>
                <w:b/>
                <w:szCs w:val="16"/>
              </w:rPr>
              <w:t>N=395</w:t>
            </w:r>
          </w:p>
        </w:tc>
        <w:tc>
          <w:tcPr>
            <w:tcW w:w="2164" w:type="dxa"/>
          </w:tcPr>
          <w:p w14:paraId="7AB3ABB5" w14:textId="77777777" w:rsidR="003515EB" w:rsidRPr="00394FCB" w:rsidRDefault="003515EB" w:rsidP="00394FCB">
            <w:pPr>
              <w:keepNext/>
              <w:keepLines/>
              <w:spacing w:before="40" w:after="40"/>
              <w:jc w:val="center"/>
              <w:rPr>
                <w:rFonts w:cstheme="minorHAnsi"/>
                <w:b/>
                <w:szCs w:val="16"/>
                <w:highlight w:val="yellow"/>
              </w:rPr>
            </w:pPr>
            <w:r w:rsidRPr="00E2298A">
              <w:rPr>
                <w:rFonts w:cstheme="minorHAnsi"/>
                <w:b/>
                <w:szCs w:val="16"/>
              </w:rPr>
              <w:t xml:space="preserve">Frequency in </w:t>
            </w:r>
            <w:r w:rsidR="00394FCB" w:rsidRPr="00E2298A">
              <w:rPr>
                <w:rFonts w:cstheme="minorHAnsi"/>
                <w:b/>
                <w:szCs w:val="16"/>
              </w:rPr>
              <w:t>SOLAR 1 study population</w:t>
            </w:r>
          </w:p>
        </w:tc>
      </w:tr>
      <w:tr w:rsidR="00C56521" w:rsidRPr="00C56521" w14:paraId="375534E2" w14:textId="77777777" w:rsidTr="00C56521">
        <w:tc>
          <w:tcPr>
            <w:tcW w:w="2164" w:type="dxa"/>
            <w:shd w:val="clear" w:color="auto" w:fill="auto"/>
          </w:tcPr>
          <w:p w14:paraId="7EA66F0F" w14:textId="77777777" w:rsidR="00C56521" w:rsidRPr="00C56521" w:rsidRDefault="00C56521" w:rsidP="00922CB9">
            <w:pPr>
              <w:keepNext/>
              <w:keepLines/>
              <w:spacing w:before="40" w:after="40"/>
              <w:rPr>
                <w:rFonts w:cstheme="minorHAnsi"/>
                <w:szCs w:val="16"/>
              </w:rPr>
            </w:pPr>
            <w:r>
              <w:rPr>
                <w:rFonts w:cstheme="minorHAnsi"/>
                <w:szCs w:val="16"/>
              </w:rPr>
              <w:t>Any</w:t>
            </w:r>
          </w:p>
        </w:tc>
        <w:tc>
          <w:tcPr>
            <w:tcW w:w="2164" w:type="dxa"/>
            <w:shd w:val="clear" w:color="auto" w:fill="auto"/>
            <w:vAlign w:val="center"/>
          </w:tcPr>
          <w:p w14:paraId="51FF9E90" w14:textId="77777777" w:rsidR="00C56521" w:rsidRPr="00C56521" w:rsidRDefault="00C56521" w:rsidP="00394FCB">
            <w:pPr>
              <w:keepNext/>
              <w:keepLines/>
              <w:spacing w:before="40" w:after="40"/>
              <w:jc w:val="center"/>
              <w:rPr>
                <w:rFonts w:cstheme="minorHAnsi"/>
                <w:szCs w:val="16"/>
              </w:rPr>
            </w:pPr>
            <w:r>
              <w:rPr>
                <w:rFonts w:cstheme="minorHAnsi"/>
                <w:szCs w:val="16"/>
              </w:rPr>
              <w:sym w:font="Wingdings" w:char="F0FC"/>
            </w:r>
          </w:p>
        </w:tc>
        <w:tc>
          <w:tcPr>
            <w:tcW w:w="2164" w:type="dxa"/>
            <w:shd w:val="clear" w:color="auto" w:fill="auto"/>
            <w:vAlign w:val="center"/>
          </w:tcPr>
          <w:p w14:paraId="5672EDED" w14:textId="77777777" w:rsidR="00C56521" w:rsidRPr="00C56521" w:rsidRDefault="00C56521" w:rsidP="00394FCB">
            <w:pPr>
              <w:keepNext/>
              <w:keepLines/>
              <w:spacing w:before="40" w:after="40"/>
              <w:jc w:val="center"/>
              <w:rPr>
                <w:rFonts w:cstheme="minorHAnsi"/>
                <w:szCs w:val="16"/>
              </w:rPr>
            </w:pPr>
            <w:r>
              <w:rPr>
                <w:rFonts w:cstheme="minorHAnsi"/>
                <w:szCs w:val="16"/>
              </w:rPr>
              <w:sym w:font="Wingdings" w:char="F0FC"/>
            </w:r>
          </w:p>
        </w:tc>
        <w:tc>
          <w:tcPr>
            <w:tcW w:w="2164" w:type="dxa"/>
            <w:shd w:val="clear" w:color="auto" w:fill="auto"/>
            <w:vAlign w:val="center"/>
          </w:tcPr>
          <w:p w14:paraId="121E815B" w14:textId="77777777" w:rsidR="00C56521" w:rsidRPr="00C56521" w:rsidRDefault="00D15D3F" w:rsidP="00394FCB">
            <w:pPr>
              <w:keepNext/>
              <w:keepLines/>
              <w:spacing w:before="40" w:after="40"/>
              <w:jc w:val="center"/>
              <w:rPr>
                <w:rFonts w:cstheme="minorHAnsi"/>
                <w:szCs w:val="16"/>
              </w:rPr>
            </w:pPr>
            <w:r>
              <w:rPr>
                <w:rFonts w:cstheme="minorHAnsi"/>
                <w:szCs w:val="16"/>
              </w:rPr>
              <w:t>59.6</w:t>
            </w:r>
            <w:r w:rsidR="00C56521">
              <w:rPr>
                <w:rFonts w:cstheme="minorHAnsi"/>
                <w:szCs w:val="16"/>
              </w:rPr>
              <w:t>%</w:t>
            </w:r>
          </w:p>
        </w:tc>
      </w:tr>
      <w:tr w:rsidR="00394FCB" w:rsidRPr="00C62941" w14:paraId="1063FB28" w14:textId="77777777" w:rsidTr="00394FCB">
        <w:tc>
          <w:tcPr>
            <w:tcW w:w="2164" w:type="dxa"/>
            <w:shd w:val="clear" w:color="auto" w:fill="D9D9D9" w:themeFill="background1" w:themeFillShade="D9"/>
          </w:tcPr>
          <w:p w14:paraId="5ADA9E1D" w14:textId="77777777" w:rsidR="00394FCB" w:rsidRPr="00C62941" w:rsidRDefault="00394FCB" w:rsidP="00922CB9">
            <w:pPr>
              <w:keepNext/>
              <w:keepLines/>
              <w:spacing w:before="40" w:after="40"/>
              <w:rPr>
                <w:rFonts w:cstheme="minorHAnsi"/>
                <w:i/>
                <w:szCs w:val="16"/>
              </w:rPr>
            </w:pPr>
            <w:r w:rsidRPr="00922CB9">
              <w:rPr>
                <w:rFonts w:cstheme="minorHAnsi"/>
                <w:i/>
                <w:szCs w:val="16"/>
              </w:rPr>
              <w:t>Exon 7</w:t>
            </w:r>
          </w:p>
        </w:tc>
        <w:tc>
          <w:tcPr>
            <w:tcW w:w="2164" w:type="dxa"/>
            <w:shd w:val="clear" w:color="auto" w:fill="D9D9D9" w:themeFill="background1" w:themeFillShade="D9"/>
            <w:vAlign w:val="center"/>
          </w:tcPr>
          <w:p w14:paraId="0FF09A7A" w14:textId="77777777" w:rsidR="00394FCB" w:rsidRPr="00C62941" w:rsidRDefault="00394FCB" w:rsidP="00394FCB">
            <w:pPr>
              <w:keepNext/>
              <w:keepLines/>
              <w:spacing w:before="40" w:after="40"/>
              <w:jc w:val="center"/>
              <w:rPr>
                <w:rFonts w:cstheme="minorHAnsi"/>
                <w:i/>
                <w:szCs w:val="16"/>
              </w:rPr>
            </w:pPr>
            <w:r>
              <w:rPr>
                <w:rFonts w:cstheme="minorHAnsi"/>
                <w:i/>
                <w:szCs w:val="16"/>
              </w:rPr>
              <w:sym w:font="Wingdings" w:char="F0FC"/>
            </w:r>
          </w:p>
        </w:tc>
        <w:tc>
          <w:tcPr>
            <w:tcW w:w="2164" w:type="dxa"/>
            <w:shd w:val="clear" w:color="auto" w:fill="D9D9D9" w:themeFill="background1" w:themeFillShade="D9"/>
            <w:vAlign w:val="center"/>
          </w:tcPr>
          <w:p w14:paraId="1C62E8EE" w14:textId="77777777" w:rsidR="00394FCB" w:rsidRPr="00C62941" w:rsidRDefault="00394FCB" w:rsidP="00394FCB">
            <w:pPr>
              <w:keepNext/>
              <w:keepLines/>
              <w:spacing w:before="40" w:after="40"/>
              <w:jc w:val="center"/>
              <w:rPr>
                <w:rFonts w:cstheme="minorHAnsi"/>
                <w:i/>
                <w:szCs w:val="16"/>
              </w:rPr>
            </w:pPr>
            <w:r>
              <w:rPr>
                <w:rFonts w:cstheme="minorHAnsi"/>
                <w:i/>
                <w:szCs w:val="16"/>
              </w:rPr>
              <w:sym w:font="Wingdings" w:char="F0FC"/>
            </w:r>
          </w:p>
        </w:tc>
        <w:tc>
          <w:tcPr>
            <w:tcW w:w="2164" w:type="dxa"/>
            <w:shd w:val="clear" w:color="auto" w:fill="D9D9D9" w:themeFill="background1" w:themeFillShade="D9"/>
            <w:vAlign w:val="center"/>
          </w:tcPr>
          <w:p w14:paraId="198EA531" w14:textId="77777777" w:rsidR="00394FCB" w:rsidRPr="00C62941" w:rsidRDefault="00394FCB" w:rsidP="00394FCB">
            <w:pPr>
              <w:keepNext/>
              <w:keepLines/>
              <w:spacing w:before="40" w:after="40"/>
              <w:jc w:val="center"/>
              <w:rPr>
                <w:rFonts w:cstheme="minorHAnsi"/>
                <w:i/>
                <w:szCs w:val="16"/>
              </w:rPr>
            </w:pPr>
            <w:r>
              <w:rPr>
                <w:rFonts w:cstheme="minorHAnsi"/>
                <w:i/>
                <w:szCs w:val="16"/>
              </w:rPr>
              <w:t>1</w:t>
            </w:r>
            <w:r w:rsidR="00E2298A">
              <w:rPr>
                <w:rFonts w:cstheme="minorHAnsi"/>
                <w:i/>
                <w:szCs w:val="16"/>
              </w:rPr>
              <w:t>.0</w:t>
            </w:r>
            <w:r>
              <w:rPr>
                <w:rFonts w:cstheme="minorHAnsi"/>
                <w:i/>
                <w:szCs w:val="16"/>
              </w:rPr>
              <w:t>%</w:t>
            </w:r>
          </w:p>
        </w:tc>
      </w:tr>
      <w:tr w:rsidR="003515EB" w:rsidRPr="00C62941" w14:paraId="3874BB24" w14:textId="77777777" w:rsidTr="00922CB9">
        <w:tc>
          <w:tcPr>
            <w:tcW w:w="2164" w:type="dxa"/>
          </w:tcPr>
          <w:p w14:paraId="66A6E367" w14:textId="77777777" w:rsidR="003515EB" w:rsidRPr="00BE14E0" w:rsidRDefault="003515EB" w:rsidP="00922CB9">
            <w:pPr>
              <w:keepNext/>
              <w:keepLines/>
              <w:spacing w:before="40" w:after="40"/>
              <w:rPr>
                <w:rFonts w:cstheme="minorHAnsi"/>
                <w:szCs w:val="16"/>
              </w:rPr>
            </w:pPr>
            <w:r>
              <w:rPr>
                <w:rFonts w:cstheme="minorHAnsi"/>
                <w:szCs w:val="16"/>
              </w:rPr>
              <w:t>C420R</w:t>
            </w:r>
          </w:p>
        </w:tc>
        <w:tc>
          <w:tcPr>
            <w:tcW w:w="2164" w:type="dxa"/>
          </w:tcPr>
          <w:p w14:paraId="2B6ED743"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5644EDF2"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2D693721" w14:textId="77777777" w:rsidR="003515EB" w:rsidRDefault="00394FCB" w:rsidP="00922CB9">
            <w:pPr>
              <w:keepNext/>
              <w:keepLines/>
              <w:spacing w:before="40" w:after="40"/>
              <w:jc w:val="center"/>
              <w:rPr>
                <w:rFonts w:cstheme="minorHAnsi"/>
                <w:szCs w:val="16"/>
              </w:rPr>
            </w:pPr>
            <w:r>
              <w:rPr>
                <w:rFonts w:cstheme="minorHAnsi"/>
                <w:szCs w:val="16"/>
              </w:rPr>
              <w:t>1</w:t>
            </w:r>
            <w:r w:rsidR="00E2298A">
              <w:rPr>
                <w:rFonts w:cstheme="minorHAnsi"/>
                <w:szCs w:val="16"/>
              </w:rPr>
              <w:t>.0</w:t>
            </w:r>
            <w:r>
              <w:rPr>
                <w:rFonts w:cstheme="minorHAnsi"/>
                <w:szCs w:val="16"/>
              </w:rPr>
              <w:t>%</w:t>
            </w:r>
          </w:p>
        </w:tc>
      </w:tr>
      <w:tr w:rsidR="00394FCB" w:rsidRPr="00C62941" w14:paraId="2B895BC2" w14:textId="77777777" w:rsidTr="00394FCB">
        <w:tc>
          <w:tcPr>
            <w:tcW w:w="2164" w:type="dxa"/>
            <w:shd w:val="clear" w:color="auto" w:fill="D9D9D9" w:themeFill="background1" w:themeFillShade="D9"/>
          </w:tcPr>
          <w:p w14:paraId="713C18DC" w14:textId="77777777" w:rsidR="00394FCB" w:rsidRPr="00C62941" w:rsidRDefault="00394FCB" w:rsidP="00922CB9">
            <w:pPr>
              <w:keepNext/>
              <w:keepLines/>
              <w:spacing w:before="40" w:after="40"/>
              <w:rPr>
                <w:rFonts w:cstheme="minorHAnsi"/>
                <w:i/>
                <w:szCs w:val="16"/>
              </w:rPr>
            </w:pPr>
            <w:r w:rsidRPr="00922CB9">
              <w:rPr>
                <w:rFonts w:cstheme="minorHAnsi"/>
                <w:i/>
                <w:szCs w:val="16"/>
              </w:rPr>
              <w:t>Exon 9</w:t>
            </w:r>
          </w:p>
        </w:tc>
        <w:tc>
          <w:tcPr>
            <w:tcW w:w="2164" w:type="dxa"/>
            <w:shd w:val="clear" w:color="auto" w:fill="D9D9D9" w:themeFill="background1" w:themeFillShade="D9"/>
            <w:vAlign w:val="center"/>
          </w:tcPr>
          <w:p w14:paraId="2992A663" w14:textId="77777777" w:rsidR="00394FCB" w:rsidRPr="00C62941" w:rsidRDefault="00394FCB" w:rsidP="00394FCB">
            <w:pPr>
              <w:keepNext/>
              <w:keepLines/>
              <w:spacing w:before="40" w:after="40"/>
              <w:jc w:val="center"/>
              <w:rPr>
                <w:rFonts w:cstheme="minorHAnsi"/>
                <w:i/>
                <w:szCs w:val="16"/>
              </w:rPr>
            </w:pPr>
            <w:r>
              <w:rPr>
                <w:rFonts w:cstheme="minorHAnsi"/>
                <w:i/>
                <w:szCs w:val="16"/>
              </w:rPr>
              <w:sym w:font="Wingdings" w:char="F0FC"/>
            </w:r>
          </w:p>
        </w:tc>
        <w:tc>
          <w:tcPr>
            <w:tcW w:w="2164" w:type="dxa"/>
            <w:shd w:val="clear" w:color="auto" w:fill="D9D9D9" w:themeFill="background1" w:themeFillShade="D9"/>
            <w:vAlign w:val="center"/>
          </w:tcPr>
          <w:p w14:paraId="7A05DE2E" w14:textId="77777777" w:rsidR="00394FCB" w:rsidRPr="00C62941" w:rsidRDefault="00394FCB" w:rsidP="00394FCB">
            <w:pPr>
              <w:keepNext/>
              <w:keepLines/>
              <w:spacing w:before="40" w:after="40"/>
              <w:jc w:val="center"/>
              <w:rPr>
                <w:rFonts w:cstheme="minorHAnsi"/>
                <w:i/>
                <w:szCs w:val="16"/>
              </w:rPr>
            </w:pPr>
            <w:r>
              <w:rPr>
                <w:rFonts w:cstheme="minorHAnsi"/>
                <w:i/>
                <w:szCs w:val="16"/>
              </w:rPr>
              <w:sym w:font="Wingdings" w:char="F0FC"/>
            </w:r>
          </w:p>
        </w:tc>
        <w:tc>
          <w:tcPr>
            <w:tcW w:w="2164" w:type="dxa"/>
            <w:shd w:val="clear" w:color="auto" w:fill="D9D9D9" w:themeFill="background1" w:themeFillShade="D9"/>
            <w:vAlign w:val="center"/>
          </w:tcPr>
          <w:p w14:paraId="4E299015" w14:textId="77777777" w:rsidR="00394FCB" w:rsidRPr="00C62941" w:rsidRDefault="00394FCB" w:rsidP="00394FCB">
            <w:pPr>
              <w:keepNext/>
              <w:keepLines/>
              <w:spacing w:before="40" w:after="40"/>
              <w:jc w:val="center"/>
              <w:rPr>
                <w:rFonts w:cstheme="minorHAnsi"/>
                <w:i/>
                <w:szCs w:val="16"/>
              </w:rPr>
            </w:pPr>
            <w:r>
              <w:rPr>
                <w:rFonts w:cstheme="minorHAnsi"/>
                <w:i/>
                <w:szCs w:val="16"/>
              </w:rPr>
              <w:t>2</w:t>
            </w:r>
            <w:r w:rsidR="00E2298A">
              <w:rPr>
                <w:rFonts w:cstheme="minorHAnsi"/>
                <w:i/>
                <w:szCs w:val="16"/>
              </w:rPr>
              <w:t>8.8</w:t>
            </w:r>
            <w:r>
              <w:rPr>
                <w:rFonts w:cstheme="minorHAnsi"/>
                <w:i/>
                <w:szCs w:val="16"/>
              </w:rPr>
              <w:t>%</w:t>
            </w:r>
          </w:p>
        </w:tc>
      </w:tr>
      <w:tr w:rsidR="003515EB" w:rsidRPr="00C62941" w14:paraId="5EE983C1" w14:textId="77777777" w:rsidTr="00922CB9">
        <w:tc>
          <w:tcPr>
            <w:tcW w:w="2164" w:type="dxa"/>
          </w:tcPr>
          <w:p w14:paraId="4F91EB0E" w14:textId="77777777" w:rsidR="003515EB" w:rsidRPr="00BE14E0" w:rsidRDefault="003515EB" w:rsidP="00922CB9">
            <w:pPr>
              <w:keepNext/>
              <w:keepLines/>
              <w:spacing w:before="40" w:after="40"/>
              <w:rPr>
                <w:rFonts w:cstheme="minorHAnsi"/>
                <w:szCs w:val="16"/>
              </w:rPr>
            </w:pPr>
            <w:r>
              <w:rPr>
                <w:rFonts w:cstheme="minorHAnsi"/>
                <w:szCs w:val="16"/>
              </w:rPr>
              <w:t>E542K</w:t>
            </w:r>
          </w:p>
        </w:tc>
        <w:tc>
          <w:tcPr>
            <w:tcW w:w="2164" w:type="dxa"/>
          </w:tcPr>
          <w:p w14:paraId="2BF3602A"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32BCEA33"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1471702F" w14:textId="77777777" w:rsidR="003515EB" w:rsidRDefault="00E2298A" w:rsidP="00922CB9">
            <w:pPr>
              <w:keepNext/>
              <w:keepLines/>
              <w:spacing w:before="40" w:after="40"/>
              <w:jc w:val="center"/>
              <w:rPr>
                <w:rFonts w:cstheme="minorHAnsi"/>
                <w:szCs w:val="16"/>
              </w:rPr>
            </w:pPr>
            <w:r>
              <w:rPr>
                <w:rFonts w:cstheme="minorHAnsi"/>
                <w:szCs w:val="16"/>
              </w:rPr>
              <w:t>10.5</w:t>
            </w:r>
            <w:r w:rsidR="006D79CF">
              <w:rPr>
                <w:rFonts w:cstheme="minorHAnsi"/>
                <w:szCs w:val="16"/>
              </w:rPr>
              <w:t>%</w:t>
            </w:r>
          </w:p>
        </w:tc>
      </w:tr>
      <w:tr w:rsidR="006D79CF" w:rsidRPr="00C62941" w14:paraId="2288D037" w14:textId="77777777" w:rsidTr="00922CB9">
        <w:tc>
          <w:tcPr>
            <w:tcW w:w="2164" w:type="dxa"/>
          </w:tcPr>
          <w:p w14:paraId="3F70644C" w14:textId="77777777" w:rsidR="006D79CF" w:rsidRDefault="006D79CF" w:rsidP="006D79CF">
            <w:pPr>
              <w:keepNext/>
              <w:keepLines/>
              <w:spacing w:before="40" w:after="40"/>
              <w:rPr>
                <w:rFonts w:cstheme="minorHAnsi"/>
                <w:szCs w:val="16"/>
              </w:rPr>
            </w:pPr>
            <w:r>
              <w:rPr>
                <w:rFonts w:cstheme="minorHAnsi"/>
                <w:szCs w:val="16"/>
              </w:rPr>
              <w:t>E545A</w:t>
            </w:r>
          </w:p>
        </w:tc>
        <w:tc>
          <w:tcPr>
            <w:tcW w:w="2164" w:type="dxa"/>
          </w:tcPr>
          <w:p w14:paraId="55C481A3" w14:textId="77777777" w:rsidR="006D79CF" w:rsidRPr="00BE14E0" w:rsidRDefault="006D79CF" w:rsidP="006D79CF">
            <w:pPr>
              <w:keepNext/>
              <w:keepLines/>
              <w:spacing w:before="40" w:after="40"/>
              <w:jc w:val="center"/>
              <w:rPr>
                <w:rFonts w:cstheme="minorHAnsi"/>
                <w:szCs w:val="16"/>
              </w:rPr>
            </w:pPr>
            <w:r w:rsidRPr="00720C2A">
              <w:rPr>
                <w:rFonts w:cstheme="minorHAnsi"/>
                <w:szCs w:val="16"/>
              </w:rPr>
              <w:sym w:font="Wingdings" w:char="F0FC"/>
            </w:r>
          </w:p>
        </w:tc>
        <w:tc>
          <w:tcPr>
            <w:tcW w:w="2164" w:type="dxa"/>
          </w:tcPr>
          <w:p w14:paraId="6EAE35BC" w14:textId="77777777" w:rsidR="006D79CF" w:rsidRDefault="006D79CF" w:rsidP="006D79CF">
            <w:pPr>
              <w:keepNext/>
              <w:keepLines/>
              <w:spacing w:before="40" w:after="40"/>
              <w:jc w:val="center"/>
              <w:rPr>
                <w:rFonts w:cstheme="minorHAnsi"/>
                <w:szCs w:val="16"/>
              </w:rPr>
            </w:pPr>
          </w:p>
        </w:tc>
        <w:tc>
          <w:tcPr>
            <w:tcW w:w="2164" w:type="dxa"/>
          </w:tcPr>
          <w:p w14:paraId="2C50603D" w14:textId="77777777" w:rsidR="006D79CF" w:rsidRDefault="006D79CF" w:rsidP="006D79CF">
            <w:pPr>
              <w:keepNext/>
              <w:keepLines/>
              <w:spacing w:before="40" w:after="40"/>
              <w:jc w:val="center"/>
              <w:rPr>
                <w:rFonts w:cstheme="minorHAnsi"/>
                <w:szCs w:val="16"/>
              </w:rPr>
            </w:pPr>
            <w:r>
              <w:rPr>
                <w:rFonts w:cstheme="minorHAnsi"/>
                <w:szCs w:val="16"/>
              </w:rPr>
              <w:t>NR</w:t>
            </w:r>
          </w:p>
        </w:tc>
      </w:tr>
      <w:tr w:rsidR="006D79CF" w:rsidRPr="00C62941" w14:paraId="21DFCE1D" w14:textId="77777777" w:rsidTr="00922CB9">
        <w:tc>
          <w:tcPr>
            <w:tcW w:w="2164" w:type="dxa"/>
          </w:tcPr>
          <w:p w14:paraId="75A88F77" w14:textId="77777777" w:rsidR="006D79CF" w:rsidRPr="00BE14E0" w:rsidRDefault="006D79CF" w:rsidP="006D79CF">
            <w:pPr>
              <w:keepNext/>
              <w:keepLines/>
              <w:spacing w:before="40" w:after="40"/>
              <w:rPr>
                <w:rFonts w:cstheme="minorHAnsi"/>
                <w:szCs w:val="16"/>
              </w:rPr>
            </w:pPr>
            <w:r>
              <w:rPr>
                <w:rFonts w:cstheme="minorHAnsi"/>
                <w:szCs w:val="16"/>
              </w:rPr>
              <w:t>E545D</w:t>
            </w:r>
          </w:p>
        </w:tc>
        <w:tc>
          <w:tcPr>
            <w:tcW w:w="2164" w:type="dxa"/>
          </w:tcPr>
          <w:p w14:paraId="5E94BEFE" w14:textId="77777777" w:rsidR="006D79CF" w:rsidRPr="00BE14E0" w:rsidRDefault="006D79CF" w:rsidP="006D79CF">
            <w:pPr>
              <w:keepNext/>
              <w:keepLines/>
              <w:spacing w:before="40" w:after="40"/>
              <w:jc w:val="center"/>
              <w:rPr>
                <w:rFonts w:cstheme="minorHAnsi"/>
                <w:szCs w:val="16"/>
              </w:rPr>
            </w:pPr>
            <w:r w:rsidRPr="00720C2A">
              <w:rPr>
                <w:rFonts w:cstheme="minorHAnsi"/>
                <w:szCs w:val="16"/>
              </w:rPr>
              <w:sym w:font="Wingdings" w:char="F0FC"/>
            </w:r>
          </w:p>
        </w:tc>
        <w:tc>
          <w:tcPr>
            <w:tcW w:w="2164" w:type="dxa"/>
          </w:tcPr>
          <w:p w14:paraId="0B6FEC5F" w14:textId="77777777" w:rsidR="006D79CF" w:rsidRPr="00BE14E0" w:rsidRDefault="006D79CF" w:rsidP="006D79CF">
            <w:pPr>
              <w:keepNext/>
              <w:keepLines/>
              <w:spacing w:before="40" w:after="40"/>
              <w:jc w:val="center"/>
              <w:rPr>
                <w:rFonts w:cstheme="minorHAnsi"/>
                <w:szCs w:val="16"/>
              </w:rPr>
            </w:pPr>
          </w:p>
        </w:tc>
        <w:tc>
          <w:tcPr>
            <w:tcW w:w="2164" w:type="dxa"/>
          </w:tcPr>
          <w:p w14:paraId="5FCBA0AC" w14:textId="77777777" w:rsidR="006D79CF" w:rsidRDefault="00E2298A" w:rsidP="006D79CF">
            <w:pPr>
              <w:keepNext/>
              <w:keepLines/>
              <w:spacing w:before="40" w:after="40"/>
              <w:jc w:val="center"/>
              <w:rPr>
                <w:rFonts w:cstheme="minorHAnsi"/>
                <w:szCs w:val="16"/>
              </w:rPr>
            </w:pPr>
            <w:r>
              <w:rPr>
                <w:rFonts w:cstheme="minorHAnsi"/>
                <w:szCs w:val="16"/>
              </w:rPr>
              <w:t>0.9</w:t>
            </w:r>
            <w:r w:rsidR="006D79CF">
              <w:rPr>
                <w:rFonts w:cstheme="minorHAnsi"/>
                <w:szCs w:val="16"/>
              </w:rPr>
              <w:t>%</w:t>
            </w:r>
          </w:p>
        </w:tc>
      </w:tr>
      <w:tr w:rsidR="006D79CF" w:rsidRPr="00C62941" w14:paraId="5FA80CA1" w14:textId="77777777" w:rsidTr="00922CB9">
        <w:tc>
          <w:tcPr>
            <w:tcW w:w="2164" w:type="dxa"/>
          </w:tcPr>
          <w:p w14:paraId="21F2EA08" w14:textId="77777777" w:rsidR="006D79CF" w:rsidRPr="00BE14E0" w:rsidRDefault="006D79CF" w:rsidP="006D79CF">
            <w:pPr>
              <w:keepNext/>
              <w:keepLines/>
              <w:spacing w:before="40" w:after="40"/>
              <w:rPr>
                <w:rFonts w:cstheme="minorHAnsi"/>
                <w:szCs w:val="16"/>
              </w:rPr>
            </w:pPr>
            <w:r>
              <w:rPr>
                <w:rFonts w:cstheme="minorHAnsi"/>
                <w:szCs w:val="16"/>
              </w:rPr>
              <w:t>E545G</w:t>
            </w:r>
          </w:p>
        </w:tc>
        <w:tc>
          <w:tcPr>
            <w:tcW w:w="2164" w:type="dxa"/>
          </w:tcPr>
          <w:p w14:paraId="7F08F0EC" w14:textId="77777777" w:rsidR="006D79CF" w:rsidRPr="00BE14E0" w:rsidRDefault="006D79CF" w:rsidP="006D79CF">
            <w:pPr>
              <w:keepNext/>
              <w:keepLines/>
              <w:spacing w:before="40" w:after="40"/>
              <w:jc w:val="center"/>
              <w:rPr>
                <w:rFonts w:cstheme="minorHAnsi"/>
                <w:szCs w:val="16"/>
              </w:rPr>
            </w:pPr>
            <w:r w:rsidRPr="00720C2A">
              <w:rPr>
                <w:rFonts w:cstheme="minorHAnsi"/>
                <w:szCs w:val="16"/>
              </w:rPr>
              <w:sym w:font="Wingdings" w:char="F0FC"/>
            </w:r>
          </w:p>
        </w:tc>
        <w:tc>
          <w:tcPr>
            <w:tcW w:w="2164" w:type="dxa"/>
          </w:tcPr>
          <w:p w14:paraId="150F7A88" w14:textId="77777777" w:rsidR="006D79CF" w:rsidRPr="00BE14E0" w:rsidRDefault="006D79CF" w:rsidP="006D79CF">
            <w:pPr>
              <w:keepNext/>
              <w:keepLines/>
              <w:spacing w:before="40" w:after="40"/>
              <w:jc w:val="center"/>
              <w:rPr>
                <w:rFonts w:cstheme="minorHAnsi"/>
                <w:szCs w:val="16"/>
              </w:rPr>
            </w:pPr>
          </w:p>
        </w:tc>
        <w:tc>
          <w:tcPr>
            <w:tcW w:w="2164" w:type="dxa"/>
          </w:tcPr>
          <w:p w14:paraId="0DDC835C" w14:textId="77777777" w:rsidR="006D79CF" w:rsidRDefault="00E2298A" w:rsidP="006D79CF">
            <w:pPr>
              <w:keepNext/>
              <w:keepLines/>
              <w:spacing w:before="40" w:after="40"/>
              <w:jc w:val="center"/>
              <w:rPr>
                <w:rFonts w:cstheme="minorHAnsi"/>
                <w:szCs w:val="16"/>
              </w:rPr>
            </w:pPr>
            <w:r>
              <w:rPr>
                <w:rFonts w:cstheme="minorHAnsi"/>
                <w:szCs w:val="16"/>
              </w:rPr>
              <w:t>0.7</w:t>
            </w:r>
            <w:r w:rsidR="006D79CF">
              <w:rPr>
                <w:rFonts w:cstheme="minorHAnsi"/>
                <w:szCs w:val="16"/>
              </w:rPr>
              <w:t>%</w:t>
            </w:r>
          </w:p>
        </w:tc>
      </w:tr>
      <w:tr w:rsidR="003515EB" w:rsidRPr="00C62941" w14:paraId="5827EF29" w14:textId="77777777" w:rsidTr="00922CB9">
        <w:tc>
          <w:tcPr>
            <w:tcW w:w="2164" w:type="dxa"/>
          </w:tcPr>
          <w:p w14:paraId="4CF95CC5" w14:textId="77777777" w:rsidR="003515EB" w:rsidRPr="00BE14E0" w:rsidRDefault="003515EB" w:rsidP="00922CB9">
            <w:pPr>
              <w:keepNext/>
              <w:keepLines/>
              <w:spacing w:before="40" w:after="40"/>
              <w:rPr>
                <w:rFonts w:cstheme="minorHAnsi"/>
                <w:szCs w:val="16"/>
              </w:rPr>
            </w:pPr>
            <w:r>
              <w:rPr>
                <w:rFonts w:cstheme="minorHAnsi"/>
                <w:szCs w:val="16"/>
              </w:rPr>
              <w:t>E545K</w:t>
            </w:r>
          </w:p>
        </w:tc>
        <w:tc>
          <w:tcPr>
            <w:tcW w:w="2164" w:type="dxa"/>
          </w:tcPr>
          <w:p w14:paraId="1568DB12" w14:textId="77777777" w:rsidR="003515EB" w:rsidRPr="00BE14E0" w:rsidRDefault="006D79CF"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72A8EB6C" w14:textId="77777777" w:rsidR="003515EB" w:rsidRPr="00BE14E0" w:rsidRDefault="003515EB" w:rsidP="00922CB9">
            <w:pPr>
              <w:keepNext/>
              <w:keepLines/>
              <w:spacing w:before="40" w:after="40"/>
              <w:jc w:val="center"/>
              <w:rPr>
                <w:rFonts w:cstheme="minorHAnsi"/>
                <w:szCs w:val="16"/>
              </w:rPr>
            </w:pPr>
          </w:p>
        </w:tc>
        <w:tc>
          <w:tcPr>
            <w:tcW w:w="2164" w:type="dxa"/>
          </w:tcPr>
          <w:p w14:paraId="555C7CAD" w14:textId="77777777" w:rsidR="003515EB" w:rsidRDefault="00E2298A" w:rsidP="00922CB9">
            <w:pPr>
              <w:keepNext/>
              <w:keepLines/>
              <w:spacing w:before="40" w:after="40"/>
              <w:jc w:val="center"/>
              <w:rPr>
                <w:rFonts w:cstheme="minorHAnsi"/>
                <w:szCs w:val="16"/>
              </w:rPr>
            </w:pPr>
            <w:r>
              <w:rPr>
                <w:rFonts w:cstheme="minorHAnsi"/>
                <w:szCs w:val="16"/>
              </w:rPr>
              <w:t>8.7</w:t>
            </w:r>
            <w:r w:rsidR="006D79CF">
              <w:rPr>
                <w:rFonts w:cstheme="minorHAnsi"/>
                <w:szCs w:val="16"/>
              </w:rPr>
              <w:t>%</w:t>
            </w:r>
          </w:p>
        </w:tc>
      </w:tr>
      <w:tr w:rsidR="00394FCB" w:rsidRPr="00C62941" w14:paraId="145E9278" w14:textId="77777777" w:rsidTr="00922CB9">
        <w:tc>
          <w:tcPr>
            <w:tcW w:w="2164" w:type="dxa"/>
          </w:tcPr>
          <w:p w14:paraId="0F0ECA78" w14:textId="77777777" w:rsidR="00394FCB" w:rsidRDefault="00394FCB" w:rsidP="00922CB9">
            <w:pPr>
              <w:keepNext/>
              <w:keepLines/>
              <w:spacing w:before="40" w:after="40"/>
              <w:rPr>
                <w:rFonts w:cstheme="minorHAnsi"/>
                <w:szCs w:val="16"/>
              </w:rPr>
            </w:pPr>
            <w:r>
              <w:rPr>
                <w:rFonts w:cstheme="minorHAnsi"/>
                <w:szCs w:val="16"/>
              </w:rPr>
              <w:t>E545X</w:t>
            </w:r>
            <w:r>
              <w:rPr>
                <w:rStyle w:val="FootnoteReference"/>
                <w:rFonts w:cstheme="minorHAnsi"/>
                <w:szCs w:val="16"/>
              </w:rPr>
              <w:footnoteReference w:id="20"/>
            </w:r>
          </w:p>
        </w:tc>
        <w:tc>
          <w:tcPr>
            <w:tcW w:w="2164" w:type="dxa"/>
          </w:tcPr>
          <w:p w14:paraId="457A1783" w14:textId="77777777" w:rsidR="00394FCB" w:rsidRDefault="00394FCB" w:rsidP="00922CB9">
            <w:pPr>
              <w:keepNext/>
              <w:keepLines/>
              <w:spacing w:before="40" w:after="40"/>
              <w:jc w:val="center"/>
              <w:rPr>
                <w:rFonts w:cstheme="minorHAnsi"/>
                <w:szCs w:val="16"/>
              </w:rPr>
            </w:pPr>
          </w:p>
        </w:tc>
        <w:tc>
          <w:tcPr>
            <w:tcW w:w="2164" w:type="dxa"/>
          </w:tcPr>
          <w:p w14:paraId="77E4E616" w14:textId="77777777" w:rsidR="00394FCB" w:rsidRDefault="006D79CF"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235BD09B" w14:textId="77777777" w:rsidR="00394FCB" w:rsidRPr="00843989" w:rsidRDefault="00E2298A" w:rsidP="00922CB9">
            <w:pPr>
              <w:keepNext/>
              <w:keepLines/>
              <w:spacing w:before="40" w:after="40"/>
              <w:jc w:val="center"/>
            </w:pPr>
            <w:r>
              <w:t>11.9</w:t>
            </w:r>
            <w:r w:rsidR="006D79CF">
              <w:t>%</w:t>
            </w:r>
          </w:p>
        </w:tc>
      </w:tr>
      <w:tr w:rsidR="003515EB" w:rsidRPr="00C62941" w14:paraId="33142644" w14:textId="77777777" w:rsidTr="00922CB9">
        <w:tc>
          <w:tcPr>
            <w:tcW w:w="2164" w:type="dxa"/>
          </w:tcPr>
          <w:p w14:paraId="0B25B600" w14:textId="77777777" w:rsidR="003515EB" w:rsidRPr="00BE14E0" w:rsidRDefault="003515EB" w:rsidP="00922CB9">
            <w:pPr>
              <w:keepNext/>
              <w:keepLines/>
              <w:spacing w:before="40" w:after="40"/>
              <w:rPr>
                <w:rFonts w:cstheme="minorHAnsi"/>
                <w:szCs w:val="16"/>
              </w:rPr>
            </w:pPr>
            <w:r>
              <w:rPr>
                <w:rFonts w:cstheme="minorHAnsi"/>
                <w:szCs w:val="16"/>
              </w:rPr>
              <w:t>Q546E</w:t>
            </w:r>
          </w:p>
        </w:tc>
        <w:tc>
          <w:tcPr>
            <w:tcW w:w="2164" w:type="dxa"/>
          </w:tcPr>
          <w:p w14:paraId="40C3DE83" w14:textId="77777777" w:rsidR="003515EB" w:rsidRPr="00BE14E0" w:rsidRDefault="006D79CF"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353C307E" w14:textId="77777777" w:rsidR="003515EB" w:rsidRPr="00BE14E0" w:rsidRDefault="003515EB" w:rsidP="00922CB9">
            <w:pPr>
              <w:keepNext/>
              <w:keepLines/>
              <w:spacing w:before="40" w:after="40"/>
              <w:jc w:val="center"/>
              <w:rPr>
                <w:rFonts w:cstheme="minorHAnsi"/>
                <w:szCs w:val="16"/>
              </w:rPr>
            </w:pPr>
          </w:p>
        </w:tc>
        <w:tc>
          <w:tcPr>
            <w:tcW w:w="2164" w:type="dxa"/>
          </w:tcPr>
          <w:p w14:paraId="611D10A3" w14:textId="77777777" w:rsidR="003515EB" w:rsidRDefault="00E2298A" w:rsidP="00922CB9">
            <w:pPr>
              <w:keepNext/>
              <w:keepLines/>
              <w:spacing w:before="40" w:after="40"/>
              <w:jc w:val="center"/>
              <w:rPr>
                <w:rFonts w:cstheme="minorHAnsi"/>
                <w:szCs w:val="16"/>
              </w:rPr>
            </w:pPr>
            <w:r>
              <w:t>0.2</w:t>
            </w:r>
            <w:r w:rsidR="006D79CF">
              <w:t>%</w:t>
            </w:r>
          </w:p>
        </w:tc>
      </w:tr>
      <w:tr w:rsidR="003515EB" w:rsidRPr="00C62941" w14:paraId="0A7EA2FA" w14:textId="77777777" w:rsidTr="00922CB9">
        <w:tc>
          <w:tcPr>
            <w:tcW w:w="2164" w:type="dxa"/>
          </w:tcPr>
          <w:p w14:paraId="270CCB82" w14:textId="77777777" w:rsidR="003515EB" w:rsidRPr="00BE14E0" w:rsidRDefault="003515EB" w:rsidP="00922CB9">
            <w:pPr>
              <w:keepNext/>
              <w:keepLines/>
              <w:spacing w:before="40" w:after="40"/>
              <w:rPr>
                <w:rFonts w:cstheme="minorHAnsi"/>
                <w:szCs w:val="16"/>
              </w:rPr>
            </w:pPr>
            <w:r>
              <w:rPr>
                <w:rFonts w:cstheme="minorHAnsi"/>
                <w:szCs w:val="16"/>
              </w:rPr>
              <w:t>Q546K</w:t>
            </w:r>
            <w:r w:rsidR="00394FCB">
              <w:rPr>
                <w:rStyle w:val="FootnoteReference"/>
                <w:rFonts w:cstheme="minorHAnsi"/>
                <w:szCs w:val="16"/>
              </w:rPr>
              <w:footnoteReference w:id="21"/>
            </w:r>
          </w:p>
        </w:tc>
        <w:tc>
          <w:tcPr>
            <w:tcW w:w="2164" w:type="dxa"/>
          </w:tcPr>
          <w:p w14:paraId="30E7F4AC" w14:textId="77777777" w:rsidR="003515EB" w:rsidRPr="00BE14E0" w:rsidRDefault="006D79CF" w:rsidP="00922CB9">
            <w:pPr>
              <w:keepNext/>
              <w:keepLines/>
              <w:spacing w:before="40" w:after="40"/>
              <w:jc w:val="center"/>
              <w:rPr>
                <w:rFonts w:cstheme="minorHAnsi"/>
                <w:szCs w:val="16"/>
              </w:rPr>
            </w:pPr>
            <w:r>
              <w:rPr>
                <w:rFonts w:cstheme="minorHAnsi"/>
                <w:szCs w:val="16"/>
              </w:rPr>
              <w:sym w:font="Wingdings" w:char="F0FB"/>
            </w:r>
          </w:p>
        </w:tc>
        <w:tc>
          <w:tcPr>
            <w:tcW w:w="2164" w:type="dxa"/>
          </w:tcPr>
          <w:p w14:paraId="4DA23809" w14:textId="77777777" w:rsidR="003515EB" w:rsidRPr="00BE14E0" w:rsidRDefault="003515EB" w:rsidP="00922CB9">
            <w:pPr>
              <w:keepNext/>
              <w:keepLines/>
              <w:spacing w:before="40" w:after="40"/>
              <w:jc w:val="center"/>
              <w:rPr>
                <w:rFonts w:cstheme="minorHAnsi"/>
                <w:szCs w:val="16"/>
              </w:rPr>
            </w:pPr>
          </w:p>
        </w:tc>
        <w:tc>
          <w:tcPr>
            <w:tcW w:w="2164" w:type="dxa"/>
          </w:tcPr>
          <w:p w14:paraId="634C8B08" w14:textId="77777777" w:rsidR="003515EB" w:rsidRDefault="000934A7" w:rsidP="00922CB9">
            <w:pPr>
              <w:keepNext/>
              <w:keepLines/>
              <w:spacing w:before="40" w:after="40"/>
              <w:jc w:val="center"/>
              <w:rPr>
                <w:rFonts w:cstheme="minorHAnsi"/>
                <w:szCs w:val="16"/>
              </w:rPr>
            </w:pPr>
            <w:r>
              <w:rPr>
                <w:rFonts w:cstheme="minorHAnsi"/>
                <w:szCs w:val="16"/>
              </w:rPr>
              <w:t>-</w:t>
            </w:r>
          </w:p>
        </w:tc>
      </w:tr>
      <w:tr w:rsidR="003515EB" w:rsidRPr="00C62941" w14:paraId="29CA9DD4" w14:textId="77777777" w:rsidTr="00922CB9">
        <w:tc>
          <w:tcPr>
            <w:tcW w:w="2164" w:type="dxa"/>
          </w:tcPr>
          <w:p w14:paraId="373F07F8" w14:textId="77777777" w:rsidR="003515EB" w:rsidRPr="00BE14E0" w:rsidRDefault="003515EB" w:rsidP="00922CB9">
            <w:pPr>
              <w:keepNext/>
              <w:keepLines/>
              <w:spacing w:before="40" w:after="40"/>
              <w:rPr>
                <w:rFonts w:cstheme="minorHAnsi"/>
                <w:szCs w:val="16"/>
              </w:rPr>
            </w:pPr>
            <w:r>
              <w:rPr>
                <w:rFonts w:cstheme="minorHAnsi"/>
                <w:szCs w:val="16"/>
              </w:rPr>
              <w:t>Q546R</w:t>
            </w:r>
          </w:p>
        </w:tc>
        <w:tc>
          <w:tcPr>
            <w:tcW w:w="2164" w:type="dxa"/>
          </w:tcPr>
          <w:p w14:paraId="082182F3" w14:textId="77777777" w:rsidR="003515EB" w:rsidRPr="00BE14E0" w:rsidRDefault="006D79CF"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08A94D31" w14:textId="77777777" w:rsidR="003515EB" w:rsidRPr="00BE14E0" w:rsidRDefault="003515EB" w:rsidP="00922CB9">
            <w:pPr>
              <w:keepNext/>
              <w:keepLines/>
              <w:spacing w:before="40" w:after="40"/>
              <w:jc w:val="center"/>
              <w:rPr>
                <w:rFonts w:cstheme="minorHAnsi"/>
                <w:szCs w:val="16"/>
              </w:rPr>
            </w:pPr>
          </w:p>
        </w:tc>
        <w:tc>
          <w:tcPr>
            <w:tcW w:w="2164" w:type="dxa"/>
          </w:tcPr>
          <w:p w14:paraId="62030B05" w14:textId="77777777" w:rsidR="003515EB" w:rsidRDefault="00E2298A" w:rsidP="00922CB9">
            <w:pPr>
              <w:keepNext/>
              <w:keepLines/>
              <w:spacing w:before="40" w:after="40"/>
              <w:jc w:val="center"/>
              <w:rPr>
                <w:rFonts w:cstheme="minorHAnsi"/>
                <w:szCs w:val="16"/>
              </w:rPr>
            </w:pPr>
            <w:r>
              <w:rPr>
                <w:rFonts w:cstheme="minorHAnsi"/>
                <w:szCs w:val="16"/>
              </w:rPr>
              <w:t>0.3</w:t>
            </w:r>
            <w:r w:rsidR="006D79CF">
              <w:rPr>
                <w:rFonts w:cstheme="minorHAnsi"/>
                <w:szCs w:val="16"/>
              </w:rPr>
              <w:t>%</w:t>
            </w:r>
          </w:p>
        </w:tc>
      </w:tr>
      <w:tr w:rsidR="00394FCB" w:rsidRPr="00C62941" w14:paraId="43C6B115" w14:textId="77777777" w:rsidTr="00922CB9">
        <w:tc>
          <w:tcPr>
            <w:tcW w:w="2164" w:type="dxa"/>
          </w:tcPr>
          <w:p w14:paraId="5D158DC7" w14:textId="77777777" w:rsidR="00394FCB" w:rsidRDefault="00394FCB" w:rsidP="00922CB9">
            <w:pPr>
              <w:keepNext/>
              <w:keepLines/>
              <w:spacing w:before="40" w:after="40"/>
              <w:rPr>
                <w:rFonts w:cstheme="minorHAnsi"/>
                <w:szCs w:val="16"/>
              </w:rPr>
            </w:pPr>
            <w:r>
              <w:rPr>
                <w:rFonts w:cstheme="minorHAnsi"/>
                <w:szCs w:val="16"/>
              </w:rPr>
              <w:t>Q546X</w:t>
            </w:r>
            <w:r>
              <w:rPr>
                <w:rStyle w:val="FootnoteReference"/>
                <w:rFonts w:cstheme="minorHAnsi"/>
                <w:szCs w:val="16"/>
              </w:rPr>
              <w:footnoteReference w:id="22"/>
            </w:r>
          </w:p>
        </w:tc>
        <w:tc>
          <w:tcPr>
            <w:tcW w:w="2164" w:type="dxa"/>
          </w:tcPr>
          <w:p w14:paraId="1EECFB3D" w14:textId="77777777" w:rsidR="00394FCB" w:rsidRDefault="00394FCB" w:rsidP="00922CB9">
            <w:pPr>
              <w:keepNext/>
              <w:keepLines/>
              <w:spacing w:before="40" w:after="40"/>
              <w:jc w:val="center"/>
              <w:rPr>
                <w:rFonts w:cstheme="minorHAnsi"/>
                <w:szCs w:val="16"/>
              </w:rPr>
            </w:pPr>
          </w:p>
        </w:tc>
        <w:tc>
          <w:tcPr>
            <w:tcW w:w="2164" w:type="dxa"/>
          </w:tcPr>
          <w:p w14:paraId="046F14E0" w14:textId="77777777" w:rsidR="00394FCB" w:rsidRDefault="006D79CF"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34809451" w14:textId="77777777" w:rsidR="00394FCB" w:rsidRPr="00843989" w:rsidRDefault="00E2298A" w:rsidP="00922CB9">
            <w:pPr>
              <w:keepNext/>
              <w:keepLines/>
              <w:spacing w:before="40" w:after="40"/>
              <w:jc w:val="center"/>
            </w:pPr>
            <w:r>
              <w:t>0.3</w:t>
            </w:r>
            <w:r w:rsidR="006D79CF">
              <w:t>%</w:t>
            </w:r>
          </w:p>
        </w:tc>
      </w:tr>
      <w:tr w:rsidR="00394FCB" w:rsidRPr="00816873" w14:paraId="1C3A5D2B" w14:textId="77777777" w:rsidTr="00394FCB">
        <w:tc>
          <w:tcPr>
            <w:tcW w:w="2164" w:type="dxa"/>
            <w:shd w:val="clear" w:color="auto" w:fill="D9D9D9" w:themeFill="background1" w:themeFillShade="D9"/>
          </w:tcPr>
          <w:p w14:paraId="38843B4F" w14:textId="77777777" w:rsidR="00394FCB" w:rsidRPr="00816873" w:rsidRDefault="00394FCB" w:rsidP="00922CB9">
            <w:pPr>
              <w:keepNext/>
              <w:keepLines/>
              <w:spacing w:before="40" w:after="40"/>
              <w:rPr>
                <w:rFonts w:cstheme="minorHAnsi"/>
                <w:i/>
                <w:szCs w:val="16"/>
              </w:rPr>
            </w:pPr>
            <w:r w:rsidRPr="00816873">
              <w:rPr>
                <w:rFonts w:cstheme="minorHAnsi"/>
                <w:i/>
                <w:szCs w:val="16"/>
              </w:rPr>
              <w:t xml:space="preserve">Exon </w:t>
            </w:r>
            <w:r>
              <w:rPr>
                <w:rFonts w:cstheme="minorHAnsi"/>
                <w:i/>
                <w:szCs w:val="16"/>
              </w:rPr>
              <w:t>20</w:t>
            </w:r>
          </w:p>
        </w:tc>
        <w:tc>
          <w:tcPr>
            <w:tcW w:w="2164" w:type="dxa"/>
            <w:shd w:val="clear" w:color="auto" w:fill="D9D9D9" w:themeFill="background1" w:themeFillShade="D9"/>
            <w:vAlign w:val="center"/>
          </w:tcPr>
          <w:p w14:paraId="43E426E2" w14:textId="77777777" w:rsidR="00394FCB" w:rsidRPr="00816873" w:rsidRDefault="00394FCB" w:rsidP="00394FCB">
            <w:pPr>
              <w:keepNext/>
              <w:keepLines/>
              <w:spacing w:before="40" w:after="40"/>
              <w:jc w:val="center"/>
              <w:rPr>
                <w:rFonts w:cstheme="minorHAnsi"/>
                <w:i/>
                <w:szCs w:val="16"/>
              </w:rPr>
            </w:pPr>
            <w:r>
              <w:rPr>
                <w:rFonts w:cstheme="minorHAnsi"/>
                <w:i/>
                <w:szCs w:val="16"/>
              </w:rPr>
              <w:sym w:font="Wingdings" w:char="F0FC"/>
            </w:r>
          </w:p>
        </w:tc>
        <w:tc>
          <w:tcPr>
            <w:tcW w:w="2164" w:type="dxa"/>
            <w:shd w:val="clear" w:color="auto" w:fill="D9D9D9" w:themeFill="background1" w:themeFillShade="D9"/>
            <w:vAlign w:val="center"/>
          </w:tcPr>
          <w:p w14:paraId="22B47622" w14:textId="77777777" w:rsidR="00394FCB" w:rsidRPr="00816873" w:rsidRDefault="00394FCB" w:rsidP="00394FCB">
            <w:pPr>
              <w:keepNext/>
              <w:keepLines/>
              <w:spacing w:before="40" w:after="40"/>
              <w:jc w:val="center"/>
              <w:rPr>
                <w:rFonts w:cstheme="minorHAnsi"/>
                <w:i/>
                <w:szCs w:val="16"/>
              </w:rPr>
            </w:pPr>
            <w:r>
              <w:rPr>
                <w:rFonts w:cstheme="minorHAnsi"/>
                <w:i/>
                <w:szCs w:val="16"/>
              </w:rPr>
              <w:sym w:font="Wingdings" w:char="F0FC"/>
            </w:r>
          </w:p>
        </w:tc>
        <w:tc>
          <w:tcPr>
            <w:tcW w:w="2164" w:type="dxa"/>
            <w:shd w:val="clear" w:color="auto" w:fill="D9D9D9" w:themeFill="background1" w:themeFillShade="D9"/>
            <w:vAlign w:val="center"/>
          </w:tcPr>
          <w:p w14:paraId="0024BB84" w14:textId="77777777" w:rsidR="00394FCB" w:rsidRPr="00816873" w:rsidRDefault="00394FCB" w:rsidP="00394FCB">
            <w:pPr>
              <w:keepNext/>
              <w:keepLines/>
              <w:spacing w:before="40" w:after="40"/>
              <w:jc w:val="center"/>
              <w:rPr>
                <w:rFonts w:cstheme="minorHAnsi"/>
                <w:i/>
                <w:szCs w:val="16"/>
              </w:rPr>
            </w:pPr>
            <w:r>
              <w:rPr>
                <w:rFonts w:cstheme="minorHAnsi"/>
                <w:i/>
                <w:szCs w:val="16"/>
              </w:rPr>
              <w:t>3</w:t>
            </w:r>
            <w:r w:rsidR="00E2298A">
              <w:rPr>
                <w:rFonts w:cstheme="minorHAnsi"/>
                <w:i/>
                <w:szCs w:val="16"/>
              </w:rPr>
              <w:t>3.7</w:t>
            </w:r>
            <w:r>
              <w:rPr>
                <w:rFonts w:cstheme="minorHAnsi"/>
                <w:i/>
                <w:szCs w:val="16"/>
              </w:rPr>
              <w:t>%</w:t>
            </w:r>
          </w:p>
        </w:tc>
      </w:tr>
      <w:tr w:rsidR="003515EB" w:rsidRPr="00C62941" w14:paraId="14E80935" w14:textId="77777777" w:rsidTr="00922CB9">
        <w:tc>
          <w:tcPr>
            <w:tcW w:w="2164" w:type="dxa"/>
          </w:tcPr>
          <w:p w14:paraId="06150687" w14:textId="77777777" w:rsidR="003515EB" w:rsidRPr="00BE14E0" w:rsidRDefault="003515EB" w:rsidP="00922CB9">
            <w:pPr>
              <w:keepNext/>
              <w:keepLines/>
              <w:spacing w:before="40" w:after="40"/>
              <w:rPr>
                <w:rFonts w:cstheme="minorHAnsi"/>
                <w:szCs w:val="16"/>
              </w:rPr>
            </w:pPr>
            <w:r>
              <w:rPr>
                <w:rFonts w:cstheme="minorHAnsi"/>
                <w:szCs w:val="16"/>
              </w:rPr>
              <w:t>H1047L</w:t>
            </w:r>
          </w:p>
        </w:tc>
        <w:tc>
          <w:tcPr>
            <w:tcW w:w="2164" w:type="dxa"/>
          </w:tcPr>
          <w:p w14:paraId="6FA82AFA"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2185B308" w14:textId="77777777" w:rsidR="003515EB" w:rsidRPr="00BE14E0" w:rsidRDefault="003515EB" w:rsidP="00922CB9">
            <w:pPr>
              <w:keepNext/>
              <w:keepLines/>
              <w:spacing w:before="40" w:after="40"/>
              <w:jc w:val="center"/>
              <w:rPr>
                <w:rFonts w:cstheme="minorHAnsi"/>
                <w:szCs w:val="16"/>
              </w:rPr>
            </w:pPr>
          </w:p>
        </w:tc>
        <w:tc>
          <w:tcPr>
            <w:tcW w:w="2164" w:type="dxa"/>
          </w:tcPr>
          <w:p w14:paraId="2131F746" w14:textId="77777777" w:rsidR="003515EB" w:rsidRDefault="00E2298A" w:rsidP="00922CB9">
            <w:pPr>
              <w:keepNext/>
              <w:keepLines/>
              <w:spacing w:before="40" w:after="40"/>
              <w:jc w:val="center"/>
              <w:rPr>
                <w:rFonts w:cstheme="minorHAnsi"/>
                <w:szCs w:val="16"/>
              </w:rPr>
            </w:pPr>
            <w:r>
              <w:rPr>
                <w:rFonts w:cstheme="minorHAnsi"/>
                <w:szCs w:val="16"/>
              </w:rPr>
              <w:t>1.2%</w:t>
            </w:r>
          </w:p>
        </w:tc>
      </w:tr>
      <w:tr w:rsidR="003515EB" w:rsidRPr="00C62941" w14:paraId="5D32CB13" w14:textId="77777777" w:rsidTr="00922CB9">
        <w:tc>
          <w:tcPr>
            <w:tcW w:w="2164" w:type="dxa"/>
          </w:tcPr>
          <w:p w14:paraId="24B5E263" w14:textId="77777777" w:rsidR="003515EB" w:rsidRPr="00BE14E0" w:rsidRDefault="003515EB" w:rsidP="00922CB9">
            <w:pPr>
              <w:keepNext/>
              <w:keepLines/>
              <w:spacing w:before="40" w:after="40"/>
              <w:rPr>
                <w:rFonts w:cstheme="minorHAnsi"/>
                <w:szCs w:val="16"/>
              </w:rPr>
            </w:pPr>
            <w:r>
              <w:rPr>
                <w:rFonts w:cstheme="minorHAnsi"/>
                <w:szCs w:val="16"/>
              </w:rPr>
              <w:t>H1047R</w:t>
            </w:r>
          </w:p>
        </w:tc>
        <w:tc>
          <w:tcPr>
            <w:tcW w:w="2164" w:type="dxa"/>
          </w:tcPr>
          <w:p w14:paraId="70BAC947"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48C8966A" w14:textId="77777777" w:rsidR="003515EB" w:rsidRPr="00BE14E0" w:rsidRDefault="003515EB" w:rsidP="00922CB9">
            <w:pPr>
              <w:keepNext/>
              <w:keepLines/>
              <w:spacing w:before="40" w:after="40"/>
              <w:jc w:val="center"/>
              <w:rPr>
                <w:rFonts w:cstheme="minorHAnsi"/>
                <w:szCs w:val="16"/>
              </w:rPr>
            </w:pPr>
          </w:p>
        </w:tc>
        <w:tc>
          <w:tcPr>
            <w:tcW w:w="2164" w:type="dxa"/>
          </w:tcPr>
          <w:p w14:paraId="523F3075" w14:textId="77777777" w:rsidR="003515EB" w:rsidRDefault="00E2298A" w:rsidP="00922CB9">
            <w:pPr>
              <w:keepNext/>
              <w:keepLines/>
              <w:spacing w:before="40" w:after="40"/>
              <w:jc w:val="center"/>
              <w:rPr>
                <w:rFonts w:cstheme="minorHAnsi"/>
                <w:szCs w:val="16"/>
              </w:rPr>
            </w:pPr>
            <w:r>
              <w:rPr>
                <w:rFonts w:cstheme="minorHAnsi"/>
                <w:szCs w:val="16"/>
              </w:rPr>
              <w:t>13.5%</w:t>
            </w:r>
          </w:p>
        </w:tc>
      </w:tr>
      <w:tr w:rsidR="003515EB" w:rsidRPr="00C62941" w14:paraId="5AA9C2C3" w14:textId="77777777" w:rsidTr="00922CB9">
        <w:tc>
          <w:tcPr>
            <w:tcW w:w="2164" w:type="dxa"/>
          </w:tcPr>
          <w:p w14:paraId="00A57830" w14:textId="77777777" w:rsidR="003515EB" w:rsidRPr="00BE14E0" w:rsidRDefault="003515EB" w:rsidP="00922CB9">
            <w:pPr>
              <w:keepNext/>
              <w:keepLines/>
              <w:spacing w:before="40" w:after="40"/>
              <w:rPr>
                <w:rFonts w:cstheme="minorHAnsi"/>
                <w:szCs w:val="16"/>
              </w:rPr>
            </w:pPr>
            <w:r>
              <w:rPr>
                <w:rFonts w:cstheme="minorHAnsi"/>
                <w:szCs w:val="16"/>
              </w:rPr>
              <w:t>H1047Y</w:t>
            </w:r>
          </w:p>
        </w:tc>
        <w:tc>
          <w:tcPr>
            <w:tcW w:w="2164" w:type="dxa"/>
          </w:tcPr>
          <w:p w14:paraId="67008C92" w14:textId="77777777" w:rsidR="003515EB" w:rsidRPr="00BE14E0" w:rsidRDefault="003515EB"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1B1DB3A7" w14:textId="77777777" w:rsidR="003515EB" w:rsidRPr="00BE14E0" w:rsidRDefault="003515EB" w:rsidP="00922CB9">
            <w:pPr>
              <w:keepNext/>
              <w:keepLines/>
              <w:spacing w:before="40" w:after="40"/>
              <w:jc w:val="center"/>
              <w:rPr>
                <w:rFonts w:cstheme="minorHAnsi"/>
                <w:szCs w:val="16"/>
              </w:rPr>
            </w:pPr>
          </w:p>
        </w:tc>
        <w:tc>
          <w:tcPr>
            <w:tcW w:w="2164" w:type="dxa"/>
          </w:tcPr>
          <w:p w14:paraId="5D81E136" w14:textId="77777777" w:rsidR="003515EB" w:rsidRDefault="00E2298A" w:rsidP="00922CB9">
            <w:pPr>
              <w:keepNext/>
              <w:keepLines/>
              <w:spacing w:before="40" w:after="40"/>
              <w:jc w:val="center"/>
              <w:rPr>
                <w:rFonts w:cstheme="minorHAnsi"/>
                <w:szCs w:val="16"/>
              </w:rPr>
            </w:pPr>
            <w:r>
              <w:rPr>
                <w:rFonts w:cstheme="minorHAnsi"/>
                <w:szCs w:val="16"/>
              </w:rPr>
              <w:t>&lt;1%</w:t>
            </w:r>
          </w:p>
        </w:tc>
      </w:tr>
      <w:tr w:rsidR="00394FCB" w:rsidRPr="00C62941" w14:paraId="555A16E9" w14:textId="77777777" w:rsidTr="00922CB9">
        <w:tc>
          <w:tcPr>
            <w:tcW w:w="2164" w:type="dxa"/>
          </w:tcPr>
          <w:p w14:paraId="3DA18D21" w14:textId="77777777" w:rsidR="00394FCB" w:rsidRDefault="00394FCB" w:rsidP="00922CB9">
            <w:pPr>
              <w:keepNext/>
              <w:keepLines/>
              <w:spacing w:before="40" w:after="40"/>
              <w:rPr>
                <w:rFonts w:cstheme="minorHAnsi"/>
                <w:szCs w:val="16"/>
              </w:rPr>
            </w:pPr>
            <w:r>
              <w:rPr>
                <w:rFonts w:cstheme="minorHAnsi"/>
                <w:szCs w:val="16"/>
              </w:rPr>
              <w:t>H1047X</w:t>
            </w:r>
            <w:r>
              <w:rPr>
                <w:rStyle w:val="FootnoteReference"/>
                <w:rFonts w:cstheme="minorHAnsi"/>
                <w:szCs w:val="16"/>
              </w:rPr>
              <w:footnoteReference w:id="23"/>
            </w:r>
          </w:p>
        </w:tc>
        <w:tc>
          <w:tcPr>
            <w:tcW w:w="2164" w:type="dxa"/>
          </w:tcPr>
          <w:p w14:paraId="79B0001B" w14:textId="77777777" w:rsidR="00394FCB" w:rsidRDefault="00394FCB" w:rsidP="00922CB9">
            <w:pPr>
              <w:keepNext/>
              <w:keepLines/>
              <w:spacing w:before="40" w:after="40"/>
              <w:jc w:val="center"/>
              <w:rPr>
                <w:rFonts w:cstheme="minorHAnsi"/>
                <w:szCs w:val="16"/>
              </w:rPr>
            </w:pPr>
          </w:p>
        </w:tc>
        <w:tc>
          <w:tcPr>
            <w:tcW w:w="2164" w:type="dxa"/>
          </w:tcPr>
          <w:p w14:paraId="7000F2D5" w14:textId="77777777" w:rsidR="00394FCB" w:rsidRDefault="006D79CF" w:rsidP="00922CB9">
            <w:pPr>
              <w:keepNext/>
              <w:keepLines/>
              <w:spacing w:before="40" w:after="40"/>
              <w:jc w:val="center"/>
              <w:rPr>
                <w:rFonts w:cstheme="minorHAnsi"/>
                <w:szCs w:val="16"/>
              </w:rPr>
            </w:pPr>
            <w:r>
              <w:rPr>
                <w:rFonts w:cstheme="minorHAnsi"/>
                <w:szCs w:val="16"/>
              </w:rPr>
              <w:sym w:font="Wingdings" w:char="F0FC"/>
            </w:r>
          </w:p>
        </w:tc>
        <w:tc>
          <w:tcPr>
            <w:tcW w:w="2164" w:type="dxa"/>
          </w:tcPr>
          <w:p w14:paraId="6F70CC4A" w14:textId="77777777" w:rsidR="00394FCB" w:rsidRPr="00A83766" w:rsidRDefault="00E2298A" w:rsidP="00922CB9">
            <w:pPr>
              <w:keepNext/>
              <w:keepLines/>
              <w:spacing w:before="40" w:after="40"/>
              <w:jc w:val="center"/>
            </w:pPr>
            <w:r>
              <w:t>26.8%</w:t>
            </w:r>
          </w:p>
        </w:tc>
      </w:tr>
    </w:tbl>
    <w:p w14:paraId="7C2DD55D" w14:textId="77777777" w:rsidR="00AA5FDA" w:rsidRDefault="00AA5FDA" w:rsidP="00C56521">
      <w:pPr>
        <w:ind w:left="360"/>
      </w:pPr>
    </w:p>
    <w:p w14:paraId="055F4022" w14:textId="77777777" w:rsidR="0018630F" w:rsidRPr="00D73854" w:rsidRDefault="0018630F" w:rsidP="00530204">
      <w:pPr>
        <w:pStyle w:val="Heading2"/>
      </w:pPr>
      <w:r w:rsidRPr="00D73854">
        <w:t xml:space="preserve">Define and summarise the current clinical management pathway </w:t>
      </w:r>
      <w:r w:rsidRPr="00D73854">
        <w:rPr>
          <w:i/>
        </w:rPr>
        <w:t>before</w:t>
      </w:r>
      <w:r w:rsidRPr="00D73854">
        <w:t xml:space="preserve"> patients would be eligible for the proposed medical service (supplement this summary with </w:t>
      </w:r>
      <w:r w:rsidR="00F33F1A" w:rsidRPr="00D73854">
        <w:t xml:space="preserve">an easy to follow flowchart </w:t>
      </w:r>
      <w:r w:rsidR="00DF0C51" w:rsidRPr="00D73854">
        <w:t xml:space="preserve">[as an attachment to the Application Form] </w:t>
      </w:r>
      <w:r w:rsidR="00F33F1A" w:rsidRPr="00D73854">
        <w:t>dep</w:t>
      </w:r>
      <w:r w:rsidRPr="00D73854">
        <w:t>icting the current clinical manag</w:t>
      </w:r>
      <w:r w:rsidR="00197D29" w:rsidRPr="00D73854">
        <w:t>ement pathway up to this point):</w:t>
      </w:r>
    </w:p>
    <w:p w14:paraId="322C08D5" w14:textId="77777777" w:rsidR="00D73854" w:rsidRDefault="00C879D2" w:rsidP="00D73854">
      <w:pPr>
        <w:ind w:left="425"/>
      </w:pPr>
      <w:r>
        <w:t>Patients diagnosed with HR+/HER2</w:t>
      </w:r>
      <w:r w:rsidR="00B33B16">
        <w:t>–</w:t>
      </w:r>
      <w:r>
        <w:t xml:space="preserve"> advanced breast cancer generally initially receive endocrine therapy</w:t>
      </w:r>
      <w:r w:rsidR="00D73854">
        <w:t xml:space="preserve"> such as tamoxifen </w:t>
      </w:r>
      <w:r w:rsidR="00EB3C74">
        <w:t>or an</w:t>
      </w:r>
      <w:r w:rsidR="00D73854">
        <w:t xml:space="preserve"> </w:t>
      </w:r>
      <w:r w:rsidR="00302490">
        <w:t>aromatase inhibitor</w:t>
      </w:r>
      <w:r>
        <w:t xml:space="preserve">. </w:t>
      </w:r>
      <w:r w:rsidR="00DB7B56">
        <w:t>Initial endocrine therapy</w:t>
      </w:r>
      <w:r>
        <w:t xml:space="preserve"> may have been in the adjuvant setting, or as first-line therapy for </w:t>
      </w:r>
      <w:r w:rsidR="000934A7">
        <w:t xml:space="preserve">de novo </w:t>
      </w:r>
      <w:r>
        <w:t xml:space="preserve">advanced breast cancer. </w:t>
      </w:r>
      <w:r w:rsidR="00DB7B56">
        <w:t xml:space="preserve">More recently, a CDK inhibitor may be used in combination with the non-steroidal aromatase inhibitor in the advanced breast cancer setting. </w:t>
      </w:r>
      <w:r w:rsidR="00735F96">
        <w:t xml:space="preserve">This is shown in the Current Clinical Pathway presented in Figure 1, Attachment A. </w:t>
      </w:r>
    </w:p>
    <w:p w14:paraId="5E5B9ADC" w14:textId="77777777" w:rsidR="002A50FD" w:rsidRPr="00881F93" w:rsidRDefault="005C3AE7" w:rsidP="005C3AE7">
      <w:pPr>
        <w:pStyle w:val="Subtitle"/>
      </w:pPr>
      <w:r>
        <w:t xml:space="preserve">PART 6b – </w:t>
      </w:r>
      <w:r w:rsidR="002A50FD" w:rsidRPr="00881F93">
        <w:t>INFORMATION ABOUT THE INTERVENTION</w:t>
      </w:r>
    </w:p>
    <w:p w14:paraId="7B50CEB2" w14:textId="7777777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6168EA1" w14:textId="77777777" w:rsidR="0086056A" w:rsidRDefault="0086056A" w:rsidP="00C96891">
      <w:pPr>
        <w:ind w:left="360"/>
      </w:pPr>
      <w:r>
        <w:t xml:space="preserve">The proposed medical service is </w:t>
      </w:r>
      <w:r w:rsidRPr="00735F96">
        <w:rPr>
          <w:u w:val="single"/>
        </w:rPr>
        <w:t xml:space="preserve">testing for PIK3CA </w:t>
      </w:r>
      <w:r w:rsidR="00735F96">
        <w:rPr>
          <w:u w:val="single"/>
        </w:rPr>
        <w:t xml:space="preserve">activating </w:t>
      </w:r>
      <w:r w:rsidRPr="00735F96">
        <w:rPr>
          <w:u w:val="single"/>
        </w:rPr>
        <w:t>mutation</w:t>
      </w:r>
      <w:r w:rsidR="00735F96">
        <w:rPr>
          <w:u w:val="single"/>
        </w:rPr>
        <w:t>s</w:t>
      </w:r>
      <w:r w:rsidR="00A73E61">
        <w:t xml:space="preserve">. </w:t>
      </w:r>
      <w:r w:rsidR="00735F96">
        <w:t>Subsequent treatment would be dependent on the test result as follows:</w:t>
      </w:r>
    </w:p>
    <w:p w14:paraId="0A6A9C05" w14:textId="77777777" w:rsidR="0086056A" w:rsidRDefault="0086056A" w:rsidP="00DB0E49">
      <w:pPr>
        <w:pStyle w:val="ListParagraph"/>
        <w:numPr>
          <w:ilvl w:val="0"/>
          <w:numId w:val="16"/>
        </w:numPr>
      </w:pPr>
      <w:r>
        <w:t xml:space="preserve">Patients testing positive for a PIK3CA mutation would receive treatment with </w:t>
      </w:r>
      <w:proofErr w:type="spellStart"/>
      <w:r w:rsidR="00E3158E">
        <w:t>alpelisib</w:t>
      </w:r>
      <w:proofErr w:type="spellEnd"/>
      <w:r w:rsidR="00E3158E">
        <w:t xml:space="preserve"> (in combination with </w:t>
      </w:r>
      <w:proofErr w:type="spellStart"/>
      <w:r w:rsidR="00E3158E">
        <w:t>fulvestrant</w:t>
      </w:r>
      <w:proofErr w:type="spellEnd"/>
      <w:r w:rsidR="00E3158E">
        <w:t>)</w:t>
      </w:r>
    </w:p>
    <w:p w14:paraId="36F02403" w14:textId="77777777" w:rsidR="0086056A" w:rsidRPr="0086056A" w:rsidRDefault="0086056A" w:rsidP="00DB0E49">
      <w:pPr>
        <w:pStyle w:val="ListParagraph"/>
        <w:numPr>
          <w:ilvl w:val="0"/>
          <w:numId w:val="16"/>
        </w:numPr>
      </w:pPr>
      <w:r>
        <w:lastRenderedPageBreak/>
        <w:t>Patients testing negative for a PIK3CA mutation would receive usual care (as outlined in Q38)</w:t>
      </w:r>
      <w:r w:rsidR="000174EA">
        <w:t>.</w:t>
      </w:r>
    </w:p>
    <w:p w14:paraId="35A269C5" w14:textId="77777777" w:rsidR="00642BF6" w:rsidRPr="00D73854" w:rsidRDefault="00642BF6" w:rsidP="00D73854">
      <w:pPr>
        <w:ind w:left="360"/>
        <w:rPr>
          <w:i/>
        </w:rPr>
      </w:pPr>
      <w:r w:rsidRPr="00D73854">
        <w:rPr>
          <w:i/>
        </w:rPr>
        <w:t>Eligibility</w:t>
      </w:r>
    </w:p>
    <w:p w14:paraId="32C08CE0" w14:textId="08912E5C" w:rsidR="002A50FD" w:rsidRPr="00081EEF" w:rsidRDefault="006B1C1E" w:rsidP="00D73854">
      <w:pPr>
        <w:ind w:left="360"/>
      </w:pPr>
      <w:r>
        <w:t>P</w:t>
      </w:r>
      <w:r w:rsidR="008348EA">
        <w:t xml:space="preserve">ostmenopausal women </w:t>
      </w:r>
      <w:r>
        <w:t xml:space="preserve">and men </w:t>
      </w:r>
      <w:r w:rsidR="008348EA">
        <w:t>with HR+/HER2</w:t>
      </w:r>
      <w:r w:rsidR="00B33B16">
        <w:t>–</w:t>
      </w:r>
      <w:r w:rsidR="008348EA">
        <w:t xml:space="preserve"> advanced breast cancer who have progressed on or following treatment with an </w:t>
      </w:r>
      <w:r w:rsidR="00302490">
        <w:t>aromatase inhibitor</w:t>
      </w:r>
      <w:r w:rsidR="008348EA">
        <w:t xml:space="preserve"> would be eligible for testing</w:t>
      </w:r>
      <w:r w:rsidR="00642BF6">
        <w:t xml:space="preserve">. </w:t>
      </w:r>
      <w:r w:rsidR="00AA71D5">
        <w:t>REDACTED</w:t>
      </w:r>
      <w:r w:rsidR="00DB7B56" w:rsidRPr="00081EEF">
        <w:t>.</w:t>
      </w:r>
    </w:p>
    <w:p w14:paraId="1FE92CD7" w14:textId="7360DE5E" w:rsidR="0081149F" w:rsidRDefault="00426E11" w:rsidP="00D73854">
      <w:pPr>
        <w:ind w:left="360"/>
      </w:pPr>
      <w:r>
        <w:t>REDACTED</w:t>
      </w:r>
      <w:r w:rsidR="00127206">
        <w:t xml:space="preserve"> </w:t>
      </w:r>
    </w:p>
    <w:p w14:paraId="4F6A082D" w14:textId="77777777" w:rsidR="00642BF6" w:rsidRPr="00D73854" w:rsidRDefault="00642BF6" w:rsidP="00D73854">
      <w:pPr>
        <w:ind w:left="360"/>
        <w:rPr>
          <w:i/>
          <w:szCs w:val="20"/>
        </w:rPr>
      </w:pPr>
      <w:r w:rsidRPr="00D73854">
        <w:rPr>
          <w:i/>
        </w:rPr>
        <w:t>Testing</w:t>
      </w:r>
      <w:r w:rsidR="00A73E61">
        <w:rPr>
          <w:i/>
        </w:rPr>
        <w:t xml:space="preserve"> and treatment</w:t>
      </w:r>
    </w:p>
    <w:p w14:paraId="31C8788C" w14:textId="77777777" w:rsidR="002404DF" w:rsidRDefault="009E1892" w:rsidP="00D73854">
      <w:pPr>
        <w:ind w:left="360"/>
      </w:pPr>
      <w:r>
        <w:t xml:space="preserve">Testing for PIK3CA mutations can be performed on either tissue or plasma samples. </w:t>
      </w:r>
      <w:r w:rsidR="00642BF6">
        <w:t xml:space="preserve">Testing for PIK3CA mutation </w:t>
      </w:r>
      <w:r w:rsidR="00CF7EF8">
        <w:t xml:space="preserve">would be preferentially performed </w:t>
      </w:r>
      <w:r w:rsidR="00C72FDF">
        <w:t>using</w:t>
      </w:r>
      <w:r w:rsidR="00CF7EF8">
        <w:t xml:space="preserve"> </w:t>
      </w:r>
      <w:r w:rsidR="00C72FDF">
        <w:t xml:space="preserve">fresh tissue, biopsied </w:t>
      </w:r>
      <w:r w:rsidR="00CF7EF8">
        <w:t>at the site of local recurrence or metastasis</w:t>
      </w:r>
      <w:r w:rsidR="00C72FDF">
        <w:t>, but archival tissue could be used instead</w:t>
      </w:r>
      <w:r w:rsidR="00CF7EF8">
        <w:t xml:space="preserve">. </w:t>
      </w:r>
      <w:r w:rsidR="00642BF6">
        <w:t>The biopsy would typically be performed, and testing requested, by a surgeon or oncologist</w:t>
      </w:r>
      <w:r w:rsidR="004F4467">
        <w:t>.</w:t>
      </w:r>
    </w:p>
    <w:p w14:paraId="72C5504C" w14:textId="77777777" w:rsidR="002404DF" w:rsidRDefault="002404DF" w:rsidP="00D73854">
      <w:pPr>
        <w:ind w:left="360"/>
      </w:pPr>
      <w:r>
        <w:t xml:space="preserve">Testing would be performed in a </w:t>
      </w:r>
      <w:r w:rsidRPr="002404DF">
        <w:t xml:space="preserve">National Association of Testing Authorities, Australia </w:t>
      </w:r>
      <w:r>
        <w:t xml:space="preserve">(NATA)-accredited laboratory on sections obtained from </w:t>
      </w:r>
      <w:r w:rsidRPr="002404DF">
        <w:t xml:space="preserve">Formalin Fixed Paraffin Embedded (FFPE) </w:t>
      </w:r>
      <w:r>
        <w:t xml:space="preserve">blocks. Laboratory staff involved in the testing process would include anatomical pathologists, scientists and technicians. </w:t>
      </w:r>
    </w:p>
    <w:p w14:paraId="16A671B7" w14:textId="77777777" w:rsidR="00B37900" w:rsidRPr="004B1BE8" w:rsidRDefault="00B37900" w:rsidP="00B37900">
      <w:pPr>
        <w:ind w:left="360"/>
        <w:rPr>
          <w:szCs w:val="20"/>
          <w:u w:val="single"/>
        </w:rPr>
      </w:pPr>
      <w:r w:rsidRPr="004B1BE8">
        <w:rPr>
          <w:szCs w:val="20"/>
          <w:u w:val="single"/>
        </w:rPr>
        <w:t>Where a tissue sample is readily available:</w:t>
      </w:r>
    </w:p>
    <w:p w14:paraId="0A6547EF" w14:textId="77777777" w:rsidR="00B37900" w:rsidRPr="00BE14E0" w:rsidRDefault="00B37900" w:rsidP="00DB0E49">
      <w:pPr>
        <w:pStyle w:val="ListParagraph"/>
        <w:numPr>
          <w:ilvl w:val="0"/>
          <w:numId w:val="15"/>
        </w:numPr>
        <w:rPr>
          <w:szCs w:val="20"/>
        </w:rPr>
      </w:pPr>
      <w:r>
        <w:rPr>
          <w:szCs w:val="20"/>
        </w:rPr>
        <w:t>Identification of a PIK3CA mutation</w:t>
      </w:r>
      <w:r w:rsidRPr="00BE14E0">
        <w:rPr>
          <w:szCs w:val="20"/>
        </w:rPr>
        <w:t xml:space="preserve"> would </w:t>
      </w:r>
      <w:r>
        <w:rPr>
          <w:szCs w:val="20"/>
        </w:rPr>
        <w:t xml:space="preserve">result in a patient being </w:t>
      </w:r>
      <w:r w:rsidRPr="00BE14E0">
        <w:rPr>
          <w:szCs w:val="20"/>
        </w:rPr>
        <w:t xml:space="preserve">eligible for treatment with </w:t>
      </w:r>
      <w:proofErr w:type="spellStart"/>
      <w:r w:rsidR="00E3158E">
        <w:rPr>
          <w:szCs w:val="20"/>
        </w:rPr>
        <w:t>alpelisib</w:t>
      </w:r>
      <w:proofErr w:type="spellEnd"/>
      <w:r w:rsidR="00E3158E">
        <w:rPr>
          <w:szCs w:val="20"/>
        </w:rPr>
        <w:t xml:space="preserve"> (in combination with </w:t>
      </w:r>
      <w:proofErr w:type="spellStart"/>
      <w:r w:rsidR="00E3158E">
        <w:rPr>
          <w:szCs w:val="20"/>
        </w:rPr>
        <w:t>fulvestrant</w:t>
      </w:r>
      <w:proofErr w:type="spellEnd"/>
      <w:r w:rsidR="00E3158E">
        <w:rPr>
          <w:szCs w:val="20"/>
        </w:rPr>
        <w:t>)</w:t>
      </w:r>
    </w:p>
    <w:p w14:paraId="6A85561E" w14:textId="77777777" w:rsidR="00B37900" w:rsidRDefault="00B37900" w:rsidP="00DB0E49">
      <w:pPr>
        <w:pStyle w:val="ListParagraph"/>
        <w:numPr>
          <w:ilvl w:val="0"/>
          <w:numId w:val="15"/>
        </w:numPr>
        <w:rPr>
          <w:szCs w:val="20"/>
        </w:rPr>
      </w:pPr>
      <w:r>
        <w:rPr>
          <w:szCs w:val="20"/>
        </w:rPr>
        <w:t>No identification of a PIK3CA mutation would result in patients being eligible to receive usual care</w:t>
      </w:r>
    </w:p>
    <w:p w14:paraId="1845A2E1" w14:textId="77777777" w:rsidR="009E1892" w:rsidRDefault="00B37900" w:rsidP="00D73854">
      <w:pPr>
        <w:ind w:left="360"/>
        <w:rPr>
          <w:szCs w:val="20"/>
        </w:rPr>
      </w:pPr>
      <w:r w:rsidRPr="00D73854">
        <w:rPr>
          <w:szCs w:val="20"/>
          <w:u w:val="single"/>
        </w:rPr>
        <w:t>Where</w:t>
      </w:r>
      <w:r w:rsidR="004B1BE8" w:rsidRPr="004B1BE8">
        <w:rPr>
          <w:szCs w:val="20"/>
          <w:u w:val="single"/>
        </w:rPr>
        <w:t xml:space="preserve"> a tissue sample is not readily available</w:t>
      </w:r>
      <w:r w:rsidR="004B1BE8">
        <w:rPr>
          <w:szCs w:val="20"/>
        </w:rPr>
        <w:t xml:space="preserve"> (i.e.</w:t>
      </w:r>
      <w:r w:rsidRPr="00BE14E0">
        <w:rPr>
          <w:szCs w:val="20"/>
        </w:rPr>
        <w:t xml:space="preserve"> fresh </w:t>
      </w:r>
      <w:r>
        <w:rPr>
          <w:szCs w:val="20"/>
        </w:rPr>
        <w:t xml:space="preserve">tissue </w:t>
      </w:r>
      <w:r w:rsidR="004B1BE8">
        <w:rPr>
          <w:szCs w:val="20"/>
        </w:rPr>
        <w:t>[</w:t>
      </w:r>
      <w:r w:rsidR="009E1892">
        <w:rPr>
          <w:szCs w:val="20"/>
        </w:rPr>
        <w:t>e</w:t>
      </w:r>
      <w:r w:rsidR="003A2B83">
        <w:rPr>
          <w:szCs w:val="20"/>
        </w:rPr>
        <w:t>.g.</w:t>
      </w:r>
      <w:r w:rsidR="009E1892">
        <w:rPr>
          <w:szCs w:val="20"/>
        </w:rPr>
        <w:t xml:space="preserve"> based on the site of </w:t>
      </w:r>
      <w:r w:rsidR="00A73E61">
        <w:rPr>
          <w:szCs w:val="20"/>
        </w:rPr>
        <w:t xml:space="preserve">local recurrence or </w:t>
      </w:r>
      <w:r w:rsidR="009E1892">
        <w:rPr>
          <w:szCs w:val="20"/>
        </w:rPr>
        <w:t>metastasis</w:t>
      </w:r>
      <w:r w:rsidR="004B1BE8">
        <w:rPr>
          <w:szCs w:val="20"/>
        </w:rPr>
        <w:t>]</w:t>
      </w:r>
      <w:r>
        <w:rPr>
          <w:szCs w:val="20"/>
        </w:rPr>
        <w:t xml:space="preserve">, </w:t>
      </w:r>
      <w:r w:rsidRPr="00BE14E0">
        <w:rPr>
          <w:szCs w:val="20"/>
        </w:rPr>
        <w:t xml:space="preserve">or </w:t>
      </w:r>
      <w:r w:rsidR="009E1892">
        <w:rPr>
          <w:szCs w:val="20"/>
        </w:rPr>
        <w:t xml:space="preserve">there is no </w:t>
      </w:r>
      <w:r w:rsidRPr="00BE14E0">
        <w:rPr>
          <w:szCs w:val="20"/>
        </w:rPr>
        <w:t>archival tissue</w:t>
      </w:r>
      <w:r w:rsidR="004B1BE8">
        <w:rPr>
          <w:szCs w:val="20"/>
        </w:rPr>
        <w:t>)</w:t>
      </w:r>
      <w:r w:rsidRPr="00BE14E0">
        <w:rPr>
          <w:szCs w:val="20"/>
        </w:rPr>
        <w:t xml:space="preserve">, the test </w:t>
      </w:r>
      <w:r w:rsidR="006D623A">
        <w:rPr>
          <w:szCs w:val="20"/>
        </w:rPr>
        <w:t>could potentially</w:t>
      </w:r>
      <w:r w:rsidRPr="00BE14E0">
        <w:rPr>
          <w:szCs w:val="20"/>
        </w:rPr>
        <w:t xml:space="preserve"> be performed on a plasma sample</w:t>
      </w:r>
      <w:r w:rsidR="009E1892">
        <w:rPr>
          <w:szCs w:val="20"/>
        </w:rPr>
        <w:t xml:space="preserve">. The plasma sample could be taken by a surgeon, oncologist or general practitioner, or ordered by these practitioners and taken at a laboratory. Analysis of the </w:t>
      </w:r>
      <w:proofErr w:type="spellStart"/>
      <w:r w:rsidR="009E1892">
        <w:rPr>
          <w:szCs w:val="20"/>
        </w:rPr>
        <w:t>ctDNA</w:t>
      </w:r>
      <w:proofErr w:type="spellEnd"/>
      <w:r w:rsidR="009E1892">
        <w:rPr>
          <w:szCs w:val="20"/>
        </w:rPr>
        <w:t xml:space="preserve"> in the plasma sample is performed in a similar way to the tissue sample. </w:t>
      </w:r>
    </w:p>
    <w:p w14:paraId="42864D62" w14:textId="77777777" w:rsidR="00B37900" w:rsidRPr="00BE14E0" w:rsidRDefault="009E1892" w:rsidP="00D73854">
      <w:pPr>
        <w:ind w:left="360"/>
        <w:rPr>
          <w:szCs w:val="20"/>
        </w:rPr>
      </w:pPr>
      <w:r>
        <w:rPr>
          <w:szCs w:val="20"/>
        </w:rPr>
        <w:t>Following testing of a plasma sample</w:t>
      </w:r>
      <w:r w:rsidR="00B37900">
        <w:rPr>
          <w:szCs w:val="20"/>
        </w:rPr>
        <w:t xml:space="preserve">: </w:t>
      </w:r>
    </w:p>
    <w:p w14:paraId="3553728F" w14:textId="77777777" w:rsidR="00B37900" w:rsidRDefault="00B37900" w:rsidP="00DB0E49">
      <w:pPr>
        <w:pStyle w:val="ListParagraph"/>
        <w:numPr>
          <w:ilvl w:val="0"/>
          <w:numId w:val="15"/>
        </w:numPr>
      </w:pPr>
      <w:r>
        <w:t xml:space="preserve">Identification of a PIK3CA mutation would result in a patient being eligible for treatment with </w:t>
      </w:r>
      <w:proofErr w:type="spellStart"/>
      <w:r w:rsidR="00E3158E">
        <w:rPr>
          <w:szCs w:val="20"/>
        </w:rPr>
        <w:t>alpelisib</w:t>
      </w:r>
      <w:proofErr w:type="spellEnd"/>
      <w:r w:rsidR="00E3158E">
        <w:rPr>
          <w:szCs w:val="20"/>
        </w:rPr>
        <w:t xml:space="preserve"> (in combination with </w:t>
      </w:r>
      <w:proofErr w:type="spellStart"/>
      <w:r w:rsidR="00E3158E">
        <w:rPr>
          <w:szCs w:val="20"/>
        </w:rPr>
        <w:t>fulvestrant</w:t>
      </w:r>
      <w:proofErr w:type="spellEnd"/>
      <w:r w:rsidR="00E3158E">
        <w:rPr>
          <w:szCs w:val="20"/>
        </w:rPr>
        <w:t>)</w:t>
      </w:r>
    </w:p>
    <w:p w14:paraId="5D5E9623" w14:textId="77777777" w:rsidR="00B37900" w:rsidRPr="00C24BFF" w:rsidRDefault="00B37900" w:rsidP="00DB0E49">
      <w:pPr>
        <w:pStyle w:val="ListParagraph"/>
        <w:numPr>
          <w:ilvl w:val="0"/>
          <w:numId w:val="15"/>
        </w:numPr>
        <w:rPr>
          <w:szCs w:val="20"/>
        </w:rPr>
      </w:pPr>
      <w:r>
        <w:rPr>
          <w:szCs w:val="20"/>
        </w:rPr>
        <w:t xml:space="preserve">No identification of a PIK3CA mutation would result in patients needing a tissue biopsy for further consideration for </w:t>
      </w:r>
      <w:r w:rsidR="00E3158E">
        <w:rPr>
          <w:szCs w:val="20"/>
        </w:rPr>
        <w:t xml:space="preserve">treatment with </w:t>
      </w:r>
      <w:proofErr w:type="spellStart"/>
      <w:r w:rsidR="00E3158E">
        <w:rPr>
          <w:szCs w:val="20"/>
        </w:rPr>
        <w:t>alpelisib</w:t>
      </w:r>
      <w:proofErr w:type="spellEnd"/>
      <w:r w:rsidR="00E3158E">
        <w:rPr>
          <w:szCs w:val="20"/>
        </w:rPr>
        <w:t xml:space="preserve"> (in combination with </w:t>
      </w:r>
      <w:proofErr w:type="spellStart"/>
      <w:r w:rsidR="00E3158E">
        <w:rPr>
          <w:szCs w:val="20"/>
        </w:rPr>
        <w:t>fulvestrant</w:t>
      </w:r>
      <w:proofErr w:type="spellEnd"/>
      <w:r w:rsidR="00E3158E">
        <w:rPr>
          <w:szCs w:val="20"/>
        </w:rPr>
        <w:t>)</w:t>
      </w:r>
      <w:r w:rsidR="009E1892">
        <w:rPr>
          <w:szCs w:val="20"/>
        </w:rPr>
        <w:t xml:space="preserve">, due to the </w:t>
      </w:r>
      <w:r w:rsidR="009E1892" w:rsidRPr="00C24BFF">
        <w:rPr>
          <w:szCs w:val="20"/>
        </w:rPr>
        <w:t>rate of false negatives using the plasma compared with the tissue test.</w:t>
      </w:r>
      <w:r w:rsidRPr="00C24BFF">
        <w:rPr>
          <w:szCs w:val="20"/>
        </w:rPr>
        <w:t xml:space="preserve"> </w:t>
      </w:r>
    </w:p>
    <w:p w14:paraId="10B2B3C7" w14:textId="77777777" w:rsidR="006D623A" w:rsidRPr="006D623A" w:rsidRDefault="006D623A" w:rsidP="006D623A">
      <w:pPr>
        <w:ind w:left="360"/>
        <w:rPr>
          <w:szCs w:val="20"/>
        </w:rPr>
      </w:pPr>
      <w:r w:rsidRPr="00C24BFF">
        <w:rPr>
          <w:szCs w:val="20"/>
        </w:rPr>
        <w:t>Novartis is planning to explore different testing scenarios (</w:t>
      </w:r>
      <w:r w:rsidR="00E67DD6" w:rsidRPr="00C24BFF">
        <w:rPr>
          <w:szCs w:val="20"/>
        </w:rPr>
        <w:t xml:space="preserve">i.e. prior </w:t>
      </w:r>
      <w:r w:rsidR="00B911EF" w:rsidRPr="00C24BFF">
        <w:rPr>
          <w:szCs w:val="20"/>
        </w:rPr>
        <w:t>to</w:t>
      </w:r>
      <w:r w:rsidR="00E67DD6" w:rsidRPr="00C24BFF">
        <w:rPr>
          <w:szCs w:val="20"/>
        </w:rPr>
        <w:t xml:space="preserve"> second-line treatment for advanced breast cancer</w:t>
      </w:r>
      <w:r w:rsidR="00CE6862" w:rsidRPr="00C24BFF">
        <w:rPr>
          <w:szCs w:val="20"/>
        </w:rPr>
        <w:t>,</w:t>
      </w:r>
      <w:r w:rsidR="00E67DD6" w:rsidRPr="00C24BFF">
        <w:rPr>
          <w:szCs w:val="20"/>
        </w:rPr>
        <w:t xml:space="preserve"> and </w:t>
      </w:r>
      <w:r w:rsidR="00B911EF" w:rsidRPr="00C24BFF">
        <w:rPr>
          <w:szCs w:val="20"/>
        </w:rPr>
        <w:t>prior to first- and second-line treatment</w:t>
      </w:r>
      <w:r w:rsidR="00CE6862" w:rsidRPr="00C24BFF">
        <w:rPr>
          <w:szCs w:val="20"/>
        </w:rPr>
        <w:t>;</w:t>
      </w:r>
      <w:r w:rsidR="00B911EF" w:rsidRPr="00C24BFF">
        <w:rPr>
          <w:szCs w:val="20"/>
        </w:rPr>
        <w:t xml:space="preserve"> </w:t>
      </w:r>
      <w:r w:rsidRPr="00C24BFF">
        <w:rPr>
          <w:szCs w:val="20"/>
        </w:rPr>
        <w:t>with or without the option of plasma testing); advice on t</w:t>
      </w:r>
      <w:r w:rsidR="00E67DD6" w:rsidRPr="00C24BFF">
        <w:rPr>
          <w:szCs w:val="20"/>
        </w:rPr>
        <w:t>hese scenarios</w:t>
      </w:r>
      <w:r w:rsidRPr="00C24BFF">
        <w:rPr>
          <w:szCs w:val="20"/>
        </w:rPr>
        <w:t xml:space="preserve"> from the Department and PASC would be welcome.</w:t>
      </w:r>
      <w:r>
        <w:rPr>
          <w:szCs w:val="20"/>
        </w:rPr>
        <w:t xml:space="preserve"> </w:t>
      </w:r>
    </w:p>
    <w:p w14:paraId="32A7A4D2" w14:textId="77777777" w:rsidR="002A6753" w:rsidRPr="00154B00" w:rsidRDefault="002A6753">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46AE9B9" w14:textId="77777777" w:rsidR="002A6753" w:rsidRPr="00154B00" w:rsidRDefault="00B37900" w:rsidP="00E357B9">
      <w:pPr>
        <w:ind w:left="426"/>
        <w:rPr>
          <w:szCs w:val="20"/>
        </w:rPr>
      </w:pPr>
      <w:r>
        <w:t>Not applicable</w:t>
      </w:r>
    </w:p>
    <w:p w14:paraId="74954B73"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E7C748A" w14:textId="77777777" w:rsidR="00DF0C51" w:rsidRDefault="00B37900" w:rsidP="00E357B9">
      <w:pPr>
        <w:ind w:left="426"/>
        <w:rPr>
          <w:b/>
          <w:szCs w:val="20"/>
        </w:rPr>
      </w:pPr>
      <w:r>
        <w:t>Not applicable</w:t>
      </w:r>
    </w:p>
    <w:p w14:paraId="278F8C0E" w14:textId="77777777" w:rsidR="006B1B49" w:rsidRPr="00E67DD6" w:rsidRDefault="006B1B49" w:rsidP="00530204">
      <w:pPr>
        <w:pStyle w:val="Heading2"/>
      </w:pPr>
      <w:r w:rsidRPr="00E67DD6">
        <w:t xml:space="preserve">If applicable, are there any limitations on the </w:t>
      </w:r>
      <w:r w:rsidR="00DF0C51" w:rsidRPr="00E67DD6">
        <w:t xml:space="preserve">provision </w:t>
      </w:r>
      <w:r w:rsidRPr="00E67DD6">
        <w:t>of the proposed medical se</w:t>
      </w:r>
      <w:r w:rsidR="00DF0C51" w:rsidRPr="00E67DD6">
        <w:t xml:space="preserve">rvice delivered to the patient </w:t>
      </w:r>
      <w:r w:rsidR="00D30BDC" w:rsidRPr="00E67DD6">
        <w:t>(</w:t>
      </w:r>
      <w:r w:rsidR="00DF0C51" w:rsidRPr="00E67DD6">
        <w:t>i</w:t>
      </w:r>
      <w:r w:rsidR="00812EDD" w:rsidRPr="00E67DD6">
        <w:t>.</w:t>
      </w:r>
      <w:r w:rsidR="00DF0C51" w:rsidRPr="00E67DD6">
        <w:t xml:space="preserve">e. </w:t>
      </w:r>
      <w:r w:rsidR="00707D4D" w:rsidRPr="00E67DD6">
        <w:t xml:space="preserve">accessibility, </w:t>
      </w:r>
      <w:r w:rsidR="00DF0C51" w:rsidRPr="00E67DD6">
        <w:t>dosage, quantity, duration or frequency</w:t>
      </w:r>
      <w:r w:rsidR="00D30BDC" w:rsidRPr="00E67DD6">
        <w:t>)</w:t>
      </w:r>
      <w:r w:rsidR="00AE1188" w:rsidRPr="00E67DD6">
        <w:t>:</w:t>
      </w:r>
    </w:p>
    <w:p w14:paraId="48FCB839" w14:textId="18473F3F" w:rsidR="006D623A" w:rsidRPr="00DB7B56" w:rsidRDefault="006D623A" w:rsidP="006D623A">
      <w:pPr>
        <w:ind w:left="360"/>
      </w:pPr>
      <w:r w:rsidRPr="00DB7B56">
        <w:t xml:space="preserve">The PIK3CA test is currently being carried out in a small number of laboratories in Australia; however, as similar biomarker testing is widespread it is not expected that the addition of PIK3CA testing would require any additional investment for laboratories. </w:t>
      </w:r>
    </w:p>
    <w:p w14:paraId="223432F5"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793A916" w14:textId="77777777" w:rsidR="00791C8D" w:rsidRPr="00154B00" w:rsidRDefault="00EC1DA7" w:rsidP="00884E69">
      <w:pPr>
        <w:ind w:left="426"/>
        <w:rPr>
          <w:szCs w:val="20"/>
        </w:rPr>
      </w:pPr>
      <w:proofErr w:type="spellStart"/>
      <w:r w:rsidRPr="00DB7B56">
        <w:t>Rebiopsy</w:t>
      </w:r>
      <w:proofErr w:type="spellEnd"/>
      <w:r w:rsidRPr="00DB7B56">
        <w:t xml:space="preserve"> may be required for some patients.</w:t>
      </w:r>
      <w:r>
        <w:t xml:space="preserve"> </w:t>
      </w:r>
    </w:p>
    <w:p w14:paraId="06CA80CB" w14:textId="77777777" w:rsidR="00B17E26" w:rsidRPr="00154B00" w:rsidRDefault="00B17E26" w:rsidP="00530204">
      <w:pPr>
        <w:pStyle w:val="Heading2"/>
      </w:pPr>
      <w:r w:rsidRPr="00154B00">
        <w:lastRenderedPageBreak/>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1BBB062" w14:textId="77777777" w:rsidR="00B17E26" w:rsidRPr="00154B00" w:rsidRDefault="00CF2674" w:rsidP="00884E69">
      <w:pPr>
        <w:ind w:left="426"/>
        <w:rPr>
          <w:szCs w:val="20"/>
        </w:rPr>
      </w:pPr>
      <w:r>
        <w:t>PIK3CA testing would be undertaken in pathology laboratories.</w:t>
      </w:r>
    </w:p>
    <w:p w14:paraId="386A61C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64355E96" w14:textId="77777777" w:rsidR="00B17E26" w:rsidRPr="00154B00" w:rsidRDefault="003D690D" w:rsidP="00884E69">
      <w:pPr>
        <w:ind w:left="426"/>
        <w:rPr>
          <w:szCs w:val="20"/>
        </w:rPr>
      </w:pPr>
      <w:r>
        <w:t>It could not be delegated or referred to another professional for delivery.</w:t>
      </w:r>
    </w:p>
    <w:p w14:paraId="6E7A9E25"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111E2BB" w14:textId="77777777" w:rsidR="00EA0E25" w:rsidRPr="00154B00" w:rsidRDefault="003D690D" w:rsidP="00BC424B">
      <w:pPr>
        <w:ind w:left="426"/>
        <w:rPr>
          <w:szCs w:val="20"/>
        </w:rPr>
      </w:pPr>
      <w:r>
        <w:t xml:space="preserve">As noted in Question 27, surgeons, oncologists and </w:t>
      </w:r>
      <w:r w:rsidR="0035781A">
        <w:t>general practitioners</w:t>
      </w:r>
      <w:r>
        <w:t xml:space="preserve"> would order PIK3CA testing and pathology laboratories would perform the testing. </w:t>
      </w:r>
    </w:p>
    <w:p w14:paraId="56341259"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6B0C842" w14:textId="77777777" w:rsidR="00EA0E25" w:rsidRPr="00154B00" w:rsidRDefault="003D690D" w:rsidP="0073597B">
      <w:pPr>
        <w:ind w:left="426"/>
        <w:rPr>
          <w:szCs w:val="20"/>
        </w:rPr>
      </w:pPr>
      <w:r>
        <w:t xml:space="preserve">Training and qualifications for laboratory personnel performing the PIK3CA test would be the same as </w:t>
      </w:r>
      <w:r w:rsidR="008E3A95">
        <w:t>t</w:t>
      </w:r>
      <w:r>
        <w:t xml:space="preserve">hose required for laboratory personnel currently performing </w:t>
      </w:r>
      <w:r w:rsidR="006B4232">
        <w:t xml:space="preserve">other </w:t>
      </w:r>
      <w:r>
        <w:t xml:space="preserve">cancer biomarker testing. Pathology laboratories performing PIK3CA testing would need to be NATA-accredited, and as per other cancer biomarker tests, competence in PIK3CA testing would be monitored via a Quality Assurance Program (QAP) by the Royal College of Pathologists of Australia (RCPA). </w:t>
      </w:r>
    </w:p>
    <w:p w14:paraId="66FF6357"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E92F8D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1762249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2B2229F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58B1C22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Public outpatient clinic</w:t>
      </w:r>
    </w:p>
    <w:p w14:paraId="3672139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t>Emergency Department</w:t>
      </w:r>
    </w:p>
    <w:p w14:paraId="5166048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1C9BC1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Private consulting rooms – specialist</w:t>
      </w:r>
    </w:p>
    <w:p w14:paraId="4341858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Private consulting rooms – other health practitioner (nurse or allied health)</w:t>
      </w:r>
    </w:p>
    <w:p w14:paraId="43ACC80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rsidR="0079354C">
        <w:rPr>
          <w:szCs w:val="20"/>
        </w:rPr>
        <w:t xml:space="preserve">Private </w:t>
      </w:r>
      <w:proofErr w:type="gramStart"/>
      <w:r w:rsidR="0079354C">
        <w:rPr>
          <w:szCs w:val="20"/>
        </w:rPr>
        <w:t>d</w:t>
      </w:r>
      <w:r>
        <w:t>ay</w:t>
      </w:r>
      <w:proofErr w:type="gramEnd"/>
      <w:r>
        <w:t xml:space="preserve"> surgery c</w:t>
      </w:r>
      <w:r w:rsidR="0079354C">
        <w:t>linic (admitted patient)</w:t>
      </w:r>
    </w:p>
    <w:p w14:paraId="5682F75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7958421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Public day surgery clinic (admitted patient)</w:t>
      </w:r>
    </w:p>
    <w:p w14:paraId="49EC32A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Public day surgery clinic (non-admitted patient)</w:t>
      </w:r>
    </w:p>
    <w:p w14:paraId="055F7FB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t>Residential aged care facility</w:t>
      </w:r>
    </w:p>
    <w:p w14:paraId="3BB45E6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t>Patient’s home</w:t>
      </w:r>
    </w:p>
    <w:p w14:paraId="1196B970" w14:textId="77777777" w:rsidR="000A478F" w:rsidRDefault="003D690D" w:rsidP="000A478F">
      <w:pPr>
        <w:spacing w:before="0" w:after="0"/>
        <w:ind w:left="426"/>
      </w:pPr>
      <w:r>
        <w:rPr>
          <w:szCs w:val="20"/>
        </w:rPr>
        <w:fldChar w:fldCharType="begin">
          <w:ffData>
            <w:name w:val="Check1"/>
            <w:enabled/>
            <w:calcOnExit w:val="0"/>
            <w:checkBox>
              <w:sizeAuto/>
              <w:default w:val="1"/>
            </w:checkBox>
          </w:ffData>
        </w:fldChar>
      </w:r>
      <w:r>
        <w:rPr>
          <w:szCs w:val="20"/>
        </w:rPr>
        <w:instrText xml:space="preserve"> </w:instrText>
      </w:r>
      <w:bookmarkStart w:id="4" w:name="Check1"/>
      <w:r>
        <w:rPr>
          <w:szCs w:val="20"/>
        </w:rPr>
        <w:instrText xml:space="preserve">FORMCHECKBOX </w:instrText>
      </w:r>
      <w:r w:rsidR="0004708B">
        <w:rPr>
          <w:szCs w:val="20"/>
        </w:rPr>
      </w:r>
      <w:r w:rsidR="0004708B">
        <w:rPr>
          <w:szCs w:val="20"/>
        </w:rPr>
        <w:fldChar w:fldCharType="separate"/>
      </w:r>
      <w:r>
        <w:rPr>
          <w:szCs w:val="20"/>
        </w:rPr>
        <w:fldChar w:fldCharType="end"/>
      </w:r>
      <w:bookmarkEnd w:id="4"/>
      <w:r w:rsidR="000A478F">
        <w:rPr>
          <w:szCs w:val="20"/>
        </w:rPr>
        <w:t xml:space="preserve"> </w:t>
      </w:r>
      <w:r w:rsidR="000A478F">
        <w:t>Laboratory</w:t>
      </w:r>
    </w:p>
    <w:p w14:paraId="5E54C89D"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4708B">
        <w:rPr>
          <w:szCs w:val="20"/>
        </w:rPr>
      </w:r>
      <w:r w:rsidR="0004708B">
        <w:rPr>
          <w:szCs w:val="20"/>
        </w:rPr>
        <w:fldChar w:fldCharType="separate"/>
      </w:r>
      <w:r w:rsidRPr="000A5B32">
        <w:rPr>
          <w:szCs w:val="20"/>
        </w:rPr>
        <w:fldChar w:fldCharType="end"/>
      </w:r>
      <w:r>
        <w:rPr>
          <w:szCs w:val="20"/>
        </w:rPr>
        <w:t xml:space="preserve"> </w:t>
      </w:r>
      <w:r>
        <w:t>Other – please specify below</w:t>
      </w:r>
    </w:p>
    <w:p w14:paraId="75A12173" w14:textId="77777777" w:rsidR="005F3F07" w:rsidRDefault="003D690D" w:rsidP="0073597B">
      <w:pPr>
        <w:ind w:left="426"/>
        <w:rPr>
          <w:b/>
          <w:szCs w:val="20"/>
        </w:rPr>
      </w:pPr>
      <w:r>
        <w:t xml:space="preserve">PIK3CA testing would take place in </w:t>
      </w:r>
      <w:r w:rsidR="00FC4B6A">
        <w:t xml:space="preserve">the </w:t>
      </w:r>
      <w:r>
        <w:t xml:space="preserve">pathology </w:t>
      </w:r>
      <w:r w:rsidR="00FC4B6A">
        <w:t xml:space="preserve">departments of both commercial and hospital pathology laboratories.  </w:t>
      </w:r>
    </w:p>
    <w:p w14:paraId="418D20A1" w14:textId="77777777" w:rsidR="003433D1" w:rsidRPr="005C3AE7" w:rsidRDefault="00E048ED" w:rsidP="00DB0E49">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E299109" w14:textId="77777777" w:rsidR="0073597B" w:rsidRDefault="003D690D" w:rsidP="0073597B">
      <w:pPr>
        <w:ind w:left="426"/>
        <w:rPr>
          <w:b/>
          <w:szCs w:val="20"/>
        </w:rPr>
      </w:pPr>
      <w:r>
        <w:t>Not applicable</w:t>
      </w:r>
    </w:p>
    <w:p w14:paraId="7BADEA38" w14:textId="77777777" w:rsidR="003E30FB" w:rsidRDefault="003E30FB" w:rsidP="00530204">
      <w:pPr>
        <w:pStyle w:val="Heading2"/>
      </w:pPr>
      <w:r>
        <w:t xml:space="preserve">Is the </w:t>
      </w:r>
      <w:r w:rsidRPr="001B29A1">
        <w:t>proposed</w:t>
      </w:r>
      <w:r>
        <w:t xml:space="preserve"> medical service intended to be entirely rendered in Australia?</w:t>
      </w:r>
    </w:p>
    <w:p w14:paraId="59FF7262" w14:textId="77777777" w:rsidR="000A478F" w:rsidRDefault="00FC4B6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0A478F">
        <w:rPr>
          <w:szCs w:val="20"/>
        </w:rPr>
        <w:t xml:space="preserve"> Yes</w:t>
      </w:r>
    </w:p>
    <w:p w14:paraId="37D4062C" w14:textId="77777777" w:rsidR="000A478F" w:rsidRPr="00EB3C74" w:rsidRDefault="000A478F" w:rsidP="00EB3C74">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4708B">
        <w:rPr>
          <w:szCs w:val="20"/>
        </w:rPr>
      </w:r>
      <w:r w:rsidR="0004708B">
        <w:rPr>
          <w:szCs w:val="20"/>
        </w:rPr>
        <w:fldChar w:fldCharType="separate"/>
      </w:r>
      <w:r w:rsidRPr="00753C44">
        <w:rPr>
          <w:szCs w:val="20"/>
        </w:rPr>
        <w:fldChar w:fldCharType="end"/>
      </w:r>
      <w:r>
        <w:rPr>
          <w:szCs w:val="20"/>
        </w:rPr>
        <w:t xml:space="preserve"> No</w:t>
      </w:r>
      <w:r w:rsidR="00C4696B">
        <w:rPr>
          <w:szCs w:val="20"/>
        </w:rPr>
        <w:t xml:space="preserve"> – please specify below</w:t>
      </w:r>
      <w:r>
        <w:rPr>
          <w:b/>
          <w:i/>
          <w:szCs w:val="20"/>
          <w:u w:val="single"/>
        </w:rPr>
        <w:br w:type="page"/>
      </w:r>
    </w:p>
    <w:p w14:paraId="5BFDA764"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2D0B8644"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BBF9FF2" w14:textId="21FF3E95" w:rsidR="002C5CE1" w:rsidRPr="00FA3055" w:rsidRDefault="0086056A" w:rsidP="00FA3055">
      <w:pPr>
        <w:ind w:left="360"/>
      </w:pPr>
      <w:r w:rsidRPr="00921D35">
        <w:t xml:space="preserve">The nominated comparator is </w:t>
      </w:r>
      <w:r w:rsidRPr="00921D35">
        <w:rPr>
          <w:u w:val="single"/>
        </w:rPr>
        <w:t xml:space="preserve">no testing for PIK3CA </w:t>
      </w:r>
      <w:r w:rsidR="00090821" w:rsidRPr="00921D35">
        <w:rPr>
          <w:u w:val="single"/>
        </w:rPr>
        <w:t xml:space="preserve">activating </w:t>
      </w:r>
      <w:r w:rsidRPr="00921D35">
        <w:rPr>
          <w:u w:val="single"/>
        </w:rPr>
        <w:t>mutation</w:t>
      </w:r>
      <w:r w:rsidR="00090821" w:rsidRPr="00921D35">
        <w:rPr>
          <w:u w:val="single"/>
        </w:rPr>
        <w:t>s</w:t>
      </w:r>
      <w:r w:rsidRPr="00921D35">
        <w:t xml:space="preserve"> and treatment with usual care. Usual care is </w:t>
      </w:r>
      <w:r w:rsidR="00C71A59" w:rsidRPr="00921D35">
        <w:t xml:space="preserve">made up of a ‘basket’ of different treatment options as outlined </w:t>
      </w:r>
      <w:r w:rsidRPr="00921D35">
        <w:t>below</w:t>
      </w:r>
      <w:r w:rsidR="00C71A59" w:rsidRPr="00921D35">
        <w:t>. The relative proportions of patients that currently receive each treatment option will be examined during the preparation of the co-dependent submission</w:t>
      </w:r>
      <w:r w:rsidR="00881A5B" w:rsidRPr="00921D35">
        <w:t xml:space="preserve">. </w:t>
      </w:r>
      <w:r w:rsidR="00D279A5" w:rsidRPr="00FA3055">
        <w:rPr>
          <w:b/>
        </w:rPr>
        <w:t>REDACTED</w:t>
      </w:r>
    </w:p>
    <w:p w14:paraId="290BA26A" w14:textId="200B8B0E" w:rsidR="000D65B7" w:rsidRDefault="002C5CE1" w:rsidP="000D65B7">
      <w:pPr>
        <w:ind w:left="360"/>
        <w:rPr>
          <w:szCs w:val="20"/>
        </w:rPr>
      </w:pPr>
      <w:r w:rsidRPr="00921D35">
        <w:rPr>
          <w:szCs w:val="20"/>
        </w:rPr>
        <w:t xml:space="preserve">The lines of therapy and </w:t>
      </w:r>
      <w:r w:rsidRPr="00081EEF">
        <w:rPr>
          <w:szCs w:val="20"/>
        </w:rPr>
        <w:t xml:space="preserve">associated treatment options are presented in </w:t>
      </w:r>
      <w:r w:rsidR="0086056A" w:rsidRPr="00081EEF">
        <w:rPr>
          <w:szCs w:val="20"/>
        </w:rPr>
        <w:t xml:space="preserve">the Current Clinical Pathway algorithm in </w:t>
      </w:r>
      <w:r w:rsidRPr="00081EEF">
        <w:rPr>
          <w:szCs w:val="20"/>
        </w:rPr>
        <w:t xml:space="preserve">Attachment </w:t>
      </w:r>
      <w:proofErr w:type="gramStart"/>
      <w:r w:rsidRPr="00081EEF">
        <w:rPr>
          <w:szCs w:val="20"/>
        </w:rPr>
        <w:t>A</w:t>
      </w:r>
      <w:proofErr w:type="gramEnd"/>
      <w:r w:rsidR="003B7693" w:rsidRPr="00081EEF">
        <w:rPr>
          <w:szCs w:val="20"/>
        </w:rPr>
        <w:t xml:space="preserve"> (Figure 1)</w:t>
      </w:r>
      <w:r w:rsidR="00921D35" w:rsidRPr="00081EEF">
        <w:rPr>
          <w:szCs w:val="20"/>
        </w:rPr>
        <w:t>.</w:t>
      </w:r>
      <w:r w:rsidR="000D65B7">
        <w:rPr>
          <w:szCs w:val="20"/>
        </w:rPr>
        <w:t xml:space="preserve"> </w:t>
      </w:r>
      <w:r w:rsidR="000D65B7" w:rsidRPr="00FA3055">
        <w:rPr>
          <w:b/>
          <w:szCs w:val="20"/>
        </w:rPr>
        <w:t>REDACTED</w:t>
      </w:r>
      <w:r w:rsidR="00881A5B" w:rsidRPr="00921D35">
        <w:rPr>
          <w:szCs w:val="20"/>
        </w:rPr>
        <w:t>.</w:t>
      </w:r>
    </w:p>
    <w:p w14:paraId="75E24A96" w14:textId="149B403C" w:rsidR="000D65B7" w:rsidRPr="00FA3055" w:rsidRDefault="000D65B7" w:rsidP="000D65B7">
      <w:pPr>
        <w:ind w:left="360"/>
        <w:rPr>
          <w:b/>
          <w:szCs w:val="20"/>
        </w:rPr>
      </w:pPr>
      <w:r w:rsidRPr="00FA3055">
        <w:rPr>
          <w:b/>
          <w:szCs w:val="20"/>
        </w:rPr>
        <w:t>REDACTED</w:t>
      </w:r>
    </w:p>
    <w:p w14:paraId="763288C2"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BB5807D" w14:textId="77777777" w:rsidR="006A1038" w:rsidRDefault="001244F0"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530BB3D3" w14:textId="58746A95" w:rsidR="00735F96" w:rsidRDefault="001244F0" w:rsidP="00A256E0">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6A1038">
        <w:rPr>
          <w:szCs w:val="20"/>
        </w:rPr>
        <w:t xml:space="preserve"> No</w:t>
      </w:r>
    </w:p>
    <w:p w14:paraId="02FE778E"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773D2427" w14:textId="77777777" w:rsidR="003433D1" w:rsidRDefault="00090821" w:rsidP="001B29A1">
      <w:pPr>
        <w:ind w:left="426"/>
        <w:rPr>
          <w:b/>
          <w:szCs w:val="20"/>
        </w:rPr>
      </w:pPr>
      <w:r>
        <w:t xml:space="preserve">As shown in Attachment A, </w:t>
      </w:r>
      <w:r w:rsidR="003B7693">
        <w:t xml:space="preserve">Figure 1 </w:t>
      </w:r>
      <w:r>
        <w:t xml:space="preserve">there are a number of treatment options available in the second-line setting. Patients may subsequently move between these treatment options for later lines of therapy, including moving to best supportive care. </w:t>
      </w:r>
    </w:p>
    <w:p w14:paraId="7FA0D464"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8010A92"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4708B">
        <w:rPr>
          <w:szCs w:val="20"/>
        </w:rPr>
      </w:r>
      <w:r w:rsidR="0004708B">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3AFF61D3" w14:textId="77777777" w:rsidR="001B29A1" w:rsidRDefault="00306B2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7258ACDF" w14:textId="77777777" w:rsidR="00E70D86" w:rsidRPr="00881A5B" w:rsidRDefault="00E70D86" w:rsidP="00DB0E49">
      <w:pPr>
        <w:pStyle w:val="Heading2"/>
        <w:numPr>
          <w:ilvl w:val="0"/>
          <w:numId w:val="9"/>
        </w:numPr>
      </w:pPr>
      <w:r w:rsidRPr="00881A5B">
        <w:t xml:space="preserve">If </w:t>
      </w:r>
      <w:r w:rsidR="00723446" w:rsidRPr="00881A5B">
        <w:t>instead of (i.e. alternative service)</w:t>
      </w:r>
      <w:r w:rsidR="00D00122" w:rsidRPr="00881A5B">
        <w:t xml:space="preserve">, </w:t>
      </w:r>
      <w:r w:rsidRPr="00881A5B">
        <w:t xml:space="preserve">please </w:t>
      </w:r>
      <w:r w:rsidR="00F33F1A" w:rsidRPr="00881A5B">
        <w:t xml:space="preserve">outline </w:t>
      </w:r>
      <w:r w:rsidR="00723446" w:rsidRPr="00881A5B">
        <w:t xml:space="preserve">the extent to </w:t>
      </w:r>
      <w:r w:rsidR="00F33F1A" w:rsidRPr="00881A5B">
        <w:t xml:space="preserve">which </w:t>
      </w:r>
      <w:r w:rsidR="00D00122" w:rsidRPr="00881A5B">
        <w:t xml:space="preserve">the </w:t>
      </w:r>
      <w:r w:rsidR="00F33F1A" w:rsidRPr="00881A5B">
        <w:t xml:space="preserve">current service/comparator is expected to be </w:t>
      </w:r>
      <w:r w:rsidR="00AE1188" w:rsidRPr="00881A5B">
        <w:t>substituted:</w:t>
      </w:r>
    </w:p>
    <w:p w14:paraId="4EECE351" w14:textId="3AE6241C" w:rsidR="003433D1" w:rsidRPr="00881A5B" w:rsidRDefault="00306B28" w:rsidP="001B29A1">
      <w:pPr>
        <w:ind w:left="426"/>
      </w:pPr>
      <w:r w:rsidRPr="00881A5B">
        <w:t xml:space="preserve">It is expected that </w:t>
      </w:r>
      <w:r w:rsidR="00090821" w:rsidRPr="00881A5B">
        <w:t xml:space="preserve">the majority of </w:t>
      </w:r>
      <w:r w:rsidRPr="00881A5B">
        <w:t xml:space="preserve">patients who fail an </w:t>
      </w:r>
      <w:r w:rsidR="00302490" w:rsidRPr="00881A5B">
        <w:t>aromatase inhibitor</w:t>
      </w:r>
      <w:r w:rsidRPr="00881A5B">
        <w:t xml:space="preserve"> (</w:t>
      </w:r>
      <w:r w:rsidR="000D65B7" w:rsidRPr="00FA3055">
        <w:rPr>
          <w:b/>
        </w:rPr>
        <w:t>REDACTED</w:t>
      </w:r>
      <w:r w:rsidR="000D65B7">
        <w:t xml:space="preserve">) </w:t>
      </w:r>
      <w:r w:rsidRPr="00881A5B">
        <w:t xml:space="preserve">would be tested for PIK3CA mutations to determine the most appropriate subsequent treatment (i.e. </w:t>
      </w:r>
      <w:proofErr w:type="spellStart"/>
      <w:r w:rsidR="003B26A6" w:rsidRPr="00881A5B">
        <w:t>alpelisib</w:t>
      </w:r>
      <w:proofErr w:type="spellEnd"/>
      <w:r w:rsidR="003B26A6" w:rsidRPr="00881A5B">
        <w:t xml:space="preserve"> in combination with </w:t>
      </w:r>
      <w:proofErr w:type="spellStart"/>
      <w:r w:rsidR="003B26A6" w:rsidRPr="00881A5B">
        <w:t>fulvestrant</w:t>
      </w:r>
      <w:proofErr w:type="spellEnd"/>
      <w:r w:rsidRPr="00881A5B">
        <w:t xml:space="preserve"> or the current appropriate usual care). </w:t>
      </w:r>
      <w:r w:rsidR="00E67DD6" w:rsidRPr="00881A5B">
        <w:t xml:space="preserve">However, the following patient groups would </w:t>
      </w:r>
      <w:r w:rsidR="00955264" w:rsidRPr="00881A5B">
        <w:t xml:space="preserve">likely not </w:t>
      </w:r>
      <w:r w:rsidR="00E67DD6" w:rsidRPr="00881A5B">
        <w:t xml:space="preserve">be considered not suitable for treatment with </w:t>
      </w:r>
      <w:proofErr w:type="spellStart"/>
      <w:r w:rsidR="003B26A6" w:rsidRPr="00881A5B">
        <w:t>alpelisib</w:t>
      </w:r>
      <w:proofErr w:type="spellEnd"/>
      <w:r w:rsidR="003B26A6" w:rsidRPr="00881A5B">
        <w:t xml:space="preserve"> (in combination with </w:t>
      </w:r>
      <w:proofErr w:type="spellStart"/>
      <w:r w:rsidR="003B26A6" w:rsidRPr="00881A5B">
        <w:t>fulvestrant</w:t>
      </w:r>
      <w:proofErr w:type="spellEnd"/>
      <w:r w:rsidR="003B26A6" w:rsidRPr="00881A5B">
        <w:t>)</w:t>
      </w:r>
      <w:r w:rsidR="00E67DD6" w:rsidRPr="00881A5B">
        <w:t>:</w:t>
      </w:r>
    </w:p>
    <w:p w14:paraId="5E8BD72B" w14:textId="366304B2" w:rsidR="00E67DD6" w:rsidRPr="00881A5B" w:rsidRDefault="000D65B7" w:rsidP="00DB0E49">
      <w:pPr>
        <w:pStyle w:val="ListParagraph"/>
        <w:numPr>
          <w:ilvl w:val="0"/>
          <w:numId w:val="21"/>
        </w:numPr>
        <w:rPr>
          <w:szCs w:val="20"/>
        </w:rPr>
      </w:pPr>
      <w:r>
        <w:rPr>
          <w:szCs w:val="20"/>
        </w:rPr>
        <w:t>REDACTED</w:t>
      </w:r>
      <w:r w:rsidR="00E67DD6" w:rsidRPr="00881A5B">
        <w:rPr>
          <w:szCs w:val="20"/>
        </w:rPr>
        <w:t>.</w:t>
      </w:r>
    </w:p>
    <w:p w14:paraId="35CA845C"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F2D27E6" w14:textId="11172630" w:rsidR="00964640" w:rsidRPr="00C24BFF" w:rsidRDefault="00306B28" w:rsidP="00A256E0">
      <w:pPr>
        <w:pStyle w:val="ListParagraph"/>
        <w:ind w:left="357"/>
        <w:contextualSpacing w:val="0"/>
      </w:pPr>
      <w:r w:rsidRPr="00C24BFF">
        <w:t>Two Proposed Clinical Pathways are presented in Attachment A: (</w:t>
      </w:r>
      <w:proofErr w:type="spellStart"/>
      <w:r w:rsidRPr="00C24BFF">
        <w:t>i</w:t>
      </w:r>
      <w:proofErr w:type="spellEnd"/>
      <w:r w:rsidRPr="00C24BFF">
        <w:t xml:space="preserve">) including </w:t>
      </w:r>
      <w:r w:rsidR="00B911EF" w:rsidRPr="00C24BFF">
        <w:t xml:space="preserve">PIK3CA testing to inform second-line advanced breast cancer treatment with </w:t>
      </w:r>
      <w:proofErr w:type="spellStart"/>
      <w:r w:rsidR="00B911EF" w:rsidRPr="00C24BFF">
        <w:t>alpelisib</w:t>
      </w:r>
      <w:proofErr w:type="spellEnd"/>
      <w:r w:rsidR="00B911EF" w:rsidRPr="00C24BFF">
        <w:t xml:space="preserve"> </w:t>
      </w:r>
      <w:r w:rsidRPr="00C24BFF">
        <w:t xml:space="preserve">(Figure 2) and (ii) </w:t>
      </w:r>
      <w:r w:rsidR="00D752D6" w:rsidRPr="00C24BFF">
        <w:t xml:space="preserve">including </w:t>
      </w:r>
      <w:r w:rsidR="00B911EF" w:rsidRPr="00C24BFF">
        <w:t xml:space="preserve">PIK3CA testing to inform first- and second-line advanced breast cancer treatment with </w:t>
      </w:r>
      <w:proofErr w:type="spellStart"/>
      <w:r w:rsidR="00B911EF" w:rsidRPr="00C24BFF">
        <w:t>alpelisib</w:t>
      </w:r>
      <w:proofErr w:type="spellEnd"/>
      <w:r w:rsidR="00B911EF" w:rsidRPr="00C24BFF">
        <w:t>.</w:t>
      </w:r>
      <w:r w:rsidR="00D752D6" w:rsidRPr="00C24BFF">
        <w:t xml:space="preserve"> </w:t>
      </w:r>
    </w:p>
    <w:p w14:paraId="683B1B43" w14:textId="0613C1D7" w:rsidR="00D65A22" w:rsidRDefault="000D65B7" w:rsidP="00A256E0">
      <w:pPr>
        <w:pStyle w:val="ListParagraph"/>
        <w:ind w:left="357"/>
        <w:contextualSpacing w:val="0"/>
      </w:pPr>
      <w:r>
        <w:t>REDACTED</w:t>
      </w:r>
    </w:p>
    <w:p w14:paraId="3E91BFEB" w14:textId="77777777" w:rsidR="00D65A22" w:rsidRDefault="00D65A22" w:rsidP="00D65A22">
      <w:pPr>
        <w:pStyle w:val="ListParagraph"/>
        <w:ind w:left="360"/>
      </w:pPr>
      <w:r w:rsidRPr="00881A5B">
        <w:t xml:space="preserve">The inclusion of PIK3CA testing and treatment with </w:t>
      </w:r>
      <w:proofErr w:type="spellStart"/>
      <w:r w:rsidRPr="00881A5B">
        <w:t>alpelisib</w:t>
      </w:r>
      <w:proofErr w:type="spellEnd"/>
      <w:r w:rsidRPr="00881A5B">
        <w:t xml:space="preserve"> presented in the Proposed Clinical Pathway</w:t>
      </w:r>
      <w:r w:rsidR="00B911EF" w:rsidRPr="00881A5B">
        <w:t>s</w:t>
      </w:r>
      <w:r w:rsidRPr="00881A5B">
        <w:t xml:space="preserve"> is consistent with recent changes to the NCCN Guidelines Version 2.2019 Invasive Breast Cancer (as shown in Attachment B), where testing for PIK3CA mutation is included in the workup for patients with recurrent or stage IV invasive breast cancer that is HR+/HER2</w:t>
      </w:r>
      <w:r w:rsidR="00B33B16" w:rsidRPr="00881A5B">
        <w:t>–</w:t>
      </w:r>
      <w:r w:rsidRPr="00881A5B">
        <w:t xml:space="preserve">, and </w:t>
      </w:r>
      <w:proofErr w:type="spellStart"/>
      <w:r w:rsidR="00E3158E" w:rsidRPr="00881A5B">
        <w:t>alpelisib</w:t>
      </w:r>
      <w:proofErr w:type="spellEnd"/>
      <w:r w:rsidR="00E3158E" w:rsidRPr="00881A5B">
        <w:t xml:space="preserve"> plus </w:t>
      </w:r>
      <w:proofErr w:type="spellStart"/>
      <w:r w:rsidR="00E3158E" w:rsidRPr="00881A5B">
        <w:t>fulvestrant</w:t>
      </w:r>
      <w:proofErr w:type="spellEnd"/>
      <w:r w:rsidR="00892165" w:rsidRPr="00881A5B">
        <w:t xml:space="preserve"> is included in the list of </w:t>
      </w:r>
      <w:r w:rsidR="00892165" w:rsidRPr="00881A5B">
        <w:lastRenderedPageBreak/>
        <w:t>preferred treatment options for PIK3CA-mutated tumours in postmenopausal patients with HR+/HER2</w:t>
      </w:r>
      <w:r w:rsidR="00B33B16" w:rsidRPr="00881A5B">
        <w:t>–</w:t>
      </w:r>
      <w:r w:rsidR="00892165" w:rsidRPr="00881A5B">
        <w:t xml:space="preserve"> recurrent or stage IV invasive breast cancer. </w:t>
      </w:r>
    </w:p>
    <w:p w14:paraId="43477694"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279CD233"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638BE7A" w14:textId="77777777" w:rsidR="000174EA" w:rsidRDefault="000174EA" w:rsidP="001B29A1">
      <w:pPr>
        <w:ind w:left="426"/>
      </w:pPr>
      <w:r>
        <w:t>For</w:t>
      </w:r>
      <w:r w:rsidR="00E970B3">
        <w:t xml:space="preserve"> </w:t>
      </w:r>
      <w:r w:rsidR="00CC7D34">
        <w:t>postmenopausal women and men with HR+/HER2</w:t>
      </w:r>
      <w:r w:rsidR="00B33B16">
        <w:t>–</w:t>
      </w:r>
      <w:r w:rsidR="00CC7D34">
        <w:t xml:space="preserve"> advanced breast cancer</w:t>
      </w:r>
      <w:r w:rsidR="00E970B3">
        <w:t xml:space="preserve"> who are </w:t>
      </w:r>
      <w:r w:rsidR="00CC7D34">
        <w:t>PIK3CA mutation positive</w:t>
      </w:r>
      <w:r w:rsidR="00E970B3">
        <w:t xml:space="preserve">, </w:t>
      </w:r>
      <w:r w:rsidR="007D6B2E">
        <w:t xml:space="preserve">it is expected that treatment with </w:t>
      </w:r>
      <w:proofErr w:type="spellStart"/>
      <w:r w:rsidR="003B26A6">
        <w:t>alpelisib</w:t>
      </w:r>
      <w:proofErr w:type="spellEnd"/>
      <w:r w:rsidR="003B26A6">
        <w:t xml:space="preserve"> (in combination with </w:t>
      </w:r>
      <w:proofErr w:type="spellStart"/>
      <w:r w:rsidR="003B26A6">
        <w:t>fulvestrant</w:t>
      </w:r>
      <w:proofErr w:type="spellEnd"/>
      <w:r w:rsidR="003B26A6">
        <w:t>)</w:t>
      </w:r>
      <w:r w:rsidR="007D6B2E">
        <w:t xml:space="preserve"> would result in superior efficacy and non-inferior safety compared with the usual care these patients would receive if they were not tested.</w:t>
      </w:r>
    </w:p>
    <w:p w14:paraId="09F020E5" w14:textId="77777777" w:rsidR="007D6B2E" w:rsidRDefault="007D6B2E" w:rsidP="007D6B2E">
      <w:pPr>
        <w:ind w:left="426"/>
      </w:pPr>
      <w:r>
        <w:t>Postmenopausal women and men with HR+/HER</w:t>
      </w:r>
      <w:r w:rsidR="00B33B16">
        <w:t>2–</w:t>
      </w:r>
      <w:r>
        <w:t xml:space="preserve"> advanced breast cancer who are PIK3CA mutation negative would receive usual care, the same treatment these patients would receive if they were not tested.</w:t>
      </w:r>
    </w:p>
    <w:p w14:paraId="5C2AAB1C"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BF33AAB" w14:textId="77777777" w:rsidR="001B29A1" w:rsidRPr="00CC7D34" w:rsidRDefault="00CC7D34" w:rsidP="001B29A1">
      <w:pPr>
        <w:spacing w:before="0" w:after="0"/>
        <w:ind w:left="426"/>
        <w:rPr>
          <w:szCs w:val="20"/>
        </w:rPr>
      </w:pPr>
      <w:r w:rsidRPr="00CC7D34">
        <w:rPr>
          <w:szCs w:val="20"/>
        </w:rPr>
        <w:fldChar w:fldCharType="begin">
          <w:ffData>
            <w:name w:val=""/>
            <w:enabled/>
            <w:calcOnExit w:val="0"/>
            <w:checkBox>
              <w:sizeAuto/>
              <w:default w:val="1"/>
            </w:checkBox>
          </w:ffData>
        </w:fldChar>
      </w:r>
      <w:r w:rsidRPr="00CC7D34">
        <w:rPr>
          <w:szCs w:val="20"/>
        </w:rPr>
        <w:instrText xml:space="preserve"> FORMCHECKBOX </w:instrText>
      </w:r>
      <w:r w:rsidR="0004708B">
        <w:rPr>
          <w:szCs w:val="20"/>
        </w:rPr>
      </w:r>
      <w:r w:rsidR="0004708B">
        <w:rPr>
          <w:szCs w:val="20"/>
        </w:rPr>
        <w:fldChar w:fldCharType="separate"/>
      </w:r>
      <w:r w:rsidRPr="00CC7D34">
        <w:rPr>
          <w:szCs w:val="20"/>
        </w:rPr>
        <w:fldChar w:fldCharType="end"/>
      </w:r>
      <w:r w:rsidR="001B29A1" w:rsidRPr="00CC7D34">
        <w:rPr>
          <w:szCs w:val="20"/>
        </w:rPr>
        <w:t xml:space="preserve"> Superiority</w:t>
      </w:r>
      <w:r w:rsidR="001B29A1" w:rsidRPr="00CC7D34">
        <w:rPr>
          <w:szCs w:val="20"/>
        </w:rPr>
        <w:tab/>
      </w:r>
    </w:p>
    <w:p w14:paraId="6D1EA8BB" w14:textId="77777777" w:rsidR="004E3CC7" w:rsidRDefault="00F97762"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4708B">
        <w:rPr>
          <w:szCs w:val="20"/>
        </w:rPr>
      </w:r>
      <w:r w:rsidR="0004708B">
        <w:rPr>
          <w:szCs w:val="20"/>
        </w:rPr>
        <w:fldChar w:fldCharType="separate"/>
      </w:r>
      <w:r>
        <w:rPr>
          <w:szCs w:val="20"/>
        </w:rPr>
        <w:fldChar w:fldCharType="end"/>
      </w:r>
      <w:r w:rsidR="001B29A1" w:rsidRPr="00CC7D34">
        <w:rPr>
          <w:szCs w:val="20"/>
        </w:rPr>
        <w:t xml:space="preserve"> Non-inferiority</w:t>
      </w:r>
      <w:r w:rsidR="001B29A1" w:rsidRPr="001B29A1">
        <w:rPr>
          <w:szCs w:val="20"/>
        </w:rPr>
        <w:tab/>
      </w:r>
    </w:p>
    <w:p w14:paraId="4C3BFC74" w14:textId="77777777" w:rsidR="00F97762" w:rsidRDefault="00F97762" w:rsidP="001B29A1">
      <w:pPr>
        <w:spacing w:before="0" w:after="0"/>
        <w:ind w:left="426"/>
        <w:rPr>
          <w:szCs w:val="20"/>
        </w:rPr>
      </w:pPr>
    </w:p>
    <w:p w14:paraId="3450C4FC" w14:textId="14A1B236" w:rsidR="00F97762" w:rsidRPr="001B29A1" w:rsidRDefault="000D65B7" w:rsidP="001B29A1">
      <w:pPr>
        <w:spacing w:before="0" w:after="0"/>
        <w:ind w:left="426"/>
        <w:rPr>
          <w:szCs w:val="20"/>
        </w:rPr>
      </w:pPr>
      <w:r>
        <w:rPr>
          <w:szCs w:val="20"/>
        </w:rPr>
        <w:t>REDACTED</w:t>
      </w:r>
    </w:p>
    <w:p w14:paraId="19A1BF08"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D2A5452" w14:textId="77777777"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14:paraId="0BF1B365" w14:textId="77777777" w:rsidR="00EB3C74" w:rsidRPr="00EB3C74" w:rsidRDefault="00EB3C74" w:rsidP="001B29A1">
      <w:pPr>
        <w:pBdr>
          <w:top w:val="single" w:sz="4" w:space="1" w:color="auto"/>
          <w:left w:val="single" w:sz="4" w:space="4" w:color="auto"/>
          <w:bottom w:val="single" w:sz="4" w:space="1" w:color="auto"/>
          <w:right w:val="single" w:sz="4" w:space="4" w:color="auto"/>
        </w:pBdr>
        <w:rPr>
          <w:u w:val="single"/>
        </w:rPr>
      </w:pPr>
      <w:r w:rsidRPr="00EB3C74">
        <w:rPr>
          <w:u w:val="single"/>
        </w:rPr>
        <w:t>Test outcomes</w:t>
      </w:r>
    </w:p>
    <w:p w14:paraId="527BE8DB" w14:textId="77777777" w:rsidR="0026710F" w:rsidRDefault="00EB3C74" w:rsidP="001B29A1">
      <w:pPr>
        <w:pBdr>
          <w:top w:val="single" w:sz="4" w:space="1" w:color="auto"/>
          <w:left w:val="single" w:sz="4" w:space="4" w:color="auto"/>
          <w:bottom w:val="single" w:sz="4" w:space="1" w:color="auto"/>
          <w:right w:val="single" w:sz="4" w:space="4" w:color="auto"/>
        </w:pBdr>
        <w:rPr>
          <w:szCs w:val="20"/>
        </w:rPr>
      </w:pPr>
      <w:r w:rsidRPr="00EB3C74">
        <w:rPr>
          <w:szCs w:val="20"/>
        </w:rPr>
        <w:t xml:space="preserve">Rate </w:t>
      </w:r>
      <w:r w:rsidR="0026710F">
        <w:rPr>
          <w:szCs w:val="20"/>
        </w:rPr>
        <w:t xml:space="preserve">of </w:t>
      </w:r>
      <w:proofErr w:type="spellStart"/>
      <w:r w:rsidR="0026710F">
        <w:rPr>
          <w:szCs w:val="20"/>
        </w:rPr>
        <w:t>rebiopsy</w:t>
      </w:r>
      <w:proofErr w:type="spellEnd"/>
    </w:p>
    <w:p w14:paraId="76A0F81D" w14:textId="77777777" w:rsidR="00EB3C74" w:rsidRDefault="0026710F" w:rsidP="001B29A1">
      <w:pPr>
        <w:pBdr>
          <w:top w:val="single" w:sz="4" w:space="1" w:color="auto"/>
          <w:left w:val="single" w:sz="4" w:space="4" w:color="auto"/>
          <w:bottom w:val="single" w:sz="4" w:space="1" w:color="auto"/>
          <w:right w:val="single" w:sz="4" w:space="4" w:color="auto"/>
        </w:pBdr>
        <w:rPr>
          <w:szCs w:val="20"/>
        </w:rPr>
      </w:pPr>
      <w:r>
        <w:rPr>
          <w:szCs w:val="20"/>
        </w:rPr>
        <w:t>A</w:t>
      </w:r>
      <w:r w:rsidR="00EB3C74">
        <w:rPr>
          <w:szCs w:val="20"/>
        </w:rPr>
        <w:t xml:space="preserve">dverse events related to </w:t>
      </w:r>
      <w:proofErr w:type="spellStart"/>
      <w:r w:rsidR="00EB3C74">
        <w:rPr>
          <w:szCs w:val="20"/>
        </w:rPr>
        <w:t>rebiopsy</w:t>
      </w:r>
      <w:proofErr w:type="spellEnd"/>
    </w:p>
    <w:p w14:paraId="185B7995" w14:textId="77777777" w:rsidR="00EB3C74" w:rsidRPr="00EB3C74" w:rsidRDefault="00EB3C74" w:rsidP="001B29A1">
      <w:pPr>
        <w:pBdr>
          <w:top w:val="single" w:sz="4" w:space="1" w:color="auto"/>
          <w:left w:val="single" w:sz="4" w:space="4" w:color="auto"/>
          <w:bottom w:val="single" w:sz="4" w:space="1" w:color="auto"/>
          <w:right w:val="single" w:sz="4" w:space="4" w:color="auto"/>
        </w:pBdr>
        <w:rPr>
          <w:szCs w:val="20"/>
          <w:u w:val="single"/>
        </w:rPr>
      </w:pPr>
      <w:r w:rsidRPr="00EB3C74">
        <w:rPr>
          <w:szCs w:val="20"/>
          <w:u w:val="single"/>
        </w:rPr>
        <w:t>Drug outcomes</w:t>
      </w:r>
    </w:p>
    <w:p w14:paraId="08540526" w14:textId="77777777" w:rsidR="00EB3C74" w:rsidRDefault="00EB3C74" w:rsidP="001B29A1">
      <w:pPr>
        <w:pBdr>
          <w:top w:val="single" w:sz="4" w:space="1" w:color="auto"/>
          <w:left w:val="single" w:sz="4" w:space="4" w:color="auto"/>
          <w:bottom w:val="single" w:sz="4" w:space="1" w:color="auto"/>
          <w:right w:val="single" w:sz="4" w:space="4" w:color="auto"/>
        </w:pBdr>
        <w:rPr>
          <w:szCs w:val="20"/>
        </w:rPr>
      </w:pPr>
      <w:r>
        <w:rPr>
          <w:szCs w:val="20"/>
        </w:rPr>
        <w:t>Adverse events associated with subsequent treatment</w:t>
      </w:r>
    </w:p>
    <w:p w14:paraId="1A56493D" w14:textId="77777777" w:rsidR="0026710F" w:rsidRDefault="0026710F" w:rsidP="001B29A1">
      <w:pPr>
        <w:pBdr>
          <w:top w:val="single" w:sz="4" w:space="1" w:color="auto"/>
          <w:left w:val="single" w:sz="4" w:space="4" w:color="auto"/>
          <w:bottom w:val="single" w:sz="4" w:space="1" w:color="auto"/>
          <w:right w:val="single" w:sz="4" w:space="4" w:color="auto"/>
        </w:pBdr>
        <w:rPr>
          <w:szCs w:val="20"/>
        </w:rPr>
      </w:pPr>
      <w:r>
        <w:rPr>
          <w:szCs w:val="20"/>
        </w:rPr>
        <w:t>Deaths</w:t>
      </w:r>
    </w:p>
    <w:p w14:paraId="7B44791B" w14:textId="7777777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14:paraId="0CE6F9BF" w14:textId="77777777" w:rsidR="001B29A1" w:rsidRPr="00EB3C74" w:rsidRDefault="00EB3C74" w:rsidP="001B29A1">
      <w:pPr>
        <w:pBdr>
          <w:top w:val="single" w:sz="4" w:space="1" w:color="auto"/>
          <w:left w:val="single" w:sz="4" w:space="4" w:color="auto"/>
          <w:bottom w:val="single" w:sz="4" w:space="1" w:color="auto"/>
          <w:right w:val="single" w:sz="4" w:space="4" w:color="auto"/>
        </w:pBdr>
        <w:rPr>
          <w:szCs w:val="20"/>
          <w:u w:val="single"/>
        </w:rPr>
      </w:pPr>
      <w:r w:rsidRPr="00EB3C74">
        <w:rPr>
          <w:szCs w:val="20"/>
          <w:u w:val="single"/>
        </w:rPr>
        <w:t>Test outcomes</w:t>
      </w:r>
    </w:p>
    <w:p w14:paraId="1407CE76" w14:textId="77777777" w:rsidR="00EB3C74" w:rsidRPr="00EB3C74" w:rsidRDefault="00EB3C74" w:rsidP="001B29A1">
      <w:pPr>
        <w:pBdr>
          <w:top w:val="single" w:sz="4" w:space="1" w:color="auto"/>
          <w:left w:val="single" w:sz="4" w:space="4" w:color="auto"/>
          <w:bottom w:val="single" w:sz="4" w:space="1" w:color="auto"/>
          <w:right w:val="single" w:sz="4" w:space="4" w:color="auto"/>
        </w:pBdr>
        <w:rPr>
          <w:i/>
          <w:szCs w:val="20"/>
        </w:rPr>
      </w:pPr>
      <w:r w:rsidRPr="00EB3C74">
        <w:rPr>
          <w:i/>
          <w:szCs w:val="20"/>
        </w:rPr>
        <w:t>Trial-based (evidentiary standard) PIK3CA mutation analytical performance</w:t>
      </w:r>
    </w:p>
    <w:p w14:paraId="0A882F94" w14:textId="77777777" w:rsidR="00EB3C74" w:rsidRDefault="00EB3C74" w:rsidP="001B29A1">
      <w:pPr>
        <w:pBdr>
          <w:top w:val="single" w:sz="4" w:space="1" w:color="auto"/>
          <w:left w:val="single" w:sz="4" w:space="4" w:color="auto"/>
          <w:bottom w:val="single" w:sz="4" w:space="1" w:color="auto"/>
          <w:right w:val="single" w:sz="4" w:space="4" w:color="auto"/>
        </w:pBdr>
        <w:rPr>
          <w:szCs w:val="20"/>
        </w:rPr>
      </w:pPr>
      <w:r>
        <w:rPr>
          <w:szCs w:val="20"/>
        </w:rPr>
        <w:t>Sensitivity</w:t>
      </w:r>
    </w:p>
    <w:p w14:paraId="259608C6" w14:textId="77777777" w:rsidR="00EB3C74" w:rsidRDefault="00EB3C74" w:rsidP="001B29A1">
      <w:pPr>
        <w:pBdr>
          <w:top w:val="single" w:sz="4" w:space="1" w:color="auto"/>
          <w:left w:val="single" w:sz="4" w:space="4" w:color="auto"/>
          <w:bottom w:val="single" w:sz="4" w:space="1" w:color="auto"/>
          <w:right w:val="single" w:sz="4" w:space="4" w:color="auto"/>
        </w:pBdr>
        <w:rPr>
          <w:szCs w:val="20"/>
        </w:rPr>
      </w:pPr>
      <w:r>
        <w:rPr>
          <w:szCs w:val="20"/>
        </w:rPr>
        <w:t>Specificity</w:t>
      </w:r>
    </w:p>
    <w:p w14:paraId="07DB5CC4" w14:textId="77777777" w:rsidR="00EB3C74" w:rsidRDefault="00EB3C74" w:rsidP="001B29A1">
      <w:pPr>
        <w:pBdr>
          <w:top w:val="single" w:sz="4" w:space="1" w:color="auto"/>
          <w:left w:val="single" w:sz="4" w:space="4" w:color="auto"/>
          <w:bottom w:val="single" w:sz="4" w:space="1" w:color="auto"/>
          <w:right w:val="single" w:sz="4" w:space="4" w:color="auto"/>
        </w:pBdr>
        <w:rPr>
          <w:szCs w:val="20"/>
        </w:rPr>
      </w:pPr>
      <w:r>
        <w:rPr>
          <w:szCs w:val="20"/>
        </w:rPr>
        <w:t>Positive predictive value</w:t>
      </w:r>
    </w:p>
    <w:p w14:paraId="05826D99" w14:textId="77777777" w:rsidR="00EB3C74" w:rsidRDefault="00EB3C74" w:rsidP="001B29A1">
      <w:pPr>
        <w:pBdr>
          <w:top w:val="single" w:sz="4" w:space="1" w:color="auto"/>
          <w:left w:val="single" w:sz="4" w:space="4" w:color="auto"/>
          <w:bottom w:val="single" w:sz="4" w:space="1" w:color="auto"/>
          <w:right w:val="single" w:sz="4" w:space="4" w:color="auto"/>
        </w:pBdr>
        <w:rPr>
          <w:szCs w:val="20"/>
        </w:rPr>
      </w:pPr>
      <w:r>
        <w:rPr>
          <w:szCs w:val="20"/>
        </w:rPr>
        <w:t>Negative predictive value</w:t>
      </w:r>
    </w:p>
    <w:p w14:paraId="77B3485E" w14:textId="77777777" w:rsidR="00EB3C74" w:rsidRPr="0026710F" w:rsidRDefault="00EB3C74" w:rsidP="001B29A1">
      <w:pPr>
        <w:pBdr>
          <w:top w:val="single" w:sz="4" w:space="1" w:color="auto"/>
          <w:left w:val="single" w:sz="4" w:space="4" w:color="auto"/>
          <w:bottom w:val="single" w:sz="4" w:space="1" w:color="auto"/>
          <w:right w:val="single" w:sz="4" w:space="4" w:color="auto"/>
        </w:pBdr>
        <w:rPr>
          <w:i/>
          <w:szCs w:val="20"/>
        </w:rPr>
      </w:pPr>
      <w:r w:rsidRPr="0026710F">
        <w:rPr>
          <w:i/>
          <w:szCs w:val="20"/>
        </w:rPr>
        <w:t xml:space="preserve">Comparative performance of </w:t>
      </w:r>
      <w:r w:rsidR="0026710F" w:rsidRPr="0026710F">
        <w:rPr>
          <w:i/>
          <w:szCs w:val="20"/>
        </w:rPr>
        <w:t>other PIK3CA mutation testing methods</w:t>
      </w:r>
    </w:p>
    <w:p w14:paraId="33EC2A6C" w14:textId="77777777" w:rsidR="0026710F" w:rsidRDefault="0026710F" w:rsidP="001B29A1">
      <w:pPr>
        <w:pBdr>
          <w:top w:val="single" w:sz="4" w:space="1" w:color="auto"/>
          <w:left w:val="single" w:sz="4" w:space="4" w:color="auto"/>
          <w:bottom w:val="single" w:sz="4" w:space="1" w:color="auto"/>
          <w:right w:val="single" w:sz="4" w:space="4" w:color="auto"/>
        </w:pBdr>
        <w:rPr>
          <w:szCs w:val="20"/>
        </w:rPr>
      </w:pPr>
      <w:r>
        <w:rPr>
          <w:szCs w:val="20"/>
        </w:rPr>
        <w:t>Concordance</w:t>
      </w:r>
    </w:p>
    <w:p w14:paraId="062436D9" w14:textId="77777777" w:rsidR="0026710F" w:rsidRPr="0026710F" w:rsidRDefault="0026710F" w:rsidP="001B29A1">
      <w:pPr>
        <w:pBdr>
          <w:top w:val="single" w:sz="4" w:space="1" w:color="auto"/>
          <w:left w:val="single" w:sz="4" w:space="4" w:color="auto"/>
          <w:bottom w:val="single" w:sz="4" w:space="1" w:color="auto"/>
          <w:right w:val="single" w:sz="4" w:space="4" w:color="auto"/>
        </w:pBdr>
        <w:rPr>
          <w:szCs w:val="20"/>
          <w:u w:val="single"/>
        </w:rPr>
      </w:pPr>
      <w:r w:rsidRPr="0026710F">
        <w:rPr>
          <w:szCs w:val="20"/>
          <w:u w:val="single"/>
        </w:rPr>
        <w:t>Drug outcomes</w:t>
      </w:r>
    </w:p>
    <w:p w14:paraId="3658CC7E" w14:textId="77777777" w:rsidR="0026710F" w:rsidRDefault="0026710F" w:rsidP="001B29A1">
      <w:pPr>
        <w:pBdr>
          <w:top w:val="single" w:sz="4" w:space="1" w:color="auto"/>
          <w:left w:val="single" w:sz="4" w:space="4" w:color="auto"/>
          <w:bottom w:val="single" w:sz="4" w:space="1" w:color="auto"/>
          <w:right w:val="single" w:sz="4" w:space="4" w:color="auto"/>
        </w:pBdr>
        <w:rPr>
          <w:szCs w:val="20"/>
        </w:rPr>
      </w:pPr>
      <w:r>
        <w:rPr>
          <w:szCs w:val="20"/>
        </w:rPr>
        <w:t>Progression-free survival</w:t>
      </w:r>
    </w:p>
    <w:p w14:paraId="07A9D751" w14:textId="77777777" w:rsidR="0026710F" w:rsidRDefault="0026710F" w:rsidP="001B29A1">
      <w:pPr>
        <w:pBdr>
          <w:top w:val="single" w:sz="4" w:space="1" w:color="auto"/>
          <w:left w:val="single" w:sz="4" w:space="4" w:color="auto"/>
          <w:bottom w:val="single" w:sz="4" w:space="1" w:color="auto"/>
          <w:right w:val="single" w:sz="4" w:space="4" w:color="auto"/>
        </w:pBdr>
        <w:rPr>
          <w:szCs w:val="20"/>
        </w:rPr>
      </w:pPr>
      <w:r>
        <w:rPr>
          <w:szCs w:val="20"/>
        </w:rPr>
        <w:t>Overall survival</w:t>
      </w:r>
    </w:p>
    <w:p w14:paraId="19B5F43A" w14:textId="77777777" w:rsidR="0026710F" w:rsidRDefault="0026710F" w:rsidP="001B29A1">
      <w:pPr>
        <w:pBdr>
          <w:top w:val="single" w:sz="4" w:space="1" w:color="auto"/>
          <w:left w:val="single" w:sz="4" w:space="4" w:color="auto"/>
          <w:bottom w:val="single" w:sz="4" w:space="1" w:color="auto"/>
          <w:right w:val="single" w:sz="4" w:space="4" w:color="auto"/>
        </w:pBdr>
        <w:rPr>
          <w:szCs w:val="20"/>
        </w:rPr>
      </w:pPr>
      <w:r>
        <w:rPr>
          <w:szCs w:val="20"/>
        </w:rPr>
        <w:t>Response rate</w:t>
      </w:r>
    </w:p>
    <w:p w14:paraId="74671894" w14:textId="77777777" w:rsidR="00EB3C74" w:rsidRPr="00EB3C74" w:rsidRDefault="0026710F" w:rsidP="001B29A1">
      <w:pPr>
        <w:pBdr>
          <w:top w:val="single" w:sz="4" w:space="1" w:color="auto"/>
          <w:left w:val="single" w:sz="4" w:space="4" w:color="auto"/>
          <w:bottom w:val="single" w:sz="4" w:space="1" w:color="auto"/>
          <w:right w:val="single" w:sz="4" w:space="4" w:color="auto"/>
        </w:pBdr>
        <w:rPr>
          <w:szCs w:val="20"/>
        </w:rPr>
      </w:pPr>
      <w:r>
        <w:rPr>
          <w:szCs w:val="20"/>
        </w:rPr>
        <w:t>Quality of life</w:t>
      </w:r>
    </w:p>
    <w:p w14:paraId="3226D8DB"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75A2367" w14:textId="77777777" w:rsidR="006C74B1" w:rsidRPr="00955264" w:rsidRDefault="00BE0FDE" w:rsidP="001B5169">
      <w:pPr>
        <w:pStyle w:val="Heading2"/>
      </w:pPr>
      <w:r w:rsidRPr="00955264">
        <w:t>Estimate</w:t>
      </w:r>
      <w:r w:rsidR="00974D50" w:rsidRPr="00955264">
        <w:t xml:space="preserve"> the prevalence</w:t>
      </w:r>
      <w:r w:rsidR="00B771AD" w:rsidRPr="00955264">
        <w:t xml:space="preserve"> and/or incidence</w:t>
      </w:r>
      <w:r w:rsidR="00974D50" w:rsidRPr="00955264">
        <w:t xml:space="preserve"> of </w:t>
      </w:r>
      <w:r w:rsidR="00AE1188" w:rsidRPr="00955264">
        <w:t>the proposed population:</w:t>
      </w:r>
    </w:p>
    <w:p w14:paraId="702E4142" w14:textId="46EDF261" w:rsidR="002D681A" w:rsidRPr="00FA3055" w:rsidRDefault="000D65B7" w:rsidP="00FA3055">
      <w:pPr>
        <w:ind w:left="360"/>
        <w:rPr>
          <w:b/>
          <w:szCs w:val="20"/>
        </w:rPr>
      </w:pPr>
      <w:r w:rsidRPr="00FA3055">
        <w:rPr>
          <w:b/>
        </w:rPr>
        <w:t>REDACTED</w:t>
      </w:r>
    </w:p>
    <w:p w14:paraId="398A6BE6" w14:textId="77777777" w:rsidR="00382407" w:rsidRPr="00955264" w:rsidRDefault="00382407" w:rsidP="00530204">
      <w:pPr>
        <w:pStyle w:val="Heading2"/>
      </w:pPr>
      <w:r w:rsidRPr="00955264">
        <w:t>Estimate the number of times the proposed medical service</w:t>
      </w:r>
      <w:r w:rsidR="005A58BA" w:rsidRPr="00955264">
        <w:t>(s)</w:t>
      </w:r>
      <w:r w:rsidRPr="00955264">
        <w:t xml:space="preserve"> would be </w:t>
      </w:r>
      <w:r w:rsidR="00AE1188" w:rsidRPr="00955264">
        <w:t>delivered to a patient per year:</w:t>
      </w:r>
    </w:p>
    <w:p w14:paraId="0E5A3831" w14:textId="11CD71F2" w:rsidR="00382407" w:rsidRPr="00FA3055" w:rsidRDefault="00D279A5" w:rsidP="00AE1188">
      <w:pPr>
        <w:ind w:left="426"/>
        <w:rPr>
          <w:b/>
          <w:szCs w:val="20"/>
        </w:rPr>
      </w:pPr>
      <w:r w:rsidRPr="00FA3055">
        <w:rPr>
          <w:b/>
        </w:rPr>
        <w:t>REDACTED</w:t>
      </w:r>
    </w:p>
    <w:p w14:paraId="362A56EA" w14:textId="77777777" w:rsidR="00382407" w:rsidRPr="00955264" w:rsidRDefault="00382407" w:rsidP="00530204">
      <w:pPr>
        <w:pStyle w:val="Heading2"/>
      </w:pPr>
      <w:r w:rsidRPr="00955264">
        <w:t>How many years would the proposed medical service</w:t>
      </w:r>
      <w:r w:rsidR="005A58BA" w:rsidRPr="00955264">
        <w:t>(s)</w:t>
      </w:r>
      <w:r w:rsidRPr="00955264">
        <w:t xml:space="preserve"> be required for the patient?</w:t>
      </w:r>
    </w:p>
    <w:p w14:paraId="115521CF" w14:textId="39BA6AAF" w:rsidR="00ED4513" w:rsidRPr="00FA3055" w:rsidRDefault="00D279A5" w:rsidP="00ED4513">
      <w:pPr>
        <w:ind w:left="426"/>
        <w:rPr>
          <w:b/>
          <w:szCs w:val="20"/>
        </w:rPr>
      </w:pPr>
      <w:r w:rsidRPr="00FA3055">
        <w:rPr>
          <w:b/>
        </w:rPr>
        <w:t>REDACTED</w:t>
      </w:r>
    </w:p>
    <w:p w14:paraId="09FEAAAA" w14:textId="77777777" w:rsidR="002A6753" w:rsidRPr="001D5FF3" w:rsidRDefault="000E47E7" w:rsidP="00FA3055">
      <w:pPr>
        <w:pStyle w:val="Heading2"/>
        <w:ind w:left="357" w:hanging="357"/>
        <w:rPr>
          <w:b w:val="0"/>
        </w:rPr>
      </w:pPr>
      <w:r w:rsidRPr="001D5FF3">
        <w:t xml:space="preserve">Estimate </w:t>
      </w:r>
      <w:r w:rsidR="002A6753" w:rsidRPr="001D5FF3">
        <w:t xml:space="preserve">the projected number of patients who will utilise the proposed </w:t>
      </w:r>
      <w:r w:rsidRPr="001D5FF3">
        <w:t xml:space="preserve">medical </w:t>
      </w:r>
      <w:r w:rsidR="002A6753" w:rsidRPr="001D5FF3">
        <w:t>ser</w:t>
      </w:r>
      <w:r w:rsidR="00AE1188" w:rsidRPr="001D5FF3">
        <w:t>vice(s) for the first full year:</w:t>
      </w:r>
    </w:p>
    <w:p w14:paraId="09E5F289" w14:textId="1F34BDE8" w:rsidR="00AE1188" w:rsidRDefault="00D279A5" w:rsidP="00FA3055">
      <w:pPr>
        <w:ind w:left="425"/>
        <w:rPr>
          <w:b/>
        </w:rPr>
      </w:pPr>
      <w:r w:rsidRPr="00FA3055">
        <w:rPr>
          <w:b/>
        </w:rPr>
        <w:t>REDACTED</w:t>
      </w:r>
      <w:r w:rsidR="00246CA2" w:rsidRPr="00FA3055">
        <w:rPr>
          <w:b/>
        </w:rPr>
        <w:t xml:space="preserve"> </w:t>
      </w:r>
    </w:p>
    <w:p w14:paraId="1FB7488C" w14:textId="7B9E7B0D" w:rsidR="00FA3055" w:rsidRPr="001D5FF3" w:rsidRDefault="00FA3055" w:rsidP="00FA3055">
      <w:pPr>
        <w:pStyle w:val="Heading2"/>
      </w:pPr>
      <w:r w:rsidRPr="00FA3055">
        <w:t xml:space="preserve">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w:t>
      </w:r>
      <w:proofErr w:type="spellStart"/>
      <w:r w:rsidRPr="00FA3055">
        <w:t>service</w:t>
      </w:r>
      <w:proofErr w:type="gramStart"/>
      <w:r w:rsidRPr="00FA3055">
        <w:t>:</w:t>
      </w:r>
      <w:r w:rsidRPr="001D5FF3">
        <w:t>the</w:t>
      </w:r>
      <w:proofErr w:type="spellEnd"/>
      <w:proofErr w:type="gramEnd"/>
      <w:r w:rsidRPr="001D5FF3">
        <w:t xml:space="preserve"> projected number of patients who will utilise the proposed medical service(s) for the first full year:</w:t>
      </w:r>
    </w:p>
    <w:p w14:paraId="5566E1B9" w14:textId="77777777" w:rsidR="00FA3055" w:rsidRPr="00FA3055" w:rsidRDefault="00FA3055" w:rsidP="00FA3055">
      <w:pPr>
        <w:ind w:left="425"/>
        <w:rPr>
          <w:b/>
          <w:szCs w:val="20"/>
        </w:rPr>
      </w:pPr>
      <w:r w:rsidRPr="00FA3055">
        <w:rPr>
          <w:b/>
        </w:rPr>
        <w:t xml:space="preserve">REDACTED </w:t>
      </w:r>
    </w:p>
    <w:p w14:paraId="50CC1F30" w14:textId="115F4753" w:rsidR="003433D1" w:rsidRPr="00FA3055" w:rsidRDefault="003433D1" w:rsidP="00FA3055">
      <w:pPr>
        <w:pStyle w:val="Heading2"/>
        <w:numPr>
          <w:ilvl w:val="0"/>
          <w:numId w:val="0"/>
        </w:numPr>
        <w:ind w:left="357"/>
        <w:contextualSpacing w:val="0"/>
        <w:rPr>
          <w:b w:val="0"/>
        </w:rPr>
      </w:pPr>
      <w:r w:rsidRPr="00FA3055">
        <w:rPr>
          <w:sz w:val="32"/>
          <w:szCs w:val="32"/>
        </w:rPr>
        <w:br w:type="page"/>
      </w:r>
    </w:p>
    <w:p w14:paraId="41D55A44"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0F4B6C6"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7149C20" w14:textId="45580854" w:rsidR="00951933" w:rsidRPr="00FA3055" w:rsidRDefault="000325EC" w:rsidP="00AE1188">
      <w:pPr>
        <w:ind w:left="426"/>
        <w:rPr>
          <w:b/>
          <w:szCs w:val="20"/>
        </w:rPr>
      </w:pPr>
      <w:r w:rsidRPr="00FA3055">
        <w:rPr>
          <w:b/>
        </w:rPr>
        <w:t>REDACTED</w:t>
      </w:r>
      <w:r w:rsidR="00ED4513" w:rsidRPr="00FA3055">
        <w:rPr>
          <w:b/>
        </w:rPr>
        <w:t xml:space="preserve"> </w:t>
      </w:r>
    </w:p>
    <w:p w14:paraId="2CB65B6E" w14:textId="77777777" w:rsidR="00951933" w:rsidRPr="001D5FF3" w:rsidRDefault="00951933" w:rsidP="00530204">
      <w:pPr>
        <w:pStyle w:val="Heading2"/>
      </w:pPr>
      <w:r w:rsidRPr="001D5FF3">
        <w:t>Specify how long the proposed medical ser</w:t>
      </w:r>
      <w:r w:rsidR="00AE1188" w:rsidRPr="001D5FF3">
        <w:t>vice typically takes to perform:</w:t>
      </w:r>
    </w:p>
    <w:p w14:paraId="6ADE62B3" w14:textId="77777777" w:rsidR="00951933" w:rsidRPr="001D5FF3" w:rsidRDefault="003702A8" w:rsidP="00AE1188">
      <w:pPr>
        <w:ind w:left="426"/>
        <w:rPr>
          <w:b/>
          <w:szCs w:val="20"/>
        </w:rPr>
      </w:pPr>
      <w:r w:rsidRPr="001D5FF3">
        <w:t xml:space="preserve">The time taken to perform the test will vary depending on the methodology used. </w:t>
      </w:r>
    </w:p>
    <w:p w14:paraId="707D61C3" w14:textId="77777777" w:rsidR="00707D4D" w:rsidRPr="001D5FF3" w:rsidRDefault="0054192F" w:rsidP="00530204">
      <w:pPr>
        <w:pStyle w:val="Heading2"/>
      </w:pPr>
      <w:r w:rsidRPr="001D5FF3">
        <w:t>If public funding is sought through the MBS, please draft a proposed MBS item descriptor to define the population and medical service usage characteristics that would define eligibility for MBS funding.</w:t>
      </w:r>
    </w:p>
    <w:p w14:paraId="151C760C" w14:textId="77777777" w:rsidR="0026710F" w:rsidRPr="001D5FF3" w:rsidRDefault="0026710F" w:rsidP="0026710F">
      <w:r w:rsidRPr="001D5FF3">
        <w:t xml:space="preserve">The proposed descriptor may be refined depending on the outcome of </w:t>
      </w:r>
      <w:r w:rsidR="008B0AEC" w:rsidRPr="001D5FF3">
        <w:t xml:space="preserve">feedback from PASC and </w:t>
      </w:r>
      <w:r w:rsidRPr="001D5FF3">
        <w:t>discussions with the Department.</w:t>
      </w:r>
    </w:p>
    <w:p w14:paraId="7FE955BD" w14:textId="77777777" w:rsidR="00AE1188" w:rsidRPr="001D5FF3"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1D5FF3">
        <w:rPr>
          <w:szCs w:val="20"/>
        </w:rPr>
        <w:t xml:space="preserve">Category </w:t>
      </w:r>
      <w:r w:rsidR="0026710F" w:rsidRPr="001D5FF3">
        <w:t>6</w:t>
      </w:r>
      <w:r w:rsidRPr="001D5FF3">
        <w:rPr>
          <w:szCs w:val="20"/>
        </w:rPr>
        <w:t xml:space="preserve"> – </w:t>
      </w:r>
      <w:r w:rsidR="0026710F" w:rsidRPr="001D5FF3">
        <w:t>PATHOLOGY SERVICES</w:t>
      </w:r>
      <w:r w:rsidRPr="001D5FF3">
        <w:rPr>
          <w:szCs w:val="20"/>
        </w:rPr>
        <w:t xml:space="preserve"> </w:t>
      </w:r>
    </w:p>
    <w:p w14:paraId="358B3A62" w14:textId="77777777" w:rsidR="00AE1188" w:rsidRPr="001D5FF3" w:rsidRDefault="00AE1188" w:rsidP="00AE1188">
      <w:pPr>
        <w:pBdr>
          <w:top w:val="single" w:sz="4" w:space="1" w:color="auto"/>
          <w:left w:val="single" w:sz="4" w:space="4" w:color="auto"/>
          <w:bottom w:val="single" w:sz="4" w:space="1" w:color="auto"/>
          <w:right w:val="single" w:sz="4" w:space="4" w:color="auto"/>
        </w:pBdr>
        <w:rPr>
          <w:szCs w:val="20"/>
        </w:rPr>
      </w:pPr>
    </w:p>
    <w:p w14:paraId="394B8BDB" w14:textId="54FAF70B" w:rsidR="00AE1188" w:rsidRPr="00FA3055" w:rsidRDefault="000325EC" w:rsidP="00AE1188">
      <w:pPr>
        <w:pBdr>
          <w:top w:val="single" w:sz="4" w:space="1" w:color="auto"/>
          <w:left w:val="single" w:sz="4" w:space="4" w:color="auto"/>
          <w:bottom w:val="single" w:sz="4" w:space="1" w:color="auto"/>
          <w:right w:val="single" w:sz="4" w:space="4" w:color="auto"/>
        </w:pBdr>
        <w:rPr>
          <w:b/>
          <w:szCs w:val="20"/>
        </w:rPr>
      </w:pPr>
      <w:r w:rsidRPr="00FA3055">
        <w:rPr>
          <w:b/>
          <w:szCs w:val="20"/>
        </w:rPr>
        <w:t>REDACTED</w:t>
      </w:r>
    </w:p>
    <w:p w14:paraId="22412AA0"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1D5FF3">
        <w:rPr>
          <w:szCs w:val="20"/>
        </w:rPr>
        <w:t xml:space="preserve">Fee:  </w:t>
      </w:r>
      <w:r w:rsidR="008B0AEC" w:rsidRPr="001D5FF3">
        <w:rPr>
          <w:szCs w:val="20"/>
        </w:rPr>
        <w:t>to be determined</w:t>
      </w:r>
    </w:p>
    <w:p w14:paraId="539DEC23" w14:textId="6150CC9B" w:rsidR="00FA3055" w:rsidRDefault="00FA3055">
      <w:pPr>
        <w:spacing w:before="0" w:after="200" w:line="276" w:lineRule="auto"/>
        <w:rPr>
          <w:b/>
          <w:szCs w:val="20"/>
        </w:rPr>
      </w:pPr>
      <w:r>
        <w:br w:type="page"/>
      </w:r>
    </w:p>
    <w:p w14:paraId="192FEE54" w14:textId="3AA584EE" w:rsidR="00FA3055" w:rsidRDefault="00FA3055" w:rsidP="00FA3055">
      <w:pPr>
        <w:pStyle w:val="Heading1"/>
      </w:pPr>
      <w:r>
        <w:lastRenderedPageBreak/>
        <w:t>ATTACHMENT A</w:t>
      </w:r>
    </w:p>
    <w:p w14:paraId="23CB9C7C" w14:textId="08ACC48C" w:rsidR="00FA3055" w:rsidRDefault="00FA3055" w:rsidP="00FA3055">
      <w:pPr>
        <w:pStyle w:val="Caption"/>
      </w:pPr>
      <w:r>
        <w:t>Figure 1</w:t>
      </w:r>
      <w:r>
        <w:tab/>
        <w:t>Current Clinical Pathway</w:t>
      </w:r>
    </w:p>
    <w:p w14:paraId="14CBFF5D" w14:textId="02F7A007" w:rsidR="00FA3055" w:rsidRDefault="00FA3055" w:rsidP="00FA3055">
      <w:r w:rsidRPr="00120204">
        <w:rPr>
          <w:noProof/>
          <w:lang w:eastAsia="en-AU"/>
        </w:rPr>
        <w:drawing>
          <wp:inline distT="0" distB="0" distL="0" distR="0" wp14:anchorId="14490156" wp14:editId="20A3F7AA">
            <wp:extent cx="5731510" cy="4342446"/>
            <wp:effectExtent l="0" t="0" r="2540" b="1270"/>
            <wp:docPr id="2" name="Picture 6" descr="https://documents.lucidchart.com/documents/d9187603-af3c-4233-aecf-3613d412a5d5/pages/0_0?a=6511&amp;x=-27&amp;y=74&amp;w=1914&amp;h=1451&amp;store=1&amp;accept=image%2F*&amp;auth=LCA%2093bf89f7436763d7d7bf6e68cc05ea20cab3ca72-ts%3D156315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https://documents.lucidchart.com/documents/d9187603-af3c-4233-aecf-3613d412a5d5/pages/0_0?a=6511&amp;x=-27&amp;y=74&amp;w=1914&amp;h=1451&amp;store=1&amp;accept=image%2F*&amp;auth=LCA%2093bf89f7436763d7d7bf6e68cc05ea20cab3ca72-ts%3D15631544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4342446"/>
                    </a:xfrm>
                    <a:prstGeom prst="rect">
                      <a:avLst/>
                    </a:prstGeom>
                    <a:noFill/>
                    <a:extLst/>
                  </pic:spPr>
                </pic:pic>
              </a:graphicData>
            </a:graphic>
          </wp:inline>
        </w:drawing>
      </w:r>
    </w:p>
    <w:p w14:paraId="1E50A1B0" w14:textId="6A0E308C" w:rsidR="00FA3055" w:rsidRDefault="00FA3055" w:rsidP="00FA3055">
      <w:pPr>
        <w:pStyle w:val="Caption"/>
      </w:pPr>
      <w:r>
        <w:t>Figure 2</w:t>
      </w:r>
      <w:r>
        <w:tab/>
        <w:t xml:space="preserve">Proposed Clinical Pathway 1 – including PIK3CA testing and treatment with </w:t>
      </w:r>
      <w:proofErr w:type="spellStart"/>
      <w:r>
        <w:t>alpelisib</w:t>
      </w:r>
      <w:proofErr w:type="spellEnd"/>
      <w:r>
        <w:t xml:space="preserve"> in combination with </w:t>
      </w:r>
      <w:proofErr w:type="spellStart"/>
      <w:r>
        <w:t>fulvestrant</w:t>
      </w:r>
      <w:proofErr w:type="spellEnd"/>
      <w:r>
        <w:t xml:space="preserve"> (second-line only)</w:t>
      </w:r>
    </w:p>
    <w:p w14:paraId="71417BC2" w14:textId="00C0864F" w:rsidR="00FA3055" w:rsidRPr="00FA3055" w:rsidRDefault="00FA3055" w:rsidP="00FA3055">
      <w:pPr>
        <w:rPr>
          <w:b/>
        </w:rPr>
      </w:pPr>
      <w:r w:rsidRPr="00FA3055">
        <w:rPr>
          <w:b/>
        </w:rPr>
        <w:t>REDACTED</w:t>
      </w:r>
    </w:p>
    <w:p w14:paraId="399C550D" w14:textId="3A08CD4C" w:rsidR="00FA3055" w:rsidRDefault="00FA3055" w:rsidP="00FA3055">
      <w:pPr>
        <w:pStyle w:val="Caption"/>
      </w:pPr>
      <w:r>
        <w:t>Figure 3</w:t>
      </w:r>
      <w:r>
        <w:tab/>
        <w:t xml:space="preserve">Proposed Clinical Pathway 2 – including PIK3CA testing and treatment with </w:t>
      </w:r>
      <w:proofErr w:type="spellStart"/>
      <w:r>
        <w:t>alpelisib</w:t>
      </w:r>
      <w:proofErr w:type="spellEnd"/>
      <w:r>
        <w:t xml:space="preserve"> in combination with </w:t>
      </w:r>
      <w:proofErr w:type="spellStart"/>
      <w:r>
        <w:t>fulvestrant</w:t>
      </w:r>
      <w:proofErr w:type="spellEnd"/>
      <w:r>
        <w:t xml:space="preserve"> (first- and second-line)</w:t>
      </w:r>
    </w:p>
    <w:p w14:paraId="074826C9" w14:textId="77A145BE" w:rsidR="00FA3055" w:rsidRPr="00FA3055" w:rsidRDefault="00FA3055" w:rsidP="00FA3055">
      <w:pPr>
        <w:rPr>
          <w:b/>
        </w:rPr>
      </w:pPr>
      <w:r w:rsidRPr="00FA3055">
        <w:rPr>
          <w:b/>
        </w:rPr>
        <w:t>REDACTED</w:t>
      </w:r>
    </w:p>
    <w:p w14:paraId="70C2D3F4" w14:textId="72770687" w:rsidR="00FA3055" w:rsidRPr="00FA3055" w:rsidRDefault="00FA3055" w:rsidP="00FA3055"/>
    <w:sectPr w:rsidR="00FA3055" w:rsidRPr="00FA3055"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7787C" w14:textId="77777777" w:rsidR="00797A0A" w:rsidRDefault="00797A0A" w:rsidP="00CF2DFA">
      <w:pPr>
        <w:spacing w:after="0"/>
      </w:pPr>
      <w:r>
        <w:separator/>
      </w:r>
    </w:p>
  </w:endnote>
  <w:endnote w:type="continuationSeparator" w:id="0">
    <w:p w14:paraId="2D82D27A" w14:textId="77777777" w:rsidR="00797A0A" w:rsidRDefault="00797A0A"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E16C" w14:textId="77777777" w:rsidR="0004708B" w:rsidRDefault="0004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134A" w14:textId="79C6F640" w:rsidR="00797A0A" w:rsidRPr="0004708B" w:rsidRDefault="00797A0A" w:rsidP="00047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E817" w14:textId="77777777" w:rsidR="0004708B" w:rsidRDefault="0004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C833" w14:textId="77777777" w:rsidR="00797A0A" w:rsidRDefault="00797A0A" w:rsidP="00CF2DFA">
      <w:pPr>
        <w:spacing w:after="0"/>
      </w:pPr>
      <w:r>
        <w:separator/>
      </w:r>
    </w:p>
  </w:footnote>
  <w:footnote w:type="continuationSeparator" w:id="0">
    <w:p w14:paraId="2D8804AE" w14:textId="77777777" w:rsidR="00797A0A" w:rsidRDefault="00797A0A" w:rsidP="00CF2DFA">
      <w:pPr>
        <w:spacing w:after="0"/>
      </w:pPr>
      <w:r>
        <w:continuationSeparator/>
      </w:r>
    </w:p>
  </w:footnote>
  <w:footnote w:id="1">
    <w:p w14:paraId="4FD8F87D" w14:textId="77777777" w:rsidR="00797A0A" w:rsidRDefault="00797A0A" w:rsidP="009F3B77">
      <w:pPr>
        <w:pStyle w:val="FootnoteText"/>
      </w:pPr>
      <w:r w:rsidRPr="009F3B77">
        <w:rPr>
          <w:rStyle w:val="FootnoteReference"/>
          <w:sz w:val="16"/>
        </w:rPr>
        <w:footnoteRef/>
      </w:r>
      <w:r w:rsidRPr="009F3B77">
        <w:rPr>
          <w:sz w:val="16"/>
        </w:rPr>
        <w:t xml:space="preserve"> Global Burden of Disease Cancer Collaboration (2018) Global, regional, and national cancer incidence, mortality, years of life lost, years lived with disability, and disability-adjusted life-years for 29 cancer groups, 1990 to 2016: a systematic analysis for the Global Burden of Disease Study. JAMA Oncology 4(11): 1553-1568. </w:t>
      </w:r>
    </w:p>
  </w:footnote>
  <w:footnote w:id="2">
    <w:p w14:paraId="51C1B830" w14:textId="029F2744" w:rsidR="00797A0A" w:rsidRPr="006E74CB" w:rsidRDefault="00797A0A">
      <w:pPr>
        <w:pStyle w:val="FootnoteText"/>
        <w:rPr>
          <w:sz w:val="16"/>
        </w:rPr>
      </w:pPr>
      <w:r w:rsidRPr="006E74CB">
        <w:rPr>
          <w:rStyle w:val="FootnoteReference"/>
          <w:sz w:val="16"/>
        </w:rPr>
        <w:footnoteRef/>
      </w:r>
      <w:r w:rsidRPr="006E74CB">
        <w:rPr>
          <w:sz w:val="16"/>
        </w:rPr>
        <w:t xml:space="preserve"> </w:t>
      </w:r>
      <w:hyperlink r:id="rId1" w:history="1">
        <w:r w:rsidRPr="006E74CB">
          <w:rPr>
            <w:rStyle w:val="Hyperlink"/>
            <w:sz w:val="16"/>
          </w:rPr>
          <w:t>breast-cancer.canceraustralia.gov.au/statistics</w:t>
        </w:r>
      </w:hyperlink>
      <w:r w:rsidRPr="006E74CB">
        <w:rPr>
          <w:sz w:val="16"/>
        </w:rPr>
        <w:t xml:space="preserve">. </w:t>
      </w:r>
    </w:p>
  </w:footnote>
  <w:footnote w:id="3">
    <w:p w14:paraId="0FC3EF0B" w14:textId="77777777" w:rsidR="00797A0A" w:rsidRPr="006E74CB" w:rsidRDefault="00797A0A" w:rsidP="006E74CB">
      <w:pPr>
        <w:pStyle w:val="FootnoteText"/>
        <w:rPr>
          <w:sz w:val="16"/>
          <w:szCs w:val="16"/>
        </w:rPr>
      </w:pPr>
      <w:r w:rsidRPr="006E74CB">
        <w:rPr>
          <w:rStyle w:val="FootnoteReference"/>
          <w:sz w:val="16"/>
        </w:rPr>
        <w:footnoteRef/>
      </w:r>
      <w:r w:rsidRPr="006E74CB">
        <w:rPr>
          <w:sz w:val="16"/>
        </w:rPr>
        <w:t xml:space="preserve"> O’Brien et al (2010) </w:t>
      </w:r>
      <w:proofErr w:type="gramStart"/>
      <w:r w:rsidRPr="006E74CB">
        <w:rPr>
          <w:sz w:val="16"/>
        </w:rPr>
        <w:t>Intrinsic</w:t>
      </w:r>
      <w:proofErr w:type="gramEnd"/>
      <w:r w:rsidRPr="006E74CB">
        <w:rPr>
          <w:sz w:val="16"/>
        </w:rPr>
        <w:t xml:space="preserve"> breast </w:t>
      </w:r>
      <w:proofErr w:type="spellStart"/>
      <w:r w:rsidRPr="006E74CB">
        <w:rPr>
          <w:sz w:val="16"/>
        </w:rPr>
        <w:t>tumor</w:t>
      </w:r>
      <w:proofErr w:type="spellEnd"/>
      <w:r w:rsidRPr="006E74CB">
        <w:rPr>
          <w:sz w:val="16"/>
        </w:rPr>
        <w:t xml:space="preserve"> subtypes, race, and long-term survival in the Carolina Breast Cancer Study. </w:t>
      </w:r>
      <w:proofErr w:type="spellStart"/>
      <w:r w:rsidRPr="006E74CB">
        <w:rPr>
          <w:sz w:val="16"/>
        </w:rPr>
        <w:t>Clin</w:t>
      </w:r>
      <w:proofErr w:type="spellEnd"/>
      <w:r w:rsidRPr="006E74CB">
        <w:rPr>
          <w:sz w:val="16"/>
        </w:rPr>
        <w:t xml:space="preserve"> Cancer </w:t>
      </w:r>
      <w:r w:rsidRPr="006E74CB">
        <w:rPr>
          <w:sz w:val="16"/>
          <w:szCs w:val="16"/>
        </w:rPr>
        <w:t>Research; 16(24): 6100-10.</w:t>
      </w:r>
    </w:p>
  </w:footnote>
  <w:footnote w:id="4">
    <w:p w14:paraId="6AB63829" w14:textId="77777777" w:rsidR="00797A0A" w:rsidRDefault="00797A0A" w:rsidP="006E74CB">
      <w:pPr>
        <w:pStyle w:val="FootnoteText"/>
      </w:pPr>
      <w:r w:rsidRPr="006E74CB">
        <w:rPr>
          <w:rStyle w:val="FootnoteReference"/>
          <w:sz w:val="16"/>
          <w:szCs w:val="16"/>
        </w:rPr>
        <w:footnoteRef/>
      </w:r>
      <w:r w:rsidRPr="006E74CB">
        <w:rPr>
          <w:sz w:val="16"/>
          <w:szCs w:val="16"/>
        </w:rPr>
        <w:t xml:space="preserve"> </w:t>
      </w:r>
      <w:proofErr w:type="spellStart"/>
      <w:r w:rsidRPr="006E74CB">
        <w:rPr>
          <w:sz w:val="16"/>
          <w:szCs w:val="16"/>
        </w:rPr>
        <w:t>Pernas</w:t>
      </w:r>
      <w:proofErr w:type="spellEnd"/>
      <w:r w:rsidRPr="006E74CB">
        <w:rPr>
          <w:sz w:val="16"/>
          <w:szCs w:val="16"/>
        </w:rPr>
        <w:t xml:space="preserve"> et al (2018) CDK4/6 inhibition in breast cancer: current practice and future directions. </w:t>
      </w:r>
      <w:proofErr w:type="spellStart"/>
      <w:r w:rsidRPr="006E74CB">
        <w:rPr>
          <w:sz w:val="16"/>
          <w:szCs w:val="16"/>
        </w:rPr>
        <w:t>Ther</w:t>
      </w:r>
      <w:proofErr w:type="spellEnd"/>
      <w:r w:rsidRPr="006E74CB">
        <w:rPr>
          <w:sz w:val="16"/>
          <w:szCs w:val="16"/>
        </w:rPr>
        <w:t xml:space="preserve"> </w:t>
      </w:r>
      <w:proofErr w:type="spellStart"/>
      <w:r w:rsidRPr="006E74CB">
        <w:rPr>
          <w:sz w:val="16"/>
          <w:szCs w:val="16"/>
        </w:rPr>
        <w:t>Adv</w:t>
      </w:r>
      <w:proofErr w:type="spellEnd"/>
      <w:r w:rsidRPr="006E74CB">
        <w:rPr>
          <w:sz w:val="16"/>
          <w:szCs w:val="16"/>
        </w:rPr>
        <w:t xml:space="preserve"> Med </w:t>
      </w:r>
      <w:proofErr w:type="spellStart"/>
      <w:r w:rsidRPr="006E74CB">
        <w:rPr>
          <w:sz w:val="16"/>
          <w:szCs w:val="16"/>
        </w:rPr>
        <w:t>Oncol</w:t>
      </w:r>
      <w:proofErr w:type="spellEnd"/>
      <w:r w:rsidRPr="006E74CB">
        <w:rPr>
          <w:sz w:val="16"/>
          <w:szCs w:val="16"/>
        </w:rPr>
        <w:t xml:space="preserve">; 10:1-15; Shah and </w:t>
      </w:r>
      <w:proofErr w:type="spellStart"/>
      <w:r w:rsidRPr="006E74CB">
        <w:rPr>
          <w:sz w:val="16"/>
          <w:szCs w:val="16"/>
        </w:rPr>
        <w:t>Dickler</w:t>
      </w:r>
      <w:proofErr w:type="spellEnd"/>
      <w:r w:rsidRPr="006E74CB">
        <w:rPr>
          <w:sz w:val="16"/>
          <w:szCs w:val="16"/>
        </w:rPr>
        <w:t xml:space="preserve"> (2014) Endocrine therapy for advanced breast cancer. </w:t>
      </w:r>
      <w:proofErr w:type="spellStart"/>
      <w:r w:rsidRPr="006E74CB">
        <w:rPr>
          <w:sz w:val="16"/>
          <w:szCs w:val="16"/>
        </w:rPr>
        <w:t>Clin</w:t>
      </w:r>
      <w:proofErr w:type="spellEnd"/>
      <w:r w:rsidRPr="006E74CB">
        <w:rPr>
          <w:sz w:val="16"/>
          <w:szCs w:val="16"/>
        </w:rPr>
        <w:t xml:space="preserve"> </w:t>
      </w:r>
      <w:proofErr w:type="spellStart"/>
      <w:r w:rsidRPr="006E74CB">
        <w:rPr>
          <w:sz w:val="16"/>
          <w:szCs w:val="16"/>
        </w:rPr>
        <w:t>Adv</w:t>
      </w:r>
      <w:proofErr w:type="spellEnd"/>
      <w:r w:rsidRPr="006E74CB">
        <w:rPr>
          <w:sz w:val="16"/>
          <w:szCs w:val="16"/>
        </w:rPr>
        <w:t xml:space="preserve"> </w:t>
      </w:r>
      <w:proofErr w:type="spellStart"/>
      <w:r w:rsidRPr="006E74CB">
        <w:rPr>
          <w:sz w:val="16"/>
          <w:szCs w:val="16"/>
        </w:rPr>
        <w:t>Hematol</w:t>
      </w:r>
      <w:proofErr w:type="spellEnd"/>
      <w:r w:rsidRPr="006E74CB">
        <w:rPr>
          <w:sz w:val="16"/>
          <w:szCs w:val="16"/>
        </w:rPr>
        <w:t xml:space="preserve"> </w:t>
      </w:r>
      <w:proofErr w:type="spellStart"/>
      <w:r w:rsidRPr="006E74CB">
        <w:rPr>
          <w:sz w:val="16"/>
          <w:szCs w:val="16"/>
        </w:rPr>
        <w:t>Oncol</w:t>
      </w:r>
      <w:proofErr w:type="spellEnd"/>
      <w:r w:rsidRPr="006E74CB">
        <w:rPr>
          <w:sz w:val="16"/>
          <w:szCs w:val="16"/>
        </w:rPr>
        <w:t xml:space="preserve">; 12(4): 214-2; </w:t>
      </w:r>
      <w:proofErr w:type="spellStart"/>
      <w:r w:rsidRPr="006E74CB">
        <w:rPr>
          <w:sz w:val="16"/>
          <w:szCs w:val="16"/>
        </w:rPr>
        <w:t>Hortobagyi</w:t>
      </w:r>
      <w:proofErr w:type="spellEnd"/>
      <w:r w:rsidRPr="006E74CB">
        <w:rPr>
          <w:sz w:val="16"/>
          <w:szCs w:val="16"/>
        </w:rPr>
        <w:t xml:space="preserve"> et al (2016) </w:t>
      </w:r>
      <w:proofErr w:type="spellStart"/>
      <w:r w:rsidRPr="006E74CB">
        <w:rPr>
          <w:sz w:val="16"/>
          <w:szCs w:val="16"/>
        </w:rPr>
        <w:t>Ribociclib</w:t>
      </w:r>
      <w:proofErr w:type="spellEnd"/>
      <w:r w:rsidRPr="006E74CB">
        <w:rPr>
          <w:sz w:val="16"/>
          <w:szCs w:val="16"/>
        </w:rPr>
        <w:t xml:space="preserve"> as first-line therapy for HR</w:t>
      </w:r>
      <w:r>
        <w:rPr>
          <w:sz w:val="16"/>
          <w:szCs w:val="16"/>
        </w:rPr>
        <w:t>-</w:t>
      </w:r>
      <w:r w:rsidRPr="006E74CB">
        <w:rPr>
          <w:sz w:val="16"/>
          <w:szCs w:val="16"/>
        </w:rPr>
        <w:t xml:space="preserve">positive, advanced Breast Cancer. N </w:t>
      </w:r>
      <w:proofErr w:type="spellStart"/>
      <w:r w:rsidRPr="006E74CB">
        <w:rPr>
          <w:sz w:val="16"/>
          <w:szCs w:val="16"/>
        </w:rPr>
        <w:t>Engl</w:t>
      </w:r>
      <w:proofErr w:type="spellEnd"/>
      <w:r w:rsidRPr="006E74CB">
        <w:rPr>
          <w:sz w:val="16"/>
          <w:szCs w:val="16"/>
        </w:rPr>
        <w:t xml:space="preserve"> J Med; 375(18):1738-48.</w:t>
      </w:r>
    </w:p>
  </w:footnote>
  <w:footnote w:id="5">
    <w:p w14:paraId="6B955B74" w14:textId="77777777" w:rsidR="00797A0A" w:rsidRDefault="00797A0A" w:rsidP="00601C11">
      <w:pPr>
        <w:pStyle w:val="FootnoteText"/>
      </w:pPr>
      <w:r w:rsidRPr="00601C11">
        <w:rPr>
          <w:rStyle w:val="FootnoteReference"/>
          <w:sz w:val="16"/>
        </w:rPr>
        <w:footnoteRef/>
      </w:r>
      <w:r w:rsidRPr="00601C11">
        <w:rPr>
          <w:sz w:val="16"/>
        </w:rPr>
        <w:t xml:space="preserve"> Keegan et al (2018) PI3K inhibition to overcome endocrine resistance in breast cancer. Expert </w:t>
      </w:r>
      <w:proofErr w:type="spellStart"/>
      <w:r w:rsidRPr="00601C11">
        <w:rPr>
          <w:sz w:val="16"/>
        </w:rPr>
        <w:t>Opin</w:t>
      </w:r>
      <w:proofErr w:type="spellEnd"/>
      <w:r w:rsidRPr="00601C11">
        <w:rPr>
          <w:sz w:val="16"/>
        </w:rPr>
        <w:t xml:space="preserve"> Invest Drugs; 27(1):1-15.</w:t>
      </w:r>
    </w:p>
  </w:footnote>
  <w:footnote w:id="6">
    <w:p w14:paraId="5BE253D2" w14:textId="77777777" w:rsidR="00797A0A" w:rsidRDefault="00797A0A" w:rsidP="00601C11">
      <w:pPr>
        <w:pStyle w:val="FootnoteText"/>
      </w:pPr>
      <w:r w:rsidRPr="00601C11">
        <w:rPr>
          <w:rStyle w:val="FootnoteReference"/>
          <w:sz w:val="16"/>
        </w:rPr>
        <w:footnoteRef/>
      </w:r>
      <w:r w:rsidRPr="00601C11">
        <w:rPr>
          <w:sz w:val="16"/>
        </w:rPr>
        <w:t xml:space="preserve"> Cancer Genome Atlas Network (2012) Comprehensive molecular portraits of human breast </w:t>
      </w:r>
      <w:proofErr w:type="spellStart"/>
      <w:r w:rsidRPr="00601C11">
        <w:rPr>
          <w:sz w:val="16"/>
        </w:rPr>
        <w:t>tumors</w:t>
      </w:r>
      <w:proofErr w:type="spellEnd"/>
      <w:r w:rsidRPr="00601C11">
        <w:rPr>
          <w:sz w:val="16"/>
        </w:rPr>
        <w:t>. Nature; 490(7418):61-70.</w:t>
      </w:r>
    </w:p>
  </w:footnote>
  <w:footnote w:id="7">
    <w:p w14:paraId="14B681AC" w14:textId="77777777" w:rsidR="00797A0A" w:rsidRDefault="00797A0A">
      <w:pPr>
        <w:pStyle w:val="FootnoteText"/>
      </w:pPr>
      <w:r>
        <w:rPr>
          <w:rStyle w:val="FootnoteReference"/>
        </w:rPr>
        <w:footnoteRef/>
      </w:r>
      <w:r>
        <w:t xml:space="preserve"> Concordance data is from the Supplementary Appendix.</w:t>
      </w:r>
    </w:p>
  </w:footnote>
  <w:footnote w:id="8">
    <w:p w14:paraId="389969EB" w14:textId="77777777" w:rsidR="00797A0A" w:rsidRPr="009F3B77" w:rsidRDefault="00797A0A">
      <w:pPr>
        <w:pStyle w:val="FootnoteText"/>
        <w:rPr>
          <w:sz w:val="16"/>
          <w:szCs w:val="16"/>
        </w:rPr>
      </w:pPr>
      <w:r w:rsidRPr="009F3B77">
        <w:rPr>
          <w:rStyle w:val="FootnoteReference"/>
          <w:sz w:val="16"/>
          <w:szCs w:val="16"/>
        </w:rPr>
        <w:footnoteRef/>
      </w:r>
      <w:r w:rsidRPr="009F3B77">
        <w:rPr>
          <w:sz w:val="16"/>
          <w:szCs w:val="16"/>
        </w:rPr>
        <w:t xml:space="preserve"> Global Burden of Disease Cancer Collaboration (2018) Global, regional, and national cancer incidence, mortality, years of life lost, years lived with disability, and disability-adjusted life-years for 29 cancer groups, 1990 to 2016: a systematic analysis for the Global Burden of Disease Study. JAMA Oncology 4(11): 1553-1568.</w:t>
      </w:r>
    </w:p>
  </w:footnote>
  <w:footnote w:id="9">
    <w:p w14:paraId="70812C51" w14:textId="5678F4F6" w:rsidR="00797A0A" w:rsidRPr="009F3B77" w:rsidRDefault="00797A0A">
      <w:pPr>
        <w:pStyle w:val="FootnoteText"/>
        <w:rPr>
          <w:sz w:val="16"/>
          <w:szCs w:val="16"/>
        </w:rPr>
      </w:pPr>
      <w:r w:rsidRPr="009F3B77">
        <w:rPr>
          <w:rStyle w:val="FootnoteReference"/>
          <w:sz w:val="16"/>
          <w:szCs w:val="16"/>
        </w:rPr>
        <w:footnoteRef/>
      </w:r>
      <w:r w:rsidRPr="009F3B77">
        <w:rPr>
          <w:sz w:val="16"/>
          <w:szCs w:val="16"/>
        </w:rPr>
        <w:t xml:space="preserve"> </w:t>
      </w:r>
      <w:hyperlink r:id="rId2" w:history="1">
        <w:r w:rsidRPr="009F3B77">
          <w:rPr>
            <w:rStyle w:val="Hyperlink"/>
            <w:sz w:val="16"/>
            <w:szCs w:val="16"/>
          </w:rPr>
          <w:t>breast-cancer.canceraustralia.gov.au/statistics</w:t>
        </w:r>
      </w:hyperlink>
      <w:r w:rsidRPr="009F3B77">
        <w:rPr>
          <w:sz w:val="16"/>
          <w:szCs w:val="16"/>
        </w:rPr>
        <w:t xml:space="preserve"> </w:t>
      </w:r>
    </w:p>
  </w:footnote>
  <w:footnote w:id="10">
    <w:p w14:paraId="268E185D" w14:textId="77777777" w:rsidR="00797A0A" w:rsidRDefault="00797A0A">
      <w:pPr>
        <w:pStyle w:val="FootnoteText"/>
      </w:pPr>
      <w:r w:rsidRPr="009F3B77">
        <w:rPr>
          <w:rStyle w:val="FootnoteReference"/>
          <w:sz w:val="16"/>
          <w:szCs w:val="16"/>
        </w:rPr>
        <w:footnoteRef/>
      </w:r>
      <w:r w:rsidRPr="009F3B77">
        <w:rPr>
          <w:sz w:val="16"/>
          <w:szCs w:val="16"/>
        </w:rPr>
        <w:t xml:space="preserve"> O’Brien et al (2010) </w:t>
      </w:r>
      <w:proofErr w:type="gramStart"/>
      <w:r w:rsidRPr="009F3B77">
        <w:rPr>
          <w:sz w:val="16"/>
          <w:szCs w:val="16"/>
        </w:rPr>
        <w:t>Intrinsic</w:t>
      </w:r>
      <w:proofErr w:type="gramEnd"/>
      <w:r w:rsidRPr="009F3B77">
        <w:rPr>
          <w:sz w:val="16"/>
          <w:szCs w:val="16"/>
        </w:rPr>
        <w:t xml:space="preserve"> breast </w:t>
      </w:r>
      <w:proofErr w:type="spellStart"/>
      <w:r w:rsidRPr="009F3B77">
        <w:rPr>
          <w:sz w:val="16"/>
          <w:szCs w:val="16"/>
        </w:rPr>
        <w:t>tumor</w:t>
      </w:r>
      <w:proofErr w:type="spellEnd"/>
      <w:r w:rsidRPr="009F3B77">
        <w:rPr>
          <w:sz w:val="16"/>
          <w:szCs w:val="16"/>
        </w:rPr>
        <w:t xml:space="preserve"> subtypes, race, and long-term survival in the Carolina Breast Cancer Study. </w:t>
      </w:r>
      <w:proofErr w:type="spellStart"/>
      <w:r w:rsidRPr="009F3B77">
        <w:rPr>
          <w:sz w:val="16"/>
          <w:szCs w:val="16"/>
        </w:rPr>
        <w:t>Clin</w:t>
      </w:r>
      <w:proofErr w:type="spellEnd"/>
      <w:r w:rsidRPr="009F3B77">
        <w:rPr>
          <w:sz w:val="16"/>
          <w:szCs w:val="16"/>
        </w:rPr>
        <w:t xml:space="preserve"> Cancer Research; 16(24): 6100-10.</w:t>
      </w:r>
    </w:p>
  </w:footnote>
  <w:footnote w:id="11">
    <w:p w14:paraId="344961DB" w14:textId="77777777" w:rsidR="00797A0A" w:rsidRDefault="00797A0A" w:rsidP="009F3B77">
      <w:pPr>
        <w:pStyle w:val="FootnoteText"/>
      </w:pPr>
      <w:r w:rsidRPr="009F3B77">
        <w:rPr>
          <w:rStyle w:val="FootnoteReference"/>
          <w:sz w:val="16"/>
        </w:rPr>
        <w:footnoteRef/>
      </w:r>
      <w:r w:rsidRPr="009F3B77">
        <w:rPr>
          <w:sz w:val="16"/>
        </w:rPr>
        <w:t xml:space="preserve"> Cardoso et al (2017) 3rd ESO-ESMO international consensus guidelines for advanced breast cancer (ABC3). Breast; 31:244–259.</w:t>
      </w:r>
    </w:p>
  </w:footnote>
  <w:footnote w:id="12">
    <w:p w14:paraId="7E3BDFA1" w14:textId="77777777" w:rsidR="00797A0A" w:rsidRPr="009F3B77" w:rsidRDefault="00797A0A" w:rsidP="009F3B77">
      <w:pPr>
        <w:pStyle w:val="FootnoteText"/>
        <w:rPr>
          <w:sz w:val="16"/>
        </w:rPr>
      </w:pPr>
      <w:r w:rsidRPr="009F3B77">
        <w:rPr>
          <w:rStyle w:val="FootnoteReference"/>
          <w:sz w:val="16"/>
        </w:rPr>
        <w:footnoteRef/>
      </w:r>
      <w:r w:rsidRPr="009F3B77">
        <w:rPr>
          <w:sz w:val="16"/>
        </w:rPr>
        <w:t xml:space="preserve"> National Cancer </w:t>
      </w:r>
      <w:proofErr w:type="spellStart"/>
      <w:r w:rsidRPr="009F3B77">
        <w:rPr>
          <w:sz w:val="16"/>
        </w:rPr>
        <w:t>Center</w:t>
      </w:r>
      <w:proofErr w:type="spellEnd"/>
      <w:r w:rsidRPr="009F3B77">
        <w:rPr>
          <w:sz w:val="16"/>
        </w:rPr>
        <w:t xml:space="preserve"> Network Treatment Guidelines for Breast Cancer, Version 2/2018. Available from:</w:t>
      </w:r>
    </w:p>
    <w:p w14:paraId="59FF11DB" w14:textId="77777777" w:rsidR="00797A0A" w:rsidRDefault="00797A0A" w:rsidP="009F3B77">
      <w:pPr>
        <w:pStyle w:val="FootnoteText"/>
      </w:pPr>
      <w:r w:rsidRPr="009F3B77">
        <w:rPr>
          <w:sz w:val="16"/>
        </w:rPr>
        <w:t>&lt;https://www.nccn.org/store/login/login.aspx?ReturnURL=https://www.nccn.org/professionals/physician_gls/pdf/breast.pdf&gt; (Accessed 20-Nov-2018).</w:t>
      </w:r>
    </w:p>
  </w:footnote>
  <w:footnote w:id="13">
    <w:p w14:paraId="295CEDD4" w14:textId="77777777" w:rsidR="00797A0A" w:rsidRDefault="00797A0A">
      <w:pPr>
        <w:pStyle w:val="FootnoteText"/>
      </w:pPr>
      <w:r w:rsidRPr="009F3B77">
        <w:rPr>
          <w:rStyle w:val="FootnoteReference"/>
          <w:sz w:val="16"/>
        </w:rPr>
        <w:footnoteRef/>
      </w:r>
      <w:r w:rsidRPr="009F3B77">
        <w:rPr>
          <w:sz w:val="16"/>
        </w:rPr>
        <w:t xml:space="preserve">  Shah and </w:t>
      </w:r>
      <w:proofErr w:type="spellStart"/>
      <w:r w:rsidRPr="009F3B77">
        <w:rPr>
          <w:sz w:val="16"/>
        </w:rPr>
        <w:t>Dickler</w:t>
      </w:r>
      <w:proofErr w:type="spellEnd"/>
      <w:r w:rsidRPr="009F3B77">
        <w:rPr>
          <w:sz w:val="16"/>
        </w:rPr>
        <w:t xml:space="preserve"> (2014) Endocrine therapy for advanced breast cancer. </w:t>
      </w:r>
      <w:proofErr w:type="spellStart"/>
      <w:r w:rsidRPr="009F3B77">
        <w:rPr>
          <w:sz w:val="16"/>
        </w:rPr>
        <w:t>Clin</w:t>
      </w:r>
      <w:proofErr w:type="spellEnd"/>
      <w:r w:rsidRPr="009F3B77">
        <w:rPr>
          <w:sz w:val="16"/>
        </w:rPr>
        <w:t xml:space="preserve"> </w:t>
      </w:r>
      <w:proofErr w:type="spellStart"/>
      <w:r w:rsidRPr="009F3B77">
        <w:rPr>
          <w:sz w:val="16"/>
        </w:rPr>
        <w:t>Adv</w:t>
      </w:r>
      <w:proofErr w:type="spellEnd"/>
      <w:r w:rsidRPr="009F3B77">
        <w:rPr>
          <w:sz w:val="16"/>
        </w:rPr>
        <w:t xml:space="preserve"> </w:t>
      </w:r>
      <w:proofErr w:type="spellStart"/>
      <w:r w:rsidRPr="009F3B77">
        <w:rPr>
          <w:sz w:val="16"/>
        </w:rPr>
        <w:t>Hematol</w:t>
      </w:r>
      <w:proofErr w:type="spellEnd"/>
      <w:r w:rsidRPr="009F3B77">
        <w:rPr>
          <w:sz w:val="16"/>
        </w:rPr>
        <w:t xml:space="preserve"> </w:t>
      </w:r>
      <w:proofErr w:type="spellStart"/>
      <w:r w:rsidRPr="009F3B77">
        <w:rPr>
          <w:sz w:val="16"/>
        </w:rPr>
        <w:t>Oncol</w:t>
      </w:r>
      <w:proofErr w:type="spellEnd"/>
      <w:r w:rsidRPr="009F3B77">
        <w:rPr>
          <w:sz w:val="16"/>
        </w:rPr>
        <w:t xml:space="preserve">; 12(4): 214-2. </w:t>
      </w:r>
    </w:p>
  </w:footnote>
  <w:footnote w:id="14">
    <w:p w14:paraId="6D1CADBD" w14:textId="77777777" w:rsidR="00797A0A" w:rsidRPr="00922CB9" w:rsidRDefault="00797A0A" w:rsidP="00922CB9">
      <w:pPr>
        <w:pStyle w:val="FootnoteText"/>
        <w:rPr>
          <w:sz w:val="16"/>
          <w:szCs w:val="16"/>
        </w:rPr>
      </w:pPr>
      <w:r w:rsidRPr="00922CB9">
        <w:rPr>
          <w:rStyle w:val="FootnoteReference"/>
          <w:sz w:val="16"/>
          <w:szCs w:val="16"/>
        </w:rPr>
        <w:footnoteRef/>
      </w:r>
      <w:r w:rsidRPr="00922CB9">
        <w:rPr>
          <w:sz w:val="16"/>
          <w:szCs w:val="16"/>
        </w:rPr>
        <w:t xml:space="preserve"> </w:t>
      </w:r>
      <w:proofErr w:type="spellStart"/>
      <w:r w:rsidRPr="00922CB9">
        <w:rPr>
          <w:sz w:val="16"/>
          <w:szCs w:val="16"/>
        </w:rPr>
        <w:t>Baselga</w:t>
      </w:r>
      <w:proofErr w:type="spellEnd"/>
      <w:r w:rsidRPr="00922CB9">
        <w:rPr>
          <w:sz w:val="16"/>
          <w:szCs w:val="16"/>
        </w:rPr>
        <w:t xml:space="preserve"> et al (2012) </w:t>
      </w:r>
      <w:proofErr w:type="spellStart"/>
      <w:r w:rsidRPr="00922CB9">
        <w:rPr>
          <w:sz w:val="16"/>
          <w:szCs w:val="16"/>
        </w:rPr>
        <w:t>Everolimus</w:t>
      </w:r>
      <w:proofErr w:type="spellEnd"/>
      <w:r w:rsidRPr="00922CB9">
        <w:rPr>
          <w:sz w:val="16"/>
          <w:szCs w:val="16"/>
        </w:rPr>
        <w:t xml:space="preserve"> in postmenopausal hormone receptor-positive advanced breast cancer. N </w:t>
      </w:r>
      <w:proofErr w:type="spellStart"/>
      <w:r w:rsidRPr="00922CB9">
        <w:rPr>
          <w:sz w:val="16"/>
          <w:szCs w:val="16"/>
        </w:rPr>
        <w:t>Engl</w:t>
      </w:r>
      <w:proofErr w:type="spellEnd"/>
      <w:r w:rsidRPr="00922CB9">
        <w:rPr>
          <w:sz w:val="16"/>
          <w:szCs w:val="16"/>
        </w:rPr>
        <w:t xml:space="preserve"> J Med; 366:520-9; Finn et al (2015) </w:t>
      </w:r>
      <w:proofErr w:type="gramStart"/>
      <w:r w:rsidRPr="00922CB9">
        <w:rPr>
          <w:sz w:val="16"/>
          <w:szCs w:val="16"/>
        </w:rPr>
        <w:t>The</w:t>
      </w:r>
      <w:proofErr w:type="gramEnd"/>
      <w:r w:rsidRPr="00922CB9">
        <w:rPr>
          <w:sz w:val="16"/>
          <w:szCs w:val="16"/>
        </w:rPr>
        <w:t xml:space="preserve"> cyclin-dependent kinase 4/6 inhibitor </w:t>
      </w:r>
      <w:proofErr w:type="spellStart"/>
      <w:r w:rsidRPr="00922CB9">
        <w:rPr>
          <w:sz w:val="16"/>
          <w:szCs w:val="16"/>
        </w:rPr>
        <w:t>palbociclib</w:t>
      </w:r>
      <w:proofErr w:type="spellEnd"/>
      <w:r w:rsidRPr="00922CB9">
        <w:rPr>
          <w:sz w:val="16"/>
          <w:szCs w:val="16"/>
        </w:rPr>
        <w:t xml:space="preserve"> in combination with </w:t>
      </w:r>
      <w:proofErr w:type="spellStart"/>
      <w:r w:rsidRPr="00922CB9">
        <w:rPr>
          <w:sz w:val="16"/>
          <w:szCs w:val="16"/>
        </w:rPr>
        <w:t>letrozole</w:t>
      </w:r>
      <w:proofErr w:type="spellEnd"/>
      <w:r w:rsidRPr="00922CB9">
        <w:rPr>
          <w:sz w:val="16"/>
          <w:szCs w:val="16"/>
        </w:rPr>
        <w:t xml:space="preserve"> versus </w:t>
      </w:r>
      <w:proofErr w:type="spellStart"/>
      <w:r w:rsidRPr="00922CB9">
        <w:rPr>
          <w:sz w:val="16"/>
          <w:szCs w:val="16"/>
        </w:rPr>
        <w:t>letrozole</w:t>
      </w:r>
      <w:proofErr w:type="spellEnd"/>
      <w:r w:rsidRPr="00922CB9">
        <w:rPr>
          <w:sz w:val="16"/>
          <w:szCs w:val="16"/>
        </w:rPr>
        <w:t xml:space="preserve"> alone as first-line treatment of oestrogen receptor-positive, HER2-negative, advanced breast cancer (PALOMA-1/TRIO-18): a randomised phase 2 study. Lancet Oncology; 16(1):12-35; </w:t>
      </w:r>
      <w:proofErr w:type="spellStart"/>
      <w:r w:rsidRPr="00922CB9">
        <w:rPr>
          <w:sz w:val="16"/>
          <w:szCs w:val="16"/>
        </w:rPr>
        <w:t>Hortobagyi</w:t>
      </w:r>
      <w:proofErr w:type="spellEnd"/>
      <w:r w:rsidRPr="00922CB9">
        <w:rPr>
          <w:sz w:val="16"/>
          <w:szCs w:val="16"/>
        </w:rPr>
        <w:t xml:space="preserve"> et al (2016) </w:t>
      </w:r>
      <w:proofErr w:type="spellStart"/>
      <w:r w:rsidRPr="00922CB9">
        <w:rPr>
          <w:sz w:val="16"/>
          <w:szCs w:val="16"/>
        </w:rPr>
        <w:t>Ribociclib</w:t>
      </w:r>
      <w:proofErr w:type="spellEnd"/>
      <w:r w:rsidRPr="00922CB9">
        <w:rPr>
          <w:sz w:val="16"/>
          <w:szCs w:val="16"/>
        </w:rPr>
        <w:t xml:space="preserve"> as first-line therapy for HR-positive, advanced Breast Cancer. N </w:t>
      </w:r>
      <w:proofErr w:type="spellStart"/>
      <w:r w:rsidRPr="00922CB9">
        <w:rPr>
          <w:sz w:val="16"/>
          <w:szCs w:val="16"/>
        </w:rPr>
        <w:t>Engl</w:t>
      </w:r>
      <w:proofErr w:type="spellEnd"/>
      <w:r w:rsidRPr="00922CB9">
        <w:rPr>
          <w:sz w:val="16"/>
          <w:szCs w:val="16"/>
        </w:rPr>
        <w:t xml:space="preserve"> J Med; 375(18):1738-48; </w:t>
      </w:r>
      <w:proofErr w:type="spellStart"/>
      <w:r w:rsidRPr="00922CB9">
        <w:rPr>
          <w:sz w:val="16"/>
          <w:szCs w:val="16"/>
        </w:rPr>
        <w:t>Dickler</w:t>
      </w:r>
      <w:proofErr w:type="spellEnd"/>
      <w:r w:rsidRPr="00922CB9">
        <w:rPr>
          <w:sz w:val="16"/>
          <w:szCs w:val="16"/>
        </w:rPr>
        <w:t xml:space="preserve"> et al (2017) MONARCH 1, a phase II study of </w:t>
      </w:r>
      <w:proofErr w:type="spellStart"/>
      <w:r w:rsidRPr="00922CB9">
        <w:rPr>
          <w:sz w:val="16"/>
          <w:szCs w:val="16"/>
        </w:rPr>
        <w:t>abemaciclib</w:t>
      </w:r>
      <w:proofErr w:type="spellEnd"/>
      <w:r w:rsidRPr="00922CB9">
        <w:rPr>
          <w:sz w:val="16"/>
          <w:szCs w:val="16"/>
        </w:rPr>
        <w:t xml:space="preserve">, a CDK4 and CDK6 inhibitor, as a single agent, in patients with refractory HR+/HER2- metastatic breast cancer. </w:t>
      </w:r>
      <w:proofErr w:type="spellStart"/>
      <w:r w:rsidRPr="00922CB9">
        <w:rPr>
          <w:sz w:val="16"/>
          <w:szCs w:val="16"/>
        </w:rPr>
        <w:t>Clin</w:t>
      </w:r>
      <w:proofErr w:type="spellEnd"/>
      <w:r w:rsidRPr="00922CB9">
        <w:rPr>
          <w:sz w:val="16"/>
          <w:szCs w:val="16"/>
        </w:rPr>
        <w:t xml:space="preserve"> Cancer Res; 23(17):5218-24; </w:t>
      </w:r>
      <w:proofErr w:type="spellStart"/>
      <w:r w:rsidRPr="00922CB9">
        <w:rPr>
          <w:sz w:val="16"/>
          <w:szCs w:val="16"/>
        </w:rPr>
        <w:t>Loibl</w:t>
      </w:r>
      <w:proofErr w:type="spellEnd"/>
      <w:r w:rsidRPr="00922CB9">
        <w:rPr>
          <w:sz w:val="16"/>
          <w:szCs w:val="16"/>
        </w:rPr>
        <w:t xml:space="preserve"> et al (2017) </w:t>
      </w:r>
      <w:proofErr w:type="spellStart"/>
      <w:r w:rsidRPr="00922CB9">
        <w:rPr>
          <w:sz w:val="16"/>
          <w:szCs w:val="16"/>
        </w:rPr>
        <w:t>Palbociclib</w:t>
      </w:r>
      <w:proofErr w:type="spellEnd"/>
      <w:r w:rsidRPr="00922CB9">
        <w:rPr>
          <w:sz w:val="16"/>
          <w:szCs w:val="16"/>
        </w:rPr>
        <w:t xml:space="preserve"> combined with </w:t>
      </w:r>
      <w:proofErr w:type="spellStart"/>
      <w:r w:rsidRPr="00922CB9">
        <w:rPr>
          <w:sz w:val="16"/>
          <w:szCs w:val="16"/>
        </w:rPr>
        <w:t>fulvestrant</w:t>
      </w:r>
      <w:proofErr w:type="spellEnd"/>
      <w:r w:rsidRPr="00922CB9">
        <w:rPr>
          <w:sz w:val="16"/>
          <w:szCs w:val="16"/>
        </w:rPr>
        <w:t xml:space="preserve"> in premenopausal women with advanced breast cancer and prior progression on endocrine therapy: PALOMA-3 results. Oncologist; 22(9):1028-38; Sledge et al (2017) MONARCH 2: </w:t>
      </w:r>
      <w:proofErr w:type="spellStart"/>
      <w:r w:rsidRPr="00922CB9">
        <w:rPr>
          <w:sz w:val="16"/>
          <w:szCs w:val="16"/>
        </w:rPr>
        <w:t>abemaciclib</w:t>
      </w:r>
      <w:proofErr w:type="spellEnd"/>
      <w:r w:rsidRPr="00922CB9">
        <w:rPr>
          <w:sz w:val="16"/>
          <w:szCs w:val="16"/>
        </w:rPr>
        <w:t xml:space="preserve"> in combination with </w:t>
      </w:r>
      <w:proofErr w:type="spellStart"/>
      <w:r w:rsidRPr="00922CB9">
        <w:rPr>
          <w:sz w:val="16"/>
          <w:szCs w:val="16"/>
        </w:rPr>
        <w:t>fulvestrant</w:t>
      </w:r>
      <w:proofErr w:type="spellEnd"/>
      <w:r w:rsidRPr="00922CB9">
        <w:rPr>
          <w:sz w:val="16"/>
          <w:szCs w:val="16"/>
        </w:rPr>
        <w:t xml:space="preserve"> in women with HR+/HER2- advanced breast cancer who had progressed while receiving endocrine therapy. J </w:t>
      </w:r>
      <w:proofErr w:type="spellStart"/>
      <w:r w:rsidRPr="00922CB9">
        <w:rPr>
          <w:sz w:val="16"/>
          <w:szCs w:val="16"/>
        </w:rPr>
        <w:t>Clin</w:t>
      </w:r>
      <w:proofErr w:type="spellEnd"/>
      <w:r w:rsidRPr="00922CB9">
        <w:rPr>
          <w:sz w:val="16"/>
          <w:szCs w:val="16"/>
        </w:rPr>
        <w:t xml:space="preserve"> </w:t>
      </w:r>
      <w:proofErr w:type="spellStart"/>
      <w:r w:rsidRPr="00922CB9">
        <w:rPr>
          <w:sz w:val="16"/>
          <w:szCs w:val="16"/>
        </w:rPr>
        <w:t>Oncol</w:t>
      </w:r>
      <w:proofErr w:type="spellEnd"/>
      <w:r w:rsidRPr="00922CB9">
        <w:rPr>
          <w:sz w:val="16"/>
          <w:szCs w:val="16"/>
        </w:rPr>
        <w:t>; 35(25):2875-84.</w:t>
      </w:r>
    </w:p>
  </w:footnote>
  <w:footnote w:id="15">
    <w:p w14:paraId="00420FB2" w14:textId="77777777" w:rsidR="00797A0A" w:rsidRDefault="00797A0A">
      <w:pPr>
        <w:pStyle w:val="FootnoteText"/>
      </w:pPr>
      <w:r w:rsidRPr="00922CB9">
        <w:rPr>
          <w:rStyle w:val="FootnoteReference"/>
          <w:sz w:val="16"/>
        </w:rPr>
        <w:footnoteRef/>
      </w:r>
      <w:r w:rsidRPr="00922CB9">
        <w:rPr>
          <w:sz w:val="16"/>
        </w:rPr>
        <w:t xml:space="preserve"> </w:t>
      </w:r>
      <w:proofErr w:type="spellStart"/>
      <w:r w:rsidRPr="00922CB9">
        <w:rPr>
          <w:sz w:val="16"/>
        </w:rPr>
        <w:t>Pernas</w:t>
      </w:r>
      <w:proofErr w:type="spellEnd"/>
      <w:r w:rsidRPr="00922CB9">
        <w:rPr>
          <w:sz w:val="16"/>
        </w:rPr>
        <w:t xml:space="preserve"> et al (2018) CDK4/6 inhibition in breast cancer: current practice and future directions. </w:t>
      </w:r>
      <w:proofErr w:type="spellStart"/>
      <w:r w:rsidRPr="00922CB9">
        <w:rPr>
          <w:sz w:val="16"/>
        </w:rPr>
        <w:t>Ther</w:t>
      </w:r>
      <w:proofErr w:type="spellEnd"/>
      <w:r w:rsidRPr="00922CB9">
        <w:rPr>
          <w:sz w:val="16"/>
        </w:rPr>
        <w:t xml:space="preserve"> </w:t>
      </w:r>
      <w:proofErr w:type="spellStart"/>
      <w:r w:rsidRPr="00922CB9">
        <w:rPr>
          <w:sz w:val="16"/>
        </w:rPr>
        <w:t>Adv</w:t>
      </w:r>
      <w:proofErr w:type="spellEnd"/>
      <w:r w:rsidRPr="00922CB9">
        <w:rPr>
          <w:sz w:val="16"/>
        </w:rPr>
        <w:t xml:space="preserve"> Med </w:t>
      </w:r>
      <w:proofErr w:type="spellStart"/>
      <w:r w:rsidRPr="00922CB9">
        <w:rPr>
          <w:sz w:val="16"/>
        </w:rPr>
        <w:t>Oncol</w:t>
      </w:r>
      <w:proofErr w:type="spellEnd"/>
      <w:r w:rsidRPr="00922CB9">
        <w:rPr>
          <w:sz w:val="16"/>
        </w:rPr>
        <w:t xml:space="preserve">; 10:1-15; Shah and </w:t>
      </w:r>
      <w:proofErr w:type="spellStart"/>
      <w:r w:rsidRPr="00922CB9">
        <w:rPr>
          <w:sz w:val="16"/>
        </w:rPr>
        <w:t>Dickler</w:t>
      </w:r>
      <w:proofErr w:type="spellEnd"/>
      <w:r w:rsidRPr="00922CB9">
        <w:rPr>
          <w:sz w:val="16"/>
        </w:rPr>
        <w:t xml:space="preserve"> (2014) Endocrine therapy for advanced breast cancer. </w:t>
      </w:r>
      <w:proofErr w:type="spellStart"/>
      <w:r w:rsidRPr="00922CB9">
        <w:rPr>
          <w:sz w:val="16"/>
        </w:rPr>
        <w:t>Clin</w:t>
      </w:r>
      <w:proofErr w:type="spellEnd"/>
      <w:r w:rsidRPr="00922CB9">
        <w:rPr>
          <w:sz w:val="16"/>
        </w:rPr>
        <w:t xml:space="preserve"> </w:t>
      </w:r>
      <w:proofErr w:type="spellStart"/>
      <w:r w:rsidRPr="00922CB9">
        <w:rPr>
          <w:sz w:val="16"/>
        </w:rPr>
        <w:t>Adv</w:t>
      </w:r>
      <w:proofErr w:type="spellEnd"/>
      <w:r w:rsidRPr="00922CB9">
        <w:rPr>
          <w:sz w:val="16"/>
        </w:rPr>
        <w:t xml:space="preserve"> </w:t>
      </w:r>
      <w:proofErr w:type="spellStart"/>
      <w:r w:rsidRPr="00922CB9">
        <w:rPr>
          <w:sz w:val="16"/>
        </w:rPr>
        <w:t>Hematol</w:t>
      </w:r>
      <w:proofErr w:type="spellEnd"/>
      <w:r w:rsidRPr="00922CB9">
        <w:rPr>
          <w:sz w:val="16"/>
        </w:rPr>
        <w:t xml:space="preserve"> </w:t>
      </w:r>
      <w:proofErr w:type="spellStart"/>
      <w:r w:rsidRPr="00922CB9">
        <w:rPr>
          <w:sz w:val="16"/>
        </w:rPr>
        <w:t>Oncol</w:t>
      </w:r>
      <w:proofErr w:type="spellEnd"/>
      <w:r w:rsidRPr="00922CB9">
        <w:rPr>
          <w:sz w:val="16"/>
        </w:rPr>
        <w:t xml:space="preserve">; 12(4): 214-2; </w:t>
      </w:r>
      <w:proofErr w:type="spellStart"/>
      <w:r w:rsidRPr="00922CB9">
        <w:rPr>
          <w:sz w:val="16"/>
        </w:rPr>
        <w:t>Hortobagyi</w:t>
      </w:r>
      <w:proofErr w:type="spellEnd"/>
      <w:r w:rsidRPr="00922CB9">
        <w:rPr>
          <w:sz w:val="16"/>
        </w:rPr>
        <w:t xml:space="preserve"> et al (2016) </w:t>
      </w:r>
      <w:proofErr w:type="spellStart"/>
      <w:r w:rsidRPr="00922CB9">
        <w:rPr>
          <w:sz w:val="16"/>
        </w:rPr>
        <w:t>Ribociclib</w:t>
      </w:r>
      <w:proofErr w:type="spellEnd"/>
      <w:r w:rsidRPr="00922CB9">
        <w:rPr>
          <w:sz w:val="16"/>
        </w:rPr>
        <w:t xml:space="preserve"> as first-line therapy for HR-positive, advanced Breast Cancer. N </w:t>
      </w:r>
      <w:proofErr w:type="spellStart"/>
      <w:r w:rsidRPr="00922CB9">
        <w:rPr>
          <w:sz w:val="16"/>
        </w:rPr>
        <w:t>Engl</w:t>
      </w:r>
      <w:proofErr w:type="spellEnd"/>
      <w:r w:rsidRPr="00922CB9">
        <w:rPr>
          <w:sz w:val="16"/>
        </w:rPr>
        <w:t xml:space="preserve"> J Med; 375(18):1738-48.</w:t>
      </w:r>
    </w:p>
  </w:footnote>
  <w:footnote w:id="16">
    <w:p w14:paraId="0160BFAA" w14:textId="77777777" w:rsidR="00797A0A" w:rsidRDefault="00797A0A" w:rsidP="00922CB9">
      <w:pPr>
        <w:pStyle w:val="FootnoteText"/>
      </w:pPr>
      <w:r w:rsidRPr="00922CB9">
        <w:rPr>
          <w:rStyle w:val="FootnoteReference"/>
          <w:sz w:val="16"/>
        </w:rPr>
        <w:footnoteRef/>
      </w:r>
      <w:r w:rsidRPr="00922CB9">
        <w:rPr>
          <w:sz w:val="16"/>
        </w:rPr>
        <w:t xml:space="preserve"> Samuels et al (2004) High frequency of mutations of the PIK3CA gene in human cancers. Science; 304(5670):554; </w:t>
      </w:r>
      <w:proofErr w:type="spellStart"/>
      <w:r w:rsidRPr="00922CB9">
        <w:rPr>
          <w:sz w:val="16"/>
        </w:rPr>
        <w:t>Fruman</w:t>
      </w:r>
      <w:proofErr w:type="spellEnd"/>
      <w:r w:rsidRPr="00922CB9">
        <w:rPr>
          <w:sz w:val="16"/>
        </w:rPr>
        <w:t xml:space="preserve"> and Rommel (2014) PI3K and cancer: lessons, challenges and opportunities. Nat Rev Drug </w:t>
      </w:r>
      <w:proofErr w:type="spellStart"/>
      <w:r w:rsidRPr="00922CB9">
        <w:rPr>
          <w:sz w:val="16"/>
        </w:rPr>
        <w:t>Discov</w:t>
      </w:r>
      <w:proofErr w:type="spellEnd"/>
      <w:r w:rsidRPr="00922CB9">
        <w:rPr>
          <w:sz w:val="16"/>
        </w:rPr>
        <w:t xml:space="preserve">; 13(2):140-56; Zhang et al (2017) A Pan-cancer </w:t>
      </w:r>
      <w:proofErr w:type="spellStart"/>
      <w:r w:rsidRPr="00922CB9">
        <w:rPr>
          <w:sz w:val="16"/>
        </w:rPr>
        <w:t>proteogenomic</w:t>
      </w:r>
      <w:proofErr w:type="spellEnd"/>
      <w:r w:rsidRPr="00922CB9">
        <w:rPr>
          <w:sz w:val="16"/>
        </w:rPr>
        <w:t xml:space="preserve"> atlas of PI3K/AKT/</w:t>
      </w:r>
      <w:proofErr w:type="spellStart"/>
      <w:r w:rsidRPr="00922CB9">
        <w:rPr>
          <w:sz w:val="16"/>
        </w:rPr>
        <w:t>mTOR</w:t>
      </w:r>
      <w:proofErr w:type="spellEnd"/>
      <w:r w:rsidRPr="00922CB9">
        <w:rPr>
          <w:sz w:val="16"/>
        </w:rPr>
        <w:t xml:space="preserve"> pathway alterations. Cancer Cell; 31(6):820-32; </w:t>
      </w:r>
      <w:proofErr w:type="spellStart"/>
      <w:r w:rsidRPr="00922CB9">
        <w:rPr>
          <w:sz w:val="16"/>
        </w:rPr>
        <w:t>Zehir</w:t>
      </w:r>
      <w:proofErr w:type="spellEnd"/>
      <w:r w:rsidRPr="00922CB9">
        <w:rPr>
          <w:sz w:val="16"/>
        </w:rPr>
        <w:t xml:space="preserve"> et al (2017) Mutational landscape of metastatic cancer revealed from prospective clinical sequencing of 10,000 patients. Nat Med; 23(6):703-713; </w:t>
      </w:r>
      <w:proofErr w:type="spellStart"/>
      <w:r w:rsidRPr="00922CB9">
        <w:rPr>
          <w:sz w:val="16"/>
        </w:rPr>
        <w:t>Janku</w:t>
      </w:r>
      <w:proofErr w:type="spellEnd"/>
      <w:r w:rsidRPr="00922CB9">
        <w:rPr>
          <w:sz w:val="16"/>
        </w:rPr>
        <w:t xml:space="preserve"> et al (2018) Targeting the PI3K pathway in cancer: are we making headway? Nat Rev </w:t>
      </w:r>
      <w:proofErr w:type="spellStart"/>
      <w:r w:rsidRPr="00922CB9">
        <w:rPr>
          <w:sz w:val="16"/>
        </w:rPr>
        <w:t>Clin</w:t>
      </w:r>
      <w:proofErr w:type="spellEnd"/>
      <w:r w:rsidRPr="00922CB9">
        <w:rPr>
          <w:sz w:val="16"/>
        </w:rPr>
        <w:t xml:space="preserve"> </w:t>
      </w:r>
      <w:proofErr w:type="spellStart"/>
      <w:r w:rsidRPr="00922CB9">
        <w:rPr>
          <w:sz w:val="16"/>
        </w:rPr>
        <w:t>Oncol</w:t>
      </w:r>
      <w:proofErr w:type="spellEnd"/>
      <w:r w:rsidRPr="00922CB9">
        <w:rPr>
          <w:sz w:val="16"/>
        </w:rPr>
        <w:t>; 15(5):273-291.</w:t>
      </w:r>
    </w:p>
  </w:footnote>
  <w:footnote w:id="17">
    <w:p w14:paraId="77A57F60" w14:textId="77777777" w:rsidR="00797A0A" w:rsidRDefault="00797A0A" w:rsidP="00922CB9">
      <w:pPr>
        <w:pStyle w:val="FootnoteText"/>
      </w:pPr>
      <w:r w:rsidRPr="00922CB9">
        <w:rPr>
          <w:rStyle w:val="FootnoteReference"/>
          <w:sz w:val="16"/>
        </w:rPr>
        <w:footnoteRef/>
      </w:r>
      <w:r w:rsidRPr="00922CB9">
        <w:rPr>
          <w:sz w:val="16"/>
        </w:rPr>
        <w:t xml:space="preserve"> Liu et al (2009) Targeting the phosphoinositide 3-kinase pathway in cancer. Nat Rev Drug </w:t>
      </w:r>
      <w:proofErr w:type="spellStart"/>
      <w:r w:rsidRPr="00922CB9">
        <w:rPr>
          <w:sz w:val="16"/>
        </w:rPr>
        <w:t>Discov</w:t>
      </w:r>
      <w:proofErr w:type="spellEnd"/>
      <w:r w:rsidRPr="00922CB9">
        <w:rPr>
          <w:sz w:val="16"/>
        </w:rPr>
        <w:t>; 8:627-44.</w:t>
      </w:r>
    </w:p>
  </w:footnote>
  <w:footnote w:id="18">
    <w:p w14:paraId="23146AF1" w14:textId="77777777" w:rsidR="00797A0A" w:rsidRDefault="00797A0A" w:rsidP="00922CB9">
      <w:pPr>
        <w:pStyle w:val="FootnoteText"/>
      </w:pPr>
      <w:r w:rsidRPr="00922CB9">
        <w:rPr>
          <w:rStyle w:val="FootnoteReference"/>
          <w:sz w:val="16"/>
        </w:rPr>
        <w:footnoteRef/>
      </w:r>
      <w:r w:rsidRPr="00922CB9">
        <w:rPr>
          <w:sz w:val="16"/>
        </w:rPr>
        <w:t xml:space="preserve"> Keegan et al (2018) PI3K inhibition to overcome endocrine resistance in breast cancer. Expert </w:t>
      </w:r>
      <w:proofErr w:type="spellStart"/>
      <w:r w:rsidRPr="00922CB9">
        <w:rPr>
          <w:sz w:val="16"/>
        </w:rPr>
        <w:t>Opin</w:t>
      </w:r>
      <w:proofErr w:type="spellEnd"/>
      <w:r w:rsidRPr="00922CB9">
        <w:rPr>
          <w:sz w:val="16"/>
        </w:rPr>
        <w:t xml:space="preserve"> Invest Drugs; 27(1):1-15.</w:t>
      </w:r>
    </w:p>
  </w:footnote>
  <w:footnote w:id="19">
    <w:p w14:paraId="61576F59" w14:textId="77777777" w:rsidR="00797A0A" w:rsidRDefault="00797A0A">
      <w:pPr>
        <w:pStyle w:val="FootnoteText"/>
      </w:pPr>
      <w:r w:rsidRPr="00D45AA1">
        <w:rPr>
          <w:rStyle w:val="FootnoteReference"/>
          <w:sz w:val="16"/>
        </w:rPr>
        <w:footnoteRef/>
      </w:r>
      <w:r w:rsidRPr="00D45AA1">
        <w:rPr>
          <w:sz w:val="16"/>
        </w:rPr>
        <w:t xml:space="preserve"> Cancer Genome Atlas Network (2012) Comprehensive molecular portraits of human breast </w:t>
      </w:r>
      <w:proofErr w:type="spellStart"/>
      <w:r w:rsidRPr="00D45AA1">
        <w:rPr>
          <w:sz w:val="16"/>
        </w:rPr>
        <w:t>tumors</w:t>
      </w:r>
      <w:proofErr w:type="spellEnd"/>
      <w:r w:rsidRPr="00D45AA1">
        <w:rPr>
          <w:sz w:val="16"/>
        </w:rPr>
        <w:t xml:space="preserve">. Nature; 490(7418):61-70; </w:t>
      </w:r>
    </w:p>
  </w:footnote>
  <w:footnote w:id="20">
    <w:p w14:paraId="72579454" w14:textId="77777777" w:rsidR="00797A0A" w:rsidRPr="00394FCB" w:rsidRDefault="00797A0A">
      <w:pPr>
        <w:pStyle w:val="FootnoteText"/>
        <w:rPr>
          <w:sz w:val="16"/>
        </w:rPr>
      </w:pPr>
      <w:r w:rsidRPr="00394FCB">
        <w:rPr>
          <w:rStyle w:val="FootnoteReference"/>
          <w:sz w:val="16"/>
        </w:rPr>
        <w:footnoteRef/>
      </w:r>
      <w:r w:rsidRPr="00394FCB">
        <w:rPr>
          <w:sz w:val="16"/>
        </w:rPr>
        <w:t xml:space="preserve"> Includes E545A, D, G and K.</w:t>
      </w:r>
    </w:p>
  </w:footnote>
  <w:footnote w:id="21">
    <w:p w14:paraId="24E2430B" w14:textId="77777777" w:rsidR="00797A0A" w:rsidRPr="00394FCB" w:rsidRDefault="00797A0A">
      <w:pPr>
        <w:pStyle w:val="FootnoteText"/>
        <w:rPr>
          <w:sz w:val="16"/>
        </w:rPr>
      </w:pPr>
      <w:r w:rsidRPr="00394FCB">
        <w:rPr>
          <w:rStyle w:val="FootnoteReference"/>
          <w:sz w:val="16"/>
        </w:rPr>
        <w:footnoteRef/>
      </w:r>
      <w:r w:rsidRPr="00394FCB">
        <w:rPr>
          <w:sz w:val="16"/>
        </w:rPr>
        <w:t xml:space="preserve"> Not included in </w:t>
      </w:r>
      <w:proofErr w:type="spellStart"/>
      <w:r>
        <w:rPr>
          <w:sz w:val="16"/>
        </w:rPr>
        <w:t>Qiagen</w:t>
      </w:r>
      <w:proofErr w:type="spellEnd"/>
      <w:r>
        <w:rPr>
          <w:sz w:val="16"/>
        </w:rPr>
        <w:t xml:space="preserve"> </w:t>
      </w:r>
      <w:proofErr w:type="spellStart"/>
      <w:r>
        <w:rPr>
          <w:sz w:val="16"/>
        </w:rPr>
        <w:t>therascreen</w:t>
      </w:r>
      <w:proofErr w:type="spellEnd"/>
      <w:r w:rsidRPr="00394FCB">
        <w:rPr>
          <w:sz w:val="16"/>
        </w:rPr>
        <w:t xml:space="preserve"> test. </w:t>
      </w:r>
      <w:r>
        <w:rPr>
          <w:sz w:val="16"/>
        </w:rPr>
        <w:t xml:space="preserve">Included in Roche </w:t>
      </w:r>
      <w:proofErr w:type="spellStart"/>
      <w:r>
        <w:rPr>
          <w:sz w:val="16"/>
        </w:rPr>
        <w:t>cobas</w:t>
      </w:r>
      <w:proofErr w:type="spellEnd"/>
      <w:r>
        <w:rPr>
          <w:sz w:val="16"/>
        </w:rPr>
        <w:t xml:space="preserve"> test but only reported within Q546X. </w:t>
      </w:r>
    </w:p>
  </w:footnote>
  <w:footnote w:id="22">
    <w:p w14:paraId="1732BF76" w14:textId="77777777" w:rsidR="00797A0A" w:rsidRPr="00394FCB" w:rsidRDefault="00797A0A">
      <w:pPr>
        <w:pStyle w:val="FootnoteText"/>
        <w:rPr>
          <w:sz w:val="16"/>
        </w:rPr>
      </w:pPr>
      <w:r w:rsidRPr="00394FCB">
        <w:rPr>
          <w:rStyle w:val="FootnoteReference"/>
          <w:sz w:val="16"/>
        </w:rPr>
        <w:footnoteRef/>
      </w:r>
      <w:r w:rsidRPr="00394FCB">
        <w:rPr>
          <w:sz w:val="16"/>
        </w:rPr>
        <w:t xml:space="preserve"> </w:t>
      </w:r>
      <w:r>
        <w:rPr>
          <w:sz w:val="16"/>
        </w:rPr>
        <w:t xml:space="preserve">Includes Q546E, K and R. </w:t>
      </w:r>
    </w:p>
  </w:footnote>
  <w:footnote w:id="23">
    <w:p w14:paraId="10E7C9C4" w14:textId="77777777" w:rsidR="00797A0A" w:rsidRDefault="00797A0A">
      <w:pPr>
        <w:pStyle w:val="FootnoteText"/>
      </w:pPr>
      <w:r w:rsidRPr="00394FCB">
        <w:rPr>
          <w:rStyle w:val="FootnoteReference"/>
          <w:sz w:val="16"/>
        </w:rPr>
        <w:footnoteRef/>
      </w:r>
      <w:r w:rsidRPr="00394FCB">
        <w:rPr>
          <w:sz w:val="16"/>
        </w:rPr>
        <w:t xml:space="preserve"> Includes H1047L, R and 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FAD4" w14:textId="77777777" w:rsidR="0004708B" w:rsidRDefault="00047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EAB2" w14:textId="77777777" w:rsidR="0004708B" w:rsidRDefault="00047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F084" w14:textId="77777777" w:rsidR="0004708B" w:rsidRDefault="00047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27671"/>
    <w:multiLevelType w:val="hybridMultilevel"/>
    <w:tmpl w:val="3CF4B23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6D717F"/>
    <w:multiLevelType w:val="hybridMultilevel"/>
    <w:tmpl w:val="C12658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A42D90"/>
    <w:multiLevelType w:val="hybridMultilevel"/>
    <w:tmpl w:val="55AAC5EC"/>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A563A6C"/>
    <w:multiLevelType w:val="hybridMultilevel"/>
    <w:tmpl w:val="F3E4019A"/>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1C40BFE"/>
    <w:multiLevelType w:val="hybridMultilevel"/>
    <w:tmpl w:val="48C882F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230AE2"/>
    <w:multiLevelType w:val="hybridMultilevel"/>
    <w:tmpl w:val="8912DF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E2E7BB3"/>
    <w:multiLevelType w:val="hybridMultilevel"/>
    <w:tmpl w:val="9D7ADA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8"/>
  </w:num>
  <w:num w:numId="3">
    <w:abstractNumId w:val="1"/>
  </w:num>
  <w:num w:numId="4">
    <w:abstractNumId w:val="16"/>
  </w:num>
  <w:num w:numId="5">
    <w:abstractNumId w:val="4"/>
  </w:num>
  <w:num w:numId="6">
    <w:abstractNumId w:val="13"/>
  </w:num>
  <w:num w:numId="7">
    <w:abstractNumId w:val="9"/>
  </w:num>
  <w:num w:numId="8">
    <w:abstractNumId w:val="17"/>
  </w:num>
  <w:num w:numId="9">
    <w:abstractNumId w:val="2"/>
  </w:num>
  <w:num w:numId="10">
    <w:abstractNumId w:val="15"/>
  </w:num>
  <w:num w:numId="11">
    <w:abstractNumId w:val="6"/>
  </w:num>
  <w:num w:numId="12">
    <w:abstractNumId w:val="14"/>
  </w:num>
  <w:num w:numId="13">
    <w:abstractNumId w:val="10"/>
  </w:num>
  <w:num w:numId="14">
    <w:abstractNumId w:val="0"/>
  </w:num>
  <w:num w:numId="15">
    <w:abstractNumId w:val="12"/>
  </w:num>
  <w:num w:numId="16">
    <w:abstractNumId w:val="5"/>
  </w:num>
  <w:num w:numId="17">
    <w:abstractNumId w:val="8"/>
  </w:num>
  <w:num w:numId="18">
    <w:abstractNumId w:val="20"/>
  </w:num>
  <w:num w:numId="19">
    <w:abstractNumId w:val="19"/>
  </w:num>
  <w:num w:numId="20">
    <w:abstractNumId w:val="3"/>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203E"/>
    <w:rsid w:val="000110DC"/>
    <w:rsid w:val="000158AA"/>
    <w:rsid w:val="000159B9"/>
    <w:rsid w:val="00016B6E"/>
    <w:rsid w:val="000174EA"/>
    <w:rsid w:val="000237A5"/>
    <w:rsid w:val="00023E21"/>
    <w:rsid w:val="00025ABC"/>
    <w:rsid w:val="00026412"/>
    <w:rsid w:val="00031F6F"/>
    <w:rsid w:val="000325EC"/>
    <w:rsid w:val="00034D6E"/>
    <w:rsid w:val="0004708B"/>
    <w:rsid w:val="0005089D"/>
    <w:rsid w:val="000525BC"/>
    <w:rsid w:val="00063562"/>
    <w:rsid w:val="00063B66"/>
    <w:rsid w:val="0007246E"/>
    <w:rsid w:val="00073222"/>
    <w:rsid w:val="0007561F"/>
    <w:rsid w:val="000770BA"/>
    <w:rsid w:val="00081EEF"/>
    <w:rsid w:val="00090821"/>
    <w:rsid w:val="00092580"/>
    <w:rsid w:val="000934A7"/>
    <w:rsid w:val="000955E7"/>
    <w:rsid w:val="000A110D"/>
    <w:rsid w:val="000A1816"/>
    <w:rsid w:val="000A207F"/>
    <w:rsid w:val="000A478F"/>
    <w:rsid w:val="000A5B32"/>
    <w:rsid w:val="000A5EDE"/>
    <w:rsid w:val="000B0F70"/>
    <w:rsid w:val="000B3CD0"/>
    <w:rsid w:val="000B7CDB"/>
    <w:rsid w:val="000C13FE"/>
    <w:rsid w:val="000D066E"/>
    <w:rsid w:val="000D0831"/>
    <w:rsid w:val="000D65B7"/>
    <w:rsid w:val="000D7D2C"/>
    <w:rsid w:val="000E47E7"/>
    <w:rsid w:val="000E5439"/>
    <w:rsid w:val="000E70DE"/>
    <w:rsid w:val="00102686"/>
    <w:rsid w:val="0011036E"/>
    <w:rsid w:val="001130B0"/>
    <w:rsid w:val="0011369B"/>
    <w:rsid w:val="0011742E"/>
    <w:rsid w:val="00123D10"/>
    <w:rsid w:val="001244F0"/>
    <w:rsid w:val="00126B33"/>
    <w:rsid w:val="00127206"/>
    <w:rsid w:val="00133E49"/>
    <w:rsid w:val="001500B8"/>
    <w:rsid w:val="001539E2"/>
    <w:rsid w:val="001548F0"/>
    <w:rsid w:val="00154B00"/>
    <w:rsid w:val="001555FD"/>
    <w:rsid w:val="001644E9"/>
    <w:rsid w:val="001845D9"/>
    <w:rsid w:val="0018630F"/>
    <w:rsid w:val="001906CD"/>
    <w:rsid w:val="00191B99"/>
    <w:rsid w:val="0019516A"/>
    <w:rsid w:val="0019694B"/>
    <w:rsid w:val="00197D29"/>
    <w:rsid w:val="001A02E3"/>
    <w:rsid w:val="001A067E"/>
    <w:rsid w:val="001A1ADF"/>
    <w:rsid w:val="001A365C"/>
    <w:rsid w:val="001A568D"/>
    <w:rsid w:val="001B171D"/>
    <w:rsid w:val="001B29A1"/>
    <w:rsid w:val="001B5169"/>
    <w:rsid w:val="001B6164"/>
    <w:rsid w:val="001C5486"/>
    <w:rsid w:val="001D4E57"/>
    <w:rsid w:val="001D5FF3"/>
    <w:rsid w:val="001D77ED"/>
    <w:rsid w:val="001E1180"/>
    <w:rsid w:val="001E23EA"/>
    <w:rsid w:val="001E6919"/>
    <w:rsid w:val="001E6958"/>
    <w:rsid w:val="001F5ED4"/>
    <w:rsid w:val="002011B6"/>
    <w:rsid w:val="00201924"/>
    <w:rsid w:val="0020223E"/>
    <w:rsid w:val="00202473"/>
    <w:rsid w:val="00202963"/>
    <w:rsid w:val="00203DF3"/>
    <w:rsid w:val="002053F2"/>
    <w:rsid w:val="00206D63"/>
    <w:rsid w:val="0021185D"/>
    <w:rsid w:val="002220F7"/>
    <w:rsid w:val="00225D2D"/>
    <w:rsid w:val="00226777"/>
    <w:rsid w:val="00235BD1"/>
    <w:rsid w:val="002404DF"/>
    <w:rsid w:val="00240F54"/>
    <w:rsid w:val="0024265E"/>
    <w:rsid w:val="00242B0E"/>
    <w:rsid w:val="00246CA2"/>
    <w:rsid w:val="00247DF0"/>
    <w:rsid w:val="00254813"/>
    <w:rsid w:val="00255376"/>
    <w:rsid w:val="00256952"/>
    <w:rsid w:val="00257FF2"/>
    <w:rsid w:val="00265822"/>
    <w:rsid w:val="0026710F"/>
    <w:rsid w:val="0027105F"/>
    <w:rsid w:val="002711FB"/>
    <w:rsid w:val="00282BE8"/>
    <w:rsid w:val="00283318"/>
    <w:rsid w:val="00285525"/>
    <w:rsid w:val="00294CD8"/>
    <w:rsid w:val="002A270B"/>
    <w:rsid w:val="002A50FD"/>
    <w:rsid w:val="002A6753"/>
    <w:rsid w:val="002B28D7"/>
    <w:rsid w:val="002B5A1C"/>
    <w:rsid w:val="002B7EB6"/>
    <w:rsid w:val="002C0B61"/>
    <w:rsid w:val="002C15E6"/>
    <w:rsid w:val="002C247D"/>
    <w:rsid w:val="002C3345"/>
    <w:rsid w:val="002C5CE1"/>
    <w:rsid w:val="002D409A"/>
    <w:rsid w:val="002D681A"/>
    <w:rsid w:val="002D7E7F"/>
    <w:rsid w:val="002F30E7"/>
    <w:rsid w:val="00300EEB"/>
    <w:rsid w:val="0030134C"/>
    <w:rsid w:val="003013A9"/>
    <w:rsid w:val="00301958"/>
    <w:rsid w:val="003020B5"/>
    <w:rsid w:val="00302490"/>
    <w:rsid w:val="003027BB"/>
    <w:rsid w:val="00306B28"/>
    <w:rsid w:val="00310A10"/>
    <w:rsid w:val="00310D62"/>
    <w:rsid w:val="00326A3E"/>
    <w:rsid w:val="00327D25"/>
    <w:rsid w:val="003319A7"/>
    <w:rsid w:val="00334FE3"/>
    <w:rsid w:val="003421AE"/>
    <w:rsid w:val="003433D1"/>
    <w:rsid w:val="00344B24"/>
    <w:rsid w:val="003456B9"/>
    <w:rsid w:val="00347346"/>
    <w:rsid w:val="0035067D"/>
    <w:rsid w:val="003515EB"/>
    <w:rsid w:val="00353A16"/>
    <w:rsid w:val="0035776D"/>
    <w:rsid w:val="0035781A"/>
    <w:rsid w:val="00364FD9"/>
    <w:rsid w:val="00367C1B"/>
    <w:rsid w:val="003702A8"/>
    <w:rsid w:val="00376B61"/>
    <w:rsid w:val="00382407"/>
    <w:rsid w:val="00386A64"/>
    <w:rsid w:val="00386FA1"/>
    <w:rsid w:val="00390142"/>
    <w:rsid w:val="003904AC"/>
    <w:rsid w:val="00392F00"/>
    <w:rsid w:val="00392FCC"/>
    <w:rsid w:val="00394FCB"/>
    <w:rsid w:val="00397377"/>
    <w:rsid w:val="003A22DE"/>
    <w:rsid w:val="003A2860"/>
    <w:rsid w:val="003A2B83"/>
    <w:rsid w:val="003A3C35"/>
    <w:rsid w:val="003A7D30"/>
    <w:rsid w:val="003B26A6"/>
    <w:rsid w:val="003B3C5C"/>
    <w:rsid w:val="003B7693"/>
    <w:rsid w:val="003C47CA"/>
    <w:rsid w:val="003D690D"/>
    <w:rsid w:val="003D6DE1"/>
    <w:rsid w:val="003D795C"/>
    <w:rsid w:val="003E30FB"/>
    <w:rsid w:val="003F2711"/>
    <w:rsid w:val="003F6C70"/>
    <w:rsid w:val="003F7CB9"/>
    <w:rsid w:val="00403333"/>
    <w:rsid w:val="00411735"/>
    <w:rsid w:val="00413419"/>
    <w:rsid w:val="00415C74"/>
    <w:rsid w:val="00426E11"/>
    <w:rsid w:val="00430FB2"/>
    <w:rsid w:val="0043654D"/>
    <w:rsid w:val="00437F60"/>
    <w:rsid w:val="004406AD"/>
    <w:rsid w:val="0044443E"/>
    <w:rsid w:val="00451840"/>
    <w:rsid w:val="00451F05"/>
    <w:rsid w:val="004532BC"/>
    <w:rsid w:val="00460C9A"/>
    <w:rsid w:val="00464924"/>
    <w:rsid w:val="00474814"/>
    <w:rsid w:val="0047581D"/>
    <w:rsid w:val="00480289"/>
    <w:rsid w:val="00481279"/>
    <w:rsid w:val="00483368"/>
    <w:rsid w:val="00492FC1"/>
    <w:rsid w:val="00494011"/>
    <w:rsid w:val="004A0BF4"/>
    <w:rsid w:val="004A263B"/>
    <w:rsid w:val="004B032D"/>
    <w:rsid w:val="004B1BE8"/>
    <w:rsid w:val="004B68AE"/>
    <w:rsid w:val="004C35B0"/>
    <w:rsid w:val="004C49EF"/>
    <w:rsid w:val="004C4A19"/>
    <w:rsid w:val="004C5570"/>
    <w:rsid w:val="004D00C9"/>
    <w:rsid w:val="004D04C7"/>
    <w:rsid w:val="004E16F5"/>
    <w:rsid w:val="004E3CC7"/>
    <w:rsid w:val="004E5B69"/>
    <w:rsid w:val="004F2A87"/>
    <w:rsid w:val="004F3429"/>
    <w:rsid w:val="004F4467"/>
    <w:rsid w:val="00507C56"/>
    <w:rsid w:val="00511D1E"/>
    <w:rsid w:val="005160AE"/>
    <w:rsid w:val="00517362"/>
    <w:rsid w:val="0052344E"/>
    <w:rsid w:val="005234D0"/>
    <w:rsid w:val="00526478"/>
    <w:rsid w:val="00530204"/>
    <w:rsid w:val="00534C5F"/>
    <w:rsid w:val="00540257"/>
    <w:rsid w:val="0054192F"/>
    <w:rsid w:val="00542E0D"/>
    <w:rsid w:val="00544EB3"/>
    <w:rsid w:val="0054594B"/>
    <w:rsid w:val="005471C0"/>
    <w:rsid w:val="0054749B"/>
    <w:rsid w:val="005503C7"/>
    <w:rsid w:val="00551CC6"/>
    <w:rsid w:val="00554E7A"/>
    <w:rsid w:val="0056015F"/>
    <w:rsid w:val="00560541"/>
    <w:rsid w:val="005672D0"/>
    <w:rsid w:val="00572CEB"/>
    <w:rsid w:val="00577AD3"/>
    <w:rsid w:val="005834C9"/>
    <w:rsid w:val="005874D8"/>
    <w:rsid w:val="00590B53"/>
    <w:rsid w:val="005A58BA"/>
    <w:rsid w:val="005A5D30"/>
    <w:rsid w:val="005A6AB9"/>
    <w:rsid w:val="005B1B64"/>
    <w:rsid w:val="005C333E"/>
    <w:rsid w:val="005C3AE7"/>
    <w:rsid w:val="005D0677"/>
    <w:rsid w:val="005E294C"/>
    <w:rsid w:val="005E2CE3"/>
    <w:rsid w:val="005E7E45"/>
    <w:rsid w:val="005F2D93"/>
    <w:rsid w:val="005F3F07"/>
    <w:rsid w:val="006015C6"/>
    <w:rsid w:val="00601C11"/>
    <w:rsid w:val="0060323E"/>
    <w:rsid w:val="00603D04"/>
    <w:rsid w:val="00606857"/>
    <w:rsid w:val="00612526"/>
    <w:rsid w:val="00615F42"/>
    <w:rsid w:val="006258C2"/>
    <w:rsid w:val="00626365"/>
    <w:rsid w:val="00630E22"/>
    <w:rsid w:val="00640098"/>
    <w:rsid w:val="0064168C"/>
    <w:rsid w:val="00642BF6"/>
    <w:rsid w:val="00657B46"/>
    <w:rsid w:val="006764EC"/>
    <w:rsid w:val="00680BA8"/>
    <w:rsid w:val="006835FE"/>
    <w:rsid w:val="0069001A"/>
    <w:rsid w:val="00693BFD"/>
    <w:rsid w:val="00695065"/>
    <w:rsid w:val="006A1038"/>
    <w:rsid w:val="006A649A"/>
    <w:rsid w:val="006B1B49"/>
    <w:rsid w:val="006B1C1E"/>
    <w:rsid w:val="006B4232"/>
    <w:rsid w:val="006B477D"/>
    <w:rsid w:val="006B6390"/>
    <w:rsid w:val="006C0356"/>
    <w:rsid w:val="006C0843"/>
    <w:rsid w:val="006C74B1"/>
    <w:rsid w:val="006D623A"/>
    <w:rsid w:val="006D79CF"/>
    <w:rsid w:val="006E57AA"/>
    <w:rsid w:val="006E6729"/>
    <w:rsid w:val="006E74CB"/>
    <w:rsid w:val="006F20CF"/>
    <w:rsid w:val="006F38ED"/>
    <w:rsid w:val="00703AC4"/>
    <w:rsid w:val="00707D4D"/>
    <w:rsid w:val="007103C0"/>
    <w:rsid w:val="00712BAE"/>
    <w:rsid w:val="007165CE"/>
    <w:rsid w:val="00720C6F"/>
    <w:rsid w:val="00723446"/>
    <w:rsid w:val="00723503"/>
    <w:rsid w:val="00730C04"/>
    <w:rsid w:val="0073597B"/>
    <w:rsid w:val="00735F96"/>
    <w:rsid w:val="007378F6"/>
    <w:rsid w:val="00742448"/>
    <w:rsid w:val="0074545D"/>
    <w:rsid w:val="007522E3"/>
    <w:rsid w:val="007528EF"/>
    <w:rsid w:val="0075335B"/>
    <w:rsid w:val="00753C44"/>
    <w:rsid w:val="00754383"/>
    <w:rsid w:val="00755301"/>
    <w:rsid w:val="007564D1"/>
    <w:rsid w:val="00757232"/>
    <w:rsid w:val="00760679"/>
    <w:rsid w:val="0076178F"/>
    <w:rsid w:val="00763628"/>
    <w:rsid w:val="00767E99"/>
    <w:rsid w:val="00772E62"/>
    <w:rsid w:val="00775A6A"/>
    <w:rsid w:val="0077789B"/>
    <w:rsid w:val="00780D29"/>
    <w:rsid w:val="00791C8D"/>
    <w:rsid w:val="0079354C"/>
    <w:rsid w:val="00794181"/>
    <w:rsid w:val="00797A0A"/>
    <w:rsid w:val="007A5F13"/>
    <w:rsid w:val="007A7F6F"/>
    <w:rsid w:val="007B07BE"/>
    <w:rsid w:val="007B4C76"/>
    <w:rsid w:val="007C2260"/>
    <w:rsid w:val="007D1E52"/>
    <w:rsid w:val="007D2358"/>
    <w:rsid w:val="007D623A"/>
    <w:rsid w:val="007D6AEC"/>
    <w:rsid w:val="007D6B2E"/>
    <w:rsid w:val="007E39E4"/>
    <w:rsid w:val="007E6A39"/>
    <w:rsid w:val="007E6FB3"/>
    <w:rsid w:val="007F21B4"/>
    <w:rsid w:val="007F3B49"/>
    <w:rsid w:val="00802553"/>
    <w:rsid w:val="00803EAB"/>
    <w:rsid w:val="008046B5"/>
    <w:rsid w:val="00804E6A"/>
    <w:rsid w:val="00810224"/>
    <w:rsid w:val="00811336"/>
    <w:rsid w:val="0081149F"/>
    <w:rsid w:val="008127C0"/>
    <w:rsid w:val="00812EDD"/>
    <w:rsid w:val="008139C5"/>
    <w:rsid w:val="0081650F"/>
    <w:rsid w:val="008202C5"/>
    <w:rsid w:val="00832B31"/>
    <w:rsid w:val="00832BEE"/>
    <w:rsid w:val="008348EA"/>
    <w:rsid w:val="008403E0"/>
    <w:rsid w:val="0084657B"/>
    <w:rsid w:val="00851A87"/>
    <w:rsid w:val="00855944"/>
    <w:rsid w:val="0086056A"/>
    <w:rsid w:val="0086269D"/>
    <w:rsid w:val="00864A18"/>
    <w:rsid w:val="00864F3C"/>
    <w:rsid w:val="00870833"/>
    <w:rsid w:val="00874571"/>
    <w:rsid w:val="008757BC"/>
    <w:rsid w:val="00881A5B"/>
    <w:rsid w:val="00881F93"/>
    <w:rsid w:val="00882CB5"/>
    <w:rsid w:val="00883641"/>
    <w:rsid w:val="00884E69"/>
    <w:rsid w:val="00890082"/>
    <w:rsid w:val="00892165"/>
    <w:rsid w:val="00896DFF"/>
    <w:rsid w:val="008A48D2"/>
    <w:rsid w:val="008A6CD5"/>
    <w:rsid w:val="008A73A7"/>
    <w:rsid w:val="008A7423"/>
    <w:rsid w:val="008B0AEC"/>
    <w:rsid w:val="008B22F8"/>
    <w:rsid w:val="008B2610"/>
    <w:rsid w:val="008B471D"/>
    <w:rsid w:val="008B49E4"/>
    <w:rsid w:val="008B729C"/>
    <w:rsid w:val="008C4A93"/>
    <w:rsid w:val="008C7540"/>
    <w:rsid w:val="008E0E49"/>
    <w:rsid w:val="008E35FD"/>
    <w:rsid w:val="008E3A95"/>
    <w:rsid w:val="008E6227"/>
    <w:rsid w:val="008E78B9"/>
    <w:rsid w:val="00901F1C"/>
    <w:rsid w:val="0090543D"/>
    <w:rsid w:val="009056C5"/>
    <w:rsid w:val="00921D35"/>
    <w:rsid w:val="00922CB9"/>
    <w:rsid w:val="009262F2"/>
    <w:rsid w:val="00926F50"/>
    <w:rsid w:val="00937791"/>
    <w:rsid w:val="00944B3F"/>
    <w:rsid w:val="00944C8D"/>
    <w:rsid w:val="0094624A"/>
    <w:rsid w:val="00951933"/>
    <w:rsid w:val="0095329C"/>
    <w:rsid w:val="00954343"/>
    <w:rsid w:val="00955264"/>
    <w:rsid w:val="00955271"/>
    <w:rsid w:val="009579EF"/>
    <w:rsid w:val="00963C9C"/>
    <w:rsid w:val="00964640"/>
    <w:rsid w:val="00965B6B"/>
    <w:rsid w:val="00971EDB"/>
    <w:rsid w:val="00974D50"/>
    <w:rsid w:val="00987ABE"/>
    <w:rsid w:val="00991EE4"/>
    <w:rsid w:val="00993351"/>
    <w:rsid w:val="009939DC"/>
    <w:rsid w:val="00993B9C"/>
    <w:rsid w:val="009B4E1E"/>
    <w:rsid w:val="009B722F"/>
    <w:rsid w:val="009C03FB"/>
    <w:rsid w:val="009C33E4"/>
    <w:rsid w:val="009C4B4F"/>
    <w:rsid w:val="009E1892"/>
    <w:rsid w:val="009E3DAA"/>
    <w:rsid w:val="009F0C02"/>
    <w:rsid w:val="009F3A1D"/>
    <w:rsid w:val="009F3B77"/>
    <w:rsid w:val="009F5758"/>
    <w:rsid w:val="00A0283F"/>
    <w:rsid w:val="00A03B6E"/>
    <w:rsid w:val="00A04F4A"/>
    <w:rsid w:val="00A15598"/>
    <w:rsid w:val="00A256E0"/>
    <w:rsid w:val="00A26343"/>
    <w:rsid w:val="00A3232C"/>
    <w:rsid w:val="00A408B5"/>
    <w:rsid w:val="00A50895"/>
    <w:rsid w:val="00A529E2"/>
    <w:rsid w:val="00A539F8"/>
    <w:rsid w:val="00A6491A"/>
    <w:rsid w:val="00A6594E"/>
    <w:rsid w:val="00A727B6"/>
    <w:rsid w:val="00A733A9"/>
    <w:rsid w:val="00A73E61"/>
    <w:rsid w:val="00A80667"/>
    <w:rsid w:val="00A81CC6"/>
    <w:rsid w:val="00A83EC6"/>
    <w:rsid w:val="00A8732C"/>
    <w:rsid w:val="00A9062D"/>
    <w:rsid w:val="00A935F8"/>
    <w:rsid w:val="00A93F58"/>
    <w:rsid w:val="00A96329"/>
    <w:rsid w:val="00AA134B"/>
    <w:rsid w:val="00AA2CFE"/>
    <w:rsid w:val="00AA5FDA"/>
    <w:rsid w:val="00AA6291"/>
    <w:rsid w:val="00AA71D5"/>
    <w:rsid w:val="00AC0C91"/>
    <w:rsid w:val="00AD37D4"/>
    <w:rsid w:val="00AD7986"/>
    <w:rsid w:val="00AD79C9"/>
    <w:rsid w:val="00AE1188"/>
    <w:rsid w:val="00AE738C"/>
    <w:rsid w:val="00AF1046"/>
    <w:rsid w:val="00AF4466"/>
    <w:rsid w:val="00AF5D1E"/>
    <w:rsid w:val="00AF7635"/>
    <w:rsid w:val="00B040A9"/>
    <w:rsid w:val="00B135D0"/>
    <w:rsid w:val="00B1711E"/>
    <w:rsid w:val="00B17CBE"/>
    <w:rsid w:val="00B17E26"/>
    <w:rsid w:val="00B231A4"/>
    <w:rsid w:val="00B25D20"/>
    <w:rsid w:val="00B31C99"/>
    <w:rsid w:val="00B33B16"/>
    <w:rsid w:val="00B37155"/>
    <w:rsid w:val="00B37900"/>
    <w:rsid w:val="00B426DB"/>
    <w:rsid w:val="00B45D8C"/>
    <w:rsid w:val="00B527A5"/>
    <w:rsid w:val="00B53BA6"/>
    <w:rsid w:val="00B545D4"/>
    <w:rsid w:val="00B5731D"/>
    <w:rsid w:val="00B6378B"/>
    <w:rsid w:val="00B63E3A"/>
    <w:rsid w:val="00B75965"/>
    <w:rsid w:val="00B771AD"/>
    <w:rsid w:val="00B814CB"/>
    <w:rsid w:val="00B81BE4"/>
    <w:rsid w:val="00B84508"/>
    <w:rsid w:val="00B911EF"/>
    <w:rsid w:val="00BA0CF8"/>
    <w:rsid w:val="00BA1ADF"/>
    <w:rsid w:val="00BA51FC"/>
    <w:rsid w:val="00BB003A"/>
    <w:rsid w:val="00BB3358"/>
    <w:rsid w:val="00BB3382"/>
    <w:rsid w:val="00BB3643"/>
    <w:rsid w:val="00BB381B"/>
    <w:rsid w:val="00BC3DA0"/>
    <w:rsid w:val="00BC424B"/>
    <w:rsid w:val="00BD2355"/>
    <w:rsid w:val="00BE0943"/>
    <w:rsid w:val="00BE0FDE"/>
    <w:rsid w:val="00BE14E0"/>
    <w:rsid w:val="00BE2E82"/>
    <w:rsid w:val="00BF238A"/>
    <w:rsid w:val="00BF6AC5"/>
    <w:rsid w:val="00C004AA"/>
    <w:rsid w:val="00C01121"/>
    <w:rsid w:val="00C030A5"/>
    <w:rsid w:val="00C05A45"/>
    <w:rsid w:val="00C077D3"/>
    <w:rsid w:val="00C0796F"/>
    <w:rsid w:val="00C11B34"/>
    <w:rsid w:val="00C12C5C"/>
    <w:rsid w:val="00C171FB"/>
    <w:rsid w:val="00C209C2"/>
    <w:rsid w:val="00C2267F"/>
    <w:rsid w:val="00C22AD8"/>
    <w:rsid w:val="00C24BFF"/>
    <w:rsid w:val="00C31CAC"/>
    <w:rsid w:val="00C3557E"/>
    <w:rsid w:val="00C3594B"/>
    <w:rsid w:val="00C43102"/>
    <w:rsid w:val="00C4696B"/>
    <w:rsid w:val="00C50513"/>
    <w:rsid w:val="00C54503"/>
    <w:rsid w:val="00C56521"/>
    <w:rsid w:val="00C62941"/>
    <w:rsid w:val="00C63055"/>
    <w:rsid w:val="00C704E0"/>
    <w:rsid w:val="00C71A59"/>
    <w:rsid w:val="00C72FDF"/>
    <w:rsid w:val="00C73B62"/>
    <w:rsid w:val="00C75EF2"/>
    <w:rsid w:val="00C776B1"/>
    <w:rsid w:val="00C815FE"/>
    <w:rsid w:val="00C81FA0"/>
    <w:rsid w:val="00C847AE"/>
    <w:rsid w:val="00C879D2"/>
    <w:rsid w:val="00C96891"/>
    <w:rsid w:val="00CA04C6"/>
    <w:rsid w:val="00CA26DD"/>
    <w:rsid w:val="00CA43BD"/>
    <w:rsid w:val="00CB12EC"/>
    <w:rsid w:val="00CC09D7"/>
    <w:rsid w:val="00CC12B8"/>
    <w:rsid w:val="00CC5AB1"/>
    <w:rsid w:val="00CC7D34"/>
    <w:rsid w:val="00CD22E3"/>
    <w:rsid w:val="00CD4938"/>
    <w:rsid w:val="00CD4E44"/>
    <w:rsid w:val="00CD5AE4"/>
    <w:rsid w:val="00CD7A7D"/>
    <w:rsid w:val="00CE6862"/>
    <w:rsid w:val="00CE6D95"/>
    <w:rsid w:val="00CF2674"/>
    <w:rsid w:val="00CF2D8E"/>
    <w:rsid w:val="00CF2DFA"/>
    <w:rsid w:val="00CF40F7"/>
    <w:rsid w:val="00CF5AD8"/>
    <w:rsid w:val="00CF7EF8"/>
    <w:rsid w:val="00D00122"/>
    <w:rsid w:val="00D01D2A"/>
    <w:rsid w:val="00D04E75"/>
    <w:rsid w:val="00D10B47"/>
    <w:rsid w:val="00D11EB1"/>
    <w:rsid w:val="00D15D3F"/>
    <w:rsid w:val="00D17F17"/>
    <w:rsid w:val="00D23597"/>
    <w:rsid w:val="00D262AC"/>
    <w:rsid w:val="00D279A5"/>
    <w:rsid w:val="00D30BDC"/>
    <w:rsid w:val="00D30F4A"/>
    <w:rsid w:val="00D328A9"/>
    <w:rsid w:val="00D45AA1"/>
    <w:rsid w:val="00D4685A"/>
    <w:rsid w:val="00D57518"/>
    <w:rsid w:val="00D57F88"/>
    <w:rsid w:val="00D65A22"/>
    <w:rsid w:val="00D7105C"/>
    <w:rsid w:val="00D73646"/>
    <w:rsid w:val="00D73854"/>
    <w:rsid w:val="00D752D6"/>
    <w:rsid w:val="00D777B4"/>
    <w:rsid w:val="00D77A90"/>
    <w:rsid w:val="00D8360B"/>
    <w:rsid w:val="00D85676"/>
    <w:rsid w:val="00D95983"/>
    <w:rsid w:val="00D96ADA"/>
    <w:rsid w:val="00DA2886"/>
    <w:rsid w:val="00DA5E50"/>
    <w:rsid w:val="00DA7D0C"/>
    <w:rsid w:val="00DB0E49"/>
    <w:rsid w:val="00DB311C"/>
    <w:rsid w:val="00DB432D"/>
    <w:rsid w:val="00DB519B"/>
    <w:rsid w:val="00DB7B56"/>
    <w:rsid w:val="00DC4005"/>
    <w:rsid w:val="00DC4D05"/>
    <w:rsid w:val="00DC7694"/>
    <w:rsid w:val="00DC7FBE"/>
    <w:rsid w:val="00DD11F9"/>
    <w:rsid w:val="00DD130E"/>
    <w:rsid w:val="00DD308E"/>
    <w:rsid w:val="00DF0C51"/>
    <w:rsid w:val="00DF0D47"/>
    <w:rsid w:val="00DF1652"/>
    <w:rsid w:val="00DF3ED2"/>
    <w:rsid w:val="00DF6D37"/>
    <w:rsid w:val="00E02E26"/>
    <w:rsid w:val="00E048ED"/>
    <w:rsid w:val="00E04FB3"/>
    <w:rsid w:val="00E058F2"/>
    <w:rsid w:val="00E05D9C"/>
    <w:rsid w:val="00E06102"/>
    <w:rsid w:val="00E2298A"/>
    <w:rsid w:val="00E23E71"/>
    <w:rsid w:val="00E30F19"/>
    <w:rsid w:val="00E3158E"/>
    <w:rsid w:val="00E33C4A"/>
    <w:rsid w:val="00E357B9"/>
    <w:rsid w:val="00E4321E"/>
    <w:rsid w:val="00E44B80"/>
    <w:rsid w:val="00E47623"/>
    <w:rsid w:val="00E517A4"/>
    <w:rsid w:val="00E5679E"/>
    <w:rsid w:val="00E60529"/>
    <w:rsid w:val="00E641EF"/>
    <w:rsid w:val="00E67DD6"/>
    <w:rsid w:val="00E70D86"/>
    <w:rsid w:val="00E70F87"/>
    <w:rsid w:val="00E7628E"/>
    <w:rsid w:val="00E82F54"/>
    <w:rsid w:val="00E8649B"/>
    <w:rsid w:val="00E871CD"/>
    <w:rsid w:val="00E90990"/>
    <w:rsid w:val="00E95D3D"/>
    <w:rsid w:val="00E970B3"/>
    <w:rsid w:val="00EA0E25"/>
    <w:rsid w:val="00EA173C"/>
    <w:rsid w:val="00EB3C74"/>
    <w:rsid w:val="00EC127A"/>
    <w:rsid w:val="00EC1DA7"/>
    <w:rsid w:val="00EC1FF9"/>
    <w:rsid w:val="00EC2737"/>
    <w:rsid w:val="00ED1407"/>
    <w:rsid w:val="00ED4513"/>
    <w:rsid w:val="00EE2716"/>
    <w:rsid w:val="00EE6450"/>
    <w:rsid w:val="00EE6B7D"/>
    <w:rsid w:val="00EE7316"/>
    <w:rsid w:val="00F01C2C"/>
    <w:rsid w:val="00F10ED8"/>
    <w:rsid w:val="00F1327E"/>
    <w:rsid w:val="00F222BE"/>
    <w:rsid w:val="00F24179"/>
    <w:rsid w:val="00F27652"/>
    <w:rsid w:val="00F301F1"/>
    <w:rsid w:val="00F30C22"/>
    <w:rsid w:val="00F33F1A"/>
    <w:rsid w:val="00F41BB2"/>
    <w:rsid w:val="00F50085"/>
    <w:rsid w:val="00F547F7"/>
    <w:rsid w:val="00F54CCF"/>
    <w:rsid w:val="00F61D7A"/>
    <w:rsid w:val="00F637B3"/>
    <w:rsid w:val="00F66CF7"/>
    <w:rsid w:val="00F67BCB"/>
    <w:rsid w:val="00F74E05"/>
    <w:rsid w:val="00F77C57"/>
    <w:rsid w:val="00F813C7"/>
    <w:rsid w:val="00F83566"/>
    <w:rsid w:val="00F83A9D"/>
    <w:rsid w:val="00F906B5"/>
    <w:rsid w:val="00F93784"/>
    <w:rsid w:val="00F9696A"/>
    <w:rsid w:val="00F971CC"/>
    <w:rsid w:val="00F97762"/>
    <w:rsid w:val="00FA2CAA"/>
    <w:rsid w:val="00FA3055"/>
    <w:rsid w:val="00FA3DA1"/>
    <w:rsid w:val="00FA4F57"/>
    <w:rsid w:val="00FA6554"/>
    <w:rsid w:val="00FC215C"/>
    <w:rsid w:val="00FC4B6A"/>
    <w:rsid w:val="00FC6BEE"/>
    <w:rsid w:val="00FE16C1"/>
    <w:rsid w:val="00FE19FF"/>
    <w:rsid w:val="00FE33A6"/>
    <w:rsid w:val="00FE5452"/>
    <w:rsid w:val="00FF04CE"/>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B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1F5ED4"/>
    <w:pPr>
      <w:spacing w:before="0" w:after="0"/>
    </w:pPr>
    <w:rPr>
      <w:szCs w:val="20"/>
    </w:rPr>
  </w:style>
  <w:style w:type="character" w:customStyle="1" w:styleId="FootnoteTextChar">
    <w:name w:val="Footnote Text Char"/>
    <w:basedOn w:val="DefaultParagraphFont"/>
    <w:link w:val="FootnoteText"/>
    <w:uiPriority w:val="99"/>
    <w:semiHidden/>
    <w:rsid w:val="001F5ED4"/>
    <w:rPr>
      <w:sz w:val="20"/>
      <w:szCs w:val="20"/>
    </w:rPr>
  </w:style>
  <w:style w:type="character" w:styleId="FootnoteReference">
    <w:name w:val="footnote reference"/>
    <w:basedOn w:val="DefaultParagraphFont"/>
    <w:uiPriority w:val="99"/>
    <w:semiHidden/>
    <w:unhideWhenUsed/>
    <w:rsid w:val="001F5ED4"/>
    <w:rPr>
      <w:vertAlign w:val="superscript"/>
    </w:rPr>
  </w:style>
  <w:style w:type="character" w:styleId="FollowedHyperlink">
    <w:name w:val="FollowedHyperlink"/>
    <w:basedOn w:val="DefaultParagraphFont"/>
    <w:uiPriority w:val="99"/>
    <w:semiHidden/>
    <w:unhideWhenUsed/>
    <w:rsid w:val="009579EF"/>
    <w:rPr>
      <w:color w:val="800080" w:themeColor="followedHyperlink"/>
      <w:u w:val="single"/>
    </w:rPr>
  </w:style>
  <w:style w:type="paragraph" w:styleId="Caption">
    <w:name w:val="caption"/>
    <w:basedOn w:val="Normal"/>
    <w:next w:val="Normal"/>
    <w:uiPriority w:val="35"/>
    <w:unhideWhenUsed/>
    <w:qFormat/>
    <w:rsid w:val="00C62941"/>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955598186">
      <w:bodyDiv w:val="1"/>
      <w:marLeft w:val="0"/>
      <w:marRight w:val="0"/>
      <w:marTop w:val="0"/>
      <w:marBottom w:val="0"/>
      <w:divBdr>
        <w:top w:val="none" w:sz="0" w:space="0" w:color="auto"/>
        <w:left w:val="none" w:sz="0" w:space="0" w:color="auto"/>
        <w:bottom w:val="none" w:sz="0" w:space="0" w:color="auto"/>
        <w:right w:val="none" w:sz="0" w:space="0" w:color="auto"/>
      </w:divBdr>
    </w:div>
    <w:div w:id="132654496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bi.nlm.nih.gov/pubmed/20940279" TargetMode="External"/><Relationship Id="rId26" Type="http://schemas.openxmlformats.org/officeDocument/2006/relationships/hyperlink" Target="https://www.ncbi.nlm.nih.gov/pubmed/29675095" TargetMode="External"/><Relationship Id="rId3" Type="http://schemas.openxmlformats.org/officeDocument/2006/relationships/styles" Target="styles.xml"/><Relationship Id="rId21" Type="http://schemas.openxmlformats.org/officeDocument/2006/relationships/hyperlink" Target="https://www.ncbi.nlm.nih.gov/pubmed/2990630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pubmed/31091374" TargetMode="External"/><Relationship Id="rId25" Type="http://schemas.openxmlformats.org/officeDocument/2006/relationships/hyperlink" Target="https://www.ncbi.nlm.nih.gov/pubmed/29698927"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ubmed/29223745" TargetMode="External"/><Relationship Id="rId29" Type="http://schemas.openxmlformats.org/officeDocument/2006/relationships/hyperlink" Target="https://clinicaltrials.gov/ct2/show/NCT03056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2844663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26497877" TargetMode="External"/><Relationship Id="rId28" Type="http://schemas.openxmlformats.org/officeDocument/2006/relationships/hyperlink" Target="https://www.ncbi.nlm.nih.gov/pubmed/29392540" TargetMode="External"/><Relationship Id="rId10" Type="http://schemas.openxmlformats.org/officeDocument/2006/relationships/hyperlink" Target="http://www.msac.gov.au/" TargetMode="External"/><Relationship Id="rId19" Type="http://schemas.openxmlformats.org/officeDocument/2006/relationships/hyperlink" Target="https://www.ncbi.nlm.nih.gov/pubmed/304263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28576675" TargetMode="External"/><Relationship Id="rId27" Type="http://schemas.openxmlformats.org/officeDocument/2006/relationships/hyperlink" Target="https://www.ncbi.nlm.nih.gov/pubmed/20107891"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breast-cancer.canceraustralia.gov.au/statistics" TargetMode="External"/><Relationship Id="rId1" Type="http://schemas.openxmlformats.org/officeDocument/2006/relationships/hyperlink" Target="https://breast-cancer.canceraustralia.gov.au/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540B-28F1-44B6-96DC-04D0E915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2019-11-25T00:23:00Z</dcterms:created>
  <dcterms:modified xsi:type="dcterms:W3CDTF">2019-11-25T00:28:00Z</dcterms:modified>
</cp:coreProperties>
</file>