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64350AD2" wp14:editId="61ED1219">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303C94" w:rsidRPr="00F4622B" w:rsidRDefault="00303C94" w:rsidP="00F4622B">
      <w:pPr>
        <w:pStyle w:val="Heading10"/>
        <w:jc w:val="center"/>
        <w:rPr>
          <w:sz w:val="120"/>
          <w:szCs w:val="120"/>
        </w:rPr>
      </w:pPr>
    </w:p>
    <w:p w:rsidR="0044715D" w:rsidRDefault="005F4D2F" w:rsidP="00A601AC">
      <w:pPr>
        <w:pStyle w:val="Heading10"/>
        <w:jc w:val="center"/>
        <w:rPr>
          <w:sz w:val="48"/>
          <w:szCs w:val="48"/>
        </w:rPr>
      </w:pPr>
      <w:r>
        <w:rPr>
          <w:sz w:val="48"/>
          <w:szCs w:val="48"/>
        </w:rPr>
        <w:t xml:space="preserve">Application </w:t>
      </w:r>
      <w:r w:rsidR="003E7C26">
        <w:rPr>
          <w:sz w:val="48"/>
          <w:szCs w:val="48"/>
        </w:rPr>
        <w:t>1449</w:t>
      </w:r>
      <w:r w:rsidR="00303C94">
        <w:rPr>
          <w:sz w:val="48"/>
          <w:szCs w:val="48"/>
        </w:rPr>
        <w:t>:</w:t>
      </w:r>
    </w:p>
    <w:p w:rsidR="00303C94" w:rsidRPr="00BC7D99" w:rsidRDefault="003E7C26" w:rsidP="00A601AC">
      <w:pPr>
        <w:pStyle w:val="Heading10"/>
        <w:jc w:val="center"/>
        <w:rPr>
          <w:color w:val="1F497D" w:themeColor="text2"/>
          <w:sz w:val="48"/>
          <w:szCs w:val="48"/>
        </w:rPr>
      </w:pPr>
      <w:r w:rsidRPr="00BC7D99">
        <w:rPr>
          <w:color w:val="1F497D" w:themeColor="text2"/>
          <w:sz w:val="48"/>
          <w:szCs w:val="48"/>
        </w:rPr>
        <w:t xml:space="preserve">Genetic testing for </w:t>
      </w:r>
      <w:proofErr w:type="spellStart"/>
      <w:r w:rsidRPr="00BC7D99">
        <w:rPr>
          <w:color w:val="1F497D" w:themeColor="text2"/>
          <w:sz w:val="48"/>
          <w:szCs w:val="48"/>
        </w:rPr>
        <w:t>Alport</w:t>
      </w:r>
      <w:proofErr w:type="spellEnd"/>
      <w:r w:rsidRPr="00BC7D99">
        <w:rPr>
          <w:color w:val="1F497D" w:themeColor="text2"/>
          <w:sz w:val="48"/>
          <w:szCs w:val="48"/>
        </w:rPr>
        <w:t xml:space="preserve"> Syndrome</w:t>
      </w:r>
    </w:p>
    <w:p w:rsidR="0044715D" w:rsidRDefault="0044715D" w:rsidP="00F4622B">
      <w:pPr>
        <w:pStyle w:val="Heading10"/>
        <w:tabs>
          <w:tab w:val="left" w:pos="5613"/>
        </w:tabs>
        <w:jc w:val="center"/>
        <w:rPr>
          <w:sz w:val="72"/>
          <w:szCs w:val="72"/>
        </w:rPr>
      </w:pPr>
    </w:p>
    <w:p w:rsidR="00D46C89" w:rsidRDefault="00D46C89" w:rsidP="003D699E">
      <w:pPr>
        <w:pStyle w:val="Heading10"/>
        <w:jc w:val="center"/>
        <w:rPr>
          <w:sz w:val="72"/>
          <w:szCs w:val="72"/>
        </w:rPr>
      </w:pPr>
      <w:r>
        <w:rPr>
          <w:sz w:val="72"/>
          <w:szCs w:val="72"/>
        </w:rPr>
        <w:t>PICO Confirmation</w:t>
      </w:r>
    </w:p>
    <w:p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proofErr w:type="gramStart"/>
      <w:r w:rsidR="00A84A56">
        <w:rPr>
          <w:rFonts w:ascii="Arial" w:hAnsi="Arial" w:cs="Arial"/>
          <w:b/>
          <w:sz w:val="32"/>
          <w:szCs w:val="32"/>
        </w:rPr>
        <w:t>t</w:t>
      </w:r>
      <w:r w:rsidR="00382875">
        <w:rPr>
          <w:rFonts w:ascii="Arial" w:hAnsi="Arial" w:cs="Arial"/>
          <w:b/>
          <w:sz w:val="32"/>
          <w:szCs w:val="32"/>
        </w:rPr>
        <w:t>o</w:t>
      </w:r>
      <w:proofErr w:type="gramEnd"/>
      <w:r w:rsidR="00382875">
        <w:rPr>
          <w:rFonts w:ascii="Arial" w:hAnsi="Arial" w:cs="Arial"/>
          <w:b/>
          <w:sz w:val="32"/>
          <w:szCs w:val="32"/>
        </w:rPr>
        <w:t xml:space="preserve"> guide a new application to MSAC</w:t>
      </w:r>
      <w:r w:rsidRPr="00606857">
        <w:rPr>
          <w:rFonts w:ascii="Arial" w:hAnsi="Arial" w:cs="Arial"/>
          <w:b/>
          <w:sz w:val="32"/>
          <w:szCs w:val="32"/>
        </w:rPr>
        <w:t>)</w:t>
      </w:r>
    </w:p>
    <w:p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rsidR="00EE7A1F" w:rsidRPr="00606857" w:rsidRDefault="00EE7A1F" w:rsidP="00382875">
      <w:pPr>
        <w:spacing w:before="180"/>
        <w:jc w:val="center"/>
        <w:rPr>
          <w:rFonts w:ascii="Arial" w:hAnsi="Arial" w:cs="Arial"/>
          <w:b/>
          <w:sz w:val="32"/>
          <w:szCs w:val="32"/>
        </w:rPr>
      </w:pPr>
    </w:p>
    <w:p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rsidR="003D699E" w:rsidRPr="00154B00" w:rsidRDefault="003D699E" w:rsidP="003D699E">
      <w:pPr>
        <w:spacing w:after="0"/>
        <w:jc w:val="both"/>
        <w:rPr>
          <w:sz w:val="20"/>
          <w:szCs w:val="20"/>
        </w:rPr>
      </w:pPr>
      <w:r w:rsidRPr="00154B00">
        <w:rPr>
          <w:sz w:val="20"/>
          <w:szCs w:val="20"/>
        </w:rPr>
        <w:t>Phone:  +61 2 6289 7550</w:t>
      </w:r>
    </w:p>
    <w:p w:rsidR="003D699E" w:rsidRPr="00154B00" w:rsidRDefault="003D699E" w:rsidP="003D699E">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rsidR="003D699E" w:rsidRDefault="003D699E" w:rsidP="003D699E">
      <w:pPr>
        <w:spacing w:after="0"/>
        <w:jc w:val="both"/>
        <w:rPr>
          <w:sz w:val="20"/>
          <w:szCs w:val="20"/>
        </w:rPr>
      </w:pPr>
      <w:r w:rsidRPr="00154B00">
        <w:rPr>
          <w:sz w:val="20"/>
          <w:szCs w:val="20"/>
        </w:rPr>
        <w:t xml:space="preserve">Website:  </w:t>
      </w:r>
      <w:hyperlink r:id="rId11" w:tooltip="Link to the Medical Services Avisory Committee Website" w:history="1">
        <w:r w:rsidR="00506319">
          <w:rPr>
            <w:rStyle w:val="Hyperlink"/>
            <w:sz w:val="20"/>
            <w:szCs w:val="20"/>
          </w:rPr>
          <w:t>MSAC Website</w:t>
        </w:r>
      </w:hyperlink>
    </w:p>
    <w:p w:rsidR="007E7E23" w:rsidRDefault="007E7E23">
      <w:pPr>
        <w:rPr>
          <w:sz w:val="20"/>
          <w:szCs w:val="20"/>
        </w:rPr>
      </w:pPr>
      <w:r>
        <w:rPr>
          <w:sz w:val="20"/>
          <w:szCs w:val="20"/>
        </w:rPr>
        <w:br w:type="page"/>
      </w:r>
    </w:p>
    <w:p w:rsidR="0044715D" w:rsidRPr="00BC7D99" w:rsidRDefault="0044715D" w:rsidP="00BC7D99">
      <w:pPr>
        <w:pStyle w:val="Heading2"/>
      </w:pPr>
      <w:r w:rsidRPr="00BC7D99">
        <w:lastRenderedPageBreak/>
        <w:t>Summary of PICO</w:t>
      </w:r>
      <w:r w:rsidR="00A84A56" w:rsidRPr="00BC7D99">
        <w:t>/PPICO</w:t>
      </w:r>
      <w:r w:rsidRPr="00BC7D99">
        <w:t xml:space="preserve"> criteria</w:t>
      </w:r>
      <w:bookmarkEnd w:id="0"/>
      <w:bookmarkEnd w:id="1"/>
      <w:r w:rsidR="00F12E59" w:rsidRPr="00BC7D99">
        <w:t xml:space="preserve"> to define the question(s) to be addressed in an Assessment Report to the Medical Services Advisory Committee (MSAC)</w:t>
      </w:r>
    </w:p>
    <w:p w:rsidR="00064FD7" w:rsidRDefault="00064FD7" w:rsidP="00064FD7">
      <w:pPr>
        <w:pStyle w:val="Caption"/>
      </w:pPr>
      <w:r>
        <w:t xml:space="preserve">Table </w:t>
      </w:r>
      <w:r>
        <w:fldChar w:fldCharType="begin"/>
      </w:r>
      <w:r>
        <w:instrText xml:space="preserve"> SEQ Table \* ARABIC </w:instrText>
      </w:r>
      <w:r>
        <w:fldChar w:fldCharType="separate"/>
      </w:r>
      <w:r w:rsidR="008A2D1D">
        <w:rPr>
          <w:noProof/>
        </w:rPr>
        <w:t>1</w:t>
      </w:r>
      <w:r>
        <w:fldChar w:fldCharType="end"/>
      </w:r>
      <w:r>
        <w:t xml:space="preserve"> </w:t>
      </w:r>
      <w:r w:rsidRPr="00214BF9">
        <w:t xml:space="preserve">Genetic testing for the purpose of diagnosis (testing of the </w:t>
      </w:r>
      <w:proofErr w:type="spellStart"/>
      <w:r w:rsidRPr="00214BF9">
        <w:t>proband</w:t>
      </w:r>
      <w:proofErr w:type="spellEnd"/>
      <w:r w:rsidRPr="00214BF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1 Genetic testing for the purpose of diagnosis (testing of the proband)"/>
      </w:tblPr>
      <w:tblGrid>
        <w:gridCol w:w="1527"/>
        <w:gridCol w:w="7715"/>
      </w:tblGrid>
      <w:tr w:rsidR="0044715D" w:rsidRPr="00084393" w:rsidTr="006B0478">
        <w:trPr>
          <w:tblHeader/>
        </w:trPr>
        <w:tc>
          <w:tcPr>
            <w:tcW w:w="826" w:type="pct"/>
            <w:shd w:val="clear" w:color="auto" w:fill="D9D9D9"/>
          </w:tcPr>
          <w:p w:rsidR="0044715D" w:rsidRPr="00084393" w:rsidRDefault="00A84A56" w:rsidP="00F12E59">
            <w:pPr>
              <w:spacing w:before="20" w:after="20" w:line="240" w:lineRule="auto"/>
              <w:rPr>
                <w:b/>
              </w:rPr>
            </w:pPr>
            <w:r>
              <w:rPr>
                <w:b/>
              </w:rPr>
              <w:t>Component</w:t>
            </w:r>
          </w:p>
        </w:tc>
        <w:tc>
          <w:tcPr>
            <w:tcW w:w="4174" w:type="pct"/>
            <w:shd w:val="clear" w:color="auto" w:fill="D9D9D9"/>
          </w:tcPr>
          <w:p w:rsidR="0044715D" w:rsidRPr="00084393" w:rsidRDefault="0044715D" w:rsidP="0036282F">
            <w:pPr>
              <w:spacing w:before="20" w:after="20" w:line="240" w:lineRule="auto"/>
              <w:jc w:val="both"/>
              <w:rPr>
                <w:b/>
              </w:rPr>
            </w:pPr>
            <w:r>
              <w:rPr>
                <w:b/>
              </w:rPr>
              <w:t>Description</w:t>
            </w:r>
          </w:p>
        </w:tc>
      </w:tr>
      <w:tr w:rsidR="0044715D" w:rsidRPr="00084393" w:rsidTr="006B0478">
        <w:tc>
          <w:tcPr>
            <w:tcW w:w="826" w:type="pct"/>
          </w:tcPr>
          <w:p w:rsidR="0044715D" w:rsidRPr="00084393" w:rsidRDefault="0044715D" w:rsidP="00F12E59">
            <w:pPr>
              <w:spacing w:before="20" w:after="20" w:line="240" w:lineRule="auto"/>
              <w:rPr>
                <w:rFonts w:cs="Arial"/>
              </w:rPr>
            </w:pPr>
            <w:r w:rsidRPr="00084393">
              <w:rPr>
                <w:rFonts w:cs="Arial"/>
              </w:rPr>
              <w:t>Patients</w:t>
            </w:r>
          </w:p>
        </w:tc>
        <w:tc>
          <w:tcPr>
            <w:tcW w:w="4174" w:type="pct"/>
          </w:tcPr>
          <w:p w:rsidR="00046A1E" w:rsidRDefault="00B50C7C" w:rsidP="00046A1E">
            <w:pPr>
              <w:spacing w:before="20" w:after="20" w:line="240" w:lineRule="auto"/>
              <w:rPr>
                <w:rFonts w:cs="Arial"/>
              </w:rPr>
            </w:pPr>
            <w:r>
              <w:rPr>
                <w:rFonts w:cs="Arial"/>
              </w:rPr>
              <w:t>Individual</w:t>
            </w:r>
            <w:r w:rsidR="000B1A53" w:rsidRPr="00B50C7C">
              <w:rPr>
                <w:rFonts w:cs="Arial"/>
              </w:rPr>
              <w:t xml:space="preserve">s with a </w:t>
            </w:r>
            <w:r>
              <w:rPr>
                <w:rFonts w:cs="Arial"/>
              </w:rPr>
              <w:t xml:space="preserve">strong </w:t>
            </w:r>
            <w:r w:rsidR="000B1A53" w:rsidRPr="00B50C7C">
              <w:rPr>
                <w:rFonts w:cs="Arial"/>
              </w:rPr>
              <w:t xml:space="preserve">clinical suspicion of </w:t>
            </w:r>
            <w:proofErr w:type="spellStart"/>
            <w:r w:rsidR="000B1A53" w:rsidRPr="00B50C7C">
              <w:rPr>
                <w:rFonts w:cs="Arial"/>
              </w:rPr>
              <w:t>Alport</w:t>
            </w:r>
            <w:proofErr w:type="spellEnd"/>
            <w:r w:rsidR="000B1A53" w:rsidRPr="00B50C7C">
              <w:rPr>
                <w:rFonts w:cs="Arial"/>
              </w:rPr>
              <w:t xml:space="preserve"> syndrome</w:t>
            </w:r>
            <w:r w:rsidR="00046A1E">
              <w:rPr>
                <w:rFonts w:cs="Arial"/>
              </w:rPr>
              <w:t xml:space="preserve"> (AS)</w:t>
            </w:r>
            <w:r w:rsidR="000B1A53" w:rsidRPr="00B50C7C">
              <w:rPr>
                <w:rFonts w:cs="Arial"/>
              </w:rPr>
              <w:t>.</w:t>
            </w:r>
            <w:r w:rsidR="00046A1E">
              <w:rPr>
                <w:rFonts w:cs="Arial"/>
              </w:rPr>
              <w:t xml:space="preserve"> </w:t>
            </w:r>
          </w:p>
          <w:p w:rsidR="0044715D" w:rsidRPr="00B50C7C" w:rsidRDefault="00046A1E" w:rsidP="00046A1E">
            <w:pPr>
              <w:spacing w:before="20" w:after="20" w:line="240" w:lineRule="auto"/>
              <w:rPr>
                <w:rFonts w:cs="Arial"/>
              </w:rPr>
            </w:pPr>
            <w:r>
              <w:rPr>
                <w:rFonts w:cs="Arial"/>
              </w:rPr>
              <w:t xml:space="preserve">AS </w:t>
            </w:r>
            <w:r w:rsidRPr="00046A1E">
              <w:rPr>
                <w:rFonts w:cs="Arial"/>
              </w:rPr>
              <w:t xml:space="preserve">is suspected when there is persistent glomerular haematuria. The likelihood of AS increases with a family history of AS or renal failure, and no other obvious cause; or when the characteristic clinical features (hearing loss, </w:t>
            </w:r>
            <w:proofErr w:type="spellStart"/>
            <w:r w:rsidRPr="00046A1E">
              <w:rPr>
                <w:rFonts w:cs="Arial"/>
              </w:rPr>
              <w:t>lenticonus</w:t>
            </w:r>
            <w:proofErr w:type="spellEnd"/>
            <w:r w:rsidRPr="00046A1E">
              <w:rPr>
                <w:rFonts w:cs="Arial"/>
              </w:rPr>
              <w:t>, or retinopathy) are present.</w:t>
            </w:r>
          </w:p>
        </w:tc>
      </w:tr>
      <w:tr w:rsidR="00A84A56" w:rsidRPr="00084393" w:rsidTr="006B0478">
        <w:tc>
          <w:tcPr>
            <w:tcW w:w="826" w:type="pct"/>
          </w:tcPr>
          <w:p w:rsidR="00A84A56" w:rsidRPr="00084393" w:rsidRDefault="00D87CBB" w:rsidP="00F12E59">
            <w:pPr>
              <w:spacing w:before="20" w:after="20" w:line="240" w:lineRule="auto"/>
              <w:rPr>
                <w:rFonts w:cs="Arial"/>
              </w:rPr>
            </w:pPr>
            <w:r>
              <w:rPr>
                <w:rFonts w:cs="Arial"/>
              </w:rPr>
              <w:t>Prior tests</w:t>
            </w:r>
          </w:p>
        </w:tc>
        <w:tc>
          <w:tcPr>
            <w:tcW w:w="4174" w:type="pct"/>
          </w:tcPr>
          <w:p w:rsidR="00A84A56" w:rsidRPr="00D26848" w:rsidRDefault="00D87CBB" w:rsidP="00A1698C">
            <w:pPr>
              <w:spacing w:before="20" w:after="20" w:line="240" w:lineRule="auto"/>
              <w:rPr>
                <w:rFonts w:cs="Arial"/>
              </w:rPr>
            </w:pPr>
            <w:r>
              <w:rPr>
                <w:rFonts w:cs="Arial"/>
              </w:rPr>
              <w:t xml:space="preserve">Detailed </w:t>
            </w:r>
            <w:r w:rsidR="00A1698C">
              <w:rPr>
                <w:rFonts w:cs="Arial"/>
              </w:rPr>
              <w:t>previous medical</w:t>
            </w:r>
            <w:r>
              <w:rPr>
                <w:rFonts w:cs="Arial"/>
              </w:rPr>
              <w:t xml:space="preserve"> and family history and u</w:t>
            </w:r>
            <w:r w:rsidRPr="00D87CBB">
              <w:rPr>
                <w:rFonts w:cs="Arial"/>
              </w:rPr>
              <w:t>rinalysis (</w:t>
            </w:r>
            <w:r w:rsidR="00B50C7C">
              <w:rPr>
                <w:rFonts w:cs="Arial"/>
              </w:rPr>
              <w:t>including</w:t>
            </w:r>
            <w:r w:rsidRPr="00D87CBB">
              <w:rPr>
                <w:rFonts w:cs="Arial"/>
              </w:rPr>
              <w:t xml:space="preserve"> first- and second-d</w:t>
            </w:r>
            <w:r>
              <w:rPr>
                <w:rFonts w:cs="Arial"/>
              </w:rPr>
              <w:t>egree relatives, if possible). May also include routine renal function investigations, o</w:t>
            </w:r>
            <w:r w:rsidRPr="00D87CBB">
              <w:rPr>
                <w:rFonts w:cs="Arial"/>
              </w:rPr>
              <w:t>phthalmoscopy and audiometry</w:t>
            </w:r>
            <w:r>
              <w:rPr>
                <w:rFonts w:cs="Arial"/>
              </w:rPr>
              <w:t>.</w:t>
            </w:r>
          </w:p>
        </w:tc>
      </w:tr>
      <w:tr w:rsidR="00A84A56" w:rsidRPr="00084393" w:rsidTr="006B0478">
        <w:tc>
          <w:tcPr>
            <w:tcW w:w="826" w:type="pct"/>
          </w:tcPr>
          <w:p w:rsidR="00A84A56" w:rsidRPr="00084393" w:rsidRDefault="00A84A56" w:rsidP="00F12E59">
            <w:pPr>
              <w:spacing w:before="20" w:after="20" w:line="240" w:lineRule="auto"/>
              <w:rPr>
                <w:rFonts w:cs="Arial"/>
              </w:rPr>
            </w:pPr>
            <w:r w:rsidRPr="00084393">
              <w:rPr>
                <w:rFonts w:cs="Arial"/>
              </w:rPr>
              <w:t>Intervention</w:t>
            </w:r>
          </w:p>
        </w:tc>
        <w:tc>
          <w:tcPr>
            <w:tcW w:w="4174" w:type="pct"/>
          </w:tcPr>
          <w:p w:rsidR="00A84A56" w:rsidRPr="00B50C7C" w:rsidRDefault="00B50C7C" w:rsidP="00B50C7C">
            <w:pPr>
              <w:spacing w:before="20" w:after="20" w:line="240" w:lineRule="auto"/>
              <w:rPr>
                <w:rFonts w:cs="Arial"/>
              </w:rPr>
            </w:pPr>
            <w:r>
              <w:rPr>
                <w:rFonts w:cs="Arial"/>
              </w:rPr>
              <w:t xml:space="preserve">Testing for </w:t>
            </w:r>
            <w:proofErr w:type="spellStart"/>
            <w:r w:rsidRPr="0084381B">
              <w:t>germline</w:t>
            </w:r>
            <w:proofErr w:type="spellEnd"/>
            <w:r w:rsidRPr="0084381B">
              <w:t xml:space="preserve"> gene variants in one </w:t>
            </w:r>
            <w:r>
              <w:t xml:space="preserve">or more of the following genes: </w:t>
            </w:r>
            <w:r>
              <w:rPr>
                <w:i/>
              </w:rPr>
              <w:t>COL4A5, COL4A3</w:t>
            </w:r>
            <w:r w:rsidRPr="00046A1E">
              <w:t xml:space="preserve"> or</w:t>
            </w:r>
            <w:r>
              <w:rPr>
                <w:i/>
              </w:rPr>
              <w:t xml:space="preserve"> COL4A4</w:t>
            </w:r>
            <w:r>
              <w:t xml:space="preserve">. </w:t>
            </w:r>
          </w:p>
        </w:tc>
      </w:tr>
      <w:tr w:rsidR="00A84A56" w:rsidRPr="00084393" w:rsidTr="006B0478">
        <w:tc>
          <w:tcPr>
            <w:tcW w:w="826" w:type="pct"/>
          </w:tcPr>
          <w:p w:rsidR="00A84A56" w:rsidRPr="00084393" w:rsidRDefault="00A84A56" w:rsidP="00F12E59">
            <w:pPr>
              <w:spacing w:before="20" w:after="20" w:line="240" w:lineRule="auto"/>
              <w:rPr>
                <w:rFonts w:cs="Arial"/>
              </w:rPr>
            </w:pPr>
            <w:r w:rsidRPr="00084393">
              <w:rPr>
                <w:rFonts w:cs="Arial"/>
              </w:rPr>
              <w:t>Comparator</w:t>
            </w:r>
          </w:p>
        </w:tc>
        <w:tc>
          <w:tcPr>
            <w:tcW w:w="4174" w:type="pct"/>
          </w:tcPr>
          <w:p w:rsidR="00A84A56" w:rsidRPr="00B50C7C" w:rsidRDefault="00A1698C" w:rsidP="00D76041">
            <w:pPr>
              <w:spacing w:before="20" w:after="20" w:line="240" w:lineRule="auto"/>
              <w:rPr>
                <w:rFonts w:cs="Arial"/>
              </w:rPr>
            </w:pPr>
            <w:r>
              <w:rPr>
                <w:rFonts w:cs="Arial"/>
              </w:rPr>
              <w:t>N</w:t>
            </w:r>
            <w:r w:rsidRPr="00A1698C">
              <w:rPr>
                <w:rFonts w:cs="Arial"/>
              </w:rPr>
              <w:t xml:space="preserve">o genetic testing </w:t>
            </w:r>
            <w:r>
              <w:rPr>
                <w:rFonts w:cs="Arial"/>
              </w:rPr>
              <w:t>(usual care)</w:t>
            </w:r>
            <w:r w:rsidRPr="00A1698C">
              <w:rPr>
                <w:rFonts w:cs="Arial"/>
              </w:rPr>
              <w:t xml:space="preserve">, with diagnosis reliant on previous medical </w:t>
            </w:r>
            <w:r>
              <w:rPr>
                <w:rFonts w:cs="Arial"/>
              </w:rPr>
              <w:t xml:space="preserve">history, family history and </w:t>
            </w:r>
            <w:r w:rsidRPr="00A1698C">
              <w:rPr>
                <w:rFonts w:cs="Arial"/>
              </w:rPr>
              <w:t>clinical criteria (e.g. urin</w:t>
            </w:r>
            <w:r w:rsidR="00D76041">
              <w:rPr>
                <w:rFonts w:cs="Arial"/>
              </w:rPr>
              <w:t xml:space="preserve">e </w:t>
            </w:r>
            <w:r w:rsidRPr="00A1698C">
              <w:rPr>
                <w:rFonts w:cs="Arial"/>
              </w:rPr>
              <w:t>analysis, renal function, ophthalmoscopy, audiometry), with or without renal biopsy.</w:t>
            </w:r>
          </w:p>
        </w:tc>
      </w:tr>
      <w:tr w:rsidR="00A84A56" w:rsidRPr="00084393" w:rsidTr="006B0478">
        <w:tc>
          <w:tcPr>
            <w:tcW w:w="826" w:type="pct"/>
          </w:tcPr>
          <w:p w:rsidR="00A84A56" w:rsidRPr="00084393" w:rsidRDefault="00A84A56" w:rsidP="00F12E59">
            <w:pPr>
              <w:spacing w:before="20" w:after="20" w:line="240" w:lineRule="auto"/>
              <w:rPr>
                <w:rFonts w:cs="Arial"/>
              </w:rPr>
            </w:pPr>
            <w:r w:rsidRPr="00084393">
              <w:rPr>
                <w:rFonts w:cs="Arial"/>
              </w:rPr>
              <w:t>Outcomes</w:t>
            </w:r>
          </w:p>
        </w:tc>
        <w:tc>
          <w:tcPr>
            <w:tcW w:w="4174" w:type="pct"/>
          </w:tcPr>
          <w:p w:rsidR="00D01D8C" w:rsidRDefault="00D01D8C" w:rsidP="00B50C7C">
            <w:pPr>
              <w:pStyle w:val="ListParagraph"/>
              <w:numPr>
                <w:ilvl w:val="0"/>
                <w:numId w:val="8"/>
              </w:numPr>
              <w:spacing w:before="20" w:after="20" w:line="240" w:lineRule="auto"/>
              <w:rPr>
                <w:rFonts w:cs="Arial"/>
              </w:rPr>
            </w:pPr>
            <w:r>
              <w:rPr>
                <w:rFonts w:cs="Arial"/>
              </w:rPr>
              <w:t>Diagnostic performance (analyti</w:t>
            </w:r>
            <w:r w:rsidR="00E25E35">
              <w:rPr>
                <w:rFonts w:cs="Arial"/>
              </w:rPr>
              <w:t>cal sensitivity and specificity;</w:t>
            </w:r>
            <w:r>
              <w:rPr>
                <w:rFonts w:cs="Arial"/>
              </w:rPr>
              <w:t xml:space="preserve"> likelihoo</w:t>
            </w:r>
            <w:r w:rsidR="00E25E35">
              <w:rPr>
                <w:rFonts w:cs="Arial"/>
              </w:rPr>
              <w:t>d ratios;</w:t>
            </w:r>
            <w:r>
              <w:rPr>
                <w:rFonts w:cs="Arial"/>
              </w:rPr>
              <w:t xml:space="preserve"> rate of repeat testing)</w:t>
            </w:r>
          </w:p>
          <w:p w:rsidR="00D01D8C" w:rsidRDefault="00D01D8C" w:rsidP="00B50C7C">
            <w:pPr>
              <w:pStyle w:val="ListParagraph"/>
              <w:numPr>
                <w:ilvl w:val="0"/>
                <w:numId w:val="8"/>
              </w:numPr>
              <w:spacing w:before="20" w:after="20" w:line="240" w:lineRule="auto"/>
              <w:rPr>
                <w:rFonts w:cs="Arial"/>
              </w:rPr>
            </w:pPr>
            <w:r>
              <w:rPr>
                <w:rFonts w:cs="Arial"/>
              </w:rPr>
              <w:t>Clinical validity (clini</w:t>
            </w:r>
            <w:r w:rsidR="00E25E35">
              <w:rPr>
                <w:rFonts w:cs="Arial"/>
              </w:rPr>
              <w:t>cal sensitivity and specificity;</w:t>
            </w:r>
            <w:r>
              <w:rPr>
                <w:rFonts w:cs="Arial"/>
              </w:rPr>
              <w:t xml:space="preserve"> positive</w:t>
            </w:r>
            <w:r w:rsidR="00E25E35">
              <w:rPr>
                <w:rFonts w:cs="Arial"/>
              </w:rPr>
              <w:t xml:space="preserve"> and negative predictive values;</w:t>
            </w:r>
            <w:r>
              <w:rPr>
                <w:rFonts w:cs="Arial"/>
              </w:rPr>
              <w:t xml:space="preserve"> prognostic value)</w:t>
            </w:r>
          </w:p>
          <w:p w:rsidR="00D01D8C" w:rsidRDefault="00D01D8C" w:rsidP="00B50C7C">
            <w:pPr>
              <w:pStyle w:val="ListParagraph"/>
              <w:numPr>
                <w:ilvl w:val="0"/>
                <w:numId w:val="8"/>
              </w:numPr>
              <w:spacing w:before="20" w:after="20" w:line="240" w:lineRule="auto"/>
              <w:rPr>
                <w:rFonts w:cs="Arial"/>
              </w:rPr>
            </w:pPr>
            <w:r>
              <w:rPr>
                <w:rFonts w:cs="Arial"/>
              </w:rPr>
              <w:t>Clinical utility</w:t>
            </w:r>
            <w:r w:rsidR="00E25E35">
              <w:rPr>
                <w:rFonts w:cs="Arial"/>
              </w:rPr>
              <w:t xml:space="preserve"> (impact on clinical management; impact on reproductive choices;</w:t>
            </w:r>
            <w:r>
              <w:rPr>
                <w:rFonts w:cs="Arial"/>
              </w:rPr>
              <w:t xml:space="preserve"> impact on kidney donation to a family member)</w:t>
            </w:r>
          </w:p>
          <w:p w:rsidR="00D01D8C" w:rsidRDefault="00D01D8C" w:rsidP="00B50C7C">
            <w:pPr>
              <w:pStyle w:val="ListParagraph"/>
              <w:numPr>
                <w:ilvl w:val="0"/>
                <w:numId w:val="8"/>
              </w:numPr>
              <w:spacing w:before="20" w:after="20" w:line="240" w:lineRule="auto"/>
              <w:rPr>
                <w:rFonts w:cs="Arial"/>
              </w:rPr>
            </w:pPr>
            <w:r>
              <w:rPr>
                <w:rFonts w:cs="Arial"/>
              </w:rPr>
              <w:t>Therapeutic effectivene</w:t>
            </w:r>
            <w:r w:rsidR="00E25E35">
              <w:rPr>
                <w:rFonts w:cs="Arial"/>
              </w:rPr>
              <w:t>ss (time to disease progression;</w:t>
            </w:r>
            <w:r>
              <w:rPr>
                <w:rFonts w:cs="Arial"/>
              </w:rPr>
              <w:t xml:space="preserve"> time to end-stage renal disease</w:t>
            </w:r>
            <w:r w:rsidR="00E25E35">
              <w:rPr>
                <w:rFonts w:cs="Arial"/>
              </w:rPr>
              <w:t>;</w:t>
            </w:r>
            <w:r>
              <w:rPr>
                <w:rFonts w:cs="Arial"/>
              </w:rPr>
              <w:t xml:space="preserve"> time to </w:t>
            </w:r>
            <w:proofErr w:type="spellStart"/>
            <w:r>
              <w:rPr>
                <w:rFonts w:cs="Arial"/>
              </w:rPr>
              <w:t>sensorineural</w:t>
            </w:r>
            <w:proofErr w:type="spellEnd"/>
            <w:r>
              <w:rPr>
                <w:rFonts w:cs="Arial"/>
              </w:rPr>
              <w:t xml:space="preserve"> hearing l</w:t>
            </w:r>
            <w:r w:rsidR="00E25E35">
              <w:rPr>
                <w:rFonts w:cs="Arial"/>
              </w:rPr>
              <w:t>oss)</w:t>
            </w:r>
          </w:p>
          <w:p w:rsidR="00E25E35" w:rsidRDefault="00E25E35" w:rsidP="00B50C7C">
            <w:pPr>
              <w:pStyle w:val="ListParagraph"/>
              <w:numPr>
                <w:ilvl w:val="0"/>
                <w:numId w:val="8"/>
              </w:numPr>
              <w:spacing w:before="20" w:after="20" w:line="240" w:lineRule="auto"/>
              <w:rPr>
                <w:rFonts w:cs="Arial"/>
              </w:rPr>
            </w:pPr>
            <w:r>
              <w:rPr>
                <w:rFonts w:cs="Arial"/>
              </w:rPr>
              <w:t>Health-related quality of life</w:t>
            </w:r>
          </w:p>
          <w:p w:rsidR="00A84A56" w:rsidRPr="00B50C7C" w:rsidRDefault="00A84A56" w:rsidP="00B50C7C">
            <w:pPr>
              <w:pStyle w:val="ListParagraph"/>
              <w:numPr>
                <w:ilvl w:val="0"/>
                <w:numId w:val="8"/>
              </w:numPr>
              <w:spacing w:before="20" w:after="20" w:line="240" w:lineRule="auto"/>
              <w:rPr>
                <w:rFonts w:cs="Arial"/>
              </w:rPr>
            </w:pPr>
            <w:r w:rsidRPr="00B50C7C">
              <w:rPr>
                <w:rFonts w:cs="Arial"/>
              </w:rPr>
              <w:t xml:space="preserve">Safety </w:t>
            </w:r>
            <w:r w:rsidR="00E25E35">
              <w:rPr>
                <w:rFonts w:cs="Arial"/>
              </w:rPr>
              <w:t>(</w:t>
            </w:r>
            <w:r w:rsidR="00E25E35">
              <w:t>physical harms and complications from testing; physical and psychological harms resulting from misdiagnosis; physical and psychological harms resulting from time delay to diagnosis; psychological effects to a parent of passing on a genetic disease)</w:t>
            </w:r>
          </w:p>
          <w:p w:rsidR="00A84A56" w:rsidRPr="00B50C7C" w:rsidRDefault="00A84A56" w:rsidP="00B50C7C">
            <w:pPr>
              <w:pStyle w:val="ListParagraph"/>
              <w:numPr>
                <w:ilvl w:val="0"/>
                <w:numId w:val="8"/>
              </w:numPr>
              <w:spacing w:before="20" w:after="20" w:line="240" w:lineRule="auto"/>
              <w:rPr>
                <w:rFonts w:cs="Arial"/>
              </w:rPr>
            </w:pPr>
            <w:r w:rsidRPr="00B50C7C">
              <w:rPr>
                <w:rFonts w:cs="Arial"/>
              </w:rPr>
              <w:t>Health</w:t>
            </w:r>
            <w:r w:rsidR="00E25E35">
              <w:rPr>
                <w:rFonts w:cs="Arial"/>
              </w:rPr>
              <w:t xml:space="preserve"> </w:t>
            </w:r>
            <w:r w:rsidRPr="00B50C7C">
              <w:rPr>
                <w:rFonts w:cs="Arial"/>
              </w:rPr>
              <w:t>care resource</w:t>
            </w:r>
            <w:r w:rsidR="00E25E35">
              <w:rPr>
                <w:rFonts w:cs="Arial"/>
              </w:rPr>
              <w:t xml:space="preserve"> u</w:t>
            </w:r>
            <w:r w:rsidRPr="00B50C7C">
              <w:rPr>
                <w:rFonts w:cs="Arial"/>
              </w:rPr>
              <w:t>s</w:t>
            </w:r>
            <w:r w:rsidR="00E25E35">
              <w:rPr>
                <w:rFonts w:cs="Arial"/>
              </w:rPr>
              <w:t>e (referrals to Clinical Genetics and Genetic Counselling services; liver biopsy and other diagnostic testing; hospitalisation; specialist visits; dialysis; kidney transplant)</w:t>
            </w:r>
          </w:p>
          <w:p w:rsidR="00A84A56" w:rsidRPr="006B0478" w:rsidRDefault="00A84A56" w:rsidP="006B0478">
            <w:pPr>
              <w:pStyle w:val="ListParagraph"/>
              <w:numPr>
                <w:ilvl w:val="0"/>
                <w:numId w:val="8"/>
              </w:numPr>
              <w:spacing w:before="20" w:after="20" w:line="240" w:lineRule="auto"/>
              <w:rPr>
                <w:rFonts w:cs="Arial"/>
              </w:rPr>
            </w:pPr>
            <w:r w:rsidRPr="00B50C7C">
              <w:rPr>
                <w:rFonts w:cs="Arial"/>
              </w:rPr>
              <w:t>Cost-effectiveness</w:t>
            </w:r>
          </w:p>
        </w:tc>
      </w:tr>
    </w:tbl>
    <w:p w:rsidR="002A4909" w:rsidRDefault="002A4909" w:rsidP="000B1A53"/>
    <w:p w:rsidR="000B1A53" w:rsidRPr="00D01D8C" w:rsidRDefault="000B1A53" w:rsidP="00D01D8C">
      <w:pPr>
        <w:spacing w:after="0"/>
        <w:rPr>
          <w:b/>
        </w:rPr>
      </w:pPr>
    </w:p>
    <w:p w:rsidR="00A76F97" w:rsidRDefault="00A76F97" w:rsidP="00A76F97">
      <w:pPr>
        <w:pStyle w:val="Caption"/>
      </w:pPr>
      <w:r>
        <w:t xml:space="preserve">Table </w:t>
      </w:r>
      <w:r>
        <w:fldChar w:fldCharType="begin"/>
      </w:r>
      <w:r>
        <w:instrText xml:space="preserve"> SEQ Table \* ARABIC </w:instrText>
      </w:r>
      <w:r>
        <w:fldChar w:fldCharType="separate"/>
      </w:r>
      <w:r w:rsidR="008A2D1D">
        <w:rPr>
          <w:noProof/>
        </w:rPr>
        <w:t>2</w:t>
      </w:r>
      <w:r>
        <w:fldChar w:fldCharType="end"/>
      </w:r>
      <w:r>
        <w:t xml:space="preserve"> </w:t>
      </w:r>
      <w:r w:rsidRPr="00B06D09">
        <w:t>Cascade testing of family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2 Cascade testing of family members"/>
      </w:tblPr>
      <w:tblGrid>
        <w:gridCol w:w="1527"/>
        <w:gridCol w:w="7715"/>
      </w:tblGrid>
      <w:tr w:rsidR="000B1A53" w:rsidRPr="00084393" w:rsidTr="006B0478">
        <w:trPr>
          <w:tblHeader/>
        </w:trPr>
        <w:tc>
          <w:tcPr>
            <w:tcW w:w="826" w:type="pct"/>
            <w:shd w:val="clear" w:color="auto" w:fill="D9D9D9"/>
          </w:tcPr>
          <w:p w:rsidR="000B1A53" w:rsidRPr="00084393" w:rsidRDefault="000B1A53" w:rsidP="0036282F">
            <w:pPr>
              <w:spacing w:before="20" w:after="20" w:line="240" w:lineRule="auto"/>
              <w:rPr>
                <w:b/>
              </w:rPr>
            </w:pPr>
            <w:r>
              <w:rPr>
                <w:b/>
              </w:rPr>
              <w:t>Component</w:t>
            </w:r>
          </w:p>
        </w:tc>
        <w:tc>
          <w:tcPr>
            <w:tcW w:w="4174" w:type="pct"/>
            <w:shd w:val="clear" w:color="auto" w:fill="D9D9D9"/>
          </w:tcPr>
          <w:p w:rsidR="000B1A53" w:rsidRPr="00084393" w:rsidRDefault="000B1A53" w:rsidP="0036282F">
            <w:pPr>
              <w:spacing w:before="20" w:after="20" w:line="240" w:lineRule="auto"/>
              <w:jc w:val="both"/>
              <w:rPr>
                <w:b/>
              </w:rPr>
            </w:pPr>
            <w:r>
              <w:rPr>
                <w:b/>
              </w:rPr>
              <w:t>Description</w:t>
            </w:r>
          </w:p>
        </w:tc>
      </w:tr>
      <w:tr w:rsidR="000B1A53" w:rsidRPr="00084393" w:rsidTr="006B0478">
        <w:tc>
          <w:tcPr>
            <w:tcW w:w="826" w:type="pct"/>
          </w:tcPr>
          <w:p w:rsidR="000B1A53" w:rsidRPr="00084393" w:rsidRDefault="000B1A53" w:rsidP="0036282F">
            <w:pPr>
              <w:spacing w:before="20" w:after="20" w:line="240" w:lineRule="auto"/>
              <w:rPr>
                <w:rFonts w:cs="Arial"/>
              </w:rPr>
            </w:pPr>
            <w:r w:rsidRPr="00084393">
              <w:rPr>
                <w:rFonts w:cs="Arial"/>
              </w:rPr>
              <w:t>Patients</w:t>
            </w:r>
          </w:p>
        </w:tc>
        <w:tc>
          <w:tcPr>
            <w:tcW w:w="4174" w:type="pct"/>
          </w:tcPr>
          <w:p w:rsidR="000B1A53" w:rsidRPr="00B50C7C" w:rsidRDefault="00B50C7C" w:rsidP="00B50C7C">
            <w:pPr>
              <w:spacing w:before="20" w:after="20" w:line="240" w:lineRule="auto"/>
              <w:rPr>
                <w:rFonts w:cs="Arial"/>
              </w:rPr>
            </w:pPr>
            <w:r>
              <w:rPr>
                <w:rFonts w:cs="Arial"/>
              </w:rPr>
              <w:t>F</w:t>
            </w:r>
            <w:r w:rsidR="000B1A53" w:rsidRPr="00B50C7C">
              <w:rPr>
                <w:rFonts w:cs="Arial"/>
              </w:rPr>
              <w:t xml:space="preserve">amily members of individuals with a </w:t>
            </w:r>
            <w:r>
              <w:rPr>
                <w:rFonts w:cs="Arial"/>
              </w:rPr>
              <w:t xml:space="preserve">confirmed </w:t>
            </w:r>
            <w:r w:rsidR="000B1A53" w:rsidRPr="00B50C7C">
              <w:rPr>
                <w:rFonts w:cs="Arial"/>
              </w:rPr>
              <w:t xml:space="preserve">diagnosis of </w:t>
            </w:r>
            <w:proofErr w:type="spellStart"/>
            <w:r w:rsidR="000B1A53" w:rsidRPr="00B50C7C">
              <w:rPr>
                <w:rFonts w:cs="Arial"/>
              </w:rPr>
              <w:t>Alport</w:t>
            </w:r>
            <w:proofErr w:type="spellEnd"/>
            <w:r w:rsidR="000B1A53" w:rsidRPr="00B50C7C">
              <w:rPr>
                <w:rFonts w:cs="Arial"/>
              </w:rPr>
              <w:t xml:space="preserve"> syndrome.</w:t>
            </w:r>
          </w:p>
        </w:tc>
      </w:tr>
      <w:tr w:rsidR="000B1A53" w:rsidRPr="00084393" w:rsidTr="006B0478">
        <w:tc>
          <w:tcPr>
            <w:tcW w:w="826" w:type="pct"/>
          </w:tcPr>
          <w:p w:rsidR="000B1A53" w:rsidRPr="00084393" w:rsidRDefault="00D87CBB" w:rsidP="0036282F">
            <w:pPr>
              <w:spacing w:before="20" w:after="20" w:line="240" w:lineRule="auto"/>
              <w:rPr>
                <w:rFonts w:cs="Arial"/>
              </w:rPr>
            </w:pPr>
            <w:r>
              <w:rPr>
                <w:rFonts w:cs="Arial"/>
              </w:rPr>
              <w:t>Prior tests</w:t>
            </w:r>
          </w:p>
        </w:tc>
        <w:tc>
          <w:tcPr>
            <w:tcW w:w="4174" w:type="pct"/>
          </w:tcPr>
          <w:p w:rsidR="000B1A53" w:rsidRPr="00B50C7C" w:rsidRDefault="00665D66" w:rsidP="00B50C7C">
            <w:pPr>
              <w:spacing w:before="20" w:after="20" w:line="240" w:lineRule="auto"/>
              <w:rPr>
                <w:rFonts w:cs="Arial"/>
              </w:rPr>
            </w:pPr>
            <w:r>
              <w:rPr>
                <w:rFonts w:cs="Arial"/>
              </w:rPr>
              <w:t>None</w:t>
            </w:r>
          </w:p>
        </w:tc>
      </w:tr>
      <w:tr w:rsidR="000B1A53" w:rsidRPr="00084393" w:rsidTr="006B0478">
        <w:tc>
          <w:tcPr>
            <w:tcW w:w="826" w:type="pct"/>
          </w:tcPr>
          <w:p w:rsidR="000B1A53" w:rsidRPr="00084393" w:rsidRDefault="000B1A53" w:rsidP="0036282F">
            <w:pPr>
              <w:spacing w:before="20" w:after="20" w:line="240" w:lineRule="auto"/>
              <w:rPr>
                <w:rFonts w:cs="Arial"/>
              </w:rPr>
            </w:pPr>
            <w:r w:rsidRPr="00084393">
              <w:rPr>
                <w:rFonts w:cs="Arial"/>
              </w:rPr>
              <w:t>Intervention</w:t>
            </w:r>
          </w:p>
        </w:tc>
        <w:tc>
          <w:tcPr>
            <w:tcW w:w="4174" w:type="pct"/>
          </w:tcPr>
          <w:p w:rsidR="000B1A53" w:rsidRPr="00B50C7C" w:rsidRDefault="00B50C7C" w:rsidP="00B50C7C">
            <w:pPr>
              <w:spacing w:before="20" w:after="20" w:line="240" w:lineRule="auto"/>
              <w:rPr>
                <w:rFonts w:cs="Arial"/>
              </w:rPr>
            </w:pPr>
            <w:r>
              <w:rPr>
                <w:rFonts w:cs="Arial"/>
              </w:rPr>
              <w:t xml:space="preserve">Detection of a mutation </w:t>
            </w:r>
            <w:r w:rsidR="00046A1E" w:rsidRPr="0084381B">
              <w:t xml:space="preserve">in one </w:t>
            </w:r>
            <w:r w:rsidR="00046A1E">
              <w:t xml:space="preserve">or more of the following genes </w:t>
            </w:r>
            <w:r w:rsidR="00046A1E">
              <w:rPr>
                <w:i/>
              </w:rPr>
              <w:t xml:space="preserve">COL4A5, COL4A3 </w:t>
            </w:r>
            <w:r w:rsidR="00046A1E" w:rsidRPr="00046A1E">
              <w:t xml:space="preserve">or </w:t>
            </w:r>
            <w:r w:rsidR="00046A1E">
              <w:rPr>
                <w:i/>
              </w:rPr>
              <w:t>COL4A4</w:t>
            </w:r>
            <w:r w:rsidR="00046A1E">
              <w:t xml:space="preserve">, </w:t>
            </w:r>
            <w:r>
              <w:rPr>
                <w:rFonts w:cs="Arial"/>
              </w:rPr>
              <w:t>previously identified in a relative.</w:t>
            </w:r>
          </w:p>
        </w:tc>
      </w:tr>
      <w:tr w:rsidR="000B1A53" w:rsidRPr="00084393" w:rsidTr="006B0478">
        <w:tc>
          <w:tcPr>
            <w:tcW w:w="826" w:type="pct"/>
          </w:tcPr>
          <w:p w:rsidR="000B1A53" w:rsidRPr="00084393" w:rsidRDefault="000B1A53" w:rsidP="0036282F">
            <w:pPr>
              <w:spacing w:before="20" w:after="20" w:line="240" w:lineRule="auto"/>
              <w:rPr>
                <w:rFonts w:cs="Arial"/>
              </w:rPr>
            </w:pPr>
            <w:r w:rsidRPr="00084393">
              <w:rPr>
                <w:rFonts w:cs="Arial"/>
              </w:rPr>
              <w:t>Comparator</w:t>
            </w:r>
          </w:p>
        </w:tc>
        <w:tc>
          <w:tcPr>
            <w:tcW w:w="4174" w:type="pct"/>
          </w:tcPr>
          <w:p w:rsidR="000B1A53" w:rsidRPr="00B50C7C" w:rsidRDefault="00A1698C" w:rsidP="00D76041">
            <w:pPr>
              <w:spacing w:before="20" w:after="20" w:line="240" w:lineRule="auto"/>
              <w:rPr>
                <w:rFonts w:cs="Arial"/>
              </w:rPr>
            </w:pPr>
            <w:r>
              <w:rPr>
                <w:rFonts w:cs="Arial"/>
              </w:rPr>
              <w:t>N</w:t>
            </w:r>
            <w:r w:rsidRPr="00A1698C">
              <w:rPr>
                <w:rFonts w:cs="Arial"/>
              </w:rPr>
              <w:t xml:space="preserve">o genetic testing </w:t>
            </w:r>
            <w:r>
              <w:rPr>
                <w:rFonts w:cs="Arial"/>
              </w:rPr>
              <w:t>(usual care)</w:t>
            </w:r>
            <w:r w:rsidRPr="00A1698C">
              <w:rPr>
                <w:rFonts w:cs="Arial"/>
              </w:rPr>
              <w:t xml:space="preserve">, with diagnosis reliant on </w:t>
            </w:r>
            <w:r>
              <w:rPr>
                <w:rFonts w:cs="Arial"/>
              </w:rPr>
              <w:t>family history</w:t>
            </w:r>
            <w:r w:rsidR="00D76041">
              <w:rPr>
                <w:rFonts w:cs="Arial"/>
              </w:rPr>
              <w:t>, previous medical history</w:t>
            </w:r>
            <w:r>
              <w:rPr>
                <w:rFonts w:cs="Arial"/>
              </w:rPr>
              <w:t xml:space="preserve"> and </w:t>
            </w:r>
            <w:r w:rsidRPr="00A1698C">
              <w:rPr>
                <w:rFonts w:cs="Arial"/>
              </w:rPr>
              <w:t>clinica</w:t>
            </w:r>
            <w:r w:rsidR="00D76041">
              <w:rPr>
                <w:rFonts w:cs="Arial"/>
              </w:rPr>
              <w:t>l criteria (</w:t>
            </w:r>
            <w:r w:rsidR="00D76041" w:rsidRPr="00A1698C">
              <w:rPr>
                <w:rFonts w:cs="Arial"/>
              </w:rPr>
              <w:t>e.g. urin</w:t>
            </w:r>
            <w:r w:rsidR="00D76041">
              <w:rPr>
                <w:rFonts w:cs="Arial"/>
              </w:rPr>
              <w:t xml:space="preserve">e </w:t>
            </w:r>
            <w:r w:rsidR="00D76041" w:rsidRPr="00A1698C">
              <w:rPr>
                <w:rFonts w:cs="Arial"/>
              </w:rPr>
              <w:t>analysis, ophthalmoscopy, audiometry</w:t>
            </w:r>
            <w:r w:rsidRPr="00A1698C">
              <w:rPr>
                <w:rFonts w:cs="Arial"/>
              </w:rPr>
              <w:t>), with or without renal biopsy.</w:t>
            </w:r>
          </w:p>
        </w:tc>
      </w:tr>
      <w:tr w:rsidR="000B1A53" w:rsidRPr="00084393" w:rsidTr="006B0478">
        <w:tc>
          <w:tcPr>
            <w:tcW w:w="826" w:type="pct"/>
          </w:tcPr>
          <w:p w:rsidR="000B1A53" w:rsidRPr="00084393" w:rsidRDefault="000B1A53" w:rsidP="0036282F">
            <w:pPr>
              <w:spacing w:before="20" w:after="20" w:line="240" w:lineRule="auto"/>
              <w:rPr>
                <w:rFonts w:cs="Arial"/>
              </w:rPr>
            </w:pPr>
            <w:r w:rsidRPr="00084393">
              <w:rPr>
                <w:rFonts w:cs="Arial"/>
              </w:rPr>
              <w:t>Outcomes</w:t>
            </w:r>
          </w:p>
        </w:tc>
        <w:tc>
          <w:tcPr>
            <w:tcW w:w="4174" w:type="pct"/>
          </w:tcPr>
          <w:p w:rsidR="000B1A53" w:rsidRPr="006B0478" w:rsidRDefault="006B0478" w:rsidP="006B0478">
            <w:pPr>
              <w:spacing w:before="20" w:after="20" w:line="240" w:lineRule="auto"/>
              <w:rPr>
                <w:rFonts w:cs="Arial"/>
              </w:rPr>
            </w:pPr>
            <w:r>
              <w:rPr>
                <w:rFonts w:cs="Arial"/>
              </w:rPr>
              <w:t xml:space="preserve">As for the </w:t>
            </w:r>
            <w:proofErr w:type="spellStart"/>
            <w:r>
              <w:rPr>
                <w:rFonts w:cs="Arial"/>
              </w:rPr>
              <w:t>proband</w:t>
            </w:r>
            <w:proofErr w:type="spellEnd"/>
          </w:p>
        </w:tc>
      </w:tr>
    </w:tbl>
    <w:p w:rsidR="00F12E59" w:rsidRDefault="00F12E59" w:rsidP="00046A1E">
      <w:pPr>
        <w:rPr>
          <w:rFonts w:eastAsia="MS Gothic"/>
          <w:b/>
          <w:bCs/>
          <w:i/>
          <w:szCs w:val="26"/>
          <w:u w:val="single"/>
        </w:rPr>
      </w:pPr>
      <w:r>
        <w:rPr>
          <w:rFonts w:eastAsia="MS Gothic"/>
          <w:b/>
          <w:bCs/>
          <w:i/>
          <w:szCs w:val="26"/>
          <w:u w:val="single"/>
        </w:rPr>
        <w:lastRenderedPageBreak/>
        <w:br w:type="page"/>
      </w:r>
    </w:p>
    <w:p w:rsidR="007F4E20" w:rsidRPr="00E364F7" w:rsidRDefault="00E364F7" w:rsidP="00BC7D99">
      <w:pPr>
        <w:pStyle w:val="Heading2"/>
      </w:pPr>
      <w:r w:rsidRPr="00E364F7">
        <w:lastRenderedPageBreak/>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rsidR="00896845" w:rsidRDefault="00896845">
      <w:pPr>
        <w:rPr>
          <w:b/>
        </w:rPr>
      </w:pPr>
      <w:r w:rsidRPr="00E364F7">
        <w:rPr>
          <w:b/>
        </w:rPr>
        <w:t>Population</w:t>
      </w:r>
    </w:p>
    <w:p w:rsidR="00AE17C1" w:rsidRDefault="00AE17C1">
      <w:proofErr w:type="spellStart"/>
      <w:r>
        <w:t>Alport</w:t>
      </w:r>
      <w:proofErr w:type="spellEnd"/>
      <w:r>
        <w:t xml:space="preserve"> syndrome (AS) is a heritable kidney disease characterised by persistent haematuria, chronic renal failure, and progression to end-stage renal disease (ESRD). In addition, AS is frequently associated with </w:t>
      </w:r>
      <w:proofErr w:type="spellStart"/>
      <w:r>
        <w:t>sensorineural</w:t>
      </w:r>
      <w:proofErr w:type="spellEnd"/>
      <w:r>
        <w:t xml:space="preserve"> hearing loss (SNHL) and specific ocular defects, including anterior </w:t>
      </w:r>
      <w:proofErr w:type="spellStart"/>
      <w:r>
        <w:t>lenticonus</w:t>
      </w:r>
      <w:proofErr w:type="spellEnd"/>
      <w:r>
        <w:t xml:space="preserve"> (a cone-shaped bulging of the anterior surface of the lens), </w:t>
      </w:r>
      <w:proofErr w:type="spellStart"/>
      <w:r>
        <w:t>perimacular</w:t>
      </w:r>
      <w:proofErr w:type="spellEnd"/>
      <w:r>
        <w:t xml:space="preserve"> flecks (white or yellow flecks surrounding the macula), corneal endothelial vesicles, and recurrent corneal erosion.</w:t>
      </w:r>
    </w:p>
    <w:p w:rsidR="00BC7C9E" w:rsidRPr="00E364F7" w:rsidRDefault="00BC7C9E">
      <w:pPr>
        <w:rPr>
          <w:b/>
        </w:rPr>
      </w:pPr>
      <w:r>
        <w:t>Genetic testing for AS is proposed for</w:t>
      </w:r>
      <w:r w:rsidR="000F18FA">
        <w:t xml:space="preserve"> two patient populations</w:t>
      </w:r>
      <w:r>
        <w:t>:</w:t>
      </w:r>
    </w:p>
    <w:p w:rsidR="000B1A53" w:rsidRPr="00210F82" w:rsidRDefault="00B64690" w:rsidP="000B1A53">
      <w:r>
        <w:t>A. C</w:t>
      </w:r>
      <w:r w:rsidR="000B1A53" w:rsidRPr="00210F82">
        <w:t>linically affected individuals</w:t>
      </w:r>
      <w:r w:rsidR="00463801">
        <w:t xml:space="preserve"> with suspected </w:t>
      </w:r>
      <w:r w:rsidR="00AE17C1">
        <w:t>AS</w:t>
      </w:r>
      <w:r w:rsidR="000B1A53" w:rsidRPr="00210F82">
        <w:t xml:space="preserve">, to make a genetic diagnosis and thus </w:t>
      </w:r>
      <w:r w:rsidR="000F18FA">
        <w:t>estimate</w:t>
      </w:r>
      <w:r w:rsidR="000F18FA" w:rsidRPr="006F0C2D">
        <w:t xml:space="preserve"> the </w:t>
      </w:r>
      <w:r w:rsidR="000F18FA">
        <w:t xml:space="preserve">variation in </w:t>
      </w:r>
      <w:r w:rsidR="000F18FA" w:rsidRPr="006F0C2D">
        <w:t>risk for renal disease, deafness and ocular involvement</w:t>
      </w:r>
      <w:r w:rsidR="000B1A53" w:rsidRPr="00210F82">
        <w:t>;</w:t>
      </w:r>
    </w:p>
    <w:p w:rsidR="000B1A53" w:rsidRPr="00210F82" w:rsidRDefault="000B1A53" w:rsidP="000B1A53">
      <w:proofErr w:type="gramStart"/>
      <w:r w:rsidRPr="00210F82">
        <w:t>and</w:t>
      </w:r>
      <w:proofErr w:type="gramEnd"/>
      <w:r w:rsidRPr="00210F82">
        <w:t>, when also appropriate</w:t>
      </w:r>
    </w:p>
    <w:p w:rsidR="000B1A53" w:rsidRDefault="000B1A53" w:rsidP="000B1A53">
      <w:r w:rsidRPr="00210F82">
        <w:t xml:space="preserve">B. cascade testing of family members of those individuals who test positive for one or more relevant mutations, to make a genetic diagnosis </w:t>
      </w:r>
      <w:r w:rsidR="00827FB2">
        <w:t xml:space="preserve">of AS </w:t>
      </w:r>
      <w:r w:rsidRPr="00210F82">
        <w:t xml:space="preserve">and thus estimate each family member’s variation in future risk of </w:t>
      </w:r>
      <w:r w:rsidR="000F18FA" w:rsidRPr="006F0C2D">
        <w:t>renal disease, deafness and ocular involvement</w:t>
      </w:r>
      <w:r w:rsidR="00827FB2">
        <w:t xml:space="preserve">, </w:t>
      </w:r>
      <w:r w:rsidRPr="00210F82">
        <w:t xml:space="preserve">and, less commonly, future risk of further disease if </w:t>
      </w:r>
      <w:r w:rsidR="00827FB2">
        <w:t>AS has already been diagnosed</w:t>
      </w:r>
      <w:r w:rsidRPr="00210F82">
        <w:t>.</w:t>
      </w:r>
    </w:p>
    <w:p w:rsidR="00413AB1" w:rsidRDefault="00B64690" w:rsidP="007F0B40">
      <w:r w:rsidRPr="0036282F">
        <w:t xml:space="preserve">The most widely used estimate of the prevalence of </w:t>
      </w:r>
      <w:r>
        <w:t>AS is 1 in 5,</w:t>
      </w:r>
      <w:r w:rsidRPr="0036282F">
        <w:t xml:space="preserve">000 </w:t>
      </w:r>
      <w:r w:rsidR="0053393D">
        <w:t xml:space="preserve">individuals </w:t>
      </w:r>
      <w:r w:rsidRPr="0036282F">
        <w:t>based on the finding</w:t>
      </w:r>
      <w:r>
        <w:t>s</w:t>
      </w:r>
      <w:r w:rsidRPr="0036282F">
        <w:t xml:space="preserve"> of about 300 cases in Utah and southern Ida</w:t>
      </w:r>
      <w:r>
        <w:t>ho in a population of 1,500,000 people.</w:t>
      </w:r>
      <w:r>
        <w:rPr>
          <w:rStyle w:val="FootnoteReference"/>
        </w:rPr>
        <w:footnoteReference w:id="1"/>
      </w:r>
      <w:r>
        <w:t xml:space="preserve"> </w:t>
      </w:r>
      <w:r w:rsidRPr="0036282F">
        <w:t xml:space="preserve">The incidence of </w:t>
      </w:r>
      <w:r>
        <w:t xml:space="preserve">AS was found to be 1 in </w:t>
      </w:r>
      <w:r w:rsidRPr="0036282F">
        <w:t>53</w:t>
      </w:r>
      <w:r>
        <w:t>,000 in Finland</w:t>
      </w:r>
      <w:r>
        <w:rPr>
          <w:rStyle w:val="FootnoteReference"/>
        </w:rPr>
        <w:footnoteReference w:id="2"/>
      </w:r>
      <w:r>
        <w:t xml:space="preserve"> and 1 in </w:t>
      </w:r>
      <w:r w:rsidRPr="0036282F">
        <w:t>17</w:t>
      </w:r>
      <w:r>
        <w:t>,000 in southern Sweden</w:t>
      </w:r>
      <w:r>
        <w:rPr>
          <w:rStyle w:val="FootnoteReference"/>
        </w:rPr>
        <w:footnoteReference w:id="3"/>
      </w:r>
      <w:r>
        <w:t>.</w:t>
      </w:r>
      <w:r w:rsidRPr="0036282F">
        <w:t xml:space="preserve"> </w:t>
      </w:r>
      <w:r w:rsidR="00BC7C9E">
        <w:t xml:space="preserve">According to the Applicant, </w:t>
      </w:r>
      <w:r w:rsidR="00413AB1">
        <w:t xml:space="preserve">the </w:t>
      </w:r>
      <w:r w:rsidR="0053393D">
        <w:t>estimated</w:t>
      </w:r>
      <w:r w:rsidR="00BC7C9E">
        <w:t xml:space="preserve"> </w:t>
      </w:r>
      <w:r w:rsidR="00413AB1">
        <w:t>number of people in Australia with AS is 2,000 to 5,000</w:t>
      </w:r>
      <w:r w:rsidR="00B21A3D">
        <w:t>, most of whom are undiagnosed and unaware that they are affected. There are approximately 500 patients with AS on the Australia and New Zealand Dialysis and Transplant (ANZDATA) registry.</w:t>
      </w:r>
    </w:p>
    <w:p w:rsidR="00B64690" w:rsidRDefault="007F0B40" w:rsidP="00B64690">
      <w:r>
        <w:t xml:space="preserve">According to data from the ANZDATA registry, </w:t>
      </w:r>
      <w:r w:rsidR="009C158A">
        <w:t>296 (0.5%)</w:t>
      </w:r>
      <w:r>
        <w:t xml:space="preserve"> patients starting renal replacement therapy had a diagnosis of </w:t>
      </w:r>
      <w:proofErr w:type="spellStart"/>
      <w:r>
        <w:t>Alport</w:t>
      </w:r>
      <w:proofErr w:type="spellEnd"/>
      <w:r>
        <w:t xml:space="preserve"> ESRD by their treating nephrologist.</w:t>
      </w:r>
      <w:r w:rsidR="00B21A3D">
        <w:rPr>
          <w:rStyle w:val="FootnoteReference"/>
        </w:rPr>
        <w:footnoteReference w:id="4"/>
      </w:r>
      <w:r>
        <w:t xml:space="preserve"> </w:t>
      </w:r>
      <w:r w:rsidR="0053694C">
        <w:t xml:space="preserve">This is similar to rates from the United States </w:t>
      </w:r>
      <w:r w:rsidR="006F13DF">
        <w:t>Renal Data System (</w:t>
      </w:r>
      <w:r w:rsidR="0053694C">
        <w:t>USRDS</w:t>
      </w:r>
      <w:r w:rsidR="006F13DF">
        <w:t>) registry</w:t>
      </w:r>
      <w:r w:rsidR="0053694C">
        <w:t xml:space="preserve"> (0.2%)</w:t>
      </w:r>
      <w:r w:rsidR="006F13DF">
        <w:rPr>
          <w:rStyle w:val="FootnoteReference"/>
        </w:rPr>
        <w:footnoteReference w:id="5"/>
      </w:r>
      <w:r w:rsidR="0053694C">
        <w:t xml:space="preserve"> and </w:t>
      </w:r>
      <w:r w:rsidR="006F13DF">
        <w:t>the E</w:t>
      </w:r>
      <w:r w:rsidR="006F13DF" w:rsidRPr="006F13DF">
        <w:t>uropean Renal Association - European Dialysis and Transplant Association (ERA-EDTA)</w:t>
      </w:r>
      <w:r w:rsidR="0053694C">
        <w:t xml:space="preserve"> registr</w:t>
      </w:r>
      <w:r w:rsidR="0053393D">
        <w:t>y</w:t>
      </w:r>
      <w:r w:rsidR="0053694C">
        <w:t xml:space="preserve"> (0.6%)</w:t>
      </w:r>
      <w:r w:rsidR="0053694C">
        <w:rPr>
          <w:rStyle w:val="FootnoteReference"/>
        </w:rPr>
        <w:footnoteReference w:id="6"/>
      </w:r>
      <w:r w:rsidR="0053694C">
        <w:t>. However, significant variation has been reported between different countries and between adult and paediatric populations</w:t>
      </w:r>
      <w:r w:rsidR="006F13DF">
        <w:t>.</w:t>
      </w:r>
      <w:r w:rsidR="0053694C">
        <w:t xml:space="preserve"> </w:t>
      </w:r>
      <w:proofErr w:type="gramStart"/>
      <w:r w:rsidR="006F13DF">
        <w:t>In the US, AS accounts</w:t>
      </w:r>
      <w:r w:rsidR="0053694C">
        <w:t xml:space="preserve"> for up to 3% of paediatric patients with ES</w:t>
      </w:r>
      <w:r w:rsidR="006F13DF">
        <w:t>R</w:t>
      </w:r>
      <w:r w:rsidR="0053694C">
        <w:t>D.</w:t>
      </w:r>
      <w:proofErr w:type="gramEnd"/>
      <w:r w:rsidR="00413AB1">
        <w:t xml:space="preserve"> </w:t>
      </w:r>
    </w:p>
    <w:p w:rsidR="00E364F7" w:rsidRDefault="002B3338" w:rsidP="0053393D">
      <w:pPr>
        <w:keepNext/>
        <w:rPr>
          <w:i/>
        </w:rPr>
      </w:pPr>
      <w:r>
        <w:rPr>
          <w:i/>
          <w:u w:val="single"/>
        </w:rPr>
        <w:t>Rationale</w:t>
      </w:r>
    </w:p>
    <w:p w:rsidR="008566F5" w:rsidRDefault="00C812A0" w:rsidP="0045286A">
      <w:proofErr w:type="gramStart"/>
      <w:r w:rsidRPr="00AF1447">
        <w:t xml:space="preserve">AS </w:t>
      </w:r>
      <w:r>
        <w:t>is</w:t>
      </w:r>
      <w:r w:rsidRPr="00AF1447">
        <w:t xml:space="preserve"> caused by mutation of the type IV collagen genes </w:t>
      </w:r>
      <w:r w:rsidRPr="00AF1447">
        <w:rPr>
          <w:i/>
        </w:rPr>
        <w:t>COL4A3</w:t>
      </w:r>
      <w:r w:rsidRPr="00AF1447">
        <w:t xml:space="preserve">, </w:t>
      </w:r>
      <w:r w:rsidRPr="00AF1447">
        <w:rPr>
          <w:i/>
        </w:rPr>
        <w:t>COL4A4</w:t>
      </w:r>
      <w:r w:rsidRPr="00AF1447">
        <w:t xml:space="preserve">, and </w:t>
      </w:r>
      <w:r w:rsidRPr="00AF1447">
        <w:rPr>
          <w:i/>
        </w:rPr>
        <w:t>COL4A5</w:t>
      </w:r>
      <w:r w:rsidRPr="00AF1447">
        <w:t>.</w:t>
      </w:r>
      <w:proofErr w:type="gramEnd"/>
      <w:r>
        <w:t xml:space="preserve"> Three modes of inheritance are recognised:</w:t>
      </w:r>
      <w:r w:rsidR="00F92F4E">
        <w:t xml:space="preserve"> X-linked, autosomal recessive</w:t>
      </w:r>
      <w:r>
        <w:t>,</w:t>
      </w:r>
      <w:r w:rsidR="00F66E1C">
        <w:t xml:space="preserve"> </w:t>
      </w:r>
      <w:r>
        <w:t>and</w:t>
      </w:r>
      <w:r w:rsidR="00F66E1C">
        <w:t xml:space="preserve"> autosomal dominant. </w:t>
      </w:r>
      <w:proofErr w:type="gramStart"/>
      <w:r w:rsidR="006D465D">
        <w:t>Approximately 80% to 85% of families</w:t>
      </w:r>
      <w:r w:rsidR="008566F5">
        <w:t xml:space="preserve"> with AS have X-linked </w:t>
      </w:r>
      <w:r w:rsidR="006D465D">
        <w:t>inheritance with</w:t>
      </w:r>
      <w:r w:rsidR="008566F5">
        <w:t xml:space="preserve"> mutations in the </w:t>
      </w:r>
      <w:r w:rsidR="008566F5" w:rsidRPr="00F66E1C">
        <w:rPr>
          <w:i/>
        </w:rPr>
        <w:lastRenderedPageBreak/>
        <w:t>COL4A5</w:t>
      </w:r>
      <w:r w:rsidR="008566F5">
        <w:t xml:space="preserve"> gene.</w:t>
      </w:r>
      <w:proofErr w:type="gramEnd"/>
      <w:r w:rsidR="006D465D">
        <w:rPr>
          <w:rStyle w:val="FootnoteReference"/>
        </w:rPr>
        <w:footnoteReference w:id="7"/>
      </w:r>
      <w:r w:rsidR="008566F5">
        <w:t xml:space="preserve"> Autosomal recessive </w:t>
      </w:r>
      <w:r w:rsidR="002E7602">
        <w:t>inheritance</w:t>
      </w:r>
      <w:r w:rsidR="008566F5">
        <w:t xml:space="preserve"> accounts for </w:t>
      </w:r>
      <w:r w:rsidR="0045286A">
        <w:t xml:space="preserve">10% to </w:t>
      </w:r>
      <w:r w:rsidR="008566F5">
        <w:t xml:space="preserve">15% of individuals with </w:t>
      </w:r>
      <w:r w:rsidR="00941F71">
        <w:t>AS</w:t>
      </w:r>
      <w:r w:rsidR="008566F5">
        <w:t xml:space="preserve"> and arises from mutations in both alleles of either </w:t>
      </w:r>
      <w:r w:rsidR="008566F5" w:rsidRPr="00F66E1C">
        <w:rPr>
          <w:i/>
        </w:rPr>
        <w:t>COL4A3</w:t>
      </w:r>
      <w:r w:rsidR="008566F5">
        <w:t xml:space="preserve"> or </w:t>
      </w:r>
      <w:r w:rsidR="008566F5" w:rsidRPr="00F66E1C">
        <w:rPr>
          <w:i/>
        </w:rPr>
        <w:t>COL4A4</w:t>
      </w:r>
      <w:r w:rsidR="008566F5">
        <w:t xml:space="preserve">. </w:t>
      </w:r>
      <w:r w:rsidR="00941F71">
        <w:t xml:space="preserve">Autosomal dominant disease is less common, occurring in </w:t>
      </w:r>
      <w:r w:rsidR="0053393D">
        <w:t>less than</w:t>
      </w:r>
      <w:r w:rsidR="00941F71">
        <w:t xml:space="preserve"> 5% of individuals with AS.</w:t>
      </w:r>
    </w:p>
    <w:p w:rsidR="008566F5" w:rsidRDefault="008566F5" w:rsidP="008566F5">
      <w:r>
        <w:t xml:space="preserve">In families with X-linked inheritance, mothers heterozygous for a </w:t>
      </w:r>
      <w:r w:rsidRPr="008566F5">
        <w:rPr>
          <w:i/>
        </w:rPr>
        <w:t>COL4A5</w:t>
      </w:r>
      <w:r>
        <w:t xml:space="preserve"> pathogenic variant have a 50% chance of transmitting the pathogenic variant in each pregnancy.</w:t>
      </w:r>
      <w:r w:rsidR="0053393D">
        <w:rPr>
          <w:rStyle w:val="FootnoteReference"/>
        </w:rPr>
        <w:footnoteReference w:id="8"/>
      </w:r>
      <w:r>
        <w:t xml:space="preserve"> Affected males will pass the pathogenic variant to all of their daughters and none of their sons.</w:t>
      </w:r>
      <w:r w:rsidR="00084F7A">
        <w:t xml:space="preserve"> </w:t>
      </w:r>
      <w:r w:rsidR="002003F2">
        <w:t xml:space="preserve">Thus, overall, the immediate risks are greater for the offspring of an affected female than for a male with X-linked disease. </w:t>
      </w:r>
      <w:r>
        <w:t>In families with autosomal recessive inheritance, the parents of an affected child are obligate heterozygotes and carry one mutant allele. At conception, each sib</w:t>
      </w:r>
      <w:r w:rsidR="00C007E2">
        <w:t>ling</w:t>
      </w:r>
      <w:r>
        <w:t xml:space="preserve"> of an affected individual has a 25% chance of being affected, a 50% chance of being a carrier who may or may not be symptomatic, and a 25% chance of being unaffected and not a carrier.</w:t>
      </w:r>
      <w:r w:rsidR="00084F7A">
        <w:t xml:space="preserve"> </w:t>
      </w:r>
      <w:r>
        <w:t xml:space="preserve">In families with autosomal dominant inheritance, each child of an affected individual has a 50% chance of inheriting the pathogenic variant and having a collagen IV disorder (autosomal dominant AS or </w:t>
      </w:r>
      <w:r w:rsidR="00E35FB6">
        <w:t>thin basement membrane nephropathy [TBMN]</w:t>
      </w:r>
      <w:r>
        <w:t>).</w:t>
      </w:r>
    </w:p>
    <w:p w:rsidR="000353B2" w:rsidRDefault="00A20BAA" w:rsidP="00941F71">
      <w:r w:rsidRPr="005C58E8">
        <w:t>The mode of inheritance provides prognostic information</w:t>
      </w:r>
      <w:r w:rsidR="000353B2">
        <w:t xml:space="preserve"> on the onset and course of </w:t>
      </w:r>
      <w:r w:rsidR="0037762E">
        <w:t>AS manifestations</w:t>
      </w:r>
      <w:r w:rsidRPr="005C58E8">
        <w:t xml:space="preserve">. In the absence of treatment, individuals with X-linked AS </w:t>
      </w:r>
      <w:r w:rsidR="00D50C69">
        <w:t xml:space="preserve">(XLAS) </w:t>
      </w:r>
      <w:r w:rsidRPr="005C58E8">
        <w:t>have chronic micro</w:t>
      </w:r>
      <w:r w:rsidR="0037762E">
        <w:t xml:space="preserve">scopic </w:t>
      </w:r>
      <w:r w:rsidRPr="005C58E8">
        <w:t xml:space="preserve">haematuria, progressive renal failure, and eventually, ESRD, often in combination with high-frequency </w:t>
      </w:r>
      <w:r w:rsidR="005C58E8">
        <w:t>SNHL</w:t>
      </w:r>
      <w:r w:rsidRPr="005C58E8">
        <w:t xml:space="preserve"> and/or the AS-related ocular findings. </w:t>
      </w:r>
      <w:r w:rsidR="005C58E8" w:rsidRPr="005C58E8">
        <w:t>The risk</w:t>
      </w:r>
      <w:r w:rsidR="005C58E8">
        <w:t xml:space="preserve"> of progression to ESRD in males with </w:t>
      </w:r>
      <w:r w:rsidR="00D50C69">
        <w:t>XLAS</w:t>
      </w:r>
      <w:r w:rsidR="005C58E8">
        <w:t xml:space="preserve"> is 50% by age 25, 90% by age 40, and nearly 100% by age 60</w:t>
      </w:r>
      <w:r w:rsidR="000353B2">
        <w:t>.</w:t>
      </w:r>
      <w:bookmarkStart w:id="2" w:name="_Ref465929577"/>
      <w:r w:rsidR="0053393D">
        <w:rPr>
          <w:rStyle w:val="FootnoteReference"/>
        </w:rPr>
        <w:footnoteReference w:id="9"/>
      </w:r>
      <w:bookmarkEnd w:id="2"/>
      <w:r w:rsidR="000353B2">
        <w:t xml:space="preserve"> </w:t>
      </w:r>
      <w:r w:rsidR="0022093E">
        <w:t>D</w:t>
      </w:r>
      <w:r w:rsidR="0037762E" w:rsidRPr="00EF5737">
        <w:t>iminished hearing is usually detectable by late</w:t>
      </w:r>
      <w:r w:rsidR="0037762E">
        <w:t xml:space="preserve"> childhood or early adolescence</w:t>
      </w:r>
      <w:r w:rsidR="000353B2">
        <w:t>.</w:t>
      </w:r>
      <w:r w:rsidR="0037762E">
        <w:t xml:space="preserve"> </w:t>
      </w:r>
      <w:r w:rsidR="0022093E">
        <w:t xml:space="preserve">By age 40 years, </w:t>
      </w:r>
      <w:r w:rsidR="0022093E" w:rsidRPr="000353B2">
        <w:t xml:space="preserve">80%-90% of males with </w:t>
      </w:r>
      <w:r w:rsidR="0022093E">
        <w:t>XL</w:t>
      </w:r>
      <w:r w:rsidR="0022093E" w:rsidRPr="000353B2">
        <w:t xml:space="preserve">AS </w:t>
      </w:r>
      <w:r w:rsidR="0022093E">
        <w:t xml:space="preserve">have SNHL. </w:t>
      </w:r>
      <w:r w:rsidR="0037762E" w:rsidRPr="0037762E">
        <w:t xml:space="preserve">Ocular lesions are common, occurring in 30%-40% of individuals with </w:t>
      </w:r>
      <w:r w:rsidR="00D50C69">
        <w:t>XL</w:t>
      </w:r>
      <w:r w:rsidR="0037762E" w:rsidRPr="0037762E">
        <w:t>AS.</w:t>
      </w:r>
      <w:r w:rsidR="0022093E" w:rsidRPr="0022093E">
        <w:rPr>
          <w:vertAlign w:val="superscript"/>
        </w:rPr>
        <w:fldChar w:fldCharType="begin"/>
      </w:r>
      <w:r w:rsidR="0022093E" w:rsidRPr="0022093E">
        <w:rPr>
          <w:vertAlign w:val="superscript"/>
        </w:rPr>
        <w:instrText xml:space="preserve"> NOTEREF _Ref465929577 \h </w:instrText>
      </w:r>
      <w:r w:rsidR="0022093E">
        <w:rPr>
          <w:vertAlign w:val="superscript"/>
        </w:rPr>
        <w:instrText xml:space="preserve"> \* MERGEFORMAT </w:instrText>
      </w:r>
      <w:r w:rsidR="0022093E" w:rsidRPr="0022093E">
        <w:rPr>
          <w:vertAlign w:val="superscript"/>
        </w:rPr>
      </w:r>
      <w:r w:rsidR="0022093E" w:rsidRPr="0022093E">
        <w:rPr>
          <w:vertAlign w:val="superscript"/>
        </w:rPr>
        <w:fldChar w:fldCharType="separate"/>
      </w:r>
      <w:r w:rsidR="0022093E" w:rsidRPr="0022093E">
        <w:rPr>
          <w:vertAlign w:val="superscript"/>
        </w:rPr>
        <w:t>8</w:t>
      </w:r>
      <w:r w:rsidR="0022093E" w:rsidRPr="0022093E">
        <w:rPr>
          <w:vertAlign w:val="superscript"/>
        </w:rPr>
        <w:fldChar w:fldCharType="end"/>
      </w:r>
      <w:r w:rsidR="00D50C69">
        <w:t xml:space="preserve"> </w:t>
      </w:r>
    </w:p>
    <w:p w:rsidR="005C58E8" w:rsidRDefault="00EF5737" w:rsidP="00941F71">
      <w:r w:rsidRPr="00EF5737">
        <w:t xml:space="preserve">Most individuals with </w:t>
      </w:r>
      <w:r>
        <w:t xml:space="preserve">autosomal recessive </w:t>
      </w:r>
      <w:r w:rsidRPr="00EF5737">
        <w:t xml:space="preserve">AS </w:t>
      </w:r>
      <w:r w:rsidR="00D50C69">
        <w:t xml:space="preserve">(ARAS) </w:t>
      </w:r>
      <w:r w:rsidRPr="00EF5737">
        <w:t>develop significant proteinuria in late childhood or early adolescence and ESRD before age 30 years.</w:t>
      </w:r>
      <w:r w:rsidR="000353B2">
        <w:t xml:space="preserve"> </w:t>
      </w:r>
      <w:r w:rsidR="000353B2">
        <w:rPr>
          <w:color w:val="000000"/>
          <w:shd w:val="clear" w:color="auto" w:fill="FFFFFF"/>
        </w:rPr>
        <w:t xml:space="preserve">Individuals with </w:t>
      </w:r>
      <w:r w:rsidR="00D50C69">
        <w:t>AR</w:t>
      </w:r>
      <w:r w:rsidR="000353B2">
        <w:rPr>
          <w:color w:val="000000"/>
          <w:shd w:val="clear" w:color="auto" w:fill="FFFFFF"/>
        </w:rPr>
        <w:t>AS typically exhibit juvenile onset of hearing loss.</w:t>
      </w:r>
      <w:r w:rsidR="0037762E">
        <w:rPr>
          <w:rStyle w:val="apple-converted-space"/>
          <w:color w:val="000000"/>
          <w:shd w:val="clear" w:color="auto" w:fill="FFFFFF"/>
        </w:rPr>
        <w:t xml:space="preserve"> </w:t>
      </w:r>
      <w:r w:rsidR="0037762E">
        <w:rPr>
          <w:color w:val="000000"/>
          <w:shd w:val="clear" w:color="auto" w:fill="FFFFFF"/>
        </w:rPr>
        <w:t xml:space="preserve">The spectrum of ocular lesions in individuals with </w:t>
      </w:r>
      <w:r w:rsidR="00D50C69">
        <w:rPr>
          <w:color w:val="000000"/>
          <w:shd w:val="clear" w:color="auto" w:fill="FFFFFF"/>
        </w:rPr>
        <w:t>AR</w:t>
      </w:r>
      <w:r w:rsidR="0037762E">
        <w:rPr>
          <w:color w:val="000000"/>
          <w:shd w:val="clear" w:color="auto" w:fill="FFFFFF"/>
        </w:rPr>
        <w:t xml:space="preserve">AS appears to be similar to those with </w:t>
      </w:r>
      <w:r w:rsidR="00D50C69">
        <w:rPr>
          <w:color w:val="000000"/>
          <w:shd w:val="clear" w:color="auto" w:fill="FFFFFF"/>
        </w:rPr>
        <w:t>XL</w:t>
      </w:r>
      <w:r w:rsidR="0037762E">
        <w:rPr>
          <w:color w:val="000000"/>
          <w:shd w:val="clear" w:color="auto" w:fill="FFFFFF"/>
        </w:rPr>
        <w:t>AS.</w:t>
      </w:r>
    </w:p>
    <w:p w:rsidR="00A20BAA" w:rsidRPr="005C58E8" w:rsidRDefault="00941F71" w:rsidP="00941F71">
      <w:r w:rsidRPr="005C58E8">
        <w:t xml:space="preserve">Heterozygous carriers of </w:t>
      </w:r>
      <w:proofErr w:type="gramStart"/>
      <w:r w:rsidR="00D50C69">
        <w:t>XL</w:t>
      </w:r>
      <w:r w:rsidRPr="005C58E8">
        <w:t>AS</w:t>
      </w:r>
      <w:r w:rsidR="005C58E8">
        <w:t>,</w:t>
      </w:r>
      <w:proofErr w:type="gramEnd"/>
      <w:r w:rsidR="005C58E8">
        <w:t xml:space="preserve"> </w:t>
      </w:r>
      <w:r w:rsidRPr="005C58E8">
        <w:t xml:space="preserve">or </w:t>
      </w:r>
      <w:r w:rsidR="00D50C69">
        <w:t>AR</w:t>
      </w:r>
      <w:r w:rsidR="005C58E8" w:rsidRPr="005C58E8">
        <w:t>AS-related gene variants (i.e.</w:t>
      </w:r>
      <w:r w:rsidRPr="005C58E8">
        <w:t xml:space="preserve"> the female relatives of males with </w:t>
      </w:r>
      <w:r w:rsidR="00D50C69">
        <w:t>XL</w:t>
      </w:r>
      <w:r w:rsidRPr="005C58E8">
        <w:t xml:space="preserve">AS or the close relatives of </w:t>
      </w:r>
      <w:r w:rsidR="00D50C69">
        <w:t>AR</w:t>
      </w:r>
      <w:r w:rsidRPr="005C58E8">
        <w:t>AS patients) often have asymptomatic micro</w:t>
      </w:r>
      <w:r w:rsidR="0037762E">
        <w:t xml:space="preserve">scopic </w:t>
      </w:r>
      <w:r w:rsidRPr="005C58E8">
        <w:t>h</w:t>
      </w:r>
      <w:r w:rsidR="005C58E8" w:rsidRPr="005C58E8">
        <w:t>a</w:t>
      </w:r>
      <w:r w:rsidRPr="005C58E8">
        <w:t xml:space="preserve">ematuria. Female carriers of </w:t>
      </w:r>
      <w:r w:rsidR="00D50C69">
        <w:t>XL</w:t>
      </w:r>
      <w:r w:rsidRPr="005C58E8">
        <w:t xml:space="preserve">AS gene variants may also develop additional symptoms of AS, including renal failure and </w:t>
      </w:r>
      <w:r w:rsidR="00A20BAA" w:rsidRPr="005C58E8">
        <w:t>ESRD</w:t>
      </w:r>
      <w:r w:rsidRPr="005C58E8">
        <w:t>, but their phenotype is more variable and often less severe than thei</w:t>
      </w:r>
      <w:r w:rsidR="005C58E8" w:rsidRPr="005C58E8">
        <w:t>r affected male family members.</w:t>
      </w:r>
      <w:r w:rsidR="005C58E8">
        <w:t xml:space="preserve"> </w:t>
      </w:r>
      <w:r w:rsidR="00EF5737" w:rsidRPr="00EF5737">
        <w:t xml:space="preserve">Approximately 12% of females with </w:t>
      </w:r>
      <w:r w:rsidR="00D50C69">
        <w:t>XL</w:t>
      </w:r>
      <w:r w:rsidR="00EF5737" w:rsidRPr="00EF5737">
        <w:t>AS develop ESRD before age 40 years, increasing to 30% by age 60 years and 40% by age 80 years</w:t>
      </w:r>
      <w:r w:rsidR="00EF5737">
        <w:t>.</w:t>
      </w:r>
      <w:r w:rsidR="0022093E">
        <w:rPr>
          <w:rStyle w:val="FootnoteReference"/>
        </w:rPr>
        <w:footnoteReference w:id="10"/>
      </w:r>
    </w:p>
    <w:p w:rsidR="00A20BAA" w:rsidRDefault="00941F71" w:rsidP="00941F71">
      <w:r w:rsidRPr="00A20BAA">
        <w:t xml:space="preserve">The phenotype associated with </w:t>
      </w:r>
      <w:r w:rsidR="00A20BAA" w:rsidRPr="00A20BAA">
        <w:t>autosomal dominant AS</w:t>
      </w:r>
      <w:r w:rsidRPr="00A20BAA">
        <w:t xml:space="preserve"> </w:t>
      </w:r>
      <w:r w:rsidR="00D50C69">
        <w:t xml:space="preserve">(ADAS) </w:t>
      </w:r>
      <w:r w:rsidRPr="00A20BAA">
        <w:t>is variable and ranges from isolated micro</w:t>
      </w:r>
      <w:r w:rsidR="0037762E">
        <w:t xml:space="preserve">scopic </w:t>
      </w:r>
      <w:r w:rsidRPr="00A20BAA">
        <w:t>h</w:t>
      </w:r>
      <w:r w:rsidR="00A20BAA" w:rsidRPr="00A20BAA">
        <w:t>a</w:t>
      </w:r>
      <w:r w:rsidRPr="00A20BAA">
        <w:t xml:space="preserve">ematuria to the progressive phenotype seen among patients with </w:t>
      </w:r>
      <w:r w:rsidR="00D50C69">
        <w:t>XL</w:t>
      </w:r>
      <w:r w:rsidRPr="00A20BAA">
        <w:t xml:space="preserve">AS or </w:t>
      </w:r>
      <w:r w:rsidR="00D50C69">
        <w:t>AR</w:t>
      </w:r>
      <w:r w:rsidRPr="00A20BAA">
        <w:t xml:space="preserve">AS. </w:t>
      </w:r>
      <w:r w:rsidR="00A20BAA" w:rsidRPr="00A20BAA">
        <w:t xml:space="preserve">ESRD </w:t>
      </w:r>
      <w:r w:rsidR="00A20BAA" w:rsidRPr="00A20BAA">
        <w:lastRenderedPageBreak/>
        <w:t>is frequently delayed until later adulthood</w:t>
      </w:r>
      <w:r w:rsidR="00D50C69">
        <w:t xml:space="preserve"> in individuals with ADAS</w:t>
      </w:r>
      <w:r w:rsidR="00A20BAA" w:rsidRPr="00A20BAA">
        <w:t>. SNHL is also relatively late in onset and ocular involvement is rare.</w:t>
      </w:r>
    </w:p>
    <w:p w:rsidR="00D50C69" w:rsidRPr="00A20BAA" w:rsidRDefault="00D50C69" w:rsidP="00941F71">
      <w:r w:rsidRPr="006F0C2D">
        <w:t xml:space="preserve">The nature of the pathogenic variant also provides </w:t>
      </w:r>
      <w:r w:rsidR="006F0C2D" w:rsidRPr="006F0C2D">
        <w:t>prognostic information on the</w:t>
      </w:r>
      <w:r w:rsidRPr="006F0C2D">
        <w:t xml:space="preserve"> </w:t>
      </w:r>
      <w:r w:rsidR="00084F7A">
        <w:t>course of disease</w:t>
      </w:r>
      <w:r w:rsidR="006F0C2D" w:rsidRPr="006F0C2D">
        <w:t xml:space="preserve">. Large rearrangements of </w:t>
      </w:r>
      <w:r w:rsidR="006F0C2D" w:rsidRPr="006F0C2D">
        <w:rPr>
          <w:i/>
        </w:rPr>
        <w:t>COL4A5</w:t>
      </w:r>
      <w:r w:rsidR="006F0C2D" w:rsidRPr="006F0C2D">
        <w:t xml:space="preserve"> and pathogenic nonsense and </w:t>
      </w:r>
      <w:proofErr w:type="spellStart"/>
      <w:r w:rsidR="006F0C2D" w:rsidRPr="006F0C2D">
        <w:t>frameshift</w:t>
      </w:r>
      <w:proofErr w:type="spellEnd"/>
      <w:r w:rsidR="006F0C2D" w:rsidRPr="006F0C2D">
        <w:t xml:space="preserve"> variants confer a 90% probability of </w:t>
      </w:r>
      <w:r w:rsidR="006F0C2D">
        <w:t>ESRD</w:t>
      </w:r>
      <w:r w:rsidR="006F0C2D" w:rsidRPr="006F0C2D">
        <w:t xml:space="preserve"> before age 30 years, with 50% reaching ESRD by age 20 years</w:t>
      </w:r>
      <w:r w:rsidR="006F0C2D">
        <w:t>.</w:t>
      </w:r>
      <w:r w:rsidR="0022093E" w:rsidRPr="0022093E">
        <w:rPr>
          <w:vertAlign w:val="superscript"/>
        </w:rPr>
        <w:fldChar w:fldCharType="begin"/>
      </w:r>
      <w:r w:rsidR="0022093E" w:rsidRPr="0022093E">
        <w:rPr>
          <w:vertAlign w:val="superscript"/>
        </w:rPr>
        <w:instrText xml:space="preserve"> NOTEREF _Ref465929577 \h </w:instrText>
      </w:r>
      <w:r w:rsidR="0022093E">
        <w:rPr>
          <w:vertAlign w:val="superscript"/>
        </w:rPr>
        <w:instrText xml:space="preserve"> \* MERGEFORMAT </w:instrText>
      </w:r>
      <w:r w:rsidR="0022093E" w:rsidRPr="0022093E">
        <w:rPr>
          <w:vertAlign w:val="superscript"/>
        </w:rPr>
      </w:r>
      <w:r w:rsidR="0022093E" w:rsidRPr="0022093E">
        <w:rPr>
          <w:vertAlign w:val="superscript"/>
        </w:rPr>
        <w:fldChar w:fldCharType="separate"/>
      </w:r>
      <w:r w:rsidR="0022093E" w:rsidRPr="0022093E">
        <w:rPr>
          <w:vertAlign w:val="superscript"/>
        </w:rPr>
        <w:t>8</w:t>
      </w:r>
      <w:r w:rsidR="0022093E" w:rsidRPr="0022093E">
        <w:rPr>
          <w:vertAlign w:val="superscript"/>
        </w:rPr>
        <w:fldChar w:fldCharType="end"/>
      </w:r>
      <w:r w:rsidR="006F0C2D">
        <w:t xml:space="preserve"> </w:t>
      </w:r>
      <w:r w:rsidR="006F0C2D" w:rsidRPr="006F0C2D">
        <w:t>In affected individuals with splice-site variants, the probability of ESRD before age 30 years is 70%, with 50% reaching ESRD by age 25 years.</w:t>
      </w:r>
      <w:r w:rsidR="006F0C2D">
        <w:t xml:space="preserve"> T</w:t>
      </w:r>
      <w:r w:rsidR="006F0C2D" w:rsidRPr="006F0C2D">
        <w:t xml:space="preserve">he risk for deafness </w:t>
      </w:r>
      <w:r w:rsidR="006F0C2D">
        <w:t>i</w:t>
      </w:r>
      <w:r w:rsidR="006F0C2D" w:rsidRPr="006F0C2D">
        <w:t xml:space="preserve">n individuals with large rearrangements of </w:t>
      </w:r>
      <w:r w:rsidR="006F0C2D" w:rsidRPr="006F0C2D">
        <w:rPr>
          <w:i/>
        </w:rPr>
        <w:t>COL4A5</w:t>
      </w:r>
      <w:r w:rsidR="006F0C2D" w:rsidRPr="006F0C2D">
        <w:t xml:space="preserve"> or nonsense, </w:t>
      </w:r>
      <w:proofErr w:type="spellStart"/>
      <w:r w:rsidR="006F0C2D" w:rsidRPr="006F0C2D">
        <w:t>frames</w:t>
      </w:r>
      <w:r w:rsidR="006F0C2D">
        <w:t>hift</w:t>
      </w:r>
      <w:proofErr w:type="spellEnd"/>
      <w:r w:rsidR="006F0C2D">
        <w:t>, or splice site variants</w:t>
      </w:r>
      <w:r w:rsidR="00E47814">
        <w:t xml:space="preserve"> </w:t>
      </w:r>
      <w:r w:rsidR="00E47814" w:rsidRPr="006F0C2D">
        <w:t>is 50% at age ten years</w:t>
      </w:r>
      <w:r w:rsidR="00E47814">
        <w:t xml:space="preserve">. </w:t>
      </w:r>
      <w:r w:rsidR="00E47814">
        <w:rPr>
          <w:color w:val="000000"/>
          <w:shd w:val="clear" w:color="auto" w:fill="FFFFFF"/>
        </w:rPr>
        <w:t>In individuals with missense variants, t</w:t>
      </w:r>
      <w:r w:rsidR="006F0C2D">
        <w:rPr>
          <w:color w:val="000000"/>
          <w:shd w:val="clear" w:color="auto" w:fill="FFFFFF"/>
        </w:rPr>
        <w:t>he risk for deafness does not reach 50% until age 20 years.</w:t>
      </w:r>
    </w:p>
    <w:p w:rsidR="00E35FB6" w:rsidRDefault="00941F71" w:rsidP="00941F71">
      <w:r w:rsidRPr="00A20BAA">
        <w:t>All three types of AS are associated with specific changes in the glomerular base</w:t>
      </w:r>
      <w:r w:rsidR="00A20BAA">
        <w:t>ment membrane (GBM)</w:t>
      </w:r>
      <w:r w:rsidR="0022093E">
        <w:t xml:space="preserve"> – </w:t>
      </w:r>
      <w:r w:rsidR="00A20BAA">
        <w:t>most often</w:t>
      </w:r>
      <w:r w:rsidRPr="00A20BAA">
        <w:t xml:space="preserve"> thickening, thinning, splitting, and </w:t>
      </w:r>
      <w:proofErr w:type="spellStart"/>
      <w:r w:rsidRPr="00A20BAA">
        <w:t>lamellation</w:t>
      </w:r>
      <w:proofErr w:type="spellEnd"/>
      <w:r w:rsidR="0022093E">
        <w:t xml:space="preserve"> – </w:t>
      </w:r>
      <w:r w:rsidR="00E35FB6">
        <w:t>which is</w:t>
      </w:r>
      <w:r w:rsidRPr="00A20BAA">
        <w:t xml:space="preserve"> detectable on </w:t>
      </w:r>
      <w:proofErr w:type="spellStart"/>
      <w:r w:rsidRPr="00A20BAA">
        <w:t>ultrastructural</w:t>
      </w:r>
      <w:proofErr w:type="spellEnd"/>
      <w:r w:rsidRPr="00A20BAA">
        <w:t xml:space="preserve"> examination of renal biopsy specimens. In addition, affected patients may have altered expression of the collagen type IV alpha chains in the GBM, which is detectable by immunohistochemistry</w:t>
      </w:r>
      <w:r w:rsidR="00D87785">
        <w:t xml:space="preserve"> or </w:t>
      </w:r>
      <w:r w:rsidR="00C74C12">
        <w:t>immuno</w:t>
      </w:r>
      <w:r w:rsidR="00E35FB6">
        <w:t>fluorescence.</w:t>
      </w:r>
    </w:p>
    <w:p w:rsidR="00076ED5" w:rsidRDefault="008E6AAA" w:rsidP="00DF0397">
      <w:r w:rsidRPr="008E6AAA">
        <w:t xml:space="preserve">In most cases, </w:t>
      </w:r>
      <w:r w:rsidR="00CA4918">
        <w:t xml:space="preserve">molecular </w:t>
      </w:r>
      <w:r w:rsidRPr="008E6AAA">
        <w:t>genetic testing can confir</w:t>
      </w:r>
      <w:r w:rsidR="005C58E8">
        <w:t>m a diagnosis of AS</w:t>
      </w:r>
      <w:r w:rsidR="001151D6">
        <w:t xml:space="preserve"> </w:t>
      </w:r>
      <w:r w:rsidR="001151D6" w:rsidRPr="008E6AAA">
        <w:t>and help to distinguish between subtypes</w:t>
      </w:r>
      <w:r w:rsidR="001151D6">
        <w:t xml:space="preserve">. </w:t>
      </w:r>
      <w:r w:rsidR="00CA4918">
        <w:t xml:space="preserve">Genetic testing is necessary to exclude </w:t>
      </w:r>
      <w:proofErr w:type="spellStart"/>
      <w:r w:rsidR="00CA4918">
        <w:t>heterozygosity</w:t>
      </w:r>
      <w:proofErr w:type="spellEnd"/>
      <w:r w:rsidR="00CA4918">
        <w:t xml:space="preserve"> in </w:t>
      </w:r>
      <w:r w:rsidR="00336FCD">
        <w:t>a</w:t>
      </w:r>
      <w:r w:rsidR="00CA4918">
        <w:t xml:space="preserve"> female who does not have h</w:t>
      </w:r>
      <w:r w:rsidR="00336FCD">
        <w:t xml:space="preserve">aematuria </w:t>
      </w:r>
      <w:r w:rsidR="00076ED5" w:rsidRPr="008E6AAA">
        <w:t>but with a family histor</w:t>
      </w:r>
      <w:r w:rsidR="00076ED5">
        <w:t xml:space="preserve">y of </w:t>
      </w:r>
      <w:r w:rsidR="00336FCD">
        <w:t>XL</w:t>
      </w:r>
      <w:r w:rsidR="00076ED5">
        <w:t xml:space="preserve">AS. </w:t>
      </w:r>
      <w:r w:rsidR="00076ED5" w:rsidRPr="008E6AAA">
        <w:t>Genetic testing may also be useful when results of a skin or kidney biopsy are not conclusive.</w:t>
      </w:r>
    </w:p>
    <w:p w:rsidR="008E6AAA" w:rsidRDefault="00413AB1" w:rsidP="008E6AAA">
      <w:r>
        <w:t>Additionally, g</w:t>
      </w:r>
      <w:r w:rsidR="001151D6">
        <w:t xml:space="preserve">enetic testing </w:t>
      </w:r>
      <w:r>
        <w:t>may be</w:t>
      </w:r>
      <w:r w:rsidR="001151D6">
        <w:t xml:space="preserve"> useful to</w:t>
      </w:r>
      <w:r w:rsidR="005C58E8">
        <w:t xml:space="preserve"> exclude </w:t>
      </w:r>
      <w:r w:rsidR="00E4720A">
        <w:t>XL</w:t>
      </w:r>
      <w:r w:rsidR="005C58E8">
        <w:t>AS in cases where TBMN is suspected</w:t>
      </w:r>
      <w:r w:rsidR="00076ED5">
        <w:t xml:space="preserve">. </w:t>
      </w:r>
      <w:r w:rsidR="00DF0397">
        <w:t xml:space="preserve">TBMN </w:t>
      </w:r>
      <w:r w:rsidR="00076ED5" w:rsidRPr="00E35FB6">
        <w:t>is a</w:t>
      </w:r>
      <w:r w:rsidR="00076ED5">
        <w:t xml:space="preserve">n autosomal dominant condition </w:t>
      </w:r>
      <w:r w:rsidR="00076ED5" w:rsidRPr="00E35FB6">
        <w:t>result</w:t>
      </w:r>
      <w:r w:rsidR="00076ED5">
        <w:t>ing</w:t>
      </w:r>
      <w:r w:rsidR="00076ED5" w:rsidRPr="00E35FB6">
        <w:t xml:space="preserve"> from variants in either </w:t>
      </w:r>
      <w:r w:rsidR="00076ED5" w:rsidRPr="00E35FB6">
        <w:rPr>
          <w:i/>
        </w:rPr>
        <w:t>COL4A3</w:t>
      </w:r>
      <w:r w:rsidR="00076ED5" w:rsidRPr="00E35FB6">
        <w:t xml:space="preserve"> or </w:t>
      </w:r>
      <w:r w:rsidR="00076ED5" w:rsidRPr="00084F7A">
        <w:rPr>
          <w:i/>
        </w:rPr>
        <w:t>COL4A4</w:t>
      </w:r>
      <w:r w:rsidR="00076ED5">
        <w:t xml:space="preserve">. </w:t>
      </w:r>
      <w:r w:rsidR="000B4597">
        <w:t>It</w:t>
      </w:r>
      <w:r w:rsidR="000B4597" w:rsidRPr="00E35FB6">
        <w:t xml:space="preserve"> is </w:t>
      </w:r>
      <w:r w:rsidR="000B4597" w:rsidRPr="0045286A">
        <w:t>estimated to affect 1% of the population</w:t>
      </w:r>
      <w:r w:rsidR="000B4597">
        <w:t xml:space="preserve">. </w:t>
      </w:r>
      <w:r w:rsidR="00084F7A">
        <w:t>Individuals with TBMN share</w:t>
      </w:r>
      <w:r w:rsidR="00DF0397">
        <w:t xml:space="preserve"> some of the clinical features of AS</w:t>
      </w:r>
      <w:r w:rsidR="00084F7A">
        <w:t xml:space="preserve">, most notably </w:t>
      </w:r>
      <w:r w:rsidR="00DF0397">
        <w:t xml:space="preserve">persistent </w:t>
      </w:r>
      <w:r w:rsidR="00DF0397" w:rsidRPr="00E35FB6">
        <w:t>micro</w:t>
      </w:r>
      <w:r w:rsidR="00DF0397">
        <w:t xml:space="preserve">scopic </w:t>
      </w:r>
      <w:r w:rsidR="00DF0397" w:rsidRPr="00E35FB6">
        <w:t xml:space="preserve">haematuria often first observed in childhood. </w:t>
      </w:r>
      <w:r w:rsidR="000B4597">
        <w:t>However, unlike</w:t>
      </w:r>
      <w:r>
        <w:t xml:space="preserve"> AS, TBMN is </w:t>
      </w:r>
      <w:r w:rsidR="00432071">
        <w:t xml:space="preserve">a </w:t>
      </w:r>
      <w:r>
        <w:t>relatively benign</w:t>
      </w:r>
      <w:r w:rsidR="00432071">
        <w:t xml:space="preserve"> condition</w:t>
      </w:r>
      <w:r>
        <w:t xml:space="preserve">; </w:t>
      </w:r>
      <w:r w:rsidR="00DF0397" w:rsidRPr="00E35FB6">
        <w:t>progressive renal disease is relatively unusual and extra</w:t>
      </w:r>
      <w:r w:rsidR="00432071">
        <w:t>-</w:t>
      </w:r>
      <w:r w:rsidR="00DF0397" w:rsidRPr="00E35FB6">
        <w:t>renal abnormalities are rare.</w:t>
      </w:r>
      <w:r w:rsidR="00DF0397">
        <w:t xml:space="preserve"> </w:t>
      </w:r>
      <w:r w:rsidR="00432071">
        <w:t>As such, distinction between AS and TBMN is critical</w:t>
      </w:r>
      <w:r w:rsidR="000B4597">
        <w:t xml:space="preserve"> to the affected individual and their family members. </w:t>
      </w:r>
    </w:p>
    <w:p w:rsidR="00CF7C38" w:rsidRDefault="00B14FAD" w:rsidP="00F9724B">
      <w:r w:rsidRPr="008E6AAA">
        <w:t xml:space="preserve">Currently, there is no specific treatment for </w:t>
      </w:r>
      <w:r>
        <w:t>AS</w:t>
      </w:r>
      <w:r w:rsidRPr="008E6AAA">
        <w:t>. The goal is to treat the symptoms and help slow the progression of kidney disease.</w:t>
      </w:r>
      <w:r>
        <w:t xml:space="preserve"> </w:t>
      </w:r>
      <w:r w:rsidR="00A26E55">
        <w:t>Evidence from r</w:t>
      </w:r>
      <w:r w:rsidR="0085754C">
        <w:t>etrospective analysis of registry data</w:t>
      </w:r>
      <w:r w:rsidR="00A26E55">
        <w:t>, animal models and other forms of renal failure</w:t>
      </w:r>
      <w:r w:rsidR="0085754C">
        <w:t xml:space="preserve"> </w:t>
      </w:r>
      <w:r w:rsidR="00A26E55">
        <w:t>suggest</w:t>
      </w:r>
      <w:r w:rsidR="0085754C">
        <w:t xml:space="preserve"> that </w:t>
      </w:r>
      <w:r w:rsidR="00E321C2">
        <w:t>angiotensin-converting enzyme (</w:t>
      </w:r>
      <w:r w:rsidR="0085754C">
        <w:t>ACE</w:t>
      </w:r>
      <w:r w:rsidR="00E321C2">
        <w:t>)</w:t>
      </w:r>
      <w:r w:rsidR="0085754C">
        <w:t xml:space="preserve"> inhibition delays ESRD and improves life expectancy in AS patients in a time-dependent manner.</w:t>
      </w:r>
      <w:r w:rsidR="00E321C2">
        <w:rPr>
          <w:rStyle w:val="FootnoteReference"/>
        </w:rPr>
        <w:footnoteReference w:id="11"/>
      </w:r>
      <w:r w:rsidR="0085754C">
        <w:t xml:space="preserve"> </w:t>
      </w:r>
      <w:r w:rsidR="00F52F99">
        <w:t>Prospective randomised controlled clinical trials are difficult to undertake because of the small numbers of patients at individual treatment centres and their different stages of disease at presentation. However, a</w:t>
      </w:r>
      <w:r w:rsidR="00CF7C38">
        <w:t xml:space="preserve"> multicentre, double blind, randomised, placebo-controlled, phase III trial </w:t>
      </w:r>
      <w:r w:rsidR="00EA0334">
        <w:t xml:space="preserve">(NCT01485978) </w:t>
      </w:r>
      <w:r w:rsidR="00CF7C38">
        <w:t xml:space="preserve">is currently underway to examine the safety and efficacy of the </w:t>
      </w:r>
      <w:r w:rsidR="009D0F26">
        <w:t xml:space="preserve">ACE inhibitor </w:t>
      </w:r>
      <w:proofErr w:type="spellStart"/>
      <w:r w:rsidR="00CF7C38">
        <w:t>ramipril</w:t>
      </w:r>
      <w:proofErr w:type="spellEnd"/>
      <w:r w:rsidR="00CF7C38">
        <w:t xml:space="preserve"> in paediatric patients</w:t>
      </w:r>
      <w:r w:rsidR="00A26E55">
        <w:t xml:space="preserve"> </w:t>
      </w:r>
      <w:r w:rsidR="00A26E55" w:rsidRPr="00A26E55">
        <w:t xml:space="preserve">aged 24 months to 18 years with early stages of </w:t>
      </w:r>
      <w:r w:rsidR="00A26E55">
        <w:t>AS</w:t>
      </w:r>
      <w:r w:rsidR="00A26E55" w:rsidRPr="00A26E55">
        <w:t xml:space="preserve"> (isolated h</w:t>
      </w:r>
      <w:r w:rsidR="00A26E55">
        <w:t>a</w:t>
      </w:r>
      <w:r w:rsidR="00A26E55" w:rsidRPr="00A26E55">
        <w:t xml:space="preserve">ematuria or </w:t>
      </w:r>
      <w:proofErr w:type="spellStart"/>
      <w:r w:rsidR="00A26E55" w:rsidRPr="00A26E55">
        <w:t>microalbuminuria</w:t>
      </w:r>
      <w:proofErr w:type="spellEnd"/>
      <w:r w:rsidR="00A26E55" w:rsidRPr="00A26E55">
        <w:t>)</w:t>
      </w:r>
      <w:r w:rsidR="00CF7C38">
        <w:t xml:space="preserve">. The </w:t>
      </w:r>
      <w:r w:rsidR="00A26E55">
        <w:t xml:space="preserve">EARLY PRO-TECT </w:t>
      </w:r>
      <w:proofErr w:type="spellStart"/>
      <w:r w:rsidR="00A26E55">
        <w:t>Alport</w:t>
      </w:r>
      <w:proofErr w:type="spellEnd"/>
      <w:r w:rsidR="00A26E55">
        <w:t xml:space="preserve"> trial has an </w:t>
      </w:r>
      <w:r w:rsidR="00CF7C38">
        <w:t xml:space="preserve">estimated enrolment </w:t>
      </w:r>
      <w:r w:rsidR="00A26E55">
        <w:t>of</w:t>
      </w:r>
      <w:r w:rsidR="00CF7C38">
        <w:t xml:space="preserve"> 120 children</w:t>
      </w:r>
      <w:r w:rsidR="00A26E55">
        <w:t xml:space="preserve"> (</w:t>
      </w:r>
      <w:r w:rsidR="00A26E55" w:rsidRPr="00A26E55">
        <w:t xml:space="preserve">80 patients </w:t>
      </w:r>
      <w:r w:rsidR="00A26E55">
        <w:t>randomis</w:t>
      </w:r>
      <w:r w:rsidR="00A26E55" w:rsidRPr="00A26E55">
        <w:t xml:space="preserve">ed 1:1 to </w:t>
      </w:r>
      <w:proofErr w:type="spellStart"/>
      <w:r w:rsidR="00A26E55" w:rsidRPr="00A26E55">
        <w:t>ramipril</w:t>
      </w:r>
      <w:proofErr w:type="spellEnd"/>
      <w:r w:rsidR="00A26E55" w:rsidRPr="00A26E55">
        <w:t xml:space="preserve"> or placebo</w:t>
      </w:r>
      <w:r w:rsidR="00A26E55">
        <w:t xml:space="preserve">, and another 40 patients </w:t>
      </w:r>
      <w:r w:rsidR="00A26E55" w:rsidRPr="00A26E55">
        <w:t>receiv</w:t>
      </w:r>
      <w:r w:rsidR="00084F7A">
        <w:t>ing</w:t>
      </w:r>
      <w:r w:rsidR="00A26E55" w:rsidRPr="00A26E55">
        <w:t xml:space="preserve"> open-label </w:t>
      </w:r>
      <w:proofErr w:type="spellStart"/>
      <w:r w:rsidR="00A26E55" w:rsidRPr="00A26E55">
        <w:t>ramipril</w:t>
      </w:r>
      <w:proofErr w:type="spellEnd"/>
      <w:r w:rsidR="00A26E55" w:rsidRPr="00A26E55">
        <w:t xml:space="preserve"> contributing to the safety database</w:t>
      </w:r>
      <w:r w:rsidR="00A26E55">
        <w:t>)</w:t>
      </w:r>
      <w:r w:rsidR="00CF7C38">
        <w:t xml:space="preserve">. The trial started in March 2012 and the expected study </w:t>
      </w:r>
      <w:r w:rsidR="00CF7C38">
        <w:lastRenderedPageBreak/>
        <w:t>completion date is August 2019.</w:t>
      </w:r>
      <w:r w:rsidR="00084F7A">
        <w:t xml:space="preserve"> Primary end</w:t>
      </w:r>
      <w:r w:rsidR="00A26E55">
        <w:t xml:space="preserve">points are </w:t>
      </w:r>
      <w:r w:rsidR="00084F7A">
        <w:t>‘</w:t>
      </w:r>
      <w:r w:rsidR="00A26E55" w:rsidRPr="00A26E55">
        <w:t>time to pr</w:t>
      </w:r>
      <w:r w:rsidR="00084F7A">
        <w:t xml:space="preserve">ogression to next disease level’ </w:t>
      </w:r>
      <w:r w:rsidR="00A26E55">
        <w:t xml:space="preserve">and </w:t>
      </w:r>
      <w:r w:rsidR="00084F7A">
        <w:t>‘</w:t>
      </w:r>
      <w:r w:rsidR="00A26E55" w:rsidRPr="00A26E55">
        <w:t>incidence of adverse drug events before disease progression</w:t>
      </w:r>
      <w:r w:rsidR="00084F7A">
        <w:t>’</w:t>
      </w:r>
      <w:r w:rsidR="00A26E55" w:rsidRPr="00A26E55">
        <w:t>.</w:t>
      </w:r>
    </w:p>
    <w:p w:rsidR="0085754C" w:rsidRDefault="00EA0334" w:rsidP="008E6AAA">
      <w:r>
        <w:t xml:space="preserve">Early and accurate diagnosis at birth or in children with AS with isolated haematuria </w:t>
      </w:r>
      <w:r w:rsidR="00084F7A">
        <w:t>may open</w:t>
      </w:r>
      <w:r>
        <w:t xml:space="preserve"> a window of opportunity for early intervention.</w:t>
      </w:r>
      <w:r w:rsidR="00483956">
        <w:t xml:space="preserve"> ACE inhibitors are widely available and relatively inexpensive. Although not registered specifically for the treatment of AS in children, </w:t>
      </w:r>
      <w:proofErr w:type="spellStart"/>
      <w:r w:rsidR="00483956">
        <w:t>ramipril</w:t>
      </w:r>
      <w:proofErr w:type="spellEnd"/>
      <w:r w:rsidR="00483956">
        <w:t xml:space="preserve"> has </w:t>
      </w:r>
      <w:r w:rsidR="00F52F99">
        <w:t xml:space="preserve">Therapeutic Goods Administration (TGA) </w:t>
      </w:r>
      <w:r w:rsidR="00483956">
        <w:t xml:space="preserve">approval for the </w:t>
      </w:r>
      <w:r w:rsidR="00084F7A">
        <w:t xml:space="preserve">treatment of hypertension and the </w:t>
      </w:r>
      <w:r w:rsidR="00483956">
        <w:t>prevention of progressive renal failure in patients with persistent p</w:t>
      </w:r>
      <w:r w:rsidR="00084F7A">
        <w:t xml:space="preserve">roteinuria in excess of 1 g/day. </w:t>
      </w:r>
      <w:proofErr w:type="spellStart"/>
      <w:r w:rsidR="00084F7A">
        <w:t>Ramipril</w:t>
      </w:r>
      <w:proofErr w:type="spellEnd"/>
      <w:r w:rsidR="00084F7A">
        <w:t xml:space="preserve"> and other ACE inhibitors</w:t>
      </w:r>
      <w:r w:rsidR="00483956">
        <w:t xml:space="preserve"> ha</w:t>
      </w:r>
      <w:r w:rsidR="00084F7A">
        <w:t>ve</w:t>
      </w:r>
      <w:r w:rsidR="00483956">
        <w:t xml:space="preserve"> an unrestricted listing on the Pharmaceutical Benefits Schedule</w:t>
      </w:r>
      <w:r w:rsidR="00084F7A">
        <w:t xml:space="preserve"> (PBS)</w:t>
      </w:r>
      <w:r w:rsidR="00483956">
        <w:t>.</w:t>
      </w:r>
    </w:p>
    <w:p w:rsidR="00953ED7" w:rsidRPr="00E364F7" w:rsidRDefault="00C74C12" w:rsidP="00953ED7">
      <w:pPr>
        <w:rPr>
          <w:b/>
        </w:rPr>
      </w:pPr>
      <w:r>
        <w:rPr>
          <w:b/>
        </w:rPr>
        <w:t>Prior test</w:t>
      </w:r>
      <w:r w:rsidR="00D87CBB">
        <w:rPr>
          <w:b/>
        </w:rPr>
        <w:t>s</w:t>
      </w:r>
    </w:p>
    <w:p w:rsidR="00C74C12" w:rsidRPr="00F55EE8" w:rsidRDefault="00437DC7" w:rsidP="00437DC7">
      <w:r w:rsidRPr="00F55EE8">
        <w:t xml:space="preserve">Genetic testing should be reserved for individuals </w:t>
      </w:r>
      <w:r w:rsidR="00E96290" w:rsidRPr="00F55EE8">
        <w:t>with</w:t>
      </w:r>
      <w:r w:rsidRPr="00F55EE8">
        <w:t xml:space="preserve"> a strong clinical suspicion of AS</w:t>
      </w:r>
      <w:r w:rsidR="00E96290" w:rsidRPr="00F55EE8">
        <w:t xml:space="preserve"> after clinical examination and a detailed </w:t>
      </w:r>
      <w:r w:rsidR="00D01D8C">
        <w:t>medical</w:t>
      </w:r>
      <w:r w:rsidR="00E96290" w:rsidRPr="00F55EE8">
        <w:t xml:space="preserve"> and family history</w:t>
      </w:r>
      <w:r w:rsidRPr="00F55EE8">
        <w:t xml:space="preserve">. </w:t>
      </w:r>
      <w:r w:rsidR="00F55EE8" w:rsidRPr="00F55EE8">
        <w:t xml:space="preserve">Prior testing primarily involves urinalysis (also on first- and second-degree relatives, if possible). Routine investigations for renal disease may also be undertaken (e.g. measurement of serum </w:t>
      </w:r>
      <w:proofErr w:type="spellStart"/>
      <w:r w:rsidR="00F55EE8" w:rsidRPr="00F55EE8">
        <w:t>creatinine</w:t>
      </w:r>
      <w:proofErr w:type="spellEnd"/>
      <w:r w:rsidR="00F55EE8" w:rsidRPr="00F55EE8">
        <w:t xml:space="preserve"> concentration or other estimates of glomerular filtration rate such as </w:t>
      </w:r>
      <w:proofErr w:type="spellStart"/>
      <w:r w:rsidR="00F55EE8" w:rsidRPr="00F55EE8">
        <w:t>creatinine</w:t>
      </w:r>
      <w:proofErr w:type="spellEnd"/>
      <w:r w:rsidR="00F55EE8" w:rsidRPr="00F55EE8">
        <w:t xml:space="preserve"> clearance or serum </w:t>
      </w:r>
      <w:proofErr w:type="spellStart"/>
      <w:r w:rsidR="00F55EE8" w:rsidRPr="00F55EE8">
        <w:t>cystatin</w:t>
      </w:r>
      <w:proofErr w:type="spellEnd"/>
      <w:r w:rsidR="00F55EE8" w:rsidRPr="00F55EE8">
        <w:t xml:space="preserve"> C levels) together with measurement of blood pressure. Ophthalmoscopy and audiometry may also be undertaken.</w:t>
      </w:r>
    </w:p>
    <w:p w:rsidR="00C74C12" w:rsidRDefault="00437DC7" w:rsidP="00437DC7">
      <w:proofErr w:type="gramStart"/>
      <w:r w:rsidRPr="00F55EE8">
        <w:t>AS is suspected when there is persistent glomerular haematuria.</w:t>
      </w:r>
      <w:proofErr w:type="gramEnd"/>
      <w:r w:rsidRPr="00F55EE8">
        <w:t xml:space="preserve"> The likelihood of AS increases with</w:t>
      </w:r>
      <w:r>
        <w:t xml:space="preserve"> a family history of AS or renal failure, and no other obvious cause; or when the characteristic clinical features (hearing loss, </w:t>
      </w:r>
      <w:proofErr w:type="spellStart"/>
      <w:r>
        <w:t>lenticonus</w:t>
      </w:r>
      <w:proofErr w:type="spellEnd"/>
      <w:r>
        <w:t>, or retinopathy) are present.</w:t>
      </w:r>
      <w:r w:rsidR="00C74C12">
        <w:t xml:space="preserve"> </w:t>
      </w:r>
    </w:p>
    <w:p w:rsidR="00437DC7" w:rsidRDefault="00C74C12" w:rsidP="00437DC7">
      <w:proofErr w:type="gramStart"/>
      <w:r>
        <w:t xml:space="preserve">The availability on the MBS of </w:t>
      </w:r>
      <w:r w:rsidRPr="006E5139">
        <w:t xml:space="preserve">genetic testing </w:t>
      </w:r>
      <w:r>
        <w:t xml:space="preserve">for AS </w:t>
      </w:r>
      <w:r w:rsidRPr="006E5139">
        <w:t xml:space="preserve">will obviate the need for </w:t>
      </w:r>
      <w:r>
        <w:t>renal</w:t>
      </w:r>
      <w:r w:rsidRPr="006E5139">
        <w:t xml:space="preserve"> biopsy</w:t>
      </w:r>
      <w:r>
        <w:t xml:space="preserve"> and subsequent </w:t>
      </w:r>
      <w:proofErr w:type="spellStart"/>
      <w:r>
        <w:t>immunohistochemical</w:t>
      </w:r>
      <w:proofErr w:type="spellEnd"/>
      <w:r>
        <w:t xml:space="preserve"> and </w:t>
      </w:r>
      <w:proofErr w:type="spellStart"/>
      <w:r>
        <w:t>ultrastructural</w:t>
      </w:r>
      <w:proofErr w:type="spellEnd"/>
      <w:r>
        <w:t xml:space="preserve"> examination of the GBM to confirm a diagnosis of AS.</w:t>
      </w:r>
      <w:proofErr w:type="gramEnd"/>
    </w:p>
    <w:p w:rsidR="00896845" w:rsidRPr="00E364F7" w:rsidRDefault="00896845" w:rsidP="00EF08E2">
      <w:pPr>
        <w:keepNext/>
        <w:rPr>
          <w:b/>
        </w:rPr>
      </w:pPr>
      <w:r w:rsidRPr="00E364F7">
        <w:rPr>
          <w:b/>
        </w:rPr>
        <w:t>Intervention</w:t>
      </w:r>
    </w:p>
    <w:p w:rsidR="003B3E19" w:rsidRDefault="00A35567" w:rsidP="003850B9">
      <w:r>
        <w:t>At p</w:t>
      </w:r>
      <w:r w:rsidR="003B3E19" w:rsidRPr="003B3E19">
        <w:t xml:space="preserve">resent, genetic testing is not widely available in Australia and very few people with AS or suspected AS have had </w:t>
      </w:r>
      <w:r w:rsidR="003B3E19">
        <w:t>a confirmatory genetic test</w:t>
      </w:r>
      <w:r w:rsidR="003B3E19" w:rsidRPr="003B3E19">
        <w:t xml:space="preserve">. </w:t>
      </w:r>
      <w:r>
        <w:t xml:space="preserve">The test is usually requested by </w:t>
      </w:r>
      <w:r w:rsidR="00A05E2A">
        <w:t xml:space="preserve">a </w:t>
      </w:r>
      <w:r>
        <w:t xml:space="preserve">nephrologist </w:t>
      </w:r>
      <w:r w:rsidR="00A05E2A">
        <w:t xml:space="preserve">who specialises in AS </w:t>
      </w:r>
      <w:r>
        <w:t>or a clinical geneticist, and is</w:t>
      </w:r>
      <w:r w:rsidR="003B3E19" w:rsidRPr="003B3E19">
        <w:t xml:space="preserve"> currently funded by the pathology budgets of individual ne</w:t>
      </w:r>
      <w:r w:rsidR="003B3E19">
        <w:t>phrology and genetics services</w:t>
      </w:r>
      <w:r>
        <w:t xml:space="preserve">. </w:t>
      </w:r>
      <w:r w:rsidR="000C5540">
        <w:t>Genetic testing</w:t>
      </w:r>
      <w:r w:rsidR="000C5540" w:rsidRPr="005A67D4">
        <w:t xml:space="preserve"> </w:t>
      </w:r>
      <w:r w:rsidR="000C5540">
        <w:t xml:space="preserve">of index patients </w:t>
      </w:r>
      <w:r w:rsidR="005F52EC">
        <w:t>(</w:t>
      </w:r>
      <w:proofErr w:type="spellStart"/>
      <w:r w:rsidR="005F52EC">
        <w:t>probands</w:t>
      </w:r>
      <w:proofErr w:type="spellEnd"/>
      <w:r w:rsidR="005F52EC">
        <w:t xml:space="preserve">) </w:t>
      </w:r>
      <w:r w:rsidR="000C5540">
        <w:t xml:space="preserve">and </w:t>
      </w:r>
      <w:r w:rsidR="005F52EC">
        <w:t xml:space="preserve">their relatives </w:t>
      </w:r>
      <w:r w:rsidR="000C5540">
        <w:t xml:space="preserve">is only required once in a lifetime and </w:t>
      </w:r>
      <w:r w:rsidR="000C5540" w:rsidRPr="005A67D4">
        <w:t xml:space="preserve">can be carried out using </w:t>
      </w:r>
      <w:r w:rsidR="000C5540">
        <w:t xml:space="preserve">peripheral </w:t>
      </w:r>
      <w:r w:rsidR="000C5540" w:rsidRPr="005A67D4">
        <w:t xml:space="preserve">blood </w:t>
      </w:r>
      <w:r w:rsidR="000C5540">
        <w:t xml:space="preserve">(5 mL) </w:t>
      </w:r>
      <w:r w:rsidR="000C5540" w:rsidRPr="005A67D4">
        <w:t>or tissue samples</w:t>
      </w:r>
      <w:r w:rsidR="000C5540">
        <w:t>. The current barriers to testing are cost, access to a Clinical Genetics service, and the lengthy turnaround time for results.</w:t>
      </w:r>
    </w:p>
    <w:p w:rsidR="00E247A7" w:rsidRDefault="00AB6458" w:rsidP="003850B9">
      <w:r>
        <w:t>P</w:t>
      </w:r>
      <w:r w:rsidR="00A05E2A">
        <w:t>rior to testing, p</w:t>
      </w:r>
      <w:r>
        <w:t xml:space="preserve">atients need to sign an informed consent form to ensure they have understood the implications, indications, and limitations of the test. They also need to consent to </w:t>
      </w:r>
      <w:proofErr w:type="gramStart"/>
      <w:r>
        <w:t>who</w:t>
      </w:r>
      <w:proofErr w:type="gramEnd"/>
      <w:r>
        <w:t xml:space="preserve"> has access to their results as it has implications for their relatives. </w:t>
      </w:r>
      <w:r w:rsidR="006852EA" w:rsidRPr="006852EA">
        <w:t xml:space="preserve">Consultation may take place in private practice (e.g. </w:t>
      </w:r>
      <w:r w:rsidR="006852EA">
        <w:t>a specialty renal</w:t>
      </w:r>
      <w:r w:rsidR="006852EA" w:rsidRPr="006852EA">
        <w:t xml:space="preserve"> clinic</w:t>
      </w:r>
      <w:r w:rsidR="006852EA">
        <w:t xml:space="preserve"> or consulting rooms</w:t>
      </w:r>
      <w:r w:rsidR="006852EA" w:rsidRPr="006852EA">
        <w:t>) or in the public domain (e.g. hospital outpatient department).</w:t>
      </w:r>
      <w:r w:rsidR="006852EA">
        <w:t xml:space="preserve"> </w:t>
      </w:r>
      <w:r>
        <w:t xml:space="preserve">After the test, patients must be referred to </w:t>
      </w:r>
      <w:r w:rsidR="00A35567">
        <w:t>a Clinical Genetics service</w:t>
      </w:r>
      <w:r>
        <w:t xml:space="preserve"> for formal genetic counselling (e.g. discussion of the results, reproductive options, risks to relatives and their screening</w:t>
      </w:r>
      <w:r w:rsidRPr="00AD057F">
        <w:t>).</w:t>
      </w:r>
      <w:r w:rsidR="006852EA" w:rsidRPr="00AD057F">
        <w:t xml:space="preserve"> </w:t>
      </w:r>
      <w:r w:rsidR="00AD057F" w:rsidRPr="00AD057F">
        <w:t xml:space="preserve">If the test is positive, </w:t>
      </w:r>
      <w:r w:rsidR="002003F2">
        <w:t>long-term management</w:t>
      </w:r>
      <w:r w:rsidR="00AD057F" w:rsidRPr="00AD057F">
        <w:t xml:space="preserve"> </w:t>
      </w:r>
      <w:r w:rsidR="00AD057F">
        <w:t xml:space="preserve">by a nephrologist </w:t>
      </w:r>
      <w:r w:rsidR="00AD057F" w:rsidRPr="00AD057F">
        <w:t xml:space="preserve">is </w:t>
      </w:r>
      <w:r w:rsidR="00AD057F">
        <w:t>recommended</w:t>
      </w:r>
      <w:r w:rsidR="00AD057F" w:rsidRPr="00AD057F">
        <w:t>.</w:t>
      </w:r>
    </w:p>
    <w:p w:rsidR="00FF2912" w:rsidRDefault="00A05E2A" w:rsidP="003850B9">
      <w:r>
        <w:lastRenderedPageBreak/>
        <w:t>Genetic testing for AS is currently undertaken by Approved Pathologists in only a few accredited pathology testing laboratories across Australia. The m</w:t>
      </w:r>
      <w:r w:rsidR="003850B9">
        <w:t xml:space="preserve">olecular genetic testing approaches </w:t>
      </w:r>
      <w:r w:rsidR="00D6101F">
        <w:t xml:space="preserve">for AS </w:t>
      </w:r>
      <w:r w:rsidR="006E5139">
        <w:t xml:space="preserve">can </w:t>
      </w:r>
      <w:r w:rsidR="003850B9">
        <w:t>include single-gene testing, use of a multi-gene panel, and more comprehensive genomic testing</w:t>
      </w:r>
      <w:r>
        <w:t xml:space="preserve"> (next generation sequencing)</w:t>
      </w:r>
      <w:r w:rsidR="003850B9">
        <w:t xml:space="preserve">. </w:t>
      </w:r>
      <w:r w:rsidR="000C5540">
        <w:t xml:space="preserve">Various testing platforms are listed on the Australian Register of Therapeutic Goods (ARTG) of the TGA as </w:t>
      </w:r>
      <w:r w:rsidR="000C5540" w:rsidRPr="00310C65">
        <w:t xml:space="preserve">Class </w:t>
      </w:r>
      <w:r w:rsidR="000C5540">
        <w:t>III</w:t>
      </w:r>
      <w:r w:rsidR="000C5540" w:rsidRPr="00310C65">
        <w:t xml:space="preserve"> </w:t>
      </w:r>
      <w:r w:rsidR="000C5540">
        <w:t>in vitro diagnostic devices.</w:t>
      </w:r>
    </w:p>
    <w:p w:rsidR="005348D6" w:rsidRDefault="00FF2912" w:rsidP="005348D6">
      <w:r>
        <w:t xml:space="preserve">In </w:t>
      </w:r>
      <w:r w:rsidRPr="00093D76">
        <w:t>single-gene testing</w:t>
      </w:r>
      <w:r>
        <w:t>, s</w:t>
      </w:r>
      <w:r w:rsidR="003850B9">
        <w:t>equence analysis is performed first followed by gene-targeted deletion/duplication analysis if no pathogenic variant is found. The choice of which of the three genes to test first is based on family history, cl</w:t>
      </w:r>
      <w:r>
        <w:t>inical findings and histopathology</w:t>
      </w:r>
      <w:r w:rsidR="003850B9">
        <w:t>.</w:t>
      </w:r>
      <w:r>
        <w:t xml:space="preserve"> In individuals with an X-linked family history, </w:t>
      </w:r>
      <w:r w:rsidRPr="00FF2912">
        <w:rPr>
          <w:i/>
        </w:rPr>
        <w:t>COL4A5</w:t>
      </w:r>
      <w:r>
        <w:t xml:space="preserve"> is tested first. In individuals wi</w:t>
      </w:r>
      <w:r w:rsidRPr="00FF2912">
        <w:t xml:space="preserve">th a family history of either autosomal dominant or autosomal recessive inheritance, </w:t>
      </w:r>
      <w:r w:rsidRPr="00FF2912">
        <w:rPr>
          <w:i/>
        </w:rPr>
        <w:t>COL4A3</w:t>
      </w:r>
      <w:r w:rsidRPr="00FF2912">
        <w:t xml:space="preserve"> </w:t>
      </w:r>
      <w:r>
        <w:t xml:space="preserve">is tested </w:t>
      </w:r>
      <w:r w:rsidRPr="00FF2912">
        <w:t xml:space="preserve">first, followed by </w:t>
      </w:r>
      <w:r w:rsidRPr="00FF2912">
        <w:rPr>
          <w:i/>
        </w:rPr>
        <w:t>COL4A4</w:t>
      </w:r>
      <w:r w:rsidRPr="00FF2912">
        <w:t>.</w:t>
      </w:r>
      <w:r>
        <w:t xml:space="preserve"> </w:t>
      </w:r>
      <w:r w:rsidRPr="00FF2912">
        <w:t xml:space="preserve">In some individuals with a negative family history, only a single variant may be found in either </w:t>
      </w:r>
      <w:r w:rsidRPr="00FF2912">
        <w:rPr>
          <w:i/>
        </w:rPr>
        <w:t>COL4A3</w:t>
      </w:r>
      <w:r w:rsidRPr="00FF2912">
        <w:t xml:space="preserve"> or </w:t>
      </w:r>
      <w:r w:rsidRPr="00FF2912">
        <w:rPr>
          <w:i/>
        </w:rPr>
        <w:t>COL4A4</w:t>
      </w:r>
      <w:r w:rsidRPr="00FF2912">
        <w:t xml:space="preserve">. In such cases it may be difficult to determine if the patient has a </w:t>
      </w:r>
      <w:r w:rsidRPr="00FF2912">
        <w:rPr>
          <w:i/>
        </w:rPr>
        <w:t>de novo</w:t>
      </w:r>
      <w:r w:rsidRPr="00FF2912">
        <w:t xml:space="preserve"> dominant variant or a single autosomal recessive variant (with the other variant perhaps not detectable).</w:t>
      </w:r>
      <w:r w:rsidR="00A03925">
        <w:t xml:space="preserve"> </w:t>
      </w:r>
    </w:p>
    <w:p w:rsidR="00093D76" w:rsidRDefault="00FF2912" w:rsidP="00604222">
      <w:r>
        <w:t xml:space="preserve">A </w:t>
      </w:r>
      <w:r w:rsidRPr="00093D76">
        <w:t>multi-gene panel</w:t>
      </w:r>
      <w:r>
        <w:t xml:space="preserve"> is the preferred methodology in some centres </w:t>
      </w:r>
      <w:r w:rsidR="00A05E2A">
        <w:t xml:space="preserve">worldwide </w:t>
      </w:r>
      <w:r>
        <w:t>and i</w:t>
      </w:r>
      <w:r w:rsidRPr="00FF2912">
        <w:t xml:space="preserve">ncludes </w:t>
      </w:r>
      <w:r w:rsidRPr="00FF2912">
        <w:rPr>
          <w:i/>
        </w:rPr>
        <w:t>COL4A5</w:t>
      </w:r>
      <w:r w:rsidRPr="00FF2912">
        <w:t xml:space="preserve">, </w:t>
      </w:r>
      <w:r w:rsidRPr="00FF2912">
        <w:rPr>
          <w:i/>
        </w:rPr>
        <w:t>COL4A3</w:t>
      </w:r>
      <w:r w:rsidRPr="00FF2912">
        <w:t xml:space="preserve">, </w:t>
      </w:r>
      <w:r w:rsidRPr="00FF2912">
        <w:rPr>
          <w:i/>
        </w:rPr>
        <w:t>COL4A4</w:t>
      </w:r>
      <w:r w:rsidRPr="00FF2912">
        <w:t xml:space="preserve">, </w:t>
      </w:r>
      <w:r w:rsidR="00A03925">
        <w:t>plus</w:t>
      </w:r>
      <w:r w:rsidRPr="00FF2912">
        <w:t xml:space="preserve"> other genes of interest (</w:t>
      </w:r>
      <w:r>
        <w:t xml:space="preserve">depending on </w:t>
      </w:r>
      <w:r w:rsidR="000C5540">
        <w:t xml:space="preserve">the </w:t>
      </w:r>
      <w:r>
        <w:t>differential diagnosis</w:t>
      </w:r>
      <w:r w:rsidRPr="00FF2912">
        <w:t>)</w:t>
      </w:r>
      <w:r>
        <w:t xml:space="preserve">. </w:t>
      </w:r>
      <w:r w:rsidR="005348D6">
        <w:t xml:space="preserve">A wider panel of genes is used for the </w:t>
      </w:r>
      <w:proofErr w:type="spellStart"/>
      <w:r w:rsidR="005F52EC">
        <w:t>proband</w:t>
      </w:r>
      <w:proofErr w:type="spellEnd"/>
      <w:r w:rsidR="005348D6">
        <w:t xml:space="preserve"> (affected individual), whil</w:t>
      </w:r>
      <w:r w:rsidR="00A05E2A">
        <w:t xml:space="preserve">e </w:t>
      </w:r>
      <w:r w:rsidR="005348D6">
        <w:t xml:space="preserve">only the identified mutation may be tested </w:t>
      </w:r>
      <w:r w:rsidR="006E5139">
        <w:t>in</w:t>
      </w:r>
      <w:r w:rsidR="005348D6">
        <w:t xml:space="preserve"> biological family members.</w:t>
      </w:r>
    </w:p>
    <w:p w:rsidR="00E43CB7" w:rsidRPr="007B0CB6" w:rsidRDefault="00E43CB7" w:rsidP="00604222">
      <w:r>
        <w:t>W</w:t>
      </w:r>
      <w:r w:rsidR="0036282F">
        <w:t xml:space="preserve">hole </w:t>
      </w:r>
      <w:proofErr w:type="spellStart"/>
      <w:r w:rsidR="0036282F">
        <w:t>exome</w:t>
      </w:r>
      <w:proofErr w:type="spellEnd"/>
      <w:r w:rsidR="0036282F">
        <w:t xml:space="preserve"> sequencing (WES), whole mitochondrial sequencing (</w:t>
      </w:r>
      <w:proofErr w:type="spellStart"/>
      <w:r w:rsidR="0036282F">
        <w:t>WMitoSeq</w:t>
      </w:r>
      <w:proofErr w:type="spellEnd"/>
      <w:r w:rsidR="0036282F">
        <w:t xml:space="preserve">) and whole genome sequencing (WGS) </w:t>
      </w:r>
      <w:r>
        <w:t xml:space="preserve">may be </w:t>
      </w:r>
      <w:r w:rsidR="00A03925">
        <w:t>considered if</w:t>
      </w:r>
      <w:r w:rsidR="0036282F">
        <w:t xml:space="preserve"> </w:t>
      </w:r>
      <w:r>
        <w:t xml:space="preserve">serial single-gene testing and/or use of a multi-gene panel </w:t>
      </w:r>
      <w:r w:rsidR="0036282F">
        <w:t>fails to confirm a diagnosis in an individual with features of AS</w:t>
      </w:r>
      <w:r>
        <w:t>. In some centres, the use of next gen</w:t>
      </w:r>
      <w:r w:rsidR="007B0CB6">
        <w:t xml:space="preserve">eration sequencing is preferred, particularly given the very large size of the </w:t>
      </w:r>
      <w:r w:rsidRPr="00093D76">
        <w:rPr>
          <w:i/>
        </w:rPr>
        <w:t>COL4A5</w:t>
      </w:r>
      <w:r w:rsidRPr="00093D76">
        <w:t xml:space="preserve">, </w:t>
      </w:r>
      <w:r w:rsidRPr="00093D76">
        <w:rPr>
          <w:i/>
        </w:rPr>
        <w:t>COL4A3</w:t>
      </w:r>
      <w:r w:rsidRPr="00093D76">
        <w:t xml:space="preserve"> and </w:t>
      </w:r>
      <w:r w:rsidRPr="00093D76">
        <w:rPr>
          <w:i/>
        </w:rPr>
        <w:t>COL4A4</w:t>
      </w:r>
      <w:r w:rsidRPr="00093D76">
        <w:t xml:space="preserve"> genes </w:t>
      </w:r>
      <w:r w:rsidR="007B0CB6">
        <w:t>(</w:t>
      </w:r>
      <w:r w:rsidRPr="00093D76">
        <w:t>48–53 exons and a coding sequence of more than 5000 </w:t>
      </w:r>
      <w:r>
        <w:t xml:space="preserve">base </w:t>
      </w:r>
      <w:r w:rsidR="007B0CB6">
        <w:t>pairs)</w:t>
      </w:r>
      <w:r w:rsidR="0036282F">
        <w:t>.</w:t>
      </w:r>
      <w:r w:rsidR="007B0CB6">
        <w:t xml:space="preserve"> M</w:t>
      </w:r>
      <w:r w:rsidR="007B0CB6" w:rsidRPr="007B0CB6">
        <w:t>ore than 1168 unique variants are known</w:t>
      </w:r>
      <w:r w:rsidR="007B0CB6">
        <w:t xml:space="preserve"> for </w:t>
      </w:r>
      <w:r w:rsidR="007B0CB6" w:rsidRPr="007B0CB6">
        <w:rPr>
          <w:i/>
        </w:rPr>
        <w:t>COL4A5</w:t>
      </w:r>
      <w:r w:rsidR="007B0CB6">
        <w:t xml:space="preserve">, more than 268 for </w:t>
      </w:r>
      <w:r w:rsidR="007B0CB6" w:rsidRPr="007B0CB6">
        <w:rPr>
          <w:i/>
        </w:rPr>
        <w:t>COL4A4</w:t>
      </w:r>
      <w:r w:rsidR="007B0CB6">
        <w:t xml:space="preserve">, and more than 266 for </w:t>
      </w:r>
      <w:r w:rsidR="007B0CB6" w:rsidRPr="007B0CB6">
        <w:rPr>
          <w:i/>
        </w:rPr>
        <w:t>COL4A3</w:t>
      </w:r>
      <w:r w:rsidR="007B0CB6">
        <w:t>.</w:t>
      </w:r>
      <w:r w:rsidR="007B0CB6">
        <w:rPr>
          <w:rStyle w:val="FootnoteReference"/>
        </w:rPr>
        <w:footnoteReference w:id="12"/>
      </w:r>
    </w:p>
    <w:p w:rsidR="00F66556" w:rsidRDefault="00093D76" w:rsidP="00F66556">
      <w:r w:rsidRPr="00093D76">
        <w:t xml:space="preserve">Targeted next generation sequencing </w:t>
      </w:r>
      <w:r w:rsidR="00C51B38">
        <w:t>offers several advantages over other molecular testing methods, including the identification of s</w:t>
      </w:r>
      <w:r w:rsidRPr="00093D76">
        <w:t xml:space="preserve">ome large </w:t>
      </w:r>
      <w:r w:rsidRPr="00093D76">
        <w:rPr>
          <w:i/>
        </w:rPr>
        <w:t>COL4A3</w:t>
      </w:r>
      <w:r w:rsidRPr="00093D76">
        <w:t xml:space="preserve"> and </w:t>
      </w:r>
      <w:r w:rsidRPr="00093D76">
        <w:rPr>
          <w:i/>
        </w:rPr>
        <w:t>COL4A4</w:t>
      </w:r>
      <w:r w:rsidRPr="00093D76">
        <w:t xml:space="preserve"> rearrangements </w:t>
      </w:r>
      <w:r w:rsidR="00D6101F">
        <w:t xml:space="preserve">that </w:t>
      </w:r>
      <w:r w:rsidRPr="00093D76">
        <w:t>are no</w:t>
      </w:r>
      <w:r>
        <w:t xml:space="preserve">t detected by Sanger sequencing, and </w:t>
      </w:r>
      <w:r w:rsidR="00C51B38">
        <w:t xml:space="preserve">the possibility of </w:t>
      </w:r>
      <w:r w:rsidR="0036282F" w:rsidRPr="0036282F">
        <w:t xml:space="preserve">a diagnosis </w:t>
      </w:r>
      <w:r w:rsidR="0036282F">
        <w:t>not previously considered (e.g.</w:t>
      </w:r>
      <w:r w:rsidR="0036282F" w:rsidRPr="0036282F">
        <w:t xml:space="preserve"> mutation of a different gene that results in a similar clinical presentation).</w:t>
      </w:r>
      <w:r>
        <w:t xml:space="preserve"> </w:t>
      </w:r>
      <w:r w:rsidR="00A03925">
        <w:t>B</w:t>
      </w:r>
      <w:r>
        <w:t xml:space="preserve">est practice guidelines for genetic testing for </w:t>
      </w:r>
      <w:r w:rsidR="00D6101F">
        <w:t>AS</w:t>
      </w:r>
      <w:r>
        <w:t xml:space="preserve"> are expected t</w:t>
      </w:r>
      <w:r w:rsidR="00C51B38">
        <w:t xml:space="preserve">o be published later this year and </w:t>
      </w:r>
      <w:r w:rsidR="00D6101F">
        <w:t xml:space="preserve">will recommend </w:t>
      </w:r>
      <w:r w:rsidR="00A03925">
        <w:t>t</w:t>
      </w:r>
      <w:r w:rsidR="00E4720A">
        <w:t xml:space="preserve">he use of WES, with the expectation that this will ultimately </w:t>
      </w:r>
      <w:r w:rsidRPr="00093D76">
        <w:t>lower</w:t>
      </w:r>
      <w:r w:rsidR="00A03925">
        <w:t xml:space="preserve"> costs and turn-around time</w:t>
      </w:r>
      <w:r w:rsidRPr="00093D76">
        <w:t>.</w:t>
      </w:r>
      <w:r w:rsidR="0014034B">
        <w:rPr>
          <w:rStyle w:val="FootnoteReference"/>
        </w:rPr>
        <w:footnoteReference w:id="13"/>
      </w:r>
    </w:p>
    <w:p w:rsidR="002B3338" w:rsidRDefault="002B3338" w:rsidP="000C5540">
      <w:pPr>
        <w:keepNext/>
        <w:spacing w:before="120" w:after="120"/>
        <w:rPr>
          <w:i/>
        </w:rPr>
      </w:pPr>
      <w:r>
        <w:rPr>
          <w:i/>
          <w:u w:val="single"/>
        </w:rPr>
        <w:t>Rationale</w:t>
      </w:r>
    </w:p>
    <w:p w:rsidR="006E5139" w:rsidRDefault="006E5139" w:rsidP="006E5139">
      <w:r>
        <w:t>Genetic testing for AS can serve several purposes:</w:t>
      </w:r>
    </w:p>
    <w:p w:rsidR="006E5139" w:rsidRDefault="000C5540" w:rsidP="006E5139">
      <w:pPr>
        <w:pStyle w:val="ListBullet"/>
        <w:numPr>
          <w:ilvl w:val="0"/>
          <w:numId w:val="11"/>
        </w:numPr>
      </w:pPr>
      <w:r>
        <w:t>A</w:t>
      </w:r>
      <w:r w:rsidR="006E5139">
        <w:t xml:space="preserve">ssists in establishing a </w:t>
      </w:r>
      <w:r w:rsidR="006E5139" w:rsidRPr="00561F3E">
        <w:t xml:space="preserve">diagnosis of AS in asymptomatic individuals or confirming a diagnosis of AS in symptomatic or </w:t>
      </w:r>
      <w:proofErr w:type="spellStart"/>
      <w:r w:rsidR="006E5139" w:rsidRPr="00561F3E">
        <w:t>oligosymptomatic</w:t>
      </w:r>
      <w:proofErr w:type="spellEnd"/>
      <w:r w:rsidR="006E5139" w:rsidRPr="00561F3E">
        <w:t xml:space="preserve"> </w:t>
      </w:r>
      <w:r>
        <w:t>individuals.</w:t>
      </w:r>
    </w:p>
    <w:p w:rsidR="006E5139" w:rsidRDefault="000C5540" w:rsidP="006E5139">
      <w:pPr>
        <w:pStyle w:val="ListBullet"/>
        <w:numPr>
          <w:ilvl w:val="0"/>
          <w:numId w:val="11"/>
        </w:numPr>
      </w:pPr>
      <w:r>
        <w:t>P</w:t>
      </w:r>
      <w:r w:rsidR="006E5139">
        <w:t>rovides additional information about prognosis and the risk of onset and progression of renal disease and SNHL, thereby guiding the timin</w:t>
      </w:r>
      <w:r>
        <w:t>g and intensity of intervention.</w:t>
      </w:r>
    </w:p>
    <w:p w:rsidR="006E5139" w:rsidRDefault="000C5540" w:rsidP="006E5139">
      <w:pPr>
        <w:pStyle w:val="ListBullet"/>
        <w:numPr>
          <w:ilvl w:val="0"/>
          <w:numId w:val="11"/>
        </w:numPr>
      </w:pPr>
      <w:r>
        <w:t>I</w:t>
      </w:r>
      <w:r w:rsidR="006E5139">
        <w:t>dentifies at r</w:t>
      </w:r>
      <w:r>
        <w:t>isk family members and carriers.</w:t>
      </w:r>
    </w:p>
    <w:p w:rsidR="006E5139" w:rsidRDefault="000C5540" w:rsidP="006E5139">
      <w:pPr>
        <w:pStyle w:val="ListBullet"/>
        <w:numPr>
          <w:ilvl w:val="0"/>
          <w:numId w:val="11"/>
        </w:numPr>
      </w:pPr>
      <w:r>
        <w:lastRenderedPageBreak/>
        <w:t>C</w:t>
      </w:r>
      <w:r w:rsidR="006E5139">
        <w:t xml:space="preserve">larifies family members who are unsuitable for donating a kidney within the family as they are at risk of developing </w:t>
      </w:r>
      <w:r>
        <w:t>the disease.</w:t>
      </w:r>
    </w:p>
    <w:p w:rsidR="00895420" w:rsidRDefault="000C5540" w:rsidP="00895420">
      <w:pPr>
        <w:pStyle w:val="ListBullet"/>
        <w:numPr>
          <w:ilvl w:val="0"/>
          <w:numId w:val="11"/>
        </w:numPr>
      </w:pPr>
      <w:r>
        <w:t>P</w:t>
      </w:r>
      <w:r w:rsidR="006E5139">
        <w:t>rovides reproductive information for those affected and for family members at risk of having a child with the disease.</w:t>
      </w:r>
      <w:r w:rsidR="00895420">
        <w:t xml:space="preserve"> </w:t>
      </w:r>
      <w:r w:rsidR="00895420" w:rsidRPr="008E6AAA">
        <w:t xml:space="preserve">In cases where a parent has a known genetic mutation, prenatal diagnosis </w:t>
      </w:r>
      <w:r w:rsidR="00895420">
        <w:t>(</w:t>
      </w:r>
      <w:r w:rsidR="00895420" w:rsidRPr="008E6AAA">
        <w:t>through chorionic villi sampling or amniocentesis</w:t>
      </w:r>
      <w:r w:rsidR="00895420">
        <w:t xml:space="preserve">) </w:t>
      </w:r>
      <w:r w:rsidR="00895420" w:rsidRPr="008E6AAA">
        <w:t>or pre-implantation genetic diagnosis (PGD) m</w:t>
      </w:r>
      <w:r w:rsidR="00895420">
        <w:t>ay be options</w:t>
      </w:r>
      <w:r w:rsidR="00895420" w:rsidRPr="008E6AAA">
        <w:t xml:space="preserve">. </w:t>
      </w:r>
    </w:p>
    <w:p w:rsidR="00896845" w:rsidRPr="00E364F7" w:rsidRDefault="00896845">
      <w:pPr>
        <w:rPr>
          <w:b/>
        </w:rPr>
      </w:pPr>
      <w:r w:rsidRPr="00E364F7">
        <w:rPr>
          <w:b/>
        </w:rPr>
        <w:t>Comparator</w:t>
      </w:r>
    </w:p>
    <w:p w:rsidR="003104AE" w:rsidRDefault="003104AE" w:rsidP="003104AE">
      <w:r>
        <w:t>The main comparator is no genetic testing for AS, with diagnosis reliant on clinical criteria (</w:t>
      </w:r>
      <w:r w:rsidR="00AC65C6">
        <w:t xml:space="preserve">e.g. </w:t>
      </w:r>
      <w:r w:rsidR="00AC65C6" w:rsidRPr="00AC65C6">
        <w:t>urine analysis, renal fu</w:t>
      </w:r>
      <w:r w:rsidR="00AC65C6">
        <w:t>nction, ophthalmoscopy,</w:t>
      </w:r>
      <w:r w:rsidR="00AC65C6" w:rsidRPr="00AC65C6">
        <w:t xml:space="preserve"> </w:t>
      </w:r>
      <w:proofErr w:type="gramStart"/>
      <w:r w:rsidR="00AC65C6" w:rsidRPr="00AC65C6">
        <w:t>audiometry</w:t>
      </w:r>
      <w:proofErr w:type="gramEnd"/>
      <w:r w:rsidR="00AC65C6">
        <w:t xml:space="preserve">) </w:t>
      </w:r>
      <w:r>
        <w:t>and previous medical and family history, with or without renal biopsy. A</w:t>
      </w:r>
      <w:r w:rsidR="00AC65C6">
        <w:t>lthough</w:t>
      </w:r>
      <w:r>
        <w:t xml:space="preserve"> diagnosis of AS can </w:t>
      </w:r>
      <w:r w:rsidR="00AC65C6">
        <w:t xml:space="preserve">often </w:t>
      </w:r>
      <w:r>
        <w:t>be confirmed with renal biopsy and subsequent visualisation of the specific pathological changes in the GBM, renal biopsy is avoided, where possible, as it confers a risk to the patient (bleeding, infection and pain) and is insensitive for children and for women with XLAS, and in ESR</w:t>
      </w:r>
      <w:r w:rsidR="000F6891">
        <w:t>D</w:t>
      </w:r>
      <w:r>
        <w:t xml:space="preserve"> where extensive scarring masks the distinctive features of AS.</w:t>
      </w:r>
      <w:r w:rsidR="005A252F">
        <w:t xml:space="preserve"> </w:t>
      </w:r>
    </w:p>
    <w:p w:rsidR="005A252F" w:rsidRDefault="005A252F" w:rsidP="003104AE">
      <w:r w:rsidRPr="006E5139">
        <w:t xml:space="preserve">Although genetic testing will obviate the need for a </w:t>
      </w:r>
      <w:r>
        <w:t>renal</w:t>
      </w:r>
      <w:r w:rsidRPr="006E5139">
        <w:t xml:space="preserve"> biopsy</w:t>
      </w:r>
      <w:r>
        <w:t xml:space="preserve"> in the majority of cases</w:t>
      </w:r>
      <w:r w:rsidRPr="006E5139">
        <w:t>, biopsy may be helpful when interpreting ‘grey area’ results in genetic tests (e.g. variants of unknown significance).</w:t>
      </w:r>
      <w:r>
        <w:t xml:space="preserve"> </w:t>
      </w:r>
    </w:p>
    <w:p w:rsidR="0045611E" w:rsidRDefault="008F37D5" w:rsidP="00114DA6">
      <w:r>
        <w:t xml:space="preserve">The known strong genotype-phenotype correlation provides a rationale for using genotype data to guide the timing and intensity of intervention. In the absence of </w:t>
      </w:r>
      <w:r w:rsidRPr="0045611E">
        <w:rPr>
          <w:i/>
        </w:rPr>
        <w:t>COL4A5</w:t>
      </w:r>
      <w:r>
        <w:t xml:space="preserve"> genotype data, timing of ESRD </w:t>
      </w:r>
      <w:r w:rsidR="0045611E">
        <w:t>is predicted for a young affected male on the basis of ESRD timing in older affected male relatives</w:t>
      </w:r>
      <w:r w:rsidR="00AC65C6">
        <w:t>, as age at ESRD is fairly similar among affected males in most families with XLAS</w:t>
      </w:r>
      <w:r w:rsidR="0045611E">
        <w:t>. In XLAS females,</w:t>
      </w:r>
      <w:r w:rsidR="00AC65C6">
        <w:t xml:space="preserve"> where no such relationship exists,</w:t>
      </w:r>
      <w:r w:rsidR="0045611E">
        <w:t xml:space="preserve"> the timing and intensity of intervention is guided by risk factors for progression to ESRD, such as proteinuria, gross haematuria and hearing loss. </w:t>
      </w:r>
      <w:r w:rsidR="00AC65C6">
        <w:t>In individuals with</w:t>
      </w:r>
      <w:r w:rsidR="00FF4505">
        <w:t xml:space="preserve"> ADAS</w:t>
      </w:r>
      <w:r w:rsidR="00AC65C6">
        <w:t>, disease</w:t>
      </w:r>
      <w:r w:rsidR="00FF4505">
        <w:t xml:space="preserve"> tends to progress relatively </w:t>
      </w:r>
      <w:r w:rsidR="00AC65C6">
        <w:t xml:space="preserve">slowly and </w:t>
      </w:r>
      <w:r w:rsidR="00FF4505">
        <w:t>there is less urgency to consider initiation of intervention in childhood.</w:t>
      </w:r>
    </w:p>
    <w:p w:rsidR="00896845" w:rsidRDefault="00896845" w:rsidP="00100D05">
      <w:pPr>
        <w:keepNext/>
        <w:rPr>
          <w:b/>
        </w:rPr>
      </w:pPr>
      <w:r w:rsidRPr="00100D05">
        <w:rPr>
          <w:b/>
        </w:rPr>
        <w:t>Outcomes</w:t>
      </w:r>
    </w:p>
    <w:p w:rsidR="0043159D" w:rsidRDefault="000818FF" w:rsidP="000F6891">
      <w:r w:rsidRPr="000818FF">
        <w:t xml:space="preserve">From a clinical perspective, an accurate </w:t>
      </w:r>
      <w:r>
        <w:t xml:space="preserve">genotypic </w:t>
      </w:r>
      <w:r w:rsidRPr="000818FF">
        <w:t xml:space="preserve">diagnosis of </w:t>
      </w:r>
      <w:r>
        <w:t xml:space="preserve">AS </w:t>
      </w:r>
      <w:r w:rsidRPr="000818FF">
        <w:t xml:space="preserve">is important because of its </w:t>
      </w:r>
      <w:r>
        <w:t xml:space="preserve">prognostic and </w:t>
      </w:r>
      <w:r w:rsidRPr="000818FF">
        <w:t xml:space="preserve">therapeutic implications for the patient. </w:t>
      </w:r>
    </w:p>
    <w:p w:rsidR="0043159D" w:rsidRDefault="000818FF" w:rsidP="000F6891">
      <w:r w:rsidRPr="000818FF">
        <w:t xml:space="preserve">Patients who are misdiagnosed </w:t>
      </w:r>
      <w:r w:rsidR="0043159D">
        <w:t xml:space="preserve">(false positive test result) </w:t>
      </w:r>
      <w:r w:rsidRPr="000818FF">
        <w:t>may be labelled as having a chronic</w:t>
      </w:r>
      <w:r>
        <w:t>, rapidly progressive</w:t>
      </w:r>
      <w:r w:rsidRPr="000818FF">
        <w:t xml:space="preserve"> disease when none exists, creating anxiety for them and their families. Misdiagnosed patients may then go on to receive inappropriate therapy (potentially lifelong), exposing them needlessly to possible side effects (albeit usually minor)</w:t>
      </w:r>
      <w:r w:rsidR="0043159D">
        <w:t>, health care resource use</w:t>
      </w:r>
      <w:r w:rsidRPr="000818FF">
        <w:t xml:space="preserve"> and costs, while the true underlying pathology remains undiagnosed</w:t>
      </w:r>
      <w:r>
        <w:t xml:space="preserve"> and untreated. </w:t>
      </w:r>
    </w:p>
    <w:p w:rsidR="000818FF" w:rsidRDefault="000818FF" w:rsidP="000F6891">
      <w:r>
        <w:t>The consequence</w:t>
      </w:r>
      <w:r w:rsidRPr="000818FF">
        <w:t xml:space="preserve"> of a missed diagnosis</w:t>
      </w:r>
      <w:r w:rsidR="0043159D">
        <w:t xml:space="preserve"> (false negative test result)</w:t>
      </w:r>
      <w:r w:rsidRPr="000818FF">
        <w:t xml:space="preserve"> include</w:t>
      </w:r>
      <w:r>
        <w:t>s</w:t>
      </w:r>
      <w:r w:rsidRPr="000818FF">
        <w:t xml:space="preserve"> </w:t>
      </w:r>
      <w:r>
        <w:t>further diagnostic testing</w:t>
      </w:r>
      <w:r w:rsidRPr="000818FF">
        <w:t xml:space="preserve">, </w:t>
      </w:r>
      <w:r>
        <w:t xml:space="preserve">delayed treatment onset </w:t>
      </w:r>
      <w:r w:rsidRPr="000818FF">
        <w:t xml:space="preserve">and </w:t>
      </w:r>
      <w:r>
        <w:t>faster</w:t>
      </w:r>
      <w:r w:rsidRPr="000818FF">
        <w:t xml:space="preserve"> </w:t>
      </w:r>
      <w:r>
        <w:t xml:space="preserve">progression to ESRD in the </w:t>
      </w:r>
      <w:proofErr w:type="spellStart"/>
      <w:r>
        <w:t>proband</w:t>
      </w:r>
      <w:proofErr w:type="spellEnd"/>
      <w:r>
        <w:t xml:space="preserve"> and other family members, and a risk of </w:t>
      </w:r>
      <w:r w:rsidR="0043159D">
        <w:t xml:space="preserve">inadvertently </w:t>
      </w:r>
      <w:r>
        <w:t>passing on the genetic defect to offspring.</w:t>
      </w:r>
    </w:p>
    <w:p w:rsidR="0043159D" w:rsidRDefault="0043159D" w:rsidP="000F6891">
      <w:r>
        <w:t>The following outcomes are considered relevant to the assessment of the comparative effectiveness and safety of genetic testing for AS.</w:t>
      </w:r>
    </w:p>
    <w:p w:rsidR="00901E67" w:rsidRPr="0043159D" w:rsidRDefault="00901E67" w:rsidP="0043159D">
      <w:pPr>
        <w:keepNext/>
        <w:spacing w:before="120" w:after="120"/>
        <w:rPr>
          <w:i/>
          <w:u w:val="single"/>
        </w:rPr>
      </w:pPr>
      <w:r w:rsidRPr="0043159D">
        <w:rPr>
          <w:i/>
          <w:u w:val="single"/>
        </w:rPr>
        <w:lastRenderedPageBreak/>
        <w:t xml:space="preserve">Diagnostic </w:t>
      </w:r>
      <w:r w:rsidR="006C30F5" w:rsidRPr="0043159D">
        <w:rPr>
          <w:i/>
          <w:u w:val="single"/>
        </w:rPr>
        <w:t>performance</w:t>
      </w:r>
    </w:p>
    <w:p w:rsidR="008B41EC" w:rsidRPr="00100D05" w:rsidRDefault="006C30F5" w:rsidP="00100D05">
      <w:pPr>
        <w:pStyle w:val="ListBullet"/>
        <w:numPr>
          <w:ilvl w:val="0"/>
          <w:numId w:val="11"/>
        </w:numPr>
      </w:pPr>
      <w:r w:rsidRPr="00100D05">
        <w:t>Analytical s</w:t>
      </w:r>
      <w:r w:rsidR="00D0182D" w:rsidRPr="00100D05">
        <w:t>ensitivity</w:t>
      </w:r>
    </w:p>
    <w:p w:rsidR="00901E67" w:rsidRPr="00100D05" w:rsidRDefault="008B41EC" w:rsidP="00100D05">
      <w:pPr>
        <w:pStyle w:val="ListBullet"/>
        <w:numPr>
          <w:ilvl w:val="0"/>
          <w:numId w:val="11"/>
        </w:numPr>
      </w:pPr>
      <w:r w:rsidRPr="00100D05">
        <w:t xml:space="preserve">Analytical </w:t>
      </w:r>
      <w:r w:rsidR="006C30F5" w:rsidRPr="00100D05">
        <w:t>s</w:t>
      </w:r>
      <w:r w:rsidR="00D0182D" w:rsidRPr="00100D05">
        <w:t>pecificity</w:t>
      </w:r>
    </w:p>
    <w:p w:rsidR="006C30F5" w:rsidRPr="00100D05" w:rsidRDefault="006C30F5" w:rsidP="00100D05">
      <w:pPr>
        <w:pStyle w:val="ListBullet"/>
        <w:numPr>
          <w:ilvl w:val="0"/>
          <w:numId w:val="11"/>
        </w:numPr>
      </w:pPr>
      <w:r w:rsidRPr="00100D05">
        <w:t>Likelihood ratios</w:t>
      </w:r>
    </w:p>
    <w:p w:rsidR="006C30F5" w:rsidRPr="00100D05" w:rsidRDefault="006C30F5" w:rsidP="00100D05">
      <w:pPr>
        <w:pStyle w:val="ListBullet"/>
        <w:numPr>
          <w:ilvl w:val="0"/>
          <w:numId w:val="11"/>
        </w:numPr>
      </w:pPr>
      <w:r w:rsidRPr="00100D05">
        <w:t>Rate of repeat testing required</w:t>
      </w:r>
    </w:p>
    <w:p w:rsidR="006C30F5" w:rsidRPr="00100D05" w:rsidRDefault="006C30F5" w:rsidP="00100D05">
      <w:pPr>
        <w:pStyle w:val="ListBullet"/>
        <w:numPr>
          <w:ilvl w:val="0"/>
          <w:numId w:val="11"/>
        </w:numPr>
      </w:pPr>
      <w:r w:rsidRPr="00100D05">
        <w:t>Time taken to achieve confirmed result</w:t>
      </w:r>
    </w:p>
    <w:p w:rsidR="006C30F5" w:rsidRPr="0043159D" w:rsidRDefault="00D87785" w:rsidP="0043159D">
      <w:pPr>
        <w:keepNext/>
        <w:spacing w:before="120" w:after="120"/>
        <w:rPr>
          <w:i/>
          <w:u w:val="single"/>
        </w:rPr>
      </w:pPr>
      <w:r>
        <w:rPr>
          <w:i/>
          <w:u w:val="single"/>
        </w:rPr>
        <w:t>Clinical validity</w:t>
      </w:r>
    </w:p>
    <w:p w:rsidR="008B41EC" w:rsidRPr="00100D05" w:rsidRDefault="008B41EC" w:rsidP="00100D05">
      <w:pPr>
        <w:pStyle w:val="ListBullet"/>
        <w:numPr>
          <w:ilvl w:val="0"/>
          <w:numId w:val="11"/>
        </w:numPr>
      </w:pPr>
      <w:r w:rsidRPr="00100D05">
        <w:t>Clinical sensitivity</w:t>
      </w:r>
    </w:p>
    <w:p w:rsidR="008B41EC" w:rsidRPr="00100D05" w:rsidRDefault="008B41EC" w:rsidP="00100D05">
      <w:pPr>
        <w:pStyle w:val="ListBullet"/>
        <w:numPr>
          <w:ilvl w:val="0"/>
          <w:numId w:val="11"/>
        </w:numPr>
      </w:pPr>
      <w:r w:rsidRPr="00100D05">
        <w:t>Clinical specificity</w:t>
      </w:r>
    </w:p>
    <w:p w:rsidR="006C30F5" w:rsidRPr="00100D05" w:rsidRDefault="006C30F5" w:rsidP="00100D05">
      <w:pPr>
        <w:pStyle w:val="ListBullet"/>
        <w:numPr>
          <w:ilvl w:val="0"/>
          <w:numId w:val="11"/>
        </w:numPr>
      </w:pPr>
      <w:r w:rsidRPr="00100D05">
        <w:t>Positive and negative predictive values</w:t>
      </w:r>
    </w:p>
    <w:p w:rsidR="006C30F5" w:rsidRPr="00100D05" w:rsidRDefault="008B41EC" w:rsidP="00100D05">
      <w:pPr>
        <w:pStyle w:val="ListBullet"/>
        <w:numPr>
          <w:ilvl w:val="0"/>
          <w:numId w:val="11"/>
        </w:numPr>
      </w:pPr>
      <w:r w:rsidRPr="00100D05">
        <w:t>Prognostic value</w:t>
      </w:r>
    </w:p>
    <w:p w:rsidR="00901E67" w:rsidRPr="0043159D" w:rsidRDefault="008B41EC" w:rsidP="0043159D">
      <w:pPr>
        <w:keepNext/>
        <w:spacing w:before="120" w:after="120"/>
        <w:rPr>
          <w:i/>
          <w:u w:val="single"/>
        </w:rPr>
      </w:pPr>
      <w:r w:rsidRPr="0043159D">
        <w:rPr>
          <w:i/>
          <w:u w:val="single"/>
        </w:rPr>
        <w:t>Clinical utility</w:t>
      </w:r>
    </w:p>
    <w:p w:rsidR="00901E67" w:rsidRPr="00100D05" w:rsidRDefault="00643C66" w:rsidP="00100D05">
      <w:pPr>
        <w:pStyle w:val="ListBullet"/>
        <w:numPr>
          <w:ilvl w:val="0"/>
          <w:numId w:val="11"/>
        </w:numPr>
      </w:pPr>
      <w:r>
        <w:t>Impact on</w:t>
      </w:r>
      <w:r w:rsidR="00901E67" w:rsidRPr="00100D05">
        <w:t xml:space="preserve"> </w:t>
      </w:r>
      <w:r w:rsidR="00100D05">
        <w:t xml:space="preserve">clinical management </w:t>
      </w:r>
      <w:r>
        <w:t xml:space="preserve">of </w:t>
      </w:r>
      <w:proofErr w:type="spellStart"/>
      <w:r>
        <w:t>proband</w:t>
      </w:r>
      <w:proofErr w:type="spellEnd"/>
      <w:r>
        <w:t xml:space="preserve"> </w:t>
      </w:r>
      <w:r w:rsidR="00100D05">
        <w:t>(</w:t>
      </w:r>
      <w:r w:rsidRPr="00100D05">
        <w:t>other diagnostic testing</w:t>
      </w:r>
      <w:r>
        <w:t>, referrals, onset and intensity of therapy)</w:t>
      </w:r>
    </w:p>
    <w:p w:rsidR="00643C66" w:rsidRPr="00100D05" w:rsidRDefault="00643C66" w:rsidP="00643C66">
      <w:pPr>
        <w:pStyle w:val="ListBullet"/>
        <w:numPr>
          <w:ilvl w:val="0"/>
          <w:numId w:val="11"/>
        </w:numPr>
      </w:pPr>
      <w:r>
        <w:t>Impact on</w:t>
      </w:r>
      <w:r w:rsidRPr="00100D05">
        <w:t xml:space="preserve"> </w:t>
      </w:r>
      <w:r>
        <w:t xml:space="preserve">clinical management of family members (genetic testing, </w:t>
      </w:r>
      <w:r w:rsidRPr="00100D05">
        <w:t>other diagnostic testing</w:t>
      </w:r>
      <w:r>
        <w:t xml:space="preserve">, referrals, </w:t>
      </w:r>
      <w:r w:rsidR="000F6891">
        <w:t>onset and intensity of therapy</w:t>
      </w:r>
      <w:r>
        <w:t>)</w:t>
      </w:r>
    </w:p>
    <w:p w:rsidR="00B14FAD" w:rsidRDefault="00643C66" w:rsidP="00643C66">
      <w:pPr>
        <w:pStyle w:val="ListBullet"/>
        <w:numPr>
          <w:ilvl w:val="0"/>
          <w:numId w:val="11"/>
        </w:numPr>
      </w:pPr>
      <w:r>
        <w:t xml:space="preserve">Impact on reproductive choices of </w:t>
      </w:r>
      <w:proofErr w:type="spellStart"/>
      <w:r>
        <w:t>proband</w:t>
      </w:r>
      <w:proofErr w:type="spellEnd"/>
      <w:r w:rsidR="00B14FAD" w:rsidRPr="00100D05">
        <w:t xml:space="preserve"> </w:t>
      </w:r>
      <w:r>
        <w:t>(</w:t>
      </w:r>
      <w:r w:rsidR="00B14FAD" w:rsidRPr="00100D05">
        <w:t>prenatal diagnosis</w:t>
      </w:r>
      <w:r>
        <w:t xml:space="preserve"> and </w:t>
      </w:r>
      <w:r w:rsidR="00D01D8C">
        <w:t>PGD</w:t>
      </w:r>
      <w:r>
        <w:t>)</w:t>
      </w:r>
    </w:p>
    <w:p w:rsidR="00643C66" w:rsidRDefault="00643C66" w:rsidP="00643C66">
      <w:pPr>
        <w:pStyle w:val="ListBullet"/>
        <w:numPr>
          <w:ilvl w:val="0"/>
          <w:numId w:val="11"/>
        </w:numPr>
      </w:pPr>
      <w:r>
        <w:t>Impact on reproductive choices of family members</w:t>
      </w:r>
      <w:r w:rsidRPr="00100D05">
        <w:t xml:space="preserve"> </w:t>
      </w:r>
      <w:r>
        <w:t>(</w:t>
      </w:r>
      <w:r w:rsidRPr="00100D05">
        <w:t>prenatal diagnosis</w:t>
      </w:r>
      <w:r>
        <w:t xml:space="preserve"> and </w:t>
      </w:r>
      <w:r w:rsidR="004D7373">
        <w:t>PGD</w:t>
      </w:r>
      <w:r>
        <w:t>)</w:t>
      </w:r>
    </w:p>
    <w:p w:rsidR="00396B03" w:rsidRDefault="00396B03" w:rsidP="00643C66">
      <w:pPr>
        <w:pStyle w:val="ListBullet"/>
        <w:numPr>
          <w:ilvl w:val="0"/>
          <w:numId w:val="11"/>
        </w:numPr>
      </w:pPr>
      <w:r>
        <w:t xml:space="preserve">Impact on kidney donation to </w:t>
      </w:r>
      <w:r w:rsidR="0043159D">
        <w:t xml:space="preserve">a </w:t>
      </w:r>
      <w:r>
        <w:t>family member</w:t>
      </w:r>
    </w:p>
    <w:p w:rsidR="00646A61" w:rsidRPr="00100D05" w:rsidRDefault="00643C66" w:rsidP="00643C66">
      <w:pPr>
        <w:pStyle w:val="ListBullet"/>
        <w:numPr>
          <w:ilvl w:val="0"/>
          <w:numId w:val="11"/>
        </w:numPr>
      </w:pPr>
      <w:r>
        <w:t>Therapeutic</w:t>
      </w:r>
      <w:r w:rsidR="00646A61" w:rsidRPr="00100D05">
        <w:t xml:space="preserve"> effectiveness</w:t>
      </w:r>
    </w:p>
    <w:p w:rsidR="00D0182D" w:rsidRPr="00100D05" w:rsidRDefault="00D0182D" w:rsidP="00643C66">
      <w:pPr>
        <w:pStyle w:val="ListBullet"/>
        <w:numPr>
          <w:ilvl w:val="1"/>
          <w:numId w:val="11"/>
        </w:numPr>
        <w:ind w:left="1134" w:hanging="283"/>
      </w:pPr>
      <w:r w:rsidRPr="00100D05">
        <w:t>Time to disease progression</w:t>
      </w:r>
    </w:p>
    <w:p w:rsidR="00D0182D" w:rsidRDefault="00D0182D" w:rsidP="00643C66">
      <w:pPr>
        <w:pStyle w:val="ListBullet"/>
        <w:numPr>
          <w:ilvl w:val="1"/>
          <w:numId w:val="11"/>
        </w:numPr>
        <w:ind w:left="1134" w:hanging="283"/>
      </w:pPr>
      <w:r w:rsidRPr="00100D05">
        <w:t>Time to ESRD</w:t>
      </w:r>
    </w:p>
    <w:p w:rsidR="00B14FAD" w:rsidRPr="00100D05" w:rsidRDefault="00B14FAD" w:rsidP="00643C66">
      <w:pPr>
        <w:pStyle w:val="ListBullet"/>
        <w:numPr>
          <w:ilvl w:val="1"/>
          <w:numId w:val="11"/>
        </w:numPr>
        <w:ind w:left="1134" w:hanging="283"/>
      </w:pPr>
      <w:r w:rsidRPr="00100D05">
        <w:t>Time to SNHL</w:t>
      </w:r>
    </w:p>
    <w:p w:rsidR="00646A61" w:rsidRPr="00100D05" w:rsidRDefault="00D0182D" w:rsidP="00100D05">
      <w:pPr>
        <w:pStyle w:val="ListBullet"/>
        <w:numPr>
          <w:ilvl w:val="0"/>
          <w:numId w:val="11"/>
        </w:numPr>
      </w:pPr>
      <w:r w:rsidRPr="00100D05">
        <w:t>Health-related quality of life (</w:t>
      </w:r>
      <w:proofErr w:type="spellStart"/>
      <w:r w:rsidRPr="00100D05">
        <w:t>HRQoL</w:t>
      </w:r>
      <w:proofErr w:type="spellEnd"/>
      <w:r w:rsidRPr="00100D05">
        <w:t>)</w:t>
      </w:r>
    </w:p>
    <w:p w:rsidR="00646A61" w:rsidRPr="0043159D" w:rsidRDefault="00D87785" w:rsidP="0043159D">
      <w:pPr>
        <w:keepNext/>
        <w:spacing w:before="120" w:after="120"/>
        <w:rPr>
          <w:i/>
          <w:u w:val="single"/>
        </w:rPr>
      </w:pPr>
      <w:r>
        <w:rPr>
          <w:i/>
          <w:u w:val="single"/>
        </w:rPr>
        <w:t>Safety</w:t>
      </w:r>
    </w:p>
    <w:p w:rsidR="00100D05" w:rsidRDefault="00396B03" w:rsidP="00396B03">
      <w:pPr>
        <w:pStyle w:val="ListBullet"/>
        <w:numPr>
          <w:ilvl w:val="0"/>
          <w:numId w:val="11"/>
        </w:numPr>
      </w:pPr>
      <w:r>
        <w:t>Physical harms and c</w:t>
      </w:r>
      <w:r w:rsidR="00100D05">
        <w:t>omplications from testing</w:t>
      </w:r>
    </w:p>
    <w:p w:rsidR="00396B03" w:rsidRDefault="00396B03" w:rsidP="00396B03">
      <w:pPr>
        <w:pStyle w:val="ListBullet"/>
        <w:numPr>
          <w:ilvl w:val="0"/>
          <w:numId w:val="11"/>
        </w:numPr>
      </w:pPr>
      <w:r>
        <w:t>Physical and psychological harms resulting from misdiagnosis</w:t>
      </w:r>
    </w:p>
    <w:p w:rsidR="00396B03" w:rsidRDefault="00396B03" w:rsidP="00396B03">
      <w:pPr>
        <w:pStyle w:val="ListBullet"/>
        <w:numPr>
          <w:ilvl w:val="0"/>
          <w:numId w:val="11"/>
        </w:numPr>
      </w:pPr>
      <w:r>
        <w:t>Physical and psychological harms of time delay to diagnosis</w:t>
      </w:r>
    </w:p>
    <w:p w:rsidR="00396B03" w:rsidRDefault="00E25E35" w:rsidP="00396B03">
      <w:pPr>
        <w:pStyle w:val="ListBullet"/>
        <w:numPr>
          <w:ilvl w:val="0"/>
          <w:numId w:val="11"/>
        </w:numPr>
      </w:pPr>
      <w:r>
        <w:t>P</w:t>
      </w:r>
      <w:r w:rsidR="00396B03">
        <w:t>sychological effects to a parent of passing on a genetic disease</w:t>
      </w:r>
    </w:p>
    <w:p w:rsidR="00396B03" w:rsidRDefault="00396B03" w:rsidP="00396B03">
      <w:pPr>
        <w:pStyle w:val="ListBullet"/>
        <w:numPr>
          <w:ilvl w:val="0"/>
          <w:numId w:val="11"/>
        </w:numPr>
      </w:pPr>
      <w:r>
        <w:t>Physical and psychological effects to a child of being born with a genetic disease</w:t>
      </w:r>
    </w:p>
    <w:p w:rsidR="00DA4E95" w:rsidRPr="00DA4E95" w:rsidRDefault="00DA4E95" w:rsidP="00DA4E95">
      <w:pPr>
        <w:keepNext/>
        <w:spacing w:before="120" w:after="120"/>
        <w:rPr>
          <w:i/>
          <w:u w:val="single"/>
        </w:rPr>
      </w:pPr>
      <w:r w:rsidRPr="00DA4E95">
        <w:rPr>
          <w:i/>
          <w:u w:val="single"/>
        </w:rPr>
        <w:t xml:space="preserve">Health care </w:t>
      </w:r>
      <w:r w:rsidR="00F07DA2">
        <w:rPr>
          <w:i/>
          <w:u w:val="single"/>
        </w:rPr>
        <w:t>system</w:t>
      </w:r>
    </w:p>
    <w:p w:rsidR="00A01E47" w:rsidRDefault="00DA4E95" w:rsidP="00DA4E95">
      <w:proofErr w:type="gramStart"/>
      <w:r>
        <w:t>The availability of genetic testing for AS will have implications for the Australian health care system.</w:t>
      </w:r>
      <w:proofErr w:type="gramEnd"/>
      <w:r>
        <w:t xml:space="preserve"> </w:t>
      </w:r>
      <w:r w:rsidR="00A01E47">
        <w:t xml:space="preserve">Genetic testing of </w:t>
      </w:r>
      <w:proofErr w:type="spellStart"/>
      <w:r w:rsidR="00A01E47">
        <w:t>probands</w:t>
      </w:r>
      <w:proofErr w:type="spellEnd"/>
      <w:r w:rsidR="00A01E47">
        <w:t xml:space="preserve"> and their families will require access to Clinical G</w:t>
      </w:r>
      <w:r>
        <w:t>enetic s</w:t>
      </w:r>
      <w:r w:rsidR="00F07DA2">
        <w:t>ervices and Genetic C</w:t>
      </w:r>
      <w:r w:rsidR="00A01E47">
        <w:t>ounselling</w:t>
      </w:r>
      <w:r w:rsidR="00F07DA2">
        <w:t xml:space="preserve"> services</w:t>
      </w:r>
      <w:r w:rsidR="00A01E47">
        <w:t xml:space="preserve">. Depending on the genetic variant identified, </w:t>
      </w:r>
      <w:proofErr w:type="spellStart"/>
      <w:r w:rsidR="00A01E47">
        <w:t>probands</w:t>
      </w:r>
      <w:proofErr w:type="spellEnd"/>
      <w:r w:rsidR="00A01E47">
        <w:t xml:space="preserve"> may be initiated on treatment earlier, which </w:t>
      </w:r>
      <w:r w:rsidR="00F07DA2">
        <w:t>has implications for</w:t>
      </w:r>
      <w:r w:rsidR="00A01E47">
        <w:t xml:space="preserve"> </w:t>
      </w:r>
      <w:r w:rsidR="00F07DA2">
        <w:t xml:space="preserve">the PBS and other </w:t>
      </w:r>
      <w:r w:rsidR="00A01E47">
        <w:t xml:space="preserve">health care resource use </w:t>
      </w:r>
      <w:r w:rsidR="00F07DA2">
        <w:t>due to</w:t>
      </w:r>
      <w:r w:rsidR="00A01E47">
        <w:t xml:space="preserve"> more frequent follow-up. </w:t>
      </w:r>
      <w:r w:rsidR="00F07DA2">
        <w:t>However</w:t>
      </w:r>
      <w:r w:rsidR="00A01E47">
        <w:t xml:space="preserve">, </w:t>
      </w:r>
      <w:r w:rsidR="00F07DA2">
        <w:t xml:space="preserve">earlier diagnosis and initiation of treatment has the </w:t>
      </w:r>
      <w:r w:rsidR="00A01E47">
        <w:t xml:space="preserve">potential </w:t>
      </w:r>
      <w:r w:rsidR="00F07DA2">
        <w:t xml:space="preserve">to result in cost and health care resource use </w:t>
      </w:r>
      <w:r w:rsidR="00A01E47">
        <w:t xml:space="preserve">offsets </w:t>
      </w:r>
      <w:r w:rsidR="00F07DA2">
        <w:t>due to</w:t>
      </w:r>
      <w:r w:rsidR="00A01E47">
        <w:t xml:space="preserve"> </w:t>
      </w:r>
      <w:r w:rsidR="00F07DA2">
        <w:t>delayed ESRD, dialysis and kidney transplant.</w:t>
      </w:r>
    </w:p>
    <w:p w:rsidR="00896845" w:rsidRPr="00BC7D99" w:rsidRDefault="00896845" w:rsidP="00BC7D99">
      <w:pPr>
        <w:pStyle w:val="Heading2"/>
      </w:pPr>
      <w:r w:rsidRPr="00BC7D99">
        <w:lastRenderedPageBreak/>
        <w:t>Current clinical management algorithm</w:t>
      </w:r>
      <w:r w:rsidR="002B3338" w:rsidRPr="00BC7D99">
        <w:t xml:space="preserve"> for identified population</w:t>
      </w:r>
    </w:p>
    <w:p w:rsidR="00DA430B" w:rsidRDefault="005A45B3" w:rsidP="00DA430B">
      <w:pPr>
        <w:keepNext/>
        <w:jc w:val="center"/>
      </w:pPr>
      <w:r>
        <w:rPr>
          <w:noProof/>
          <w:lang w:eastAsia="en-AU"/>
        </w:rPr>
        <w:drawing>
          <wp:inline distT="0" distB="0" distL="0" distR="0" wp14:anchorId="1D35DA2C" wp14:editId="35FF7FC9">
            <wp:extent cx="4388106" cy="5556250"/>
            <wp:effectExtent l="19050" t="19050" r="12700" b="25400"/>
            <wp:docPr id="4" name="Picture 4" descr="Current clinical management algorithm for identified population.  Please refer to following description of th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nagement algorithm Alport syndrome_03Nov2016v3.tif"/>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454625" cy="564047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A45B3" w:rsidRDefault="00DA430B" w:rsidP="00DA430B">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w:t>
      </w:r>
      <w:r w:rsidRPr="00EC5EB3">
        <w:t>Current clinical management algorithm for identified population</w:t>
      </w:r>
    </w:p>
    <w:p w:rsidR="00DA430B" w:rsidRPr="00DA430B" w:rsidRDefault="00DA430B" w:rsidP="00DA430B">
      <w:pPr>
        <w:rPr>
          <w:lang w:val="en-GB" w:eastAsia="ja-JP"/>
        </w:rPr>
      </w:pPr>
    </w:p>
    <w:p w:rsidR="00A94E92" w:rsidRPr="00A94E92" w:rsidRDefault="00AF1447" w:rsidP="00A94E92">
      <w:r>
        <w:t>In the absence of genetic testing, t</w:t>
      </w:r>
      <w:r w:rsidR="00A94E92" w:rsidRPr="00A94E92">
        <w:t xml:space="preserve">he diagnosis of </w:t>
      </w:r>
      <w:r w:rsidR="00B16144">
        <w:t>AS</w:t>
      </w:r>
      <w:r w:rsidR="00A94E92">
        <w:t xml:space="preserve">, </w:t>
      </w:r>
      <w:r w:rsidR="00A94E92" w:rsidRPr="00A94E92">
        <w:t>and</w:t>
      </w:r>
      <w:r w:rsidR="00A94E92">
        <w:t xml:space="preserve"> its differentiation from</w:t>
      </w:r>
      <w:r w:rsidR="00A94E92" w:rsidRPr="00A94E92">
        <w:t xml:space="preserve"> </w:t>
      </w:r>
      <w:r w:rsidR="00B16144">
        <w:t xml:space="preserve">other conditions (including </w:t>
      </w:r>
      <w:r w:rsidR="00A94E92">
        <w:t>TB</w:t>
      </w:r>
      <w:r w:rsidR="00E4720A">
        <w:t>MN</w:t>
      </w:r>
      <w:r w:rsidR="00B16144">
        <w:t>)</w:t>
      </w:r>
      <w:r w:rsidR="00A94E92">
        <w:t>,</w:t>
      </w:r>
      <w:r w:rsidR="00A94E92" w:rsidRPr="00A94E92">
        <w:t xml:space="preserve"> </w:t>
      </w:r>
      <w:r w:rsidR="00A94E92">
        <w:t>relies</w:t>
      </w:r>
      <w:r w:rsidR="00A94E92" w:rsidRPr="00A94E92">
        <w:t xml:space="preserve"> on:</w:t>
      </w:r>
    </w:p>
    <w:p w:rsidR="00A94E92" w:rsidRPr="00E4720A" w:rsidRDefault="00AF1447" w:rsidP="00E4720A">
      <w:pPr>
        <w:pStyle w:val="ListBullet"/>
        <w:numPr>
          <w:ilvl w:val="0"/>
          <w:numId w:val="11"/>
        </w:numPr>
      </w:pPr>
      <w:r w:rsidRPr="00E4720A">
        <w:t>h</w:t>
      </w:r>
      <w:r w:rsidR="00A94E92" w:rsidRPr="00E4720A">
        <w:t xml:space="preserve">istory and </w:t>
      </w:r>
      <w:r w:rsidR="00E4720A">
        <w:t xml:space="preserve">clinical </w:t>
      </w:r>
      <w:r w:rsidR="00A94E92" w:rsidRPr="00E4720A">
        <w:t xml:space="preserve">examination, which may include </w:t>
      </w:r>
      <w:r w:rsidR="00E4720A">
        <w:t>urine analysis</w:t>
      </w:r>
      <w:r w:rsidR="00A94E92" w:rsidRPr="00E4720A">
        <w:t xml:space="preserve">, </w:t>
      </w:r>
      <w:r w:rsidR="00E4720A">
        <w:t>renal function study, ophthalmoscopy and audiometry</w:t>
      </w:r>
      <w:r w:rsidR="00A94E92" w:rsidRPr="00E4720A">
        <w:t>;</w:t>
      </w:r>
    </w:p>
    <w:p w:rsidR="00A94E92" w:rsidRPr="00E4720A" w:rsidRDefault="00AF1447" w:rsidP="00E4720A">
      <w:pPr>
        <w:pStyle w:val="ListBullet"/>
        <w:numPr>
          <w:ilvl w:val="0"/>
          <w:numId w:val="11"/>
        </w:numPr>
      </w:pPr>
      <w:r w:rsidRPr="00E4720A">
        <w:t>d</w:t>
      </w:r>
      <w:r w:rsidR="00A94E92" w:rsidRPr="00E4720A">
        <w:t>etailed family history and possibly urinalyses on first- and second-degree relatives;</w:t>
      </w:r>
    </w:p>
    <w:p w:rsidR="00A94E92" w:rsidRPr="00E4720A" w:rsidRDefault="00AF1447" w:rsidP="00E4720A">
      <w:pPr>
        <w:pStyle w:val="ListBullet"/>
        <w:numPr>
          <w:ilvl w:val="0"/>
          <w:numId w:val="11"/>
        </w:numPr>
      </w:pPr>
      <w:proofErr w:type="spellStart"/>
      <w:r w:rsidRPr="00E4720A">
        <w:t>i</w:t>
      </w:r>
      <w:r w:rsidR="00A94E92" w:rsidRPr="00E4720A">
        <w:t>mmunohistochemical</w:t>
      </w:r>
      <w:proofErr w:type="spellEnd"/>
      <w:r w:rsidRPr="00E4720A">
        <w:t>/immunofluorescence</w:t>
      </w:r>
      <w:r w:rsidR="00A94E92" w:rsidRPr="00E4720A">
        <w:t xml:space="preserve"> analysis of basement membrane type IV collagen expression, using skin and/or renal biopsy specimens; and</w:t>
      </w:r>
    </w:p>
    <w:p w:rsidR="00A94E92" w:rsidRPr="00E4720A" w:rsidRDefault="00AF1447" w:rsidP="00E4720A">
      <w:pPr>
        <w:pStyle w:val="ListBullet"/>
        <w:numPr>
          <w:ilvl w:val="0"/>
          <w:numId w:val="11"/>
        </w:numPr>
      </w:pPr>
      <w:proofErr w:type="gramStart"/>
      <w:r w:rsidRPr="00E4720A">
        <w:t>e</w:t>
      </w:r>
      <w:r w:rsidR="00A94E92" w:rsidRPr="00E4720A">
        <w:t>xamination</w:t>
      </w:r>
      <w:proofErr w:type="gramEnd"/>
      <w:r w:rsidR="00A94E92" w:rsidRPr="00E4720A">
        <w:t xml:space="preserve"> of renal biopsy specimens by electron microscopy</w:t>
      </w:r>
      <w:r w:rsidR="00256F00">
        <w:t xml:space="preserve"> for characteristic </w:t>
      </w:r>
      <w:proofErr w:type="spellStart"/>
      <w:r w:rsidR="00256F00">
        <w:t>ultrastructural</w:t>
      </w:r>
      <w:proofErr w:type="spellEnd"/>
      <w:r w:rsidR="00256F00">
        <w:t xml:space="preserve"> changes</w:t>
      </w:r>
      <w:r w:rsidR="00EF08E2">
        <w:t xml:space="preserve"> (GBM </w:t>
      </w:r>
      <w:proofErr w:type="spellStart"/>
      <w:r w:rsidR="00EF08E2">
        <w:t>lamellation</w:t>
      </w:r>
      <w:proofErr w:type="spellEnd"/>
      <w:r w:rsidR="00EF08E2">
        <w:t>)</w:t>
      </w:r>
      <w:r w:rsidR="00A94E92" w:rsidRPr="00E4720A">
        <w:t>.</w:t>
      </w:r>
    </w:p>
    <w:p w:rsidR="00EF08E2" w:rsidRDefault="00AF1447" w:rsidP="00AF1447">
      <w:r>
        <w:lastRenderedPageBreak/>
        <w:t>Using t</w:t>
      </w:r>
      <w:r w:rsidR="00EF08E2">
        <w:t xml:space="preserve">hese tools, particularly electron microscopy of the GBM, </w:t>
      </w:r>
      <w:r>
        <w:t xml:space="preserve">the diagnosis can be confirmed in most cases. </w:t>
      </w:r>
      <w:r w:rsidR="005A252F">
        <w:t xml:space="preserve">Renal biopsy (MBS item 36561) </w:t>
      </w:r>
      <w:r w:rsidR="00490145">
        <w:t>can be</w:t>
      </w:r>
      <w:r w:rsidR="005A252F">
        <w:t xml:space="preserve"> performed </w:t>
      </w:r>
      <w:r w:rsidR="00490145">
        <w:t>in</w:t>
      </w:r>
      <w:r w:rsidR="005A252F">
        <w:t xml:space="preserve"> an inpatient or outpatient</w:t>
      </w:r>
      <w:r w:rsidR="00490145">
        <w:t xml:space="preserve"> setting</w:t>
      </w:r>
      <w:r w:rsidR="005A252F">
        <w:t xml:space="preserve">. </w:t>
      </w:r>
      <w:r w:rsidR="00EF08E2">
        <w:t>General a</w:t>
      </w:r>
      <w:r w:rsidR="005A252F">
        <w:t xml:space="preserve">naesthesia may be required during biopsy, particularly in children. </w:t>
      </w:r>
    </w:p>
    <w:p w:rsidR="005A252F" w:rsidRDefault="005A252F" w:rsidP="00AF1447">
      <w:r>
        <w:t xml:space="preserve">As mentioned above, renal biopsy is avoided, where possible, as it carries risks </w:t>
      </w:r>
      <w:r w:rsidR="00EF08E2">
        <w:t>and is insensitive</w:t>
      </w:r>
      <w:r>
        <w:t xml:space="preserve"> in some patient</w:t>
      </w:r>
      <w:r w:rsidR="00EF08E2">
        <w:t xml:space="preserve"> subgroup</w:t>
      </w:r>
      <w:r>
        <w:t>s</w:t>
      </w:r>
      <w:r w:rsidR="00EF08E2">
        <w:t xml:space="preserve"> (equivocal or false negative test result)</w:t>
      </w:r>
      <w:r>
        <w:t>.</w:t>
      </w:r>
      <w:r w:rsidR="00EF08E2">
        <w:t xml:space="preserve"> Treatment may therefore be withheld from, or init</w:t>
      </w:r>
      <w:r w:rsidR="00EB2DEE">
        <w:t>i</w:t>
      </w:r>
      <w:r w:rsidR="00EF08E2">
        <w:t xml:space="preserve">ated in, a patient without a confirmed </w:t>
      </w:r>
      <w:r w:rsidR="00EB2DEE">
        <w:t>diagnosis of AS.</w:t>
      </w:r>
    </w:p>
    <w:p w:rsidR="00432071" w:rsidRDefault="00490145" w:rsidP="00B16144">
      <w:r>
        <w:t xml:space="preserve">Management of AS relies on surveillance, systematic evaluation of at-risk relatives, treatment of clinical manifestations and prevention of secondary complications. </w:t>
      </w:r>
      <w:r w:rsidR="00B16144" w:rsidRPr="00B16144">
        <w:t xml:space="preserve">Clinical practice </w:t>
      </w:r>
      <w:r w:rsidR="00F52F99">
        <w:t>guideline</w:t>
      </w:r>
      <w:r w:rsidR="00B16144" w:rsidRPr="00B16144">
        <w:t xml:space="preserve">s for the treatment of individuals with </w:t>
      </w:r>
      <w:r w:rsidR="006C30F5">
        <w:t>AS have been published</w:t>
      </w:r>
      <w:r w:rsidR="00F52F99">
        <w:t>,</w:t>
      </w:r>
      <w:r w:rsidR="00185051" w:rsidRPr="00432071">
        <w:rPr>
          <w:rStyle w:val="FootnoteReference"/>
        </w:rPr>
        <w:footnoteReference w:id="14"/>
      </w:r>
      <w:proofErr w:type="gramStart"/>
      <w:r w:rsidR="00432071" w:rsidRPr="00432071">
        <w:rPr>
          <w:vertAlign w:val="superscript"/>
        </w:rPr>
        <w:t>,</w:t>
      </w:r>
      <w:proofErr w:type="gramEnd"/>
      <w:r w:rsidR="00185051">
        <w:rPr>
          <w:rStyle w:val="FootnoteReference"/>
        </w:rPr>
        <w:footnoteReference w:id="15"/>
      </w:r>
      <w:r w:rsidR="00B16144" w:rsidRPr="00B16144">
        <w:t xml:space="preserve"> </w:t>
      </w:r>
      <w:r w:rsidR="00F52F99">
        <w:t xml:space="preserve">with recommendations relying largely on the experience and opinions of the authors, as well as retrospective studies in humans, animal experiments, and analysis of the </w:t>
      </w:r>
      <w:proofErr w:type="spellStart"/>
      <w:r w:rsidR="00F52F99">
        <w:t>Alport</w:t>
      </w:r>
      <w:proofErr w:type="spellEnd"/>
      <w:r w:rsidR="00F52F99">
        <w:t xml:space="preserve"> registries</w:t>
      </w:r>
      <w:r w:rsidR="00F52F99" w:rsidRPr="00B16144">
        <w:t>.</w:t>
      </w:r>
      <w:r w:rsidR="00F52F99">
        <w:t xml:space="preserve"> These</w:t>
      </w:r>
      <w:r w:rsidR="00B16144" w:rsidRPr="00B16144">
        <w:t xml:space="preserve"> recommendations encourage early detection of </w:t>
      </w:r>
      <w:proofErr w:type="spellStart"/>
      <w:r w:rsidR="00B16144" w:rsidRPr="00B16144">
        <w:t>microalbuminuria</w:t>
      </w:r>
      <w:proofErr w:type="spellEnd"/>
      <w:r w:rsidR="00B16144" w:rsidRPr="00B16144">
        <w:t xml:space="preserve"> and proteinuria through regular surveillance and early intervention aimed at suppressing proteinuria using </w:t>
      </w:r>
      <w:r w:rsidR="00432071">
        <w:t>an ACE inhibitor with or without angiotensin receptor blockade (ARB)</w:t>
      </w:r>
      <w:r w:rsidR="00185051">
        <w:t xml:space="preserve">. </w:t>
      </w:r>
    </w:p>
    <w:p w:rsidR="007444A9" w:rsidRDefault="007444A9" w:rsidP="007444A9">
      <w:r>
        <w:t xml:space="preserve">Individuals with a diagnosis of AS should be followed by a nephrologist in addition to a primary care physician. </w:t>
      </w:r>
      <w:proofErr w:type="gramStart"/>
      <w:r>
        <w:t>All women with a diagnosis of AS need to be monitored regularly for the development of proteinuria and hypertension.</w:t>
      </w:r>
      <w:proofErr w:type="gramEnd"/>
      <w:r>
        <w:t xml:space="preserve"> Once overt proteinuria has developed in an individual with AS, renal function should be assessed periodically by serum </w:t>
      </w:r>
      <w:proofErr w:type="spellStart"/>
      <w:r>
        <w:t>creatinine</w:t>
      </w:r>
      <w:proofErr w:type="spellEnd"/>
      <w:r>
        <w:t xml:space="preserve"> concentration or other estimates of glomerular filtration rate (e.g. </w:t>
      </w:r>
      <w:proofErr w:type="spellStart"/>
      <w:r>
        <w:t>creatinine</w:t>
      </w:r>
      <w:proofErr w:type="spellEnd"/>
      <w:r>
        <w:t xml:space="preserve"> clearance or serum </w:t>
      </w:r>
      <w:proofErr w:type="spellStart"/>
      <w:r>
        <w:t>cystatin</w:t>
      </w:r>
      <w:proofErr w:type="spellEnd"/>
      <w:r>
        <w:t xml:space="preserve"> C levels), and blood pressure should be monitored. </w:t>
      </w:r>
      <w:proofErr w:type="gramStart"/>
      <w:r>
        <w:t xml:space="preserve">Children with AS should have </w:t>
      </w:r>
      <w:proofErr w:type="spellStart"/>
      <w:r>
        <w:t>audiologic</w:t>
      </w:r>
      <w:proofErr w:type="spellEnd"/>
      <w:r>
        <w:t xml:space="preserve"> evaluation every one to two years beginning at age six to seven years.</w:t>
      </w:r>
      <w:proofErr w:type="gramEnd"/>
      <w:r>
        <w:t xml:space="preserve"> Periodic cardiac evaluation for aortic dilation for males with XLAS is appropriate.</w:t>
      </w:r>
    </w:p>
    <w:p w:rsidR="007751A7" w:rsidRDefault="007751A7" w:rsidP="007444A9">
      <w:r>
        <w:t>Relatives found to have proteinuria and hypertension should be referred to a nephrologist for further evaluation. In the absence of proteinuria or hypertension, relatives at risk should, at a minimum, have an annual urinalysis and measurement of blood pressure if molecular genetic testing is not available.</w:t>
      </w:r>
    </w:p>
    <w:p w:rsidR="00B16144" w:rsidRDefault="007751A7" w:rsidP="00B16144">
      <w:r>
        <w:t>E</w:t>
      </w:r>
      <w:r w:rsidR="00EB2DEE">
        <w:t xml:space="preserve">xposure to loud noise should be minimised </w:t>
      </w:r>
      <w:r>
        <w:t xml:space="preserve">in individuals with AS </w:t>
      </w:r>
      <w:r w:rsidR="00EB2DEE">
        <w:t xml:space="preserve">and hearing aids should be prescribed when appropriate. </w:t>
      </w:r>
      <w:r w:rsidR="00B16144">
        <w:t xml:space="preserve">The ocular manifestations of </w:t>
      </w:r>
      <w:r w:rsidR="00EB2DEE">
        <w:t>AS</w:t>
      </w:r>
      <w:r w:rsidR="00B16144">
        <w:t xml:space="preserve"> rarely require specif</w:t>
      </w:r>
      <w:r w:rsidR="00EB2DEE">
        <w:t>ic ophthalmologic intervention, although s</w:t>
      </w:r>
      <w:r w:rsidR="00B16144">
        <w:t>ome individuals develop catara</w:t>
      </w:r>
      <w:r w:rsidR="00EB2DEE">
        <w:t xml:space="preserve">cts that interfere with vision and </w:t>
      </w:r>
      <w:r w:rsidR="00B16144">
        <w:t>these should be extracted when necessary.</w:t>
      </w:r>
      <w:r w:rsidR="00EB2DEE">
        <w:t xml:space="preserve"> </w:t>
      </w:r>
      <w:r w:rsidR="00B16144">
        <w:t xml:space="preserve">Individuals who suffer recurrent corneal erosions </w:t>
      </w:r>
      <w:r w:rsidR="00EB2DEE">
        <w:t xml:space="preserve">may need to take measures </w:t>
      </w:r>
      <w:r w:rsidR="00B16144">
        <w:t>to protect their corneas from minor trauma.</w:t>
      </w:r>
    </w:p>
    <w:p w:rsidR="007444A9" w:rsidRDefault="007444A9" w:rsidP="007444A9">
      <w:r>
        <w:t xml:space="preserve">Routine treatment of hypertension may be necessary as disease progresses. </w:t>
      </w:r>
      <w:r w:rsidR="00490145">
        <w:t xml:space="preserve">In </w:t>
      </w:r>
      <w:r>
        <w:t>patients with ESRD</w:t>
      </w:r>
      <w:r w:rsidR="00CA4918">
        <w:t>, renal transplantation is an option</w:t>
      </w:r>
      <w:r>
        <w:t>.</w:t>
      </w:r>
      <w:r w:rsidR="00CA4918">
        <w:t xml:space="preserve"> </w:t>
      </w:r>
      <w:r w:rsidR="002003F2">
        <w:t>T</w:t>
      </w:r>
      <w:r w:rsidR="00B16144">
        <w:t>ransplant recipients should be monitored for development of anti-glomerular basement membrane antibo</w:t>
      </w:r>
      <w:r w:rsidR="00CA4918">
        <w:t xml:space="preserve">dy-mediated glomerulonephritis. </w:t>
      </w:r>
      <w:r>
        <w:t xml:space="preserve">Potential living related donors must be evaluated carefully to avoid nephrectomy in an affected individual. </w:t>
      </w:r>
    </w:p>
    <w:p w:rsidR="00896845" w:rsidRPr="00BC7D99" w:rsidRDefault="00896845" w:rsidP="00BC7D99">
      <w:pPr>
        <w:pStyle w:val="Heading2"/>
      </w:pPr>
      <w:r w:rsidRPr="00BC7D99">
        <w:lastRenderedPageBreak/>
        <w:t>Proposed clinical management algorithm</w:t>
      </w:r>
      <w:r w:rsidR="002B3338" w:rsidRPr="00BC7D99">
        <w:t xml:space="preserve"> for identified population</w:t>
      </w:r>
    </w:p>
    <w:p w:rsidR="00DA430B" w:rsidRDefault="005A45B3" w:rsidP="00DA430B">
      <w:pPr>
        <w:keepNext/>
        <w:jc w:val="center"/>
      </w:pPr>
      <w:r>
        <w:rPr>
          <w:noProof/>
          <w:lang w:eastAsia="en-AU"/>
        </w:rPr>
        <w:drawing>
          <wp:inline distT="0" distB="0" distL="0" distR="0" wp14:anchorId="10EBDE89" wp14:editId="43C4F6E7">
            <wp:extent cx="4298841" cy="5137150"/>
            <wp:effectExtent l="19050" t="19050" r="26035" b="25400"/>
            <wp:docPr id="2" name="Picture 2" descr="Proposed clinical management algorithm for identified population.  Please refer to the following description of th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2.TIF"/>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365713" cy="521706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5A45B3" w:rsidRDefault="00DA430B" w:rsidP="00DA430B">
      <w:pPr>
        <w:pStyle w:val="Caption"/>
        <w:jc w:val="center"/>
      </w:pPr>
      <w:r>
        <w:t xml:space="preserve">Figure </w:t>
      </w:r>
      <w:r>
        <w:fldChar w:fldCharType="begin"/>
      </w:r>
      <w:r>
        <w:instrText xml:space="preserve"> SEQ Figure \* ARABIC </w:instrText>
      </w:r>
      <w:r>
        <w:fldChar w:fldCharType="separate"/>
      </w:r>
      <w:r>
        <w:rPr>
          <w:noProof/>
        </w:rPr>
        <w:t>2</w:t>
      </w:r>
      <w:r>
        <w:fldChar w:fldCharType="end"/>
      </w:r>
      <w:r>
        <w:t xml:space="preserve"> </w:t>
      </w:r>
      <w:r w:rsidRPr="009A2587">
        <w:t>Proposed clinical management algorithm for identified population</w:t>
      </w:r>
    </w:p>
    <w:p w:rsidR="00DA430B" w:rsidRPr="00DA430B" w:rsidRDefault="00DA430B" w:rsidP="00DA430B">
      <w:pPr>
        <w:rPr>
          <w:lang w:val="en-GB" w:eastAsia="ja-JP"/>
        </w:rPr>
      </w:pPr>
    </w:p>
    <w:p w:rsidR="001F776F" w:rsidRPr="005E7D06" w:rsidRDefault="00C74C12" w:rsidP="001F776F">
      <w:proofErr w:type="gramStart"/>
      <w:r>
        <w:t xml:space="preserve">The availability on the MBS of </w:t>
      </w:r>
      <w:r w:rsidRPr="006E5139">
        <w:t xml:space="preserve">genetic testing </w:t>
      </w:r>
      <w:r>
        <w:t xml:space="preserve">for AS </w:t>
      </w:r>
      <w:r w:rsidRPr="006E5139">
        <w:t xml:space="preserve">will obviate the need for </w:t>
      </w:r>
      <w:r>
        <w:t>renal</w:t>
      </w:r>
      <w:r w:rsidRPr="006E5139">
        <w:t xml:space="preserve"> biopsy</w:t>
      </w:r>
      <w:r>
        <w:t xml:space="preserve"> to confirm a diagnosis of AS.</w:t>
      </w:r>
      <w:proofErr w:type="gramEnd"/>
      <w:r>
        <w:t xml:space="preserve"> </w:t>
      </w:r>
      <w:r w:rsidR="001F776F" w:rsidRPr="005E7D06">
        <w:t xml:space="preserve">If a pathogenic variant </w:t>
      </w:r>
      <w:r>
        <w:t>is</w:t>
      </w:r>
      <w:r w:rsidR="001F776F" w:rsidRPr="005E7D06">
        <w:t xml:space="preserve"> identified in the </w:t>
      </w:r>
      <w:proofErr w:type="spellStart"/>
      <w:r w:rsidR="005F52EC" w:rsidRPr="005E7D06">
        <w:t>proband</w:t>
      </w:r>
      <w:proofErr w:type="spellEnd"/>
      <w:r w:rsidR="001F776F" w:rsidRPr="005E7D06">
        <w:t xml:space="preserve">, genetic counselling and testing for the familial variant could be offered to </w:t>
      </w:r>
      <w:r w:rsidR="00256F00" w:rsidRPr="005E7D06">
        <w:t xml:space="preserve">symptomatic or </w:t>
      </w:r>
      <w:proofErr w:type="spellStart"/>
      <w:r w:rsidR="00256F00" w:rsidRPr="005E7D06">
        <w:t>presymptomatic</w:t>
      </w:r>
      <w:proofErr w:type="spellEnd"/>
      <w:r w:rsidR="00256F00" w:rsidRPr="005E7D06">
        <w:t xml:space="preserve"> relatives, who are </w:t>
      </w:r>
      <w:r w:rsidR="001F776F" w:rsidRPr="005E7D06">
        <w:t>at risk</w:t>
      </w:r>
      <w:r w:rsidR="00256F00" w:rsidRPr="005E7D06">
        <w:t xml:space="preserve"> of developing renal failure or passing the genetic abnormality to their offspring</w:t>
      </w:r>
      <w:r w:rsidR="001F776F" w:rsidRPr="005E7D06">
        <w:t xml:space="preserve">. </w:t>
      </w:r>
      <w:r w:rsidR="004D7373" w:rsidRPr="00BA602D">
        <w:t xml:space="preserve">Couples with a known sequence variant may elect to have prenatal diagnosis or </w:t>
      </w:r>
      <w:r w:rsidR="004D7373">
        <w:t>PGD</w:t>
      </w:r>
      <w:r w:rsidR="004D7373" w:rsidRPr="00BA602D">
        <w:t xml:space="preserve"> if they wish to avoid having an affected child.</w:t>
      </w:r>
      <w:r w:rsidR="004D7373">
        <w:t xml:space="preserve"> </w:t>
      </w:r>
      <w:r w:rsidR="001F776F" w:rsidRPr="005E7D06">
        <w:t xml:space="preserve">If a relative </w:t>
      </w:r>
      <w:r w:rsidR="004D7373">
        <w:t xml:space="preserve">of the </w:t>
      </w:r>
      <w:proofErr w:type="spellStart"/>
      <w:r w:rsidR="004D7373">
        <w:t>proband</w:t>
      </w:r>
      <w:proofErr w:type="spellEnd"/>
      <w:r w:rsidR="004D7373">
        <w:t xml:space="preserve"> </w:t>
      </w:r>
      <w:r w:rsidR="001F776F" w:rsidRPr="005E7D06">
        <w:t xml:space="preserve">tests negative, then none of their offspring are at risk and they will not need to be tested. </w:t>
      </w:r>
    </w:p>
    <w:p w:rsidR="001557EC" w:rsidRDefault="001557EC" w:rsidP="00E43CB7">
      <w:r w:rsidRPr="004D7373">
        <w:t>There are key differences in the post-test consequences across the two populations proposed for genetic testing. For diagnostic genetic testing of an affected individual</w:t>
      </w:r>
      <w:r w:rsidR="004D7373" w:rsidRPr="004D7373">
        <w:t xml:space="preserve"> (</w:t>
      </w:r>
      <w:proofErr w:type="spellStart"/>
      <w:r w:rsidR="004D7373" w:rsidRPr="004D7373">
        <w:t>proband</w:t>
      </w:r>
      <w:proofErr w:type="spellEnd"/>
      <w:r w:rsidR="004D7373" w:rsidRPr="004D7373">
        <w:t>)</w:t>
      </w:r>
      <w:r w:rsidRPr="004D7373">
        <w:t xml:space="preserve">, the consequences of a mutation being identified are relatively simple and can be readily incorporated into the care plans of their pre-existing specialist. On the other hand, unaffected family members who are shown by genetic testing to carry the mutation have more care pathways potentially available because they </w:t>
      </w:r>
      <w:r w:rsidRPr="004D7373">
        <w:lastRenderedPageBreak/>
        <w:t>have yet to manifest the disease. The care pathways for these individuals will</w:t>
      </w:r>
      <w:r w:rsidR="004D7373" w:rsidRPr="004D7373">
        <w:t xml:space="preserve"> likely involve new </w:t>
      </w:r>
      <w:r w:rsidRPr="004D7373">
        <w:t xml:space="preserve">consultations </w:t>
      </w:r>
      <w:r w:rsidR="004D7373" w:rsidRPr="004D7373">
        <w:t xml:space="preserve">with a nephrologist </w:t>
      </w:r>
      <w:r w:rsidRPr="004D7373">
        <w:t xml:space="preserve">and </w:t>
      </w:r>
      <w:r w:rsidR="004D7373" w:rsidRPr="004D7373">
        <w:t xml:space="preserve">a clinical geneticist or genetic </w:t>
      </w:r>
      <w:r w:rsidRPr="004D7373">
        <w:t>counsell</w:t>
      </w:r>
      <w:r w:rsidR="004D7373" w:rsidRPr="004D7373">
        <w:t>or</w:t>
      </w:r>
      <w:r w:rsidRPr="004D7373">
        <w:t>.</w:t>
      </w:r>
      <w:r w:rsidR="004D7373" w:rsidRPr="004D7373">
        <w:t xml:space="preserve"> For relatives that undergo cascade testing, liver biopsy is avoided.</w:t>
      </w:r>
    </w:p>
    <w:p w:rsidR="00E968F6" w:rsidRPr="00BC7D99" w:rsidRDefault="003E0382" w:rsidP="00BC7D99">
      <w:pPr>
        <w:pStyle w:val="Heading2"/>
      </w:pPr>
      <w:r w:rsidRPr="00BC7D99">
        <w:t xml:space="preserve">Proposed </w:t>
      </w:r>
      <w:r w:rsidR="002B226C" w:rsidRPr="00BC7D99">
        <w:t xml:space="preserve">economic </w:t>
      </w:r>
      <w:r w:rsidR="009E5295" w:rsidRPr="00BC7D99">
        <w:t>evaluation</w:t>
      </w:r>
    </w:p>
    <w:p w:rsidR="00F66556" w:rsidRDefault="003B3E19" w:rsidP="003B3E19">
      <w:r>
        <w:t xml:space="preserve">The clinical claim is that genetic testing for AS is superior </w:t>
      </w:r>
      <w:r w:rsidR="008B41EC">
        <w:t xml:space="preserve">in terms of clinical effectiveness and safety </w:t>
      </w:r>
      <w:r>
        <w:t xml:space="preserve">to </w:t>
      </w:r>
      <w:r w:rsidR="00F66556">
        <w:t>no genetic testing</w:t>
      </w:r>
      <w:r w:rsidR="00476272">
        <w:t xml:space="preserve"> (usual care</w:t>
      </w:r>
      <w:r w:rsidR="008B41EC">
        <w:t xml:space="preserve">, defined as </w:t>
      </w:r>
      <w:r w:rsidR="008B41EC" w:rsidRPr="0089281F">
        <w:t>diagnosis on the basis of history, clinical examination and family history, with or without renal biopsy</w:t>
      </w:r>
      <w:r w:rsidR="00476272">
        <w:t>)</w:t>
      </w:r>
      <w:r w:rsidR="00F66556">
        <w:t>.</w:t>
      </w:r>
    </w:p>
    <w:p w:rsidR="003B3E19" w:rsidRPr="0089281F" w:rsidRDefault="00F66556" w:rsidP="0089281F">
      <w:pPr>
        <w:pStyle w:val="ListBullet"/>
        <w:numPr>
          <w:ilvl w:val="0"/>
          <w:numId w:val="11"/>
        </w:numPr>
      </w:pPr>
      <w:r w:rsidRPr="0089281F">
        <w:t xml:space="preserve">Genetic testing </w:t>
      </w:r>
      <w:r w:rsidR="003B3E19" w:rsidRPr="0089281F">
        <w:t xml:space="preserve">is more accurate </w:t>
      </w:r>
      <w:r w:rsidR="008B41EC">
        <w:t xml:space="preserve">in identifying individuals </w:t>
      </w:r>
      <w:r w:rsidR="00A671CA">
        <w:t xml:space="preserve">with AS who are </w:t>
      </w:r>
      <w:r w:rsidR="008B41EC">
        <w:t xml:space="preserve">at risk of </w:t>
      </w:r>
      <w:r w:rsidR="00A671CA">
        <w:t xml:space="preserve">early </w:t>
      </w:r>
      <w:r w:rsidR="007D1E1A">
        <w:t xml:space="preserve">onset renal failure, </w:t>
      </w:r>
      <w:r w:rsidR="008B41EC">
        <w:t xml:space="preserve">SNHL, </w:t>
      </w:r>
      <w:r w:rsidR="00A671CA">
        <w:t>and ocular defects</w:t>
      </w:r>
      <w:r w:rsidRPr="0089281F">
        <w:t>.</w:t>
      </w:r>
    </w:p>
    <w:p w:rsidR="003363BC" w:rsidRPr="0089281F" w:rsidRDefault="003363BC" w:rsidP="0089281F">
      <w:pPr>
        <w:pStyle w:val="ListBullet"/>
        <w:numPr>
          <w:ilvl w:val="0"/>
          <w:numId w:val="11"/>
        </w:numPr>
      </w:pPr>
      <w:r w:rsidRPr="0089281F">
        <w:t xml:space="preserve">Genetic testing provides prognostic information that could be used to guide treatment initiation and intensity. Earlier initiation of treatment (before the development of overt proteinuria) may </w:t>
      </w:r>
      <w:r w:rsidR="000E2905" w:rsidRPr="0089281F">
        <w:t xml:space="preserve">delay </w:t>
      </w:r>
      <w:r w:rsidRPr="0089281F">
        <w:t xml:space="preserve">the </w:t>
      </w:r>
      <w:r w:rsidR="000E2905" w:rsidRPr="0089281F">
        <w:t>onset of renal failure</w:t>
      </w:r>
      <w:r w:rsidR="008B41EC">
        <w:t xml:space="preserve">, thereby improving </w:t>
      </w:r>
      <w:proofErr w:type="spellStart"/>
      <w:r w:rsidR="008B41EC">
        <w:t>HRQoL</w:t>
      </w:r>
      <w:proofErr w:type="spellEnd"/>
      <w:r w:rsidRPr="0089281F">
        <w:t>.</w:t>
      </w:r>
    </w:p>
    <w:p w:rsidR="00F66556" w:rsidRDefault="000E2905" w:rsidP="0089281F">
      <w:pPr>
        <w:pStyle w:val="ListBullet"/>
        <w:numPr>
          <w:ilvl w:val="0"/>
          <w:numId w:val="11"/>
        </w:numPr>
      </w:pPr>
      <w:r w:rsidRPr="0089281F">
        <w:t>Genetic testing enables appropriate reproductive counselling for those at risk of passing the genetic abnormality to their offspring.</w:t>
      </w:r>
    </w:p>
    <w:p w:rsidR="00D90572" w:rsidRDefault="00D90572" w:rsidP="00D90572">
      <w:r>
        <w:t xml:space="preserve">The appropriate economic evaluation is a cost-utility analysis, capturing the benefits of more accurate diagnosis and improved </w:t>
      </w:r>
      <w:proofErr w:type="spellStart"/>
      <w:r>
        <w:t>HRQoL</w:t>
      </w:r>
      <w:proofErr w:type="spellEnd"/>
      <w:r>
        <w:t xml:space="preserve"> due to early intervention </w:t>
      </w:r>
      <w:r w:rsidR="005F52EC">
        <w:t xml:space="preserve">and delayed onset and progression of renal failure </w:t>
      </w:r>
      <w:r>
        <w:t xml:space="preserve">in the </w:t>
      </w:r>
      <w:proofErr w:type="spellStart"/>
      <w:r w:rsidR="005F52EC">
        <w:t>proband</w:t>
      </w:r>
      <w:proofErr w:type="spellEnd"/>
      <w:r w:rsidR="005F52EC">
        <w:t xml:space="preserve"> </w:t>
      </w:r>
      <w:r>
        <w:t>and</w:t>
      </w:r>
      <w:r w:rsidR="005F52EC">
        <w:t xml:space="preserve"> biological</w:t>
      </w:r>
      <w:r>
        <w:t xml:space="preserve"> family members.</w:t>
      </w:r>
    </w:p>
    <w:p w:rsidR="00752491" w:rsidRPr="00BC7D99" w:rsidRDefault="00752491" w:rsidP="00BC7D99">
      <w:pPr>
        <w:pStyle w:val="Heading2"/>
      </w:pPr>
      <w:bookmarkStart w:id="3" w:name="_GoBack"/>
      <w:r w:rsidRPr="00BC7D99">
        <w:t>Proposed item descriptor</w:t>
      </w:r>
    </w:p>
    <w:bookmarkEnd w:id="3"/>
    <w:p w:rsidR="00DA430B" w:rsidRDefault="00DA430B" w:rsidP="00DA430B">
      <w:pPr>
        <w:pStyle w:val="Caption"/>
      </w:pPr>
      <w:r>
        <w:t xml:space="preserve">Table </w:t>
      </w:r>
      <w:r>
        <w:fldChar w:fldCharType="begin"/>
      </w:r>
      <w:r>
        <w:instrText xml:space="preserve"> SEQ Table \* ARABIC </w:instrText>
      </w:r>
      <w:r>
        <w:fldChar w:fldCharType="separate"/>
      </w:r>
      <w:r w:rsidR="008A2D1D">
        <w:rPr>
          <w:noProof/>
        </w:rPr>
        <w:t>3</w:t>
      </w:r>
      <w:r>
        <w:fldChar w:fldCharType="end"/>
      </w:r>
      <w:r>
        <w:t xml:space="preserve"> </w:t>
      </w:r>
      <w:r w:rsidRPr="004E67E1">
        <w:t xml:space="preserve">Genetic testing for the purpose of diagnosis (testing of the </w:t>
      </w:r>
      <w:proofErr w:type="spellStart"/>
      <w:r w:rsidRPr="004E67E1">
        <w:t>proband</w:t>
      </w:r>
      <w:proofErr w:type="spellEnd"/>
      <w:r w:rsidRPr="004E67E1">
        <w:t>)</w:t>
      </w:r>
    </w:p>
    <w:tbl>
      <w:tblPr>
        <w:tblStyle w:val="TableGrid"/>
        <w:tblW w:w="0" w:type="auto"/>
        <w:tblLook w:val="04A0" w:firstRow="1" w:lastRow="0" w:firstColumn="1" w:lastColumn="0" w:noHBand="0" w:noVBand="1"/>
        <w:tblDescription w:val="Table 3 Genetic testing for the purpose of diagnosis (testing of the proband)"/>
      </w:tblPr>
      <w:tblGrid>
        <w:gridCol w:w="9242"/>
      </w:tblGrid>
      <w:tr w:rsidR="008C3E5E" w:rsidRPr="00DE3D6C" w:rsidTr="00F4622B">
        <w:trPr>
          <w:cantSplit/>
          <w:tblHeader/>
        </w:trPr>
        <w:tc>
          <w:tcPr>
            <w:tcW w:w="9242" w:type="dxa"/>
          </w:tcPr>
          <w:p w:rsidR="008C3E5E" w:rsidRPr="00DE3D6C" w:rsidRDefault="00476272" w:rsidP="00F07DA2">
            <w:pPr>
              <w:keepNext/>
              <w:jc w:val="right"/>
            </w:pPr>
            <w:r w:rsidRPr="00DE3D6C">
              <w:t xml:space="preserve">Category </w:t>
            </w:r>
            <w:r>
              <w:t>6</w:t>
            </w:r>
            <w:r w:rsidRPr="00DE3D6C">
              <w:t xml:space="preserve"> – </w:t>
            </w:r>
            <w:r>
              <w:t>PATHOLOGY SERVICES</w:t>
            </w:r>
          </w:p>
        </w:tc>
      </w:tr>
      <w:tr w:rsidR="008C3E5E" w:rsidRPr="00DE3D6C" w:rsidTr="00F4622B">
        <w:trPr>
          <w:cantSplit/>
          <w:tblHeader/>
        </w:trPr>
        <w:tc>
          <w:tcPr>
            <w:tcW w:w="9242" w:type="dxa"/>
          </w:tcPr>
          <w:p w:rsidR="00476272" w:rsidRDefault="00476272" w:rsidP="00476272">
            <w:pPr>
              <w:jc w:val="right"/>
            </w:pPr>
            <w:r>
              <w:t>Group P7 – GENETICS</w:t>
            </w:r>
          </w:p>
          <w:p w:rsidR="00476272" w:rsidRDefault="00476272" w:rsidP="00E15044">
            <w:r>
              <w:t>Item XXXX</w:t>
            </w:r>
          </w:p>
          <w:p w:rsidR="00046A1E" w:rsidRPr="00901E67" w:rsidRDefault="00E15044" w:rsidP="00046A1E">
            <w:r w:rsidRPr="0084381B">
              <w:t xml:space="preserve">Characterisation of </w:t>
            </w:r>
            <w:proofErr w:type="spellStart"/>
            <w:r w:rsidRPr="0084381B">
              <w:t>germline</w:t>
            </w:r>
            <w:proofErr w:type="spellEnd"/>
            <w:r w:rsidRPr="0084381B">
              <w:t xml:space="preserve"> gene variants in one or more of the following genes [</w:t>
            </w:r>
            <w:r w:rsidR="00982028">
              <w:rPr>
                <w:i/>
              </w:rPr>
              <w:t>COL4A5, COL4A3 or COL4A4</w:t>
            </w:r>
            <w:r>
              <w:t>]</w:t>
            </w:r>
            <w:r w:rsidRPr="0084381B">
              <w:t>, in a patient for whom clinic</w:t>
            </w:r>
            <w:r w:rsidR="00982028">
              <w:t xml:space="preserve">al and family history criteria have been determined </w:t>
            </w:r>
            <w:r w:rsidRPr="0084381B">
              <w:t xml:space="preserve">by a </w:t>
            </w:r>
            <w:r w:rsidR="008E00D3">
              <w:t>nephrologist</w:t>
            </w:r>
            <w:r w:rsidRPr="0084381B">
              <w:t xml:space="preserve"> </w:t>
            </w:r>
            <w:r w:rsidR="00982028">
              <w:t>to be strongl</w:t>
            </w:r>
            <w:r w:rsidR="00046A1E">
              <w:t xml:space="preserve">y suggestive of </w:t>
            </w:r>
            <w:proofErr w:type="spellStart"/>
            <w:r w:rsidR="00046A1E">
              <w:t>Alport</w:t>
            </w:r>
            <w:proofErr w:type="spellEnd"/>
            <w:r w:rsidR="00046A1E">
              <w:t xml:space="preserve"> syndrome. </w:t>
            </w:r>
            <w:proofErr w:type="spellStart"/>
            <w:r w:rsidR="00046A1E">
              <w:rPr>
                <w:rFonts w:cs="Arial"/>
              </w:rPr>
              <w:t>Alport</w:t>
            </w:r>
            <w:proofErr w:type="spellEnd"/>
            <w:r w:rsidR="00046A1E">
              <w:rPr>
                <w:rFonts w:cs="Arial"/>
              </w:rPr>
              <w:t xml:space="preserve"> syndrome </w:t>
            </w:r>
            <w:r w:rsidR="00046A1E" w:rsidRPr="00046A1E">
              <w:rPr>
                <w:rFonts w:cs="Arial"/>
              </w:rPr>
              <w:t xml:space="preserve">is suspected when there is persistent glomerular haematuria. The likelihood of </w:t>
            </w:r>
            <w:proofErr w:type="spellStart"/>
            <w:r w:rsidR="00046A1E">
              <w:rPr>
                <w:rFonts w:cs="Arial"/>
              </w:rPr>
              <w:t>Alport</w:t>
            </w:r>
            <w:proofErr w:type="spellEnd"/>
            <w:r w:rsidR="00046A1E">
              <w:rPr>
                <w:rFonts w:cs="Arial"/>
              </w:rPr>
              <w:t xml:space="preserve"> syndrome</w:t>
            </w:r>
            <w:r w:rsidR="00046A1E" w:rsidRPr="00046A1E">
              <w:rPr>
                <w:rFonts w:cs="Arial"/>
              </w:rPr>
              <w:t xml:space="preserve"> increases with a </w:t>
            </w:r>
            <w:r w:rsidR="00046A1E">
              <w:rPr>
                <w:rFonts w:cs="Arial"/>
              </w:rPr>
              <w:t xml:space="preserve">positive </w:t>
            </w:r>
            <w:r w:rsidR="00046A1E" w:rsidRPr="00046A1E">
              <w:rPr>
                <w:rFonts w:cs="Arial"/>
              </w:rPr>
              <w:t xml:space="preserve">family history or renal failure, and no other obvious cause; or when the characteristic clinical features (hearing loss, </w:t>
            </w:r>
            <w:proofErr w:type="spellStart"/>
            <w:r w:rsidR="00046A1E" w:rsidRPr="00046A1E">
              <w:rPr>
                <w:rFonts w:cs="Arial"/>
              </w:rPr>
              <w:t>lenticonus</w:t>
            </w:r>
            <w:proofErr w:type="spellEnd"/>
            <w:r w:rsidR="00046A1E" w:rsidRPr="00046A1E">
              <w:rPr>
                <w:rFonts w:cs="Arial"/>
              </w:rPr>
              <w:t>, or retinopathy) are present.</w:t>
            </w:r>
          </w:p>
          <w:p w:rsidR="00982028" w:rsidRDefault="00982028" w:rsidP="00E15044"/>
          <w:p w:rsidR="008C3E5E" w:rsidRDefault="00D267C2" w:rsidP="00E15044">
            <w:r w:rsidRPr="00D267C2">
              <w:t>Prior to ordering th</w:t>
            </w:r>
            <w:r>
              <w:t xml:space="preserve">is test, </w:t>
            </w:r>
            <w:r w:rsidRPr="00D267C2">
              <w:t>the ordering practitioner should ensure the patient (or an appropriate proxy) has given informed consent. Testing can only be performed after gen</w:t>
            </w:r>
            <w:r>
              <w:t xml:space="preserve">etic counselling. </w:t>
            </w:r>
            <w:r w:rsidRPr="00D267C2">
              <w:t>Appropriate genetic counselling should be provided to the patient either by the specialist treating practitioner, a genetic counselling service or a clinical geneticist on referral. Further counselling may be necessary upon receipt of th</w:t>
            </w:r>
            <w:r>
              <w:t xml:space="preserve">e test results </w:t>
            </w:r>
            <w:r w:rsidR="006852EA" w:rsidRPr="006852EA">
              <w:t>in order to e</w:t>
            </w:r>
            <w:r w:rsidR="006852EA">
              <w:t>xplain the diagnostic risks</w:t>
            </w:r>
            <w:r>
              <w:t>, implications</w:t>
            </w:r>
            <w:r w:rsidR="006852EA">
              <w:t xml:space="preserve"> </w:t>
            </w:r>
            <w:r w:rsidR="00476272">
              <w:t xml:space="preserve">to other family members, </w:t>
            </w:r>
            <w:r w:rsidR="006852EA">
              <w:t>and limitations for the</w:t>
            </w:r>
            <w:r w:rsidR="006852EA" w:rsidRPr="006852EA">
              <w:t xml:space="preserve"> particular test.</w:t>
            </w:r>
          </w:p>
          <w:p w:rsidR="006852EA" w:rsidRDefault="006852EA" w:rsidP="00E15044"/>
          <w:p w:rsidR="008C3E5E" w:rsidRPr="00DE3D6C" w:rsidRDefault="008C3E5E" w:rsidP="00E364F7">
            <w:r w:rsidRPr="00DE3D6C">
              <w:t>Fee:  $</w:t>
            </w:r>
            <w:r w:rsidR="008E00D3" w:rsidRPr="008E00D3">
              <w:t>1800</w:t>
            </w:r>
          </w:p>
        </w:tc>
      </w:tr>
    </w:tbl>
    <w:p w:rsidR="008C3E5E" w:rsidRDefault="008C3E5E" w:rsidP="00E364F7"/>
    <w:p w:rsidR="00E15044" w:rsidRPr="008A2D1D" w:rsidRDefault="005F52EC" w:rsidP="008A2D1D">
      <w:r>
        <w:t xml:space="preserve">The fee proposed by the Applicant is intended to incorporate the cost of </w:t>
      </w:r>
      <w:proofErr w:type="spellStart"/>
      <w:r w:rsidR="00D267C2">
        <w:t>venesection</w:t>
      </w:r>
      <w:proofErr w:type="spellEnd"/>
      <w:r w:rsidR="00D267C2">
        <w:t xml:space="preserve"> and transport of the specimen to the testing laboratory, </w:t>
      </w:r>
      <w:r>
        <w:t xml:space="preserve">the </w:t>
      </w:r>
      <w:r w:rsidR="00D267C2">
        <w:t xml:space="preserve">cost of the </w:t>
      </w:r>
      <w:r>
        <w:t xml:space="preserve">genetic test (testing, laboratory equipment, analysis and reporting), </w:t>
      </w:r>
      <w:r w:rsidR="00D267C2">
        <w:t>and the cost of consultation and counselling before and after testing.</w:t>
      </w:r>
    </w:p>
    <w:p w:rsidR="008A2D1D" w:rsidRDefault="008A2D1D" w:rsidP="008A2D1D">
      <w:pPr>
        <w:pStyle w:val="Caption"/>
      </w:pPr>
      <w:r>
        <w:lastRenderedPageBreak/>
        <w:t xml:space="preserve">Table </w:t>
      </w:r>
      <w:r>
        <w:fldChar w:fldCharType="begin"/>
      </w:r>
      <w:r>
        <w:instrText xml:space="preserve"> SEQ Table \* ARABIC </w:instrText>
      </w:r>
      <w:r>
        <w:fldChar w:fldCharType="separate"/>
      </w:r>
      <w:r>
        <w:rPr>
          <w:noProof/>
        </w:rPr>
        <w:t>4</w:t>
      </w:r>
      <w:r>
        <w:fldChar w:fldCharType="end"/>
      </w:r>
      <w:r>
        <w:t xml:space="preserve"> </w:t>
      </w:r>
      <w:r w:rsidRPr="003D402A">
        <w:t>Cascade testing of family members</w:t>
      </w:r>
    </w:p>
    <w:tbl>
      <w:tblPr>
        <w:tblStyle w:val="TableGrid"/>
        <w:tblW w:w="0" w:type="auto"/>
        <w:tblLook w:val="04A0" w:firstRow="1" w:lastRow="0" w:firstColumn="1" w:lastColumn="0" w:noHBand="0" w:noVBand="1"/>
        <w:tblDescription w:val="Table 4 Cascade testing of family members"/>
      </w:tblPr>
      <w:tblGrid>
        <w:gridCol w:w="9242"/>
      </w:tblGrid>
      <w:tr w:rsidR="00E15044" w:rsidRPr="00DE3D6C" w:rsidTr="0036282F">
        <w:trPr>
          <w:cantSplit/>
          <w:tblHeader/>
        </w:trPr>
        <w:tc>
          <w:tcPr>
            <w:tcW w:w="9242" w:type="dxa"/>
          </w:tcPr>
          <w:p w:rsidR="00E15044" w:rsidRPr="00DE3D6C" w:rsidRDefault="00E15044" w:rsidP="00F07DA2">
            <w:pPr>
              <w:keepNext/>
              <w:jc w:val="right"/>
            </w:pPr>
            <w:r w:rsidRPr="00DE3D6C">
              <w:t xml:space="preserve">Category </w:t>
            </w:r>
            <w:r w:rsidR="00476272">
              <w:t>6</w:t>
            </w:r>
            <w:r w:rsidRPr="00DE3D6C">
              <w:t xml:space="preserve"> – </w:t>
            </w:r>
            <w:r w:rsidR="00476272">
              <w:t>PATHOLOGY SERVICES</w:t>
            </w:r>
          </w:p>
        </w:tc>
      </w:tr>
      <w:tr w:rsidR="00E15044" w:rsidRPr="00DE3D6C" w:rsidTr="0036282F">
        <w:trPr>
          <w:cantSplit/>
          <w:tblHeader/>
        </w:trPr>
        <w:tc>
          <w:tcPr>
            <w:tcW w:w="9242" w:type="dxa"/>
          </w:tcPr>
          <w:p w:rsidR="00476272" w:rsidRDefault="00476272" w:rsidP="00476272">
            <w:pPr>
              <w:jc w:val="right"/>
            </w:pPr>
            <w:r>
              <w:t>Group P7 – GENETICS</w:t>
            </w:r>
          </w:p>
          <w:p w:rsidR="00476272" w:rsidRDefault="00476272" w:rsidP="00476272">
            <w:r>
              <w:t>Item XXXX</w:t>
            </w:r>
          </w:p>
          <w:p w:rsidR="00E15044" w:rsidRDefault="00E15044" w:rsidP="0036282F">
            <w:r w:rsidRPr="0084381B">
              <w:rPr>
                <w:iCs/>
              </w:rPr>
              <w:t>Request</w:t>
            </w:r>
            <w:r w:rsidR="00982028">
              <w:rPr>
                <w:iCs/>
              </w:rPr>
              <w:t xml:space="preserve"> by a </w:t>
            </w:r>
            <w:r w:rsidR="008E00D3">
              <w:rPr>
                <w:iCs/>
              </w:rPr>
              <w:t>clinical geneticist</w:t>
            </w:r>
            <w:r w:rsidRPr="0084381B">
              <w:rPr>
                <w:iCs/>
              </w:rPr>
              <w:t xml:space="preserve"> or a </w:t>
            </w:r>
            <w:r w:rsidR="008E00D3">
              <w:rPr>
                <w:iCs/>
              </w:rPr>
              <w:t>nephrologist</w:t>
            </w:r>
            <w:r w:rsidRPr="0084381B">
              <w:rPr>
                <w:iCs/>
              </w:rPr>
              <w:t xml:space="preserve"> for the detection of a mutation previously identified in a gene lis</w:t>
            </w:r>
            <w:r>
              <w:rPr>
                <w:iCs/>
              </w:rPr>
              <w:t>ted in Item XXXX in a relative.</w:t>
            </w:r>
          </w:p>
          <w:p w:rsidR="00E15044" w:rsidRDefault="00E15044" w:rsidP="0036282F"/>
          <w:p w:rsidR="00476272" w:rsidRDefault="00476272" w:rsidP="00476272">
            <w:r w:rsidRPr="00D267C2">
              <w:t>Prior to ordering th</w:t>
            </w:r>
            <w:r>
              <w:t xml:space="preserve">is test, </w:t>
            </w:r>
            <w:r w:rsidRPr="00D267C2">
              <w:t>the ordering practitioner should ensure the patient (or an appropriate proxy) has given informed consent. Testing can only be performed after gen</w:t>
            </w:r>
            <w:r>
              <w:t xml:space="preserve">etic counselling. </w:t>
            </w:r>
            <w:r w:rsidRPr="00D267C2">
              <w:t xml:space="preserve">Appropriate genetic counselling should be provided to the patient either by </w:t>
            </w:r>
            <w:r w:rsidR="00D87785">
              <w:t>a</w:t>
            </w:r>
            <w:r w:rsidRPr="00D267C2">
              <w:t xml:space="preserve"> specialist practitioner, a genetic counselling service or a clinical geneticist on referral. Further counselling may be necessary upon receipt of th</w:t>
            </w:r>
            <w:r>
              <w:t xml:space="preserve">e test results </w:t>
            </w:r>
            <w:r w:rsidRPr="006852EA">
              <w:t>in order to e</w:t>
            </w:r>
            <w:r>
              <w:t>xplain the diagnostic risks, implications to other family members, and limitations for the</w:t>
            </w:r>
            <w:r w:rsidRPr="006852EA">
              <w:t xml:space="preserve"> particular test.</w:t>
            </w:r>
          </w:p>
          <w:p w:rsidR="00476272" w:rsidRPr="00DE3D6C" w:rsidRDefault="00476272" w:rsidP="0036282F"/>
          <w:p w:rsidR="00E15044" w:rsidRPr="00DE3D6C" w:rsidRDefault="00E15044" w:rsidP="00F07DA2">
            <w:r w:rsidRPr="00DE3D6C">
              <w:t>Fee:  $</w:t>
            </w:r>
            <w:r w:rsidRPr="00DE3D6C">
              <w:rPr>
                <w:vanish/>
                <w:color w:val="FF0000"/>
              </w:rPr>
              <w:t>(</w:t>
            </w:r>
            <w:r w:rsidR="00D267C2">
              <w:rPr>
                <w:vanish/>
                <w:color w:val="FF0000"/>
              </w:rPr>
              <w:t xml:space="preserve">no fee </w:t>
            </w:r>
            <w:r w:rsidRPr="00DE3D6C">
              <w:rPr>
                <w:vanish/>
                <w:color w:val="FF0000"/>
              </w:rPr>
              <w:t>proposed</w:t>
            </w:r>
            <w:r w:rsidR="00F07DA2">
              <w:rPr>
                <w:vanish/>
                <w:color w:val="FF0000"/>
              </w:rPr>
              <w:t xml:space="preserve"> by Applicant</w:t>
            </w:r>
            <w:r w:rsidRPr="00DE3D6C">
              <w:rPr>
                <w:vanish/>
                <w:color w:val="FF0000"/>
              </w:rPr>
              <w:t>)</w:t>
            </w:r>
          </w:p>
        </w:tc>
      </w:tr>
    </w:tbl>
    <w:p w:rsidR="00E15044" w:rsidRDefault="00E15044" w:rsidP="00E364F7"/>
    <w:p w:rsidR="00DE7839" w:rsidRPr="00E364F7" w:rsidRDefault="005F52EC" w:rsidP="00E364F7">
      <w:r>
        <w:t xml:space="preserve">The Applicant has not proposed a fee for cascade testing of biological family members of the </w:t>
      </w:r>
      <w:proofErr w:type="spellStart"/>
      <w:r>
        <w:t>proband</w:t>
      </w:r>
      <w:proofErr w:type="spellEnd"/>
      <w:r>
        <w:t xml:space="preserve">. </w:t>
      </w:r>
      <w:r w:rsidR="00D267C2">
        <w:t xml:space="preserve">The fee for the genetic testing component </w:t>
      </w:r>
      <w:r w:rsidR="00476272">
        <w:t>could</w:t>
      </w:r>
      <w:r w:rsidR="00D267C2">
        <w:t xml:space="preserve"> be expected to be lower for family members than for the </w:t>
      </w:r>
      <w:proofErr w:type="spellStart"/>
      <w:r w:rsidR="00D267C2">
        <w:t>proband</w:t>
      </w:r>
      <w:proofErr w:type="spellEnd"/>
      <w:r w:rsidR="00476272">
        <w:t>,</w:t>
      </w:r>
      <w:r w:rsidR="00D267C2">
        <w:t xml:space="preserve"> given that the mutation is already known.</w:t>
      </w:r>
    </w:p>
    <w:sectPr w:rsidR="00DE7839" w:rsidRPr="00E364F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99" w:rsidRDefault="004F6599" w:rsidP="003D699E">
      <w:pPr>
        <w:spacing w:after="0" w:line="240" w:lineRule="auto"/>
      </w:pPr>
      <w:r>
        <w:separator/>
      </w:r>
    </w:p>
  </w:endnote>
  <w:endnote w:type="continuationSeparator" w:id="0">
    <w:p w:rsidR="004F6599" w:rsidRDefault="004F6599"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08" w:rsidRDefault="006D0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B50C7C" w:rsidRDefault="00B50C7C"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BC7D99" w:rsidRPr="00BC7D99">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rsidR="00B50C7C" w:rsidRPr="00CF2DFA" w:rsidRDefault="00B50C7C"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1449: Genetic testing for </w:t>
        </w:r>
        <w:proofErr w:type="spellStart"/>
        <w:r>
          <w:rPr>
            <w:color w:val="808080" w:themeColor="background1" w:themeShade="80"/>
            <w:spacing w:val="60"/>
            <w:sz w:val="18"/>
            <w:szCs w:val="18"/>
          </w:rPr>
          <w:t>Alport</w:t>
        </w:r>
        <w:proofErr w:type="spellEnd"/>
        <w:r>
          <w:rPr>
            <w:color w:val="808080" w:themeColor="background1" w:themeShade="80"/>
            <w:spacing w:val="60"/>
            <w:sz w:val="18"/>
            <w:szCs w:val="18"/>
          </w:rPr>
          <w:t xml:space="preserve"> syndrome</w:t>
        </w:r>
      </w:p>
    </w:sdtContent>
  </w:sdt>
  <w:p w:rsidR="00B50C7C" w:rsidRDefault="00B50C7C" w:rsidP="003D699E">
    <w:pPr>
      <w:pStyle w:val="Footer"/>
    </w:pPr>
  </w:p>
  <w:p w:rsidR="00B50C7C" w:rsidRDefault="00B50C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08" w:rsidRDefault="006D0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99" w:rsidRDefault="004F6599" w:rsidP="003D699E">
      <w:pPr>
        <w:spacing w:after="0" w:line="240" w:lineRule="auto"/>
      </w:pPr>
      <w:r>
        <w:separator/>
      </w:r>
    </w:p>
  </w:footnote>
  <w:footnote w:type="continuationSeparator" w:id="0">
    <w:p w:rsidR="004F6599" w:rsidRDefault="004F6599" w:rsidP="003D699E">
      <w:pPr>
        <w:spacing w:after="0" w:line="240" w:lineRule="auto"/>
      </w:pPr>
      <w:r>
        <w:continuationSeparator/>
      </w:r>
    </w:p>
  </w:footnote>
  <w:footnote w:id="1">
    <w:p w:rsidR="00B50C7C" w:rsidRPr="00B21A3D" w:rsidRDefault="00B50C7C" w:rsidP="00B64690">
      <w:pPr>
        <w:pStyle w:val="FootnoteText"/>
        <w:rPr>
          <w:sz w:val="18"/>
          <w:szCs w:val="18"/>
        </w:rPr>
      </w:pPr>
      <w:r w:rsidRPr="00B21A3D">
        <w:rPr>
          <w:rStyle w:val="FootnoteReference"/>
          <w:sz w:val="18"/>
          <w:szCs w:val="18"/>
        </w:rPr>
        <w:footnoteRef/>
      </w:r>
      <w:r w:rsidRPr="00B21A3D">
        <w:rPr>
          <w:sz w:val="18"/>
          <w:szCs w:val="18"/>
        </w:rPr>
        <w:t xml:space="preserve"> </w:t>
      </w:r>
      <w:proofErr w:type="spellStart"/>
      <w:proofErr w:type="gramStart"/>
      <w:r w:rsidRPr="00B21A3D">
        <w:rPr>
          <w:sz w:val="18"/>
          <w:szCs w:val="18"/>
        </w:rPr>
        <w:t>Hasstedt</w:t>
      </w:r>
      <w:proofErr w:type="spellEnd"/>
      <w:r w:rsidRPr="00B21A3D">
        <w:rPr>
          <w:sz w:val="18"/>
          <w:szCs w:val="18"/>
        </w:rPr>
        <w:t xml:space="preserve"> and </w:t>
      </w:r>
      <w:proofErr w:type="spellStart"/>
      <w:r w:rsidRPr="00B21A3D">
        <w:rPr>
          <w:sz w:val="18"/>
          <w:szCs w:val="18"/>
        </w:rPr>
        <w:t>Atkin</w:t>
      </w:r>
      <w:proofErr w:type="spellEnd"/>
      <w:r w:rsidRPr="00B21A3D">
        <w:rPr>
          <w:sz w:val="18"/>
          <w:szCs w:val="18"/>
        </w:rPr>
        <w:t xml:space="preserve"> (1983).</w:t>
      </w:r>
      <w:proofErr w:type="gramEnd"/>
      <w:r w:rsidRPr="00B21A3D">
        <w:rPr>
          <w:sz w:val="18"/>
          <w:szCs w:val="18"/>
        </w:rPr>
        <w:t xml:space="preserve"> X-linked inheritance of </w:t>
      </w:r>
      <w:proofErr w:type="spellStart"/>
      <w:r w:rsidRPr="00B21A3D">
        <w:rPr>
          <w:sz w:val="18"/>
          <w:szCs w:val="18"/>
        </w:rPr>
        <w:t>Alport</w:t>
      </w:r>
      <w:proofErr w:type="spellEnd"/>
      <w:r w:rsidRPr="00B21A3D">
        <w:rPr>
          <w:sz w:val="18"/>
          <w:szCs w:val="18"/>
        </w:rPr>
        <w:t xml:space="preserve"> syndrome: Family P revisited. </w:t>
      </w:r>
      <w:proofErr w:type="gramStart"/>
      <w:r w:rsidRPr="00B21A3D">
        <w:rPr>
          <w:sz w:val="18"/>
          <w:szCs w:val="18"/>
        </w:rPr>
        <w:t>Am J Hum Genet.</w:t>
      </w:r>
      <w:proofErr w:type="gramEnd"/>
      <w:r w:rsidRPr="00B21A3D">
        <w:rPr>
          <w:sz w:val="18"/>
          <w:szCs w:val="18"/>
        </w:rPr>
        <w:t xml:space="preserve"> 35:1241–1251.</w:t>
      </w:r>
    </w:p>
  </w:footnote>
  <w:footnote w:id="2">
    <w:p w:rsidR="00B50C7C" w:rsidRPr="00B21A3D" w:rsidRDefault="00B50C7C" w:rsidP="00B64690">
      <w:pPr>
        <w:pStyle w:val="FootnoteText"/>
        <w:rPr>
          <w:sz w:val="18"/>
          <w:szCs w:val="18"/>
        </w:rPr>
      </w:pPr>
      <w:r w:rsidRPr="00B21A3D">
        <w:rPr>
          <w:rStyle w:val="FootnoteReference"/>
          <w:sz w:val="18"/>
          <w:szCs w:val="18"/>
        </w:rPr>
        <w:footnoteRef/>
      </w:r>
      <w:r w:rsidRPr="00B21A3D">
        <w:rPr>
          <w:sz w:val="18"/>
          <w:szCs w:val="18"/>
        </w:rPr>
        <w:t xml:space="preserve"> </w:t>
      </w:r>
      <w:proofErr w:type="spellStart"/>
      <w:r w:rsidRPr="00B21A3D">
        <w:rPr>
          <w:sz w:val="18"/>
          <w:szCs w:val="18"/>
        </w:rPr>
        <w:t>Pajari</w:t>
      </w:r>
      <w:proofErr w:type="spellEnd"/>
      <w:r w:rsidRPr="00B21A3D">
        <w:rPr>
          <w:sz w:val="18"/>
          <w:szCs w:val="18"/>
        </w:rPr>
        <w:t xml:space="preserve"> et al (1996). </w:t>
      </w:r>
      <w:proofErr w:type="spellStart"/>
      <w:r w:rsidRPr="00B21A3D">
        <w:rPr>
          <w:sz w:val="18"/>
          <w:szCs w:val="18"/>
        </w:rPr>
        <w:t>Alport's</w:t>
      </w:r>
      <w:proofErr w:type="spellEnd"/>
      <w:r w:rsidRPr="00B21A3D">
        <w:rPr>
          <w:sz w:val="18"/>
          <w:szCs w:val="18"/>
        </w:rPr>
        <w:t xml:space="preserve"> syndrome in 78 patients: epidemiological and clinical study. </w:t>
      </w:r>
      <w:proofErr w:type="spellStart"/>
      <w:proofErr w:type="gramStart"/>
      <w:r w:rsidRPr="00B21A3D">
        <w:rPr>
          <w:sz w:val="18"/>
          <w:szCs w:val="18"/>
        </w:rPr>
        <w:t>Acta</w:t>
      </w:r>
      <w:proofErr w:type="spellEnd"/>
      <w:r w:rsidRPr="00B21A3D">
        <w:rPr>
          <w:sz w:val="18"/>
          <w:szCs w:val="18"/>
        </w:rPr>
        <w:t xml:space="preserve"> </w:t>
      </w:r>
      <w:proofErr w:type="spellStart"/>
      <w:r w:rsidRPr="00B21A3D">
        <w:rPr>
          <w:sz w:val="18"/>
          <w:szCs w:val="18"/>
        </w:rPr>
        <w:t>Paediatr</w:t>
      </w:r>
      <w:proofErr w:type="spellEnd"/>
      <w:r w:rsidRPr="00B21A3D">
        <w:rPr>
          <w:sz w:val="18"/>
          <w:szCs w:val="18"/>
        </w:rPr>
        <w:t>.</w:t>
      </w:r>
      <w:proofErr w:type="gramEnd"/>
      <w:r w:rsidRPr="00B21A3D">
        <w:rPr>
          <w:sz w:val="18"/>
          <w:szCs w:val="18"/>
        </w:rPr>
        <w:t xml:space="preserve"> 85:1300–1306.</w:t>
      </w:r>
    </w:p>
  </w:footnote>
  <w:footnote w:id="3">
    <w:p w:rsidR="00B50C7C" w:rsidRPr="00B21A3D" w:rsidRDefault="00B50C7C" w:rsidP="00B64690">
      <w:pPr>
        <w:pStyle w:val="FootnoteText"/>
        <w:rPr>
          <w:sz w:val="18"/>
          <w:szCs w:val="18"/>
        </w:rPr>
      </w:pPr>
      <w:r w:rsidRPr="00B21A3D">
        <w:rPr>
          <w:rStyle w:val="FootnoteReference"/>
          <w:sz w:val="18"/>
          <w:szCs w:val="18"/>
        </w:rPr>
        <w:footnoteRef/>
      </w:r>
      <w:r w:rsidRPr="00B21A3D">
        <w:rPr>
          <w:sz w:val="18"/>
          <w:szCs w:val="18"/>
        </w:rPr>
        <w:t xml:space="preserve"> </w:t>
      </w:r>
      <w:proofErr w:type="spellStart"/>
      <w:r w:rsidRPr="00B21A3D">
        <w:rPr>
          <w:sz w:val="18"/>
          <w:szCs w:val="18"/>
        </w:rPr>
        <w:t>Persson</w:t>
      </w:r>
      <w:proofErr w:type="spellEnd"/>
      <w:r w:rsidRPr="00B21A3D">
        <w:rPr>
          <w:sz w:val="18"/>
          <w:szCs w:val="18"/>
        </w:rPr>
        <w:t xml:space="preserve"> et al (2005). </w:t>
      </w:r>
      <w:proofErr w:type="spellStart"/>
      <w:proofErr w:type="gramStart"/>
      <w:r w:rsidRPr="00B21A3D">
        <w:rPr>
          <w:sz w:val="18"/>
          <w:szCs w:val="18"/>
        </w:rPr>
        <w:t>Alport</w:t>
      </w:r>
      <w:proofErr w:type="spellEnd"/>
      <w:r w:rsidRPr="00B21A3D">
        <w:rPr>
          <w:sz w:val="18"/>
          <w:szCs w:val="18"/>
        </w:rPr>
        <w:t xml:space="preserve"> syndrome in southern Sweden.</w:t>
      </w:r>
      <w:proofErr w:type="gramEnd"/>
      <w:r w:rsidRPr="00B21A3D">
        <w:rPr>
          <w:sz w:val="18"/>
          <w:szCs w:val="18"/>
        </w:rPr>
        <w:t xml:space="preserve"> </w:t>
      </w:r>
      <w:proofErr w:type="spellStart"/>
      <w:r w:rsidRPr="00B21A3D">
        <w:rPr>
          <w:sz w:val="18"/>
          <w:szCs w:val="18"/>
        </w:rPr>
        <w:t>Clin</w:t>
      </w:r>
      <w:proofErr w:type="spellEnd"/>
      <w:r w:rsidRPr="00B21A3D">
        <w:rPr>
          <w:sz w:val="18"/>
          <w:szCs w:val="18"/>
        </w:rPr>
        <w:t xml:space="preserve"> </w:t>
      </w:r>
      <w:proofErr w:type="spellStart"/>
      <w:r w:rsidRPr="00B21A3D">
        <w:rPr>
          <w:sz w:val="18"/>
          <w:szCs w:val="18"/>
        </w:rPr>
        <w:t>Nephrol</w:t>
      </w:r>
      <w:proofErr w:type="spellEnd"/>
      <w:r w:rsidRPr="00B21A3D">
        <w:rPr>
          <w:sz w:val="18"/>
          <w:szCs w:val="18"/>
        </w:rPr>
        <w:t>. 64: 85–90.</w:t>
      </w:r>
    </w:p>
  </w:footnote>
  <w:footnote w:id="4">
    <w:p w:rsidR="00B50C7C" w:rsidRPr="00B21A3D" w:rsidRDefault="00B50C7C" w:rsidP="00B21A3D">
      <w:pPr>
        <w:pStyle w:val="FootnoteText"/>
        <w:rPr>
          <w:sz w:val="18"/>
          <w:szCs w:val="18"/>
        </w:rPr>
      </w:pPr>
      <w:r w:rsidRPr="00B21A3D">
        <w:rPr>
          <w:rStyle w:val="FootnoteReference"/>
          <w:sz w:val="18"/>
          <w:szCs w:val="18"/>
        </w:rPr>
        <w:footnoteRef/>
      </w:r>
      <w:r w:rsidRPr="00B21A3D">
        <w:rPr>
          <w:sz w:val="18"/>
          <w:szCs w:val="18"/>
        </w:rPr>
        <w:t xml:space="preserve"> </w:t>
      </w:r>
      <w:proofErr w:type="spellStart"/>
      <w:r w:rsidRPr="00B21A3D">
        <w:rPr>
          <w:sz w:val="18"/>
          <w:szCs w:val="18"/>
        </w:rPr>
        <w:t>Mallett</w:t>
      </w:r>
      <w:proofErr w:type="spellEnd"/>
      <w:r w:rsidRPr="00B21A3D">
        <w:rPr>
          <w:sz w:val="18"/>
          <w:szCs w:val="18"/>
        </w:rPr>
        <w:t xml:space="preserve"> et al (2014). End-stage kidney disease due to </w:t>
      </w:r>
      <w:proofErr w:type="spellStart"/>
      <w:r w:rsidRPr="00B21A3D">
        <w:rPr>
          <w:sz w:val="18"/>
          <w:szCs w:val="18"/>
        </w:rPr>
        <w:t>Alport</w:t>
      </w:r>
      <w:proofErr w:type="spellEnd"/>
      <w:r w:rsidRPr="00B21A3D">
        <w:rPr>
          <w:sz w:val="18"/>
          <w:szCs w:val="18"/>
        </w:rPr>
        <w:t xml:space="preserve"> syndrome: outcomes in 296 consecutive Australia and New Zealand Dialysis and Transplant Registry cases. </w:t>
      </w:r>
      <w:proofErr w:type="spellStart"/>
      <w:proofErr w:type="gramStart"/>
      <w:r w:rsidRPr="00B21A3D">
        <w:rPr>
          <w:sz w:val="18"/>
          <w:szCs w:val="18"/>
        </w:rPr>
        <w:t>Nephrol</w:t>
      </w:r>
      <w:proofErr w:type="spellEnd"/>
      <w:r w:rsidRPr="00B21A3D">
        <w:rPr>
          <w:sz w:val="18"/>
          <w:szCs w:val="18"/>
        </w:rPr>
        <w:t xml:space="preserve"> Dial Transplant.</w:t>
      </w:r>
      <w:proofErr w:type="gramEnd"/>
      <w:r w:rsidRPr="00B21A3D">
        <w:rPr>
          <w:sz w:val="18"/>
          <w:szCs w:val="18"/>
        </w:rPr>
        <w:t xml:space="preserve"> 29:2277–86.</w:t>
      </w:r>
    </w:p>
  </w:footnote>
  <w:footnote w:id="5">
    <w:p w:rsidR="00B50C7C" w:rsidRPr="00B21A3D" w:rsidRDefault="00B50C7C" w:rsidP="006F13DF">
      <w:pPr>
        <w:pStyle w:val="FootnoteText"/>
        <w:rPr>
          <w:sz w:val="18"/>
          <w:szCs w:val="18"/>
        </w:rPr>
      </w:pPr>
      <w:r w:rsidRPr="00B21A3D">
        <w:rPr>
          <w:rStyle w:val="FootnoteReference"/>
          <w:sz w:val="18"/>
          <w:szCs w:val="18"/>
        </w:rPr>
        <w:footnoteRef/>
      </w:r>
      <w:r w:rsidRPr="00B21A3D">
        <w:rPr>
          <w:sz w:val="18"/>
          <w:szCs w:val="18"/>
        </w:rPr>
        <w:t xml:space="preserve"> </w:t>
      </w:r>
      <w:proofErr w:type="spellStart"/>
      <w:r w:rsidRPr="00B21A3D">
        <w:rPr>
          <w:sz w:val="18"/>
          <w:szCs w:val="18"/>
        </w:rPr>
        <w:t>Kashtan</w:t>
      </w:r>
      <w:proofErr w:type="spellEnd"/>
      <w:r w:rsidRPr="00B21A3D">
        <w:rPr>
          <w:sz w:val="18"/>
          <w:szCs w:val="18"/>
        </w:rPr>
        <w:t xml:space="preserve"> CE. </w:t>
      </w:r>
      <w:proofErr w:type="spellStart"/>
      <w:r w:rsidRPr="00B21A3D">
        <w:rPr>
          <w:sz w:val="18"/>
          <w:szCs w:val="18"/>
        </w:rPr>
        <w:t>Alport</w:t>
      </w:r>
      <w:proofErr w:type="spellEnd"/>
      <w:r w:rsidRPr="00B21A3D">
        <w:rPr>
          <w:sz w:val="18"/>
          <w:szCs w:val="18"/>
        </w:rPr>
        <w:t xml:space="preserve"> syndrome and thin basement membrane nephropathy. In: </w:t>
      </w:r>
      <w:proofErr w:type="spellStart"/>
      <w:r w:rsidRPr="00B21A3D">
        <w:rPr>
          <w:sz w:val="18"/>
          <w:szCs w:val="18"/>
        </w:rPr>
        <w:t>Pagon</w:t>
      </w:r>
      <w:proofErr w:type="spellEnd"/>
      <w:r w:rsidRPr="00B21A3D">
        <w:rPr>
          <w:sz w:val="18"/>
          <w:szCs w:val="18"/>
        </w:rPr>
        <w:t xml:space="preserve"> RA, Bird TD, Dolan CR et al. (</w:t>
      </w:r>
      <w:proofErr w:type="spellStart"/>
      <w:proofErr w:type="gramStart"/>
      <w:r w:rsidRPr="00B21A3D">
        <w:rPr>
          <w:sz w:val="18"/>
          <w:szCs w:val="18"/>
        </w:rPr>
        <w:t>eds</w:t>
      </w:r>
      <w:proofErr w:type="spellEnd"/>
      <w:proofErr w:type="gramEnd"/>
      <w:r w:rsidRPr="00B21A3D">
        <w:rPr>
          <w:sz w:val="18"/>
          <w:szCs w:val="18"/>
        </w:rPr>
        <w:t xml:space="preserve">). </w:t>
      </w:r>
      <w:proofErr w:type="spellStart"/>
      <w:proofErr w:type="gramStart"/>
      <w:r w:rsidRPr="00B21A3D">
        <w:rPr>
          <w:sz w:val="18"/>
          <w:szCs w:val="18"/>
        </w:rPr>
        <w:t>GeneReviews</w:t>
      </w:r>
      <w:proofErr w:type="spellEnd"/>
      <w:r w:rsidRPr="00B21A3D">
        <w:rPr>
          <w:sz w:val="18"/>
          <w:szCs w:val="18"/>
        </w:rPr>
        <w:t>.</w:t>
      </w:r>
      <w:proofErr w:type="gramEnd"/>
      <w:r w:rsidRPr="00B21A3D">
        <w:rPr>
          <w:sz w:val="18"/>
          <w:szCs w:val="18"/>
        </w:rPr>
        <w:t xml:space="preserve"> Seattle, WA: University of Washington, 1993-2016.</w:t>
      </w:r>
    </w:p>
  </w:footnote>
  <w:footnote w:id="6">
    <w:p w:rsidR="00B50C7C" w:rsidRPr="0053694C" w:rsidRDefault="00B50C7C" w:rsidP="0053694C">
      <w:pPr>
        <w:pStyle w:val="FootnoteText"/>
        <w:rPr>
          <w:sz w:val="18"/>
          <w:szCs w:val="18"/>
        </w:rPr>
      </w:pPr>
      <w:r w:rsidRPr="00B21A3D">
        <w:rPr>
          <w:rStyle w:val="FootnoteReference"/>
          <w:sz w:val="18"/>
          <w:szCs w:val="18"/>
        </w:rPr>
        <w:footnoteRef/>
      </w:r>
      <w:r w:rsidRPr="00B21A3D">
        <w:rPr>
          <w:sz w:val="18"/>
          <w:szCs w:val="18"/>
        </w:rPr>
        <w:t xml:space="preserve"> </w:t>
      </w:r>
      <w:proofErr w:type="spellStart"/>
      <w:r w:rsidRPr="00B21A3D">
        <w:rPr>
          <w:sz w:val="18"/>
          <w:szCs w:val="18"/>
        </w:rPr>
        <w:t>Gretz</w:t>
      </w:r>
      <w:proofErr w:type="spellEnd"/>
      <w:r w:rsidRPr="00B21A3D">
        <w:rPr>
          <w:sz w:val="18"/>
          <w:szCs w:val="18"/>
        </w:rPr>
        <w:t xml:space="preserve"> et al (1987). </w:t>
      </w:r>
      <w:proofErr w:type="spellStart"/>
      <w:proofErr w:type="gramStart"/>
      <w:r w:rsidRPr="00B21A3D">
        <w:rPr>
          <w:sz w:val="18"/>
          <w:szCs w:val="18"/>
        </w:rPr>
        <w:t>Alport’s</w:t>
      </w:r>
      <w:proofErr w:type="spellEnd"/>
      <w:r w:rsidRPr="00B21A3D">
        <w:rPr>
          <w:sz w:val="18"/>
          <w:szCs w:val="18"/>
        </w:rPr>
        <w:t xml:space="preserve"> syndrome as a cause of renal failure in Europe.</w:t>
      </w:r>
      <w:proofErr w:type="gramEnd"/>
      <w:r w:rsidRPr="00B21A3D">
        <w:rPr>
          <w:sz w:val="18"/>
          <w:szCs w:val="18"/>
        </w:rPr>
        <w:t xml:space="preserve"> </w:t>
      </w:r>
      <w:proofErr w:type="spellStart"/>
      <w:r w:rsidRPr="00B21A3D">
        <w:rPr>
          <w:sz w:val="18"/>
          <w:szCs w:val="18"/>
        </w:rPr>
        <w:t>Pediatr</w:t>
      </w:r>
      <w:proofErr w:type="spellEnd"/>
      <w:r w:rsidRPr="00B21A3D">
        <w:rPr>
          <w:sz w:val="18"/>
          <w:szCs w:val="18"/>
        </w:rPr>
        <w:t xml:space="preserve"> </w:t>
      </w:r>
      <w:proofErr w:type="spellStart"/>
      <w:r w:rsidRPr="00B21A3D">
        <w:rPr>
          <w:sz w:val="18"/>
          <w:szCs w:val="18"/>
        </w:rPr>
        <w:t>Nephrol</w:t>
      </w:r>
      <w:proofErr w:type="spellEnd"/>
      <w:r w:rsidRPr="00B21A3D">
        <w:rPr>
          <w:sz w:val="18"/>
          <w:szCs w:val="18"/>
        </w:rPr>
        <w:t>. 1:411–415.</w:t>
      </w:r>
    </w:p>
  </w:footnote>
  <w:footnote w:id="7">
    <w:p w:rsidR="00B50C7C" w:rsidRPr="00B21A3D" w:rsidRDefault="00B50C7C">
      <w:pPr>
        <w:pStyle w:val="FootnoteText"/>
        <w:rPr>
          <w:sz w:val="18"/>
          <w:szCs w:val="18"/>
        </w:rPr>
      </w:pPr>
      <w:r w:rsidRPr="00B21A3D">
        <w:rPr>
          <w:rStyle w:val="FootnoteReference"/>
          <w:sz w:val="18"/>
          <w:szCs w:val="18"/>
        </w:rPr>
        <w:footnoteRef/>
      </w:r>
      <w:r w:rsidRPr="00B21A3D">
        <w:rPr>
          <w:sz w:val="18"/>
          <w:szCs w:val="18"/>
        </w:rPr>
        <w:t xml:space="preserve"> Feingold J Bois E </w:t>
      </w:r>
      <w:proofErr w:type="spellStart"/>
      <w:r w:rsidRPr="00B21A3D">
        <w:rPr>
          <w:sz w:val="18"/>
          <w:szCs w:val="18"/>
        </w:rPr>
        <w:t>Chompret</w:t>
      </w:r>
      <w:proofErr w:type="spellEnd"/>
      <w:r w:rsidRPr="00B21A3D">
        <w:rPr>
          <w:sz w:val="18"/>
          <w:szCs w:val="18"/>
        </w:rPr>
        <w:t xml:space="preserve"> A </w:t>
      </w:r>
      <w:proofErr w:type="spellStart"/>
      <w:r w:rsidRPr="00B21A3D">
        <w:rPr>
          <w:sz w:val="18"/>
          <w:szCs w:val="18"/>
        </w:rPr>
        <w:t>Broyer</w:t>
      </w:r>
      <w:proofErr w:type="spellEnd"/>
      <w:r w:rsidRPr="00B21A3D">
        <w:rPr>
          <w:sz w:val="18"/>
          <w:szCs w:val="18"/>
        </w:rPr>
        <w:t xml:space="preserve"> M </w:t>
      </w:r>
      <w:proofErr w:type="spellStart"/>
      <w:r w:rsidRPr="00B21A3D">
        <w:rPr>
          <w:sz w:val="18"/>
          <w:szCs w:val="18"/>
        </w:rPr>
        <w:t>Gubler</w:t>
      </w:r>
      <w:proofErr w:type="spellEnd"/>
      <w:r w:rsidRPr="00B21A3D">
        <w:rPr>
          <w:sz w:val="18"/>
          <w:szCs w:val="18"/>
        </w:rPr>
        <w:t xml:space="preserve"> M-C </w:t>
      </w:r>
      <w:proofErr w:type="spellStart"/>
      <w:r w:rsidRPr="00B21A3D">
        <w:rPr>
          <w:sz w:val="18"/>
          <w:szCs w:val="18"/>
        </w:rPr>
        <w:t>Grunfeld</w:t>
      </w:r>
      <w:proofErr w:type="spellEnd"/>
      <w:r w:rsidRPr="00B21A3D">
        <w:rPr>
          <w:sz w:val="18"/>
          <w:szCs w:val="18"/>
        </w:rPr>
        <w:t xml:space="preserve"> J-</w:t>
      </w:r>
      <w:proofErr w:type="gramStart"/>
      <w:r w:rsidRPr="00B21A3D">
        <w:rPr>
          <w:sz w:val="18"/>
          <w:szCs w:val="18"/>
        </w:rPr>
        <w:t>P .</w:t>
      </w:r>
      <w:proofErr w:type="gramEnd"/>
      <w:r w:rsidRPr="00B21A3D">
        <w:rPr>
          <w:sz w:val="18"/>
          <w:szCs w:val="18"/>
        </w:rPr>
        <w:t xml:space="preserve"> </w:t>
      </w:r>
      <w:proofErr w:type="gramStart"/>
      <w:r w:rsidRPr="00B21A3D">
        <w:rPr>
          <w:sz w:val="18"/>
          <w:szCs w:val="18"/>
        </w:rPr>
        <w:t xml:space="preserve">Genetic heterogeneity of </w:t>
      </w:r>
      <w:proofErr w:type="spellStart"/>
      <w:r w:rsidRPr="00B21A3D">
        <w:rPr>
          <w:sz w:val="18"/>
          <w:szCs w:val="18"/>
        </w:rPr>
        <w:t>Alport</w:t>
      </w:r>
      <w:proofErr w:type="spellEnd"/>
      <w:r w:rsidRPr="00B21A3D">
        <w:rPr>
          <w:sz w:val="18"/>
          <w:szCs w:val="18"/>
        </w:rPr>
        <w:t xml:space="preserve"> syndrome.</w:t>
      </w:r>
      <w:proofErr w:type="gramEnd"/>
      <w:r w:rsidRPr="00B21A3D">
        <w:rPr>
          <w:sz w:val="18"/>
          <w:szCs w:val="18"/>
        </w:rPr>
        <w:t xml:space="preserve"> Kidney Int. 1985</w:t>
      </w:r>
      <w:proofErr w:type="gramStart"/>
      <w:r w:rsidRPr="00B21A3D">
        <w:rPr>
          <w:sz w:val="18"/>
          <w:szCs w:val="18"/>
        </w:rPr>
        <w:t>;27:672</w:t>
      </w:r>
      <w:proofErr w:type="gramEnd"/>
      <w:r w:rsidRPr="00B21A3D">
        <w:rPr>
          <w:sz w:val="18"/>
          <w:szCs w:val="18"/>
        </w:rPr>
        <w:t>–677.</w:t>
      </w:r>
    </w:p>
  </w:footnote>
  <w:footnote w:id="8">
    <w:p w:rsidR="00B50C7C" w:rsidRPr="00B21A3D" w:rsidRDefault="00B50C7C">
      <w:pPr>
        <w:pStyle w:val="FootnoteText"/>
        <w:rPr>
          <w:sz w:val="18"/>
          <w:szCs w:val="18"/>
        </w:rPr>
      </w:pPr>
      <w:r w:rsidRPr="00B21A3D">
        <w:rPr>
          <w:rStyle w:val="FootnoteReference"/>
          <w:sz w:val="18"/>
          <w:szCs w:val="18"/>
        </w:rPr>
        <w:footnoteRef/>
      </w:r>
      <w:r w:rsidRPr="00B21A3D">
        <w:rPr>
          <w:sz w:val="18"/>
          <w:szCs w:val="18"/>
        </w:rPr>
        <w:t xml:space="preserve"> </w:t>
      </w:r>
      <w:proofErr w:type="spellStart"/>
      <w:r w:rsidRPr="00B21A3D">
        <w:rPr>
          <w:sz w:val="18"/>
          <w:szCs w:val="18"/>
        </w:rPr>
        <w:t>Kashtan</w:t>
      </w:r>
      <w:proofErr w:type="spellEnd"/>
      <w:r w:rsidRPr="00B21A3D">
        <w:rPr>
          <w:sz w:val="18"/>
          <w:szCs w:val="18"/>
        </w:rPr>
        <w:t xml:space="preserve"> CE. </w:t>
      </w:r>
      <w:proofErr w:type="spellStart"/>
      <w:r w:rsidRPr="00B21A3D">
        <w:rPr>
          <w:sz w:val="18"/>
          <w:szCs w:val="18"/>
        </w:rPr>
        <w:t>Alport</w:t>
      </w:r>
      <w:proofErr w:type="spellEnd"/>
      <w:r w:rsidRPr="00B21A3D">
        <w:rPr>
          <w:sz w:val="18"/>
          <w:szCs w:val="18"/>
        </w:rPr>
        <w:t xml:space="preserve"> syndrome and thin basement membrane nephropathy. In: </w:t>
      </w:r>
      <w:proofErr w:type="spellStart"/>
      <w:r w:rsidRPr="00B21A3D">
        <w:rPr>
          <w:sz w:val="18"/>
          <w:szCs w:val="18"/>
        </w:rPr>
        <w:t>Pagon</w:t>
      </w:r>
      <w:proofErr w:type="spellEnd"/>
      <w:r w:rsidRPr="00B21A3D">
        <w:rPr>
          <w:sz w:val="18"/>
          <w:szCs w:val="18"/>
        </w:rPr>
        <w:t xml:space="preserve"> RA, Bird TD, Dolan CR et al. (</w:t>
      </w:r>
      <w:proofErr w:type="spellStart"/>
      <w:proofErr w:type="gramStart"/>
      <w:r w:rsidRPr="00B21A3D">
        <w:rPr>
          <w:sz w:val="18"/>
          <w:szCs w:val="18"/>
        </w:rPr>
        <w:t>eds</w:t>
      </w:r>
      <w:proofErr w:type="spellEnd"/>
      <w:proofErr w:type="gramEnd"/>
      <w:r w:rsidRPr="00B21A3D">
        <w:rPr>
          <w:sz w:val="18"/>
          <w:szCs w:val="18"/>
        </w:rPr>
        <w:t xml:space="preserve">). </w:t>
      </w:r>
      <w:proofErr w:type="spellStart"/>
      <w:proofErr w:type="gramStart"/>
      <w:r w:rsidRPr="00B21A3D">
        <w:rPr>
          <w:sz w:val="18"/>
          <w:szCs w:val="18"/>
        </w:rPr>
        <w:t>GeneReviews</w:t>
      </w:r>
      <w:proofErr w:type="spellEnd"/>
      <w:r w:rsidRPr="00B21A3D">
        <w:rPr>
          <w:sz w:val="18"/>
          <w:szCs w:val="18"/>
        </w:rPr>
        <w:t>.</w:t>
      </w:r>
      <w:proofErr w:type="gramEnd"/>
      <w:r w:rsidRPr="00B21A3D">
        <w:rPr>
          <w:sz w:val="18"/>
          <w:szCs w:val="18"/>
        </w:rPr>
        <w:t xml:space="preserve"> Seattle, WA: University of Washington, 1993-2016.</w:t>
      </w:r>
    </w:p>
  </w:footnote>
  <w:footnote w:id="9">
    <w:p w:rsidR="00B50C7C" w:rsidRDefault="00B50C7C">
      <w:pPr>
        <w:pStyle w:val="FootnoteText"/>
      </w:pPr>
      <w:r w:rsidRPr="00B21A3D">
        <w:rPr>
          <w:rStyle w:val="FootnoteReference"/>
          <w:sz w:val="18"/>
          <w:szCs w:val="18"/>
        </w:rPr>
        <w:footnoteRef/>
      </w:r>
      <w:r w:rsidRPr="00B21A3D">
        <w:rPr>
          <w:sz w:val="18"/>
          <w:szCs w:val="18"/>
        </w:rPr>
        <w:t xml:space="preserve"> </w:t>
      </w:r>
      <w:proofErr w:type="spellStart"/>
      <w:r w:rsidRPr="00B21A3D">
        <w:rPr>
          <w:sz w:val="18"/>
          <w:szCs w:val="18"/>
        </w:rPr>
        <w:t>Jais</w:t>
      </w:r>
      <w:proofErr w:type="spellEnd"/>
      <w:r w:rsidRPr="00B21A3D">
        <w:rPr>
          <w:sz w:val="18"/>
          <w:szCs w:val="18"/>
        </w:rPr>
        <w:t xml:space="preserve"> et al (2000). X-linked </w:t>
      </w:r>
      <w:proofErr w:type="spellStart"/>
      <w:r w:rsidRPr="00B21A3D">
        <w:rPr>
          <w:sz w:val="18"/>
          <w:szCs w:val="18"/>
        </w:rPr>
        <w:t>Alport</w:t>
      </w:r>
      <w:proofErr w:type="spellEnd"/>
      <w:r w:rsidRPr="00B21A3D">
        <w:rPr>
          <w:sz w:val="18"/>
          <w:szCs w:val="18"/>
        </w:rPr>
        <w:t xml:space="preserve"> syndrome: natural history in 195 families and genotype- phenotype correlations in males. J Am </w:t>
      </w:r>
      <w:proofErr w:type="spellStart"/>
      <w:r w:rsidRPr="00B21A3D">
        <w:rPr>
          <w:sz w:val="18"/>
          <w:szCs w:val="18"/>
        </w:rPr>
        <w:t>Soc</w:t>
      </w:r>
      <w:proofErr w:type="spellEnd"/>
      <w:r w:rsidRPr="00B21A3D">
        <w:rPr>
          <w:sz w:val="18"/>
          <w:szCs w:val="18"/>
        </w:rPr>
        <w:t xml:space="preserve"> </w:t>
      </w:r>
      <w:proofErr w:type="spellStart"/>
      <w:r w:rsidRPr="00B21A3D">
        <w:rPr>
          <w:sz w:val="18"/>
          <w:szCs w:val="18"/>
        </w:rPr>
        <w:t>Nephrol</w:t>
      </w:r>
      <w:proofErr w:type="spellEnd"/>
      <w:r w:rsidRPr="00B21A3D">
        <w:rPr>
          <w:sz w:val="18"/>
          <w:szCs w:val="18"/>
        </w:rPr>
        <w:t>. 11:649–57.</w:t>
      </w:r>
    </w:p>
  </w:footnote>
  <w:footnote w:id="10">
    <w:p w:rsidR="00B50C7C" w:rsidRPr="00B21A3D" w:rsidRDefault="00B50C7C">
      <w:pPr>
        <w:pStyle w:val="FootnoteText"/>
        <w:rPr>
          <w:sz w:val="18"/>
          <w:szCs w:val="18"/>
        </w:rPr>
      </w:pPr>
      <w:r w:rsidRPr="00B21A3D">
        <w:rPr>
          <w:rStyle w:val="FootnoteReference"/>
          <w:sz w:val="18"/>
          <w:szCs w:val="18"/>
        </w:rPr>
        <w:footnoteRef/>
      </w:r>
      <w:r w:rsidRPr="00B21A3D">
        <w:rPr>
          <w:sz w:val="18"/>
          <w:szCs w:val="18"/>
        </w:rPr>
        <w:t xml:space="preserve"> </w:t>
      </w:r>
      <w:proofErr w:type="spellStart"/>
      <w:r w:rsidRPr="00B21A3D">
        <w:rPr>
          <w:sz w:val="18"/>
          <w:szCs w:val="18"/>
        </w:rPr>
        <w:t>Jais</w:t>
      </w:r>
      <w:proofErr w:type="spellEnd"/>
      <w:r w:rsidRPr="00B21A3D">
        <w:rPr>
          <w:sz w:val="18"/>
          <w:szCs w:val="18"/>
        </w:rPr>
        <w:t xml:space="preserve"> et al (2003). X-linked </w:t>
      </w:r>
      <w:proofErr w:type="spellStart"/>
      <w:r w:rsidRPr="00B21A3D">
        <w:rPr>
          <w:sz w:val="18"/>
          <w:szCs w:val="18"/>
        </w:rPr>
        <w:t>Alport</w:t>
      </w:r>
      <w:proofErr w:type="spellEnd"/>
      <w:r w:rsidRPr="00B21A3D">
        <w:rPr>
          <w:sz w:val="18"/>
          <w:szCs w:val="18"/>
        </w:rPr>
        <w:t xml:space="preserve"> syndrome: natural history and genotype-phenotype correlations in girls and women belonging to 195 families: a "European Community </w:t>
      </w:r>
      <w:proofErr w:type="spellStart"/>
      <w:r w:rsidRPr="00B21A3D">
        <w:rPr>
          <w:sz w:val="18"/>
          <w:szCs w:val="18"/>
        </w:rPr>
        <w:t>Alport</w:t>
      </w:r>
      <w:proofErr w:type="spellEnd"/>
      <w:r w:rsidRPr="00B21A3D">
        <w:rPr>
          <w:sz w:val="18"/>
          <w:szCs w:val="18"/>
        </w:rPr>
        <w:t xml:space="preserve"> Syndrome Concerted Action" study. J Am </w:t>
      </w:r>
      <w:proofErr w:type="spellStart"/>
      <w:r w:rsidRPr="00B21A3D">
        <w:rPr>
          <w:sz w:val="18"/>
          <w:szCs w:val="18"/>
        </w:rPr>
        <w:t>Soc</w:t>
      </w:r>
      <w:proofErr w:type="spellEnd"/>
      <w:r w:rsidRPr="00B21A3D">
        <w:rPr>
          <w:sz w:val="18"/>
          <w:szCs w:val="18"/>
        </w:rPr>
        <w:t xml:space="preserve"> </w:t>
      </w:r>
      <w:proofErr w:type="spellStart"/>
      <w:r w:rsidRPr="00B21A3D">
        <w:rPr>
          <w:sz w:val="18"/>
          <w:szCs w:val="18"/>
        </w:rPr>
        <w:t>Nephrol</w:t>
      </w:r>
      <w:proofErr w:type="spellEnd"/>
      <w:r w:rsidRPr="00B21A3D">
        <w:rPr>
          <w:sz w:val="18"/>
          <w:szCs w:val="18"/>
        </w:rPr>
        <w:t>. 14:2603–10.</w:t>
      </w:r>
    </w:p>
  </w:footnote>
  <w:footnote w:id="11">
    <w:p w:rsidR="00B50C7C" w:rsidRPr="00B21A3D" w:rsidRDefault="00B50C7C">
      <w:pPr>
        <w:pStyle w:val="FootnoteText"/>
        <w:rPr>
          <w:sz w:val="18"/>
          <w:szCs w:val="18"/>
        </w:rPr>
      </w:pPr>
      <w:r w:rsidRPr="00B21A3D">
        <w:rPr>
          <w:rStyle w:val="FootnoteReference"/>
          <w:sz w:val="18"/>
          <w:szCs w:val="18"/>
        </w:rPr>
        <w:footnoteRef/>
      </w:r>
      <w:r w:rsidRPr="00B21A3D">
        <w:rPr>
          <w:sz w:val="18"/>
          <w:szCs w:val="18"/>
        </w:rPr>
        <w:t xml:space="preserve"> </w:t>
      </w:r>
      <w:proofErr w:type="gramStart"/>
      <w:r w:rsidRPr="00B21A3D">
        <w:rPr>
          <w:sz w:val="18"/>
          <w:szCs w:val="18"/>
        </w:rPr>
        <w:t>Gross et al (2015).</w:t>
      </w:r>
      <w:proofErr w:type="gramEnd"/>
      <w:r w:rsidRPr="00B21A3D">
        <w:rPr>
          <w:sz w:val="18"/>
          <w:szCs w:val="18"/>
        </w:rPr>
        <w:t xml:space="preserve"> Early angiotensin-converting enzyme inhibition in </w:t>
      </w:r>
      <w:proofErr w:type="spellStart"/>
      <w:r w:rsidRPr="00B21A3D">
        <w:rPr>
          <w:sz w:val="18"/>
          <w:szCs w:val="18"/>
        </w:rPr>
        <w:t>Alport</w:t>
      </w:r>
      <w:proofErr w:type="spellEnd"/>
      <w:r w:rsidRPr="00B21A3D">
        <w:rPr>
          <w:sz w:val="18"/>
          <w:szCs w:val="18"/>
        </w:rPr>
        <w:t xml:space="preserve"> syndrome delays renal failure and improves life expectancy. Kidney Int. 291:494-501.</w:t>
      </w:r>
    </w:p>
  </w:footnote>
  <w:footnote w:id="12">
    <w:p w:rsidR="00B50C7C" w:rsidRDefault="00B50C7C">
      <w:pPr>
        <w:pStyle w:val="FootnoteText"/>
      </w:pPr>
      <w:r>
        <w:rPr>
          <w:rStyle w:val="FootnoteReference"/>
        </w:rPr>
        <w:footnoteRef/>
      </w:r>
      <w:r>
        <w:t xml:space="preserve"> </w:t>
      </w:r>
      <w:r>
        <w:rPr>
          <w:sz w:val="18"/>
          <w:szCs w:val="18"/>
        </w:rPr>
        <w:t xml:space="preserve">Leiden Open Variation Database, available at </w:t>
      </w:r>
      <w:r w:rsidRPr="007B0CB6">
        <w:rPr>
          <w:sz w:val="18"/>
          <w:szCs w:val="18"/>
        </w:rPr>
        <w:t>https://grenada.lumc.nl/LOVD2/COL4A/home.php?action=switch_db)</w:t>
      </w:r>
    </w:p>
  </w:footnote>
  <w:footnote w:id="13">
    <w:p w:rsidR="00B50C7C" w:rsidRPr="0014034B" w:rsidRDefault="00B50C7C">
      <w:pPr>
        <w:pStyle w:val="FootnoteText"/>
        <w:rPr>
          <w:sz w:val="18"/>
          <w:szCs w:val="18"/>
        </w:rPr>
      </w:pPr>
      <w:r>
        <w:rPr>
          <w:rStyle w:val="FootnoteReference"/>
        </w:rPr>
        <w:footnoteRef/>
      </w:r>
      <w:r>
        <w:t xml:space="preserve"> </w:t>
      </w:r>
      <w:proofErr w:type="gramStart"/>
      <w:r w:rsidRPr="0014034B">
        <w:rPr>
          <w:sz w:val="18"/>
          <w:szCs w:val="18"/>
        </w:rPr>
        <w:t>Personal communication with the Applicant.</w:t>
      </w:r>
      <w:proofErr w:type="gramEnd"/>
    </w:p>
  </w:footnote>
  <w:footnote w:id="14">
    <w:p w:rsidR="00B50C7C" w:rsidRPr="00185051" w:rsidRDefault="00B50C7C">
      <w:pPr>
        <w:pStyle w:val="FootnoteText"/>
        <w:rPr>
          <w:sz w:val="18"/>
          <w:szCs w:val="18"/>
        </w:rPr>
      </w:pPr>
      <w:r w:rsidRPr="00185051">
        <w:rPr>
          <w:rStyle w:val="FootnoteReference"/>
          <w:sz w:val="18"/>
          <w:szCs w:val="18"/>
        </w:rPr>
        <w:footnoteRef/>
      </w:r>
      <w:r w:rsidRPr="00185051">
        <w:rPr>
          <w:sz w:val="18"/>
          <w:szCs w:val="18"/>
        </w:rPr>
        <w:t xml:space="preserve"> </w:t>
      </w:r>
      <w:proofErr w:type="spellStart"/>
      <w:r w:rsidRPr="00185051">
        <w:rPr>
          <w:sz w:val="18"/>
          <w:szCs w:val="18"/>
        </w:rPr>
        <w:t>Savige</w:t>
      </w:r>
      <w:proofErr w:type="spellEnd"/>
      <w:r w:rsidRPr="00185051">
        <w:rPr>
          <w:sz w:val="18"/>
          <w:szCs w:val="18"/>
        </w:rPr>
        <w:t xml:space="preserve"> et al (2013). </w:t>
      </w:r>
      <w:proofErr w:type="gramStart"/>
      <w:r w:rsidRPr="00185051">
        <w:rPr>
          <w:sz w:val="18"/>
          <w:szCs w:val="18"/>
        </w:rPr>
        <w:t xml:space="preserve">Expert guidelines for the management of </w:t>
      </w:r>
      <w:proofErr w:type="spellStart"/>
      <w:r w:rsidRPr="00185051">
        <w:rPr>
          <w:sz w:val="18"/>
          <w:szCs w:val="18"/>
        </w:rPr>
        <w:t>Alport</w:t>
      </w:r>
      <w:proofErr w:type="spellEnd"/>
      <w:r w:rsidRPr="00185051">
        <w:rPr>
          <w:sz w:val="18"/>
          <w:szCs w:val="18"/>
        </w:rPr>
        <w:t xml:space="preserve"> syndrome and thin basement membrane nephropathy.</w:t>
      </w:r>
      <w:proofErr w:type="gramEnd"/>
      <w:r w:rsidRPr="00185051">
        <w:rPr>
          <w:sz w:val="18"/>
          <w:szCs w:val="18"/>
        </w:rPr>
        <w:t xml:space="preserve"> J Am </w:t>
      </w:r>
      <w:proofErr w:type="spellStart"/>
      <w:r w:rsidRPr="00185051">
        <w:rPr>
          <w:sz w:val="18"/>
          <w:szCs w:val="18"/>
        </w:rPr>
        <w:t>Soc</w:t>
      </w:r>
      <w:proofErr w:type="spellEnd"/>
      <w:r w:rsidRPr="00185051">
        <w:rPr>
          <w:sz w:val="18"/>
          <w:szCs w:val="18"/>
        </w:rPr>
        <w:t xml:space="preserve"> </w:t>
      </w:r>
      <w:proofErr w:type="spellStart"/>
      <w:r w:rsidRPr="00185051">
        <w:rPr>
          <w:sz w:val="18"/>
          <w:szCs w:val="18"/>
        </w:rPr>
        <w:t>Nephrol</w:t>
      </w:r>
      <w:proofErr w:type="spellEnd"/>
      <w:r w:rsidRPr="00185051">
        <w:rPr>
          <w:sz w:val="18"/>
          <w:szCs w:val="18"/>
        </w:rPr>
        <w:t>. 24:364-75.</w:t>
      </w:r>
    </w:p>
  </w:footnote>
  <w:footnote w:id="15">
    <w:p w:rsidR="00B50C7C" w:rsidRPr="00185051" w:rsidRDefault="00B50C7C">
      <w:pPr>
        <w:pStyle w:val="FootnoteText"/>
        <w:rPr>
          <w:sz w:val="18"/>
          <w:szCs w:val="18"/>
        </w:rPr>
      </w:pPr>
      <w:r w:rsidRPr="00185051">
        <w:rPr>
          <w:rStyle w:val="FootnoteReference"/>
          <w:sz w:val="18"/>
          <w:szCs w:val="18"/>
        </w:rPr>
        <w:footnoteRef/>
      </w:r>
      <w:r w:rsidRPr="00185051">
        <w:rPr>
          <w:sz w:val="18"/>
          <w:szCs w:val="18"/>
        </w:rPr>
        <w:t xml:space="preserve"> </w:t>
      </w:r>
      <w:proofErr w:type="spellStart"/>
      <w:r w:rsidRPr="00185051">
        <w:rPr>
          <w:sz w:val="18"/>
          <w:szCs w:val="18"/>
        </w:rPr>
        <w:t>Kashtan</w:t>
      </w:r>
      <w:proofErr w:type="spellEnd"/>
      <w:r w:rsidRPr="00185051">
        <w:rPr>
          <w:sz w:val="18"/>
          <w:szCs w:val="18"/>
        </w:rPr>
        <w:t xml:space="preserve"> et al (2013). Clinical practice recommendations for the treatment of </w:t>
      </w:r>
      <w:proofErr w:type="spellStart"/>
      <w:r w:rsidRPr="00185051">
        <w:rPr>
          <w:sz w:val="18"/>
          <w:szCs w:val="18"/>
        </w:rPr>
        <w:t>Alport</w:t>
      </w:r>
      <w:proofErr w:type="spellEnd"/>
      <w:r w:rsidRPr="00185051">
        <w:rPr>
          <w:sz w:val="18"/>
          <w:szCs w:val="18"/>
        </w:rPr>
        <w:t xml:space="preserve"> syndrome: a statement of the </w:t>
      </w:r>
      <w:proofErr w:type="spellStart"/>
      <w:r w:rsidRPr="00185051">
        <w:rPr>
          <w:sz w:val="18"/>
          <w:szCs w:val="18"/>
        </w:rPr>
        <w:t>Alport</w:t>
      </w:r>
      <w:proofErr w:type="spellEnd"/>
      <w:r w:rsidRPr="00185051">
        <w:rPr>
          <w:sz w:val="18"/>
          <w:szCs w:val="18"/>
        </w:rPr>
        <w:t xml:space="preserve"> Syndrome Research Collaborative. </w:t>
      </w:r>
      <w:proofErr w:type="spellStart"/>
      <w:r w:rsidRPr="00185051">
        <w:rPr>
          <w:sz w:val="18"/>
          <w:szCs w:val="18"/>
        </w:rPr>
        <w:t>Pediatr</w:t>
      </w:r>
      <w:proofErr w:type="spellEnd"/>
      <w:r w:rsidRPr="00185051">
        <w:rPr>
          <w:sz w:val="18"/>
          <w:szCs w:val="18"/>
        </w:rPr>
        <w:t xml:space="preserve"> </w:t>
      </w:r>
      <w:proofErr w:type="spellStart"/>
      <w:r w:rsidRPr="00185051">
        <w:rPr>
          <w:sz w:val="18"/>
          <w:szCs w:val="18"/>
        </w:rPr>
        <w:t>Nephrol</w:t>
      </w:r>
      <w:proofErr w:type="spellEnd"/>
      <w:r w:rsidRPr="00185051">
        <w:rPr>
          <w:sz w:val="18"/>
          <w:szCs w:val="18"/>
        </w:rPr>
        <w:t>. 28:5-11.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7C" w:rsidRDefault="00BC7D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7.3pt;height:48.9pt;rotation:315;z-index:-251658752;mso-position-horizontal:center;mso-position-horizontal-relative:margin;mso-position-vertical:center;mso-position-vertical-relative:margin" o:allowincell="f" fillcolor="silver" stroked="f">
          <v:fill opacity=".5"/>
          <v:textpath style="font-family:&quot;Arial&quot;;font-size:1pt" string="DRAFT FOR CONSUL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08" w:rsidRDefault="006D0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E08" w:rsidRDefault="006D0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329616"/>
    <w:lvl w:ilvl="0">
      <w:start w:val="1"/>
      <w:numFmt w:val="bullet"/>
      <w:lvlText w:val=""/>
      <w:lvlJc w:val="left"/>
      <w:pPr>
        <w:tabs>
          <w:tab w:val="num" w:pos="360"/>
        </w:tabs>
        <w:ind w:left="360" w:hanging="360"/>
      </w:pPr>
      <w:rPr>
        <w:rFonts w:ascii="Symbol" w:hAnsi="Symbol" w:hint="default"/>
      </w:rPr>
    </w:lvl>
  </w:abstractNum>
  <w:abstractNum w:abstractNumId="1">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C475B9"/>
    <w:multiLevelType w:val="hybridMultilevel"/>
    <w:tmpl w:val="0872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2B4191"/>
    <w:multiLevelType w:val="hybridMultilevel"/>
    <w:tmpl w:val="0E7AE38E"/>
    <w:lvl w:ilvl="0" w:tplc="7832961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724B60"/>
    <w:multiLevelType w:val="hybridMultilevel"/>
    <w:tmpl w:val="B1DE1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7C5E736E"/>
    <w:multiLevelType w:val="hybridMultilevel"/>
    <w:tmpl w:val="0302B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12"/>
  </w:num>
  <w:num w:numId="6">
    <w:abstractNumId w:val="6"/>
  </w:num>
  <w:num w:numId="7">
    <w:abstractNumId w:val="3"/>
  </w:num>
  <w:num w:numId="8">
    <w:abstractNumId w:val="2"/>
  </w:num>
  <w:num w:numId="9">
    <w:abstractNumId w:val="7"/>
  </w:num>
  <w:num w:numId="10">
    <w:abstractNumId w:val="0"/>
  </w:num>
  <w:num w:numId="11">
    <w:abstractNumId w:val="9"/>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5D"/>
    <w:rsid w:val="00002118"/>
    <w:rsid w:val="00004548"/>
    <w:rsid w:val="00014375"/>
    <w:rsid w:val="00032F32"/>
    <w:rsid w:val="000353B2"/>
    <w:rsid w:val="00046A1E"/>
    <w:rsid w:val="00063AC8"/>
    <w:rsid w:val="00064FD7"/>
    <w:rsid w:val="00076ED5"/>
    <w:rsid w:val="000818FF"/>
    <w:rsid w:val="00084F7A"/>
    <w:rsid w:val="000915FB"/>
    <w:rsid w:val="00093D76"/>
    <w:rsid w:val="000A0FBA"/>
    <w:rsid w:val="000B1A53"/>
    <w:rsid w:val="000B4597"/>
    <w:rsid w:val="000B519A"/>
    <w:rsid w:val="000C5540"/>
    <w:rsid w:val="000D1D00"/>
    <w:rsid w:val="000E2905"/>
    <w:rsid w:val="000E7E5C"/>
    <w:rsid w:val="000F18FA"/>
    <w:rsid w:val="000F6891"/>
    <w:rsid w:val="00100D05"/>
    <w:rsid w:val="00114DA6"/>
    <w:rsid w:val="001151D6"/>
    <w:rsid w:val="0014034B"/>
    <w:rsid w:val="001455EC"/>
    <w:rsid w:val="00146FFD"/>
    <w:rsid w:val="001557EC"/>
    <w:rsid w:val="00185051"/>
    <w:rsid w:val="00185A78"/>
    <w:rsid w:val="00191E53"/>
    <w:rsid w:val="00197879"/>
    <w:rsid w:val="001F29C2"/>
    <w:rsid w:val="001F776F"/>
    <w:rsid w:val="002003F2"/>
    <w:rsid w:val="00211372"/>
    <w:rsid w:val="0022093E"/>
    <w:rsid w:val="0022396C"/>
    <w:rsid w:val="00251F9C"/>
    <w:rsid w:val="00256F00"/>
    <w:rsid w:val="00276CAC"/>
    <w:rsid w:val="002777DE"/>
    <w:rsid w:val="00282B7B"/>
    <w:rsid w:val="00292DE9"/>
    <w:rsid w:val="002A03CE"/>
    <w:rsid w:val="002A4704"/>
    <w:rsid w:val="002A4909"/>
    <w:rsid w:val="002A66BD"/>
    <w:rsid w:val="002B226C"/>
    <w:rsid w:val="002B3338"/>
    <w:rsid w:val="002E7602"/>
    <w:rsid w:val="00303C94"/>
    <w:rsid w:val="003104AE"/>
    <w:rsid w:val="00310C65"/>
    <w:rsid w:val="003363BC"/>
    <w:rsid w:val="00336FCD"/>
    <w:rsid w:val="00347150"/>
    <w:rsid w:val="00362776"/>
    <w:rsid w:val="0036282F"/>
    <w:rsid w:val="0037762E"/>
    <w:rsid w:val="00382875"/>
    <w:rsid w:val="003850B9"/>
    <w:rsid w:val="00396B03"/>
    <w:rsid w:val="003A1B3E"/>
    <w:rsid w:val="003B3E19"/>
    <w:rsid w:val="003C5B11"/>
    <w:rsid w:val="003D699E"/>
    <w:rsid w:val="003E0382"/>
    <w:rsid w:val="003E7C26"/>
    <w:rsid w:val="00411511"/>
    <w:rsid w:val="00413AB1"/>
    <w:rsid w:val="0042483F"/>
    <w:rsid w:val="0043159D"/>
    <w:rsid w:val="00432071"/>
    <w:rsid w:val="00437DC7"/>
    <w:rsid w:val="00440228"/>
    <w:rsid w:val="0044715D"/>
    <w:rsid w:val="00447279"/>
    <w:rsid w:val="0045286A"/>
    <w:rsid w:val="004546B5"/>
    <w:rsid w:val="0045611E"/>
    <w:rsid w:val="00463801"/>
    <w:rsid w:val="00464E57"/>
    <w:rsid w:val="00476272"/>
    <w:rsid w:val="00483956"/>
    <w:rsid w:val="00490145"/>
    <w:rsid w:val="00496341"/>
    <w:rsid w:val="004A187C"/>
    <w:rsid w:val="004C1FA9"/>
    <w:rsid w:val="004D1D41"/>
    <w:rsid w:val="004D7373"/>
    <w:rsid w:val="004F6599"/>
    <w:rsid w:val="004F76E5"/>
    <w:rsid w:val="00506319"/>
    <w:rsid w:val="005318A0"/>
    <w:rsid w:val="0053393D"/>
    <w:rsid w:val="005348D6"/>
    <w:rsid w:val="0053694C"/>
    <w:rsid w:val="00543A25"/>
    <w:rsid w:val="00561F3E"/>
    <w:rsid w:val="005640CC"/>
    <w:rsid w:val="005A252F"/>
    <w:rsid w:val="005A2EBE"/>
    <w:rsid w:val="005A45B3"/>
    <w:rsid w:val="005A67D4"/>
    <w:rsid w:val="005C58E8"/>
    <w:rsid w:val="005C7B58"/>
    <w:rsid w:val="005E5FFE"/>
    <w:rsid w:val="005E7D06"/>
    <w:rsid w:val="005F4D2F"/>
    <w:rsid w:val="005F52EC"/>
    <w:rsid w:val="005F5F08"/>
    <w:rsid w:val="00604222"/>
    <w:rsid w:val="006112F7"/>
    <w:rsid w:val="00611701"/>
    <w:rsid w:val="00621E87"/>
    <w:rsid w:val="00627B5C"/>
    <w:rsid w:val="00632B38"/>
    <w:rsid w:val="00643C66"/>
    <w:rsid w:val="0064402D"/>
    <w:rsid w:val="00644920"/>
    <w:rsid w:val="00646A61"/>
    <w:rsid w:val="00652DE5"/>
    <w:rsid w:val="00655327"/>
    <w:rsid w:val="00665D66"/>
    <w:rsid w:val="006852EA"/>
    <w:rsid w:val="00697A5F"/>
    <w:rsid w:val="006B0478"/>
    <w:rsid w:val="006B6204"/>
    <w:rsid w:val="006C30F5"/>
    <w:rsid w:val="006D0E08"/>
    <w:rsid w:val="006D1643"/>
    <w:rsid w:val="006D465D"/>
    <w:rsid w:val="006E5139"/>
    <w:rsid w:val="006F0C2D"/>
    <w:rsid w:val="006F13DF"/>
    <w:rsid w:val="00701B16"/>
    <w:rsid w:val="00717FFB"/>
    <w:rsid w:val="00734F81"/>
    <w:rsid w:val="0073757B"/>
    <w:rsid w:val="007444A9"/>
    <w:rsid w:val="00751006"/>
    <w:rsid w:val="00752491"/>
    <w:rsid w:val="007751A7"/>
    <w:rsid w:val="00782296"/>
    <w:rsid w:val="007A77E8"/>
    <w:rsid w:val="007B0CB6"/>
    <w:rsid w:val="007D1E1A"/>
    <w:rsid w:val="007E7E23"/>
    <w:rsid w:val="007F0B40"/>
    <w:rsid w:val="007F4E20"/>
    <w:rsid w:val="00827FB2"/>
    <w:rsid w:val="00831CA9"/>
    <w:rsid w:val="008425D2"/>
    <w:rsid w:val="008566F5"/>
    <w:rsid w:val="0085754C"/>
    <w:rsid w:val="00870120"/>
    <w:rsid w:val="00870245"/>
    <w:rsid w:val="008706D6"/>
    <w:rsid w:val="00874BA7"/>
    <w:rsid w:val="008757BF"/>
    <w:rsid w:val="0089281F"/>
    <w:rsid w:val="00895420"/>
    <w:rsid w:val="00896845"/>
    <w:rsid w:val="008A2D1D"/>
    <w:rsid w:val="008B3AE5"/>
    <w:rsid w:val="008B41EC"/>
    <w:rsid w:val="008C3E5E"/>
    <w:rsid w:val="008E00D3"/>
    <w:rsid w:val="008E6AAA"/>
    <w:rsid w:val="008F37D5"/>
    <w:rsid w:val="008F4718"/>
    <w:rsid w:val="008F59D6"/>
    <w:rsid w:val="008F5DD9"/>
    <w:rsid w:val="00901E67"/>
    <w:rsid w:val="00915AAE"/>
    <w:rsid w:val="00941F71"/>
    <w:rsid w:val="00953074"/>
    <w:rsid w:val="00953ED7"/>
    <w:rsid w:val="009805A2"/>
    <w:rsid w:val="00982028"/>
    <w:rsid w:val="009C158A"/>
    <w:rsid w:val="009D0F26"/>
    <w:rsid w:val="009E5295"/>
    <w:rsid w:val="00A01E47"/>
    <w:rsid w:val="00A02E1C"/>
    <w:rsid w:val="00A03925"/>
    <w:rsid w:val="00A05E2A"/>
    <w:rsid w:val="00A1698C"/>
    <w:rsid w:val="00A20BAA"/>
    <w:rsid w:val="00A26E55"/>
    <w:rsid w:val="00A35567"/>
    <w:rsid w:val="00A42401"/>
    <w:rsid w:val="00A47E2C"/>
    <w:rsid w:val="00A601AC"/>
    <w:rsid w:val="00A671CA"/>
    <w:rsid w:val="00A76F97"/>
    <w:rsid w:val="00A81684"/>
    <w:rsid w:val="00A84A56"/>
    <w:rsid w:val="00A86C74"/>
    <w:rsid w:val="00A94E92"/>
    <w:rsid w:val="00AB1F47"/>
    <w:rsid w:val="00AB6458"/>
    <w:rsid w:val="00AC65C6"/>
    <w:rsid w:val="00AD057F"/>
    <w:rsid w:val="00AE17C1"/>
    <w:rsid w:val="00AF1447"/>
    <w:rsid w:val="00B13BEA"/>
    <w:rsid w:val="00B14FAD"/>
    <w:rsid w:val="00B16144"/>
    <w:rsid w:val="00B21A3D"/>
    <w:rsid w:val="00B33103"/>
    <w:rsid w:val="00B45971"/>
    <w:rsid w:val="00B46A0A"/>
    <w:rsid w:val="00B50C7C"/>
    <w:rsid w:val="00B64690"/>
    <w:rsid w:val="00B6719B"/>
    <w:rsid w:val="00B74B4D"/>
    <w:rsid w:val="00B83C0D"/>
    <w:rsid w:val="00B85D39"/>
    <w:rsid w:val="00BA602D"/>
    <w:rsid w:val="00BA63AA"/>
    <w:rsid w:val="00BC7C9E"/>
    <w:rsid w:val="00BC7D99"/>
    <w:rsid w:val="00BD39C3"/>
    <w:rsid w:val="00BE6D11"/>
    <w:rsid w:val="00C007E2"/>
    <w:rsid w:val="00C504CD"/>
    <w:rsid w:val="00C51B38"/>
    <w:rsid w:val="00C61965"/>
    <w:rsid w:val="00C63A94"/>
    <w:rsid w:val="00C74C12"/>
    <w:rsid w:val="00C76B58"/>
    <w:rsid w:val="00C812A0"/>
    <w:rsid w:val="00C852E8"/>
    <w:rsid w:val="00C9630A"/>
    <w:rsid w:val="00CA4918"/>
    <w:rsid w:val="00CA72F2"/>
    <w:rsid w:val="00CB7D65"/>
    <w:rsid w:val="00CC3957"/>
    <w:rsid w:val="00CC60B0"/>
    <w:rsid w:val="00CE56B4"/>
    <w:rsid w:val="00CE7431"/>
    <w:rsid w:val="00CF7C38"/>
    <w:rsid w:val="00CF7C93"/>
    <w:rsid w:val="00D0182D"/>
    <w:rsid w:val="00D01D8C"/>
    <w:rsid w:val="00D20684"/>
    <w:rsid w:val="00D267C2"/>
    <w:rsid w:val="00D26848"/>
    <w:rsid w:val="00D46C89"/>
    <w:rsid w:val="00D50C69"/>
    <w:rsid w:val="00D6101F"/>
    <w:rsid w:val="00D64A29"/>
    <w:rsid w:val="00D76041"/>
    <w:rsid w:val="00D87785"/>
    <w:rsid w:val="00D87CBB"/>
    <w:rsid w:val="00D90572"/>
    <w:rsid w:val="00D97E54"/>
    <w:rsid w:val="00DA430B"/>
    <w:rsid w:val="00DA4E95"/>
    <w:rsid w:val="00DB3CD9"/>
    <w:rsid w:val="00DE3D6C"/>
    <w:rsid w:val="00DE7839"/>
    <w:rsid w:val="00DF0397"/>
    <w:rsid w:val="00E15044"/>
    <w:rsid w:val="00E247A7"/>
    <w:rsid w:val="00E25E35"/>
    <w:rsid w:val="00E321C2"/>
    <w:rsid w:val="00E35FB6"/>
    <w:rsid w:val="00E364F7"/>
    <w:rsid w:val="00E36F8B"/>
    <w:rsid w:val="00E43CB7"/>
    <w:rsid w:val="00E4602E"/>
    <w:rsid w:val="00E46B27"/>
    <w:rsid w:val="00E46C0B"/>
    <w:rsid w:val="00E4720A"/>
    <w:rsid w:val="00E47814"/>
    <w:rsid w:val="00E77F5A"/>
    <w:rsid w:val="00E83EA4"/>
    <w:rsid w:val="00E96290"/>
    <w:rsid w:val="00E968F6"/>
    <w:rsid w:val="00EA0334"/>
    <w:rsid w:val="00EA5072"/>
    <w:rsid w:val="00EB2DEE"/>
    <w:rsid w:val="00EB52A4"/>
    <w:rsid w:val="00EB6637"/>
    <w:rsid w:val="00EE7A1F"/>
    <w:rsid w:val="00EF08E2"/>
    <w:rsid w:val="00EF5737"/>
    <w:rsid w:val="00EF6479"/>
    <w:rsid w:val="00F0186F"/>
    <w:rsid w:val="00F07DA2"/>
    <w:rsid w:val="00F12E59"/>
    <w:rsid w:val="00F4622B"/>
    <w:rsid w:val="00F52F99"/>
    <w:rsid w:val="00F55EE8"/>
    <w:rsid w:val="00F64E40"/>
    <w:rsid w:val="00F66556"/>
    <w:rsid w:val="00F66C65"/>
    <w:rsid w:val="00F66E1C"/>
    <w:rsid w:val="00F92F4E"/>
    <w:rsid w:val="00F9724B"/>
    <w:rsid w:val="00FA522E"/>
    <w:rsid w:val="00FC3F20"/>
    <w:rsid w:val="00FC752E"/>
    <w:rsid w:val="00FF2912"/>
    <w:rsid w:val="00FF4505"/>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C7D99"/>
    <w:pPr>
      <w:keepNext/>
      <w:keepLines/>
      <w:spacing w:before="120" w:after="120"/>
      <w:outlineLvl w:val="1"/>
    </w:pPr>
    <w:rPr>
      <w:rFonts w:eastAsia="MS Gothic"/>
      <w:b/>
      <w:bCs/>
      <w:i/>
      <w:color w:val="1F497D" w:themeColor="text2"/>
      <w:szCs w:val="26"/>
      <w:u w:val="single"/>
    </w:rPr>
  </w:style>
  <w:style w:type="paragraph" w:styleId="Heading3">
    <w:name w:val="heading 3"/>
    <w:basedOn w:val="Normal"/>
    <w:next w:val="Normal"/>
    <w:link w:val="Heading3Char"/>
    <w:uiPriority w:val="9"/>
    <w:unhideWhenUsed/>
    <w:qFormat/>
    <w:rsid w:val="00AF14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F14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D99"/>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ListBullet">
    <w:name w:val="List Bullet"/>
    <w:basedOn w:val="Normal"/>
    <w:uiPriority w:val="99"/>
    <w:unhideWhenUsed/>
    <w:rsid w:val="00652DE5"/>
    <w:pPr>
      <w:contextualSpacing/>
    </w:pPr>
    <w:rPr>
      <w:rFonts w:eastAsiaTheme="minorHAnsi" w:cstheme="minorBidi"/>
      <w:szCs w:val="24"/>
    </w:rPr>
  </w:style>
  <w:style w:type="character" w:customStyle="1" w:styleId="Heading3Char">
    <w:name w:val="Heading 3 Char"/>
    <w:basedOn w:val="DefaultParagraphFont"/>
    <w:link w:val="Heading3"/>
    <w:uiPriority w:val="9"/>
    <w:rsid w:val="00AF1447"/>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AF1447"/>
    <w:rPr>
      <w:rFonts w:asciiTheme="majorHAnsi" w:eastAsiaTheme="majorEastAsia" w:hAnsiTheme="majorHAnsi" w:cstheme="majorBidi"/>
      <w:i/>
      <w:iCs/>
      <w:color w:val="365F91" w:themeColor="accent1" w:themeShade="BF"/>
      <w:sz w:val="22"/>
    </w:rPr>
  </w:style>
  <w:style w:type="character" w:customStyle="1" w:styleId="apple-converted-space">
    <w:name w:val="apple-converted-space"/>
    <w:basedOn w:val="DefaultParagraphFont"/>
    <w:rsid w:val="000353B2"/>
  </w:style>
  <w:style w:type="paragraph" w:styleId="FootnoteText">
    <w:name w:val="footnote text"/>
    <w:basedOn w:val="Normal"/>
    <w:link w:val="FootnoteTextChar"/>
    <w:uiPriority w:val="99"/>
    <w:semiHidden/>
    <w:unhideWhenUsed/>
    <w:rsid w:val="006D46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65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D46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C7D99"/>
    <w:pPr>
      <w:keepNext/>
      <w:keepLines/>
      <w:spacing w:before="120" w:after="120"/>
      <w:outlineLvl w:val="1"/>
    </w:pPr>
    <w:rPr>
      <w:rFonts w:eastAsia="MS Gothic"/>
      <w:b/>
      <w:bCs/>
      <w:i/>
      <w:color w:val="1F497D" w:themeColor="text2"/>
      <w:szCs w:val="26"/>
      <w:u w:val="single"/>
    </w:rPr>
  </w:style>
  <w:style w:type="paragraph" w:styleId="Heading3">
    <w:name w:val="heading 3"/>
    <w:basedOn w:val="Normal"/>
    <w:next w:val="Normal"/>
    <w:link w:val="Heading3Char"/>
    <w:uiPriority w:val="9"/>
    <w:unhideWhenUsed/>
    <w:qFormat/>
    <w:rsid w:val="00AF14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F14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7D99"/>
    <w:rPr>
      <w:rFonts w:ascii="Calibri" w:eastAsia="MS Gothic" w:hAnsi="Calibri" w:cs="Times New Roman"/>
      <w:b/>
      <w:bCs/>
      <w:i/>
      <w:color w:val="1F497D" w:themeColor="text2"/>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ListBullet">
    <w:name w:val="List Bullet"/>
    <w:basedOn w:val="Normal"/>
    <w:uiPriority w:val="99"/>
    <w:unhideWhenUsed/>
    <w:rsid w:val="00652DE5"/>
    <w:pPr>
      <w:contextualSpacing/>
    </w:pPr>
    <w:rPr>
      <w:rFonts w:eastAsiaTheme="minorHAnsi" w:cstheme="minorBidi"/>
      <w:szCs w:val="24"/>
    </w:rPr>
  </w:style>
  <w:style w:type="character" w:customStyle="1" w:styleId="Heading3Char">
    <w:name w:val="Heading 3 Char"/>
    <w:basedOn w:val="DefaultParagraphFont"/>
    <w:link w:val="Heading3"/>
    <w:uiPriority w:val="9"/>
    <w:rsid w:val="00AF1447"/>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AF1447"/>
    <w:rPr>
      <w:rFonts w:asciiTheme="majorHAnsi" w:eastAsiaTheme="majorEastAsia" w:hAnsiTheme="majorHAnsi" w:cstheme="majorBidi"/>
      <w:i/>
      <w:iCs/>
      <w:color w:val="365F91" w:themeColor="accent1" w:themeShade="BF"/>
      <w:sz w:val="22"/>
    </w:rPr>
  </w:style>
  <w:style w:type="character" w:customStyle="1" w:styleId="apple-converted-space">
    <w:name w:val="apple-converted-space"/>
    <w:basedOn w:val="DefaultParagraphFont"/>
    <w:rsid w:val="000353B2"/>
  </w:style>
  <w:style w:type="paragraph" w:styleId="FootnoteText">
    <w:name w:val="footnote text"/>
    <w:basedOn w:val="Normal"/>
    <w:link w:val="FootnoteTextChar"/>
    <w:uiPriority w:val="99"/>
    <w:semiHidden/>
    <w:unhideWhenUsed/>
    <w:rsid w:val="006D46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65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D46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ta@health.gov.a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94B61-09B2-458F-BD23-2EB99190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4962</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1449 PICO Confirmation</vt:lpstr>
    </vt:vector>
  </TitlesOfParts>
  <LinksUpToDate>false</LinksUpToDate>
  <CharactersWithSpaces>33186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1449 PICO Confirmation</dc:title>
  <dc:creator/>
  <cp:lastModifiedBy/>
  <cp:revision>1</cp:revision>
  <dcterms:created xsi:type="dcterms:W3CDTF">2016-11-24T04:20:00Z</dcterms:created>
  <dcterms:modified xsi:type="dcterms:W3CDTF">2016-11-24T04:20:00Z</dcterms:modified>
</cp:coreProperties>
</file>