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9C871" w14:textId="77777777"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0114CA30" wp14:editId="159D4A11">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07BB5FCF" w14:textId="3DADFAEC" w:rsidR="00303C94" w:rsidRDefault="00303C94" w:rsidP="00F4622B">
      <w:pPr>
        <w:pStyle w:val="Heading10"/>
        <w:jc w:val="center"/>
        <w:rPr>
          <w:sz w:val="52"/>
          <w:szCs w:val="52"/>
        </w:rPr>
      </w:pPr>
    </w:p>
    <w:p w14:paraId="56800214" w14:textId="449F3A97" w:rsidR="0036041A" w:rsidRPr="00543ECE" w:rsidRDefault="000A55DD" w:rsidP="000A55DD">
      <w:pPr>
        <w:pStyle w:val="Heading10"/>
        <w:spacing w:before="960" w:after="960"/>
        <w:jc w:val="center"/>
        <w:rPr>
          <w:sz w:val="52"/>
          <w:szCs w:val="52"/>
        </w:rPr>
      </w:pPr>
      <w:r>
        <w:rPr>
          <w:sz w:val="72"/>
          <w:szCs w:val="72"/>
        </w:rPr>
        <w:t>RATIFIED PICO</w:t>
      </w:r>
    </w:p>
    <w:p w14:paraId="3A5749FD" w14:textId="03CE80EC" w:rsidR="0044715D" w:rsidRPr="00543ECE" w:rsidRDefault="005F4D2F" w:rsidP="00A601AC">
      <w:pPr>
        <w:pStyle w:val="Heading10"/>
        <w:jc w:val="center"/>
        <w:rPr>
          <w:sz w:val="40"/>
          <w:szCs w:val="40"/>
        </w:rPr>
      </w:pPr>
      <w:r w:rsidRPr="00543ECE">
        <w:rPr>
          <w:sz w:val="40"/>
          <w:szCs w:val="40"/>
        </w:rPr>
        <w:t xml:space="preserve">Application </w:t>
      </w:r>
      <w:r w:rsidR="006906B4" w:rsidRPr="00543ECE">
        <w:rPr>
          <w:sz w:val="40"/>
          <w:szCs w:val="40"/>
        </w:rPr>
        <w:t>1620</w:t>
      </w:r>
      <w:r w:rsidR="00303C94" w:rsidRPr="00543ECE">
        <w:rPr>
          <w:sz w:val="40"/>
          <w:szCs w:val="40"/>
        </w:rPr>
        <w:t>:</w:t>
      </w:r>
    </w:p>
    <w:p w14:paraId="44ACCF73" w14:textId="68845B47" w:rsidR="00214EA5" w:rsidRPr="00543ECE" w:rsidRDefault="00C875D1" w:rsidP="003B237B">
      <w:pPr>
        <w:pStyle w:val="Heading10"/>
        <w:jc w:val="center"/>
        <w:rPr>
          <w:sz w:val="56"/>
          <w:szCs w:val="56"/>
        </w:rPr>
      </w:pPr>
      <w:r>
        <w:rPr>
          <w:color w:val="548DD4"/>
          <w:sz w:val="40"/>
          <w:szCs w:val="40"/>
        </w:rPr>
        <w:t xml:space="preserve">Magnetic Resonance Image </w:t>
      </w:r>
      <w:r w:rsidR="006906B4" w:rsidRPr="00543ECE">
        <w:rPr>
          <w:color w:val="548DD4"/>
          <w:sz w:val="40"/>
          <w:szCs w:val="40"/>
        </w:rPr>
        <w:t>Guided Radiation Therapy</w:t>
      </w:r>
      <w:r w:rsidR="00214EA5" w:rsidRPr="00543ECE">
        <w:rPr>
          <w:color w:val="548DD4"/>
          <w:sz w:val="40"/>
          <w:szCs w:val="40"/>
        </w:rPr>
        <w:br/>
      </w:r>
    </w:p>
    <w:p w14:paraId="0F2312A0" w14:textId="5003AF1B" w:rsidR="00366064" w:rsidRPr="00E15673" w:rsidRDefault="00366064" w:rsidP="00ED0534">
      <w:pPr>
        <w:spacing w:before="180" w:after="360"/>
        <w:jc w:val="center"/>
      </w:pPr>
      <w:r>
        <w:rPr>
          <w:b/>
          <w:sz w:val="64"/>
          <w:szCs w:val="64"/>
        </w:rPr>
        <w:br/>
      </w:r>
    </w:p>
    <w:p w14:paraId="58BD7013" w14:textId="60352CDA" w:rsidR="007E7E23" w:rsidRDefault="007E7E23" w:rsidP="006906B4">
      <w:pPr>
        <w:spacing w:after="0"/>
        <w:jc w:val="both"/>
        <w:rPr>
          <w:sz w:val="20"/>
          <w:szCs w:val="20"/>
        </w:rPr>
      </w:pPr>
      <w:r>
        <w:rPr>
          <w:sz w:val="20"/>
          <w:szCs w:val="20"/>
        </w:rPr>
        <w:br w:type="page"/>
      </w:r>
    </w:p>
    <w:p w14:paraId="7A44C225" w14:textId="77777777" w:rsidR="00F12E59" w:rsidRPr="00272077" w:rsidRDefault="0044715D" w:rsidP="003B237B">
      <w:pPr>
        <w:pStyle w:val="Heading2"/>
        <w:spacing w:after="240" w:line="240" w:lineRule="auto"/>
        <w:jc w:val="both"/>
        <w:rPr>
          <w:b w:val="0"/>
          <w:i w:val="0"/>
          <w:color w:val="00B0F0"/>
          <w:u w:val="none"/>
        </w:rPr>
      </w:pPr>
      <w:r w:rsidRPr="00272077">
        <w:rPr>
          <w:color w:val="00B0F0"/>
          <w:u w:val="none"/>
        </w:rPr>
        <w:lastRenderedPageBreak/>
        <w:t>Summary of PICO</w:t>
      </w:r>
      <w:r w:rsidR="00A84A56" w:rsidRPr="00272077">
        <w:rPr>
          <w:color w:val="00B0F0"/>
          <w:u w:val="none"/>
        </w:rPr>
        <w:t>/PPICO</w:t>
      </w:r>
      <w:r w:rsidRPr="00272077">
        <w:rPr>
          <w:color w:val="00B0F0"/>
          <w:u w:val="none"/>
        </w:rPr>
        <w:t xml:space="preserve"> criteria</w:t>
      </w:r>
      <w:bookmarkEnd w:id="0"/>
      <w:bookmarkEnd w:id="1"/>
      <w:r w:rsidR="00F12E59" w:rsidRPr="00272077">
        <w:rPr>
          <w:color w:val="00B0F0"/>
          <w:u w:val="none"/>
        </w:rPr>
        <w:t xml:space="preserve"> to define the question(s) to be addressed in an Assessment Report 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11"/>
        <w:gridCol w:w="7200"/>
      </w:tblGrid>
      <w:tr w:rsidR="0044715D" w:rsidRPr="00084393" w14:paraId="0594898A" w14:textId="77777777" w:rsidTr="00A84A56">
        <w:trPr>
          <w:tblHeader/>
        </w:trPr>
        <w:tc>
          <w:tcPr>
            <w:tcW w:w="1005" w:type="pct"/>
            <w:tcBorders>
              <w:top w:val="single" w:sz="8" w:space="0" w:color="auto"/>
              <w:bottom w:val="single" w:sz="8" w:space="0" w:color="auto"/>
              <w:right w:val="single" w:sz="4" w:space="0" w:color="auto"/>
            </w:tcBorders>
            <w:shd w:val="clear" w:color="auto" w:fill="D9D9D9"/>
          </w:tcPr>
          <w:p w14:paraId="326140A0" w14:textId="77777777" w:rsidR="0044715D" w:rsidRPr="00084393" w:rsidRDefault="00A84A56" w:rsidP="00F12E59">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57F8F9D0" w14:textId="77777777" w:rsidR="0044715D" w:rsidRPr="00084393" w:rsidRDefault="0044715D" w:rsidP="003F5887">
            <w:pPr>
              <w:spacing w:before="20" w:after="20" w:line="240" w:lineRule="auto"/>
              <w:jc w:val="both"/>
              <w:rPr>
                <w:b/>
              </w:rPr>
            </w:pPr>
            <w:r>
              <w:rPr>
                <w:b/>
              </w:rPr>
              <w:t>Description</w:t>
            </w:r>
          </w:p>
        </w:tc>
      </w:tr>
      <w:tr w:rsidR="0044715D" w:rsidRPr="00084393" w14:paraId="4F159E53" w14:textId="77777777" w:rsidTr="00A84A56">
        <w:tc>
          <w:tcPr>
            <w:tcW w:w="1005" w:type="pct"/>
            <w:tcBorders>
              <w:top w:val="single" w:sz="8" w:space="0" w:color="auto"/>
              <w:right w:val="single" w:sz="4" w:space="0" w:color="auto"/>
            </w:tcBorders>
          </w:tcPr>
          <w:p w14:paraId="2E6D38F8" w14:textId="77777777" w:rsidR="0044715D" w:rsidRPr="00084393" w:rsidRDefault="0044715D" w:rsidP="00F12E59">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42D06092" w14:textId="243CAC77" w:rsidR="0044715D" w:rsidRPr="00FB5F2F" w:rsidRDefault="00926AF8" w:rsidP="00CC3BE3">
            <w:r>
              <w:t>A</w:t>
            </w:r>
            <w:r w:rsidRPr="00926AF8">
              <w:t>ll patients</w:t>
            </w:r>
            <w:r w:rsidR="003E02B3">
              <w:t xml:space="preserve"> with cancer</w:t>
            </w:r>
            <w:r w:rsidRPr="00926AF8">
              <w:t xml:space="preserve"> w</w:t>
            </w:r>
            <w:r w:rsidR="002266D2">
              <w:t>ho undergo</w:t>
            </w:r>
            <w:r w:rsidR="004A66D9">
              <w:t xml:space="preserve"> </w:t>
            </w:r>
            <w:r w:rsidR="00CC3BE3">
              <w:t>e</w:t>
            </w:r>
            <w:r w:rsidR="00E43115">
              <w:t xml:space="preserve">xternal </w:t>
            </w:r>
            <w:r w:rsidR="00CC3BE3">
              <w:t>beam r</w:t>
            </w:r>
            <w:r w:rsidR="00E43115">
              <w:t xml:space="preserve">adiation </w:t>
            </w:r>
            <w:r w:rsidR="00CC3BE3">
              <w:t>t</w:t>
            </w:r>
            <w:r w:rsidR="00E43115">
              <w:t>herapy (EBRT</w:t>
            </w:r>
            <w:r w:rsidR="00BF62B7">
              <w:t>)</w:t>
            </w:r>
            <w:r w:rsidR="002266D2">
              <w:t xml:space="preserve"> </w:t>
            </w:r>
          </w:p>
        </w:tc>
      </w:tr>
      <w:tr w:rsidR="00A84A56" w:rsidRPr="00084393" w14:paraId="7A8A4A7B" w14:textId="77777777" w:rsidTr="00A84A56">
        <w:tc>
          <w:tcPr>
            <w:tcW w:w="1005" w:type="pct"/>
            <w:tcBorders>
              <w:right w:val="single" w:sz="4" w:space="0" w:color="auto"/>
            </w:tcBorders>
          </w:tcPr>
          <w:p w14:paraId="53657F53" w14:textId="77777777" w:rsidR="00A84A56" w:rsidRPr="00084393" w:rsidRDefault="00A84A56" w:rsidP="00F12E59">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5D394EA0" w14:textId="24180229" w:rsidR="00A84A56" w:rsidRPr="00FB5F2F" w:rsidRDefault="00AA518F" w:rsidP="00AA518F">
            <w:r>
              <w:t xml:space="preserve">Magnetic resonance </w:t>
            </w:r>
            <w:r w:rsidR="00CC3BE3">
              <w:t xml:space="preserve">image </w:t>
            </w:r>
            <w:r>
              <w:t>guided radiation t</w:t>
            </w:r>
            <w:r w:rsidR="0057716F">
              <w:t xml:space="preserve">herapy </w:t>
            </w:r>
            <w:r w:rsidR="0001371C">
              <w:t>(MR</w:t>
            </w:r>
            <w:r w:rsidR="00CC3BE3">
              <w:t>-</w:t>
            </w:r>
            <w:r w:rsidR="005D15E9">
              <w:t>IG</w:t>
            </w:r>
            <w:r w:rsidR="0001371C">
              <w:t xml:space="preserve">RT) </w:t>
            </w:r>
          </w:p>
        </w:tc>
      </w:tr>
      <w:tr w:rsidR="00A84A56" w:rsidRPr="00084393" w14:paraId="6110107E" w14:textId="77777777" w:rsidTr="00A84A56">
        <w:tc>
          <w:tcPr>
            <w:tcW w:w="1005" w:type="pct"/>
            <w:tcBorders>
              <w:right w:val="single" w:sz="4" w:space="0" w:color="auto"/>
            </w:tcBorders>
          </w:tcPr>
          <w:p w14:paraId="26584247" w14:textId="77777777" w:rsidR="00A84A56" w:rsidRPr="00084393" w:rsidRDefault="00A84A56" w:rsidP="00F12E59">
            <w:pPr>
              <w:spacing w:before="20" w:after="2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6D9DFD6C" w14:textId="7C95641A" w:rsidR="00A84A56" w:rsidRPr="00FB5F2F" w:rsidRDefault="00AA518F" w:rsidP="007A1B9C">
            <w:r>
              <w:t>Cone b</w:t>
            </w:r>
            <w:r w:rsidR="0057716F">
              <w:t xml:space="preserve">eam </w:t>
            </w:r>
            <w:r w:rsidR="0057716F" w:rsidRPr="0057716F">
              <w:t>computed tomography</w:t>
            </w:r>
            <w:r w:rsidR="0057716F">
              <w:t xml:space="preserve"> (</w:t>
            </w:r>
            <w:r w:rsidR="007A1B9C">
              <w:t>CB</w:t>
            </w:r>
            <w:r w:rsidR="0057716F">
              <w:t xml:space="preserve">CT) </w:t>
            </w:r>
            <w:r w:rsidR="007A1B9C">
              <w:t>guided radiation therapy</w:t>
            </w:r>
          </w:p>
        </w:tc>
      </w:tr>
      <w:tr w:rsidR="00A84A56" w:rsidRPr="00084393" w14:paraId="6495089B" w14:textId="77777777" w:rsidTr="00A84A56">
        <w:tc>
          <w:tcPr>
            <w:tcW w:w="1005" w:type="pct"/>
            <w:tcBorders>
              <w:right w:val="single" w:sz="4" w:space="0" w:color="auto"/>
            </w:tcBorders>
          </w:tcPr>
          <w:p w14:paraId="4055A025" w14:textId="77777777" w:rsidR="00A84A56" w:rsidRPr="00084393" w:rsidRDefault="00A84A56" w:rsidP="00F12E59">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2FED7446" w14:textId="1118B944" w:rsidR="00542641" w:rsidRDefault="00542641" w:rsidP="00542641">
            <w:pPr>
              <w:spacing w:after="0"/>
              <w:contextualSpacing/>
            </w:pPr>
            <w:r>
              <w:t xml:space="preserve">• </w:t>
            </w:r>
            <w:r w:rsidRPr="00542641">
              <w:t>Safety</w:t>
            </w:r>
            <w:r w:rsidR="00275414">
              <w:t>,</w:t>
            </w:r>
            <w:r w:rsidRPr="00542641">
              <w:t xml:space="preserve"> including any po</w:t>
            </w:r>
            <w:r>
              <w:t>tential risk of harm to patient</w:t>
            </w:r>
          </w:p>
          <w:p w14:paraId="43926A2F" w14:textId="3D2A3390" w:rsidR="009C6367" w:rsidRDefault="00542641" w:rsidP="00542641">
            <w:pPr>
              <w:pStyle w:val="ListParagraph"/>
              <w:numPr>
                <w:ilvl w:val="0"/>
                <w:numId w:val="11"/>
              </w:numPr>
              <w:spacing w:after="0"/>
            </w:pPr>
            <w:r>
              <w:t>Acute and long-term side effects</w:t>
            </w:r>
          </w:p>
          <w:p w14:paraId="63007539" w14:textId="52C6D638" w:rsidR="00542641" w:rsidRDefault="009C6367" w:rsidP="00542641">
            <w:pPr>
              <w:pStyle w:val="ListParagraph"/>
              <w:numPr>
                <w:ilvl w:val="0"/>
                <w:numId w:val="11"/>
              </w:numPr>
              <w:spacing w:after="0"/>
            </w:pPr>
            <w:r>
              <w:t>Any adverse events arising from the procedure</w:t>
            </w:r>
          </w:p>
          <w:p w14:paraId="31151429" w14:textId="77777777" w:rsidR="00B3106D" w:rsidRDefault="00B3106D" w:rsidP="00B3106D">
            <w:pPr>
              <w:pStyle w:val="ListParagraph"/>
              <w:spacing w:after="0"/>
              <w:ind w:left="1080"/>
            </w:pPr>
          </w:p>
          <w:p w14:paraId="239DF7FB" w14:textId="12691312" w:rsidR="00542641" w:rsidRDefault="00542641" w:rsidP="00542641">
            <w:pPr>
              <w:pStyle w:val="ListParagraph"/>
              <w:numPr>
                <w:ilvl w:val="0"/>
                <w:numId w:val="12"/>
              </w:numPr>
              <w:spacing w:after="0"/>
            </w:pPr>
            <w:r w:rsidRPr="009D6757">
              <w:t>Efficacy / effectiveness</w:t>
            </w:r>
            <w:r w:rsidR="00CC3BE3">
              <w:t>,</w:t>
            </w:r>
            <w:r w:rsidRPr="009D6757">
              <w:t xml:space="preserve"> including</w:t>
            </w:r>
            <w:r w:rsidR="00CC3BE3">
              <w:t xml:space="preserve"> (</w:t>
            </w:r>
            <w:r w:rsidRPr="009D6757">
              <w:t>but not limited to</w:t>
            </w:r>
            <w:r w:rsidR="00CC3BE3">
              <w:t>)</w:t>
            </w:r>
            <w:r w:rsidRPr="009D6757">
              <w:t xml:space="preserve"> patient-relevant outcomes</w:t>
            </w:r>
          </w:p>
          <w:p w14:paraId="7E3F1DB7" w14:textId="77777777" w:rsidR="00542641" w:rsidRDefault="00542641" w:rsidP="00542641">
            <w:pPr>
              <w:pStyle w:val="ListParagraph"/>
              <w:numPr>
                <w:ilvl w:val="1"/>
                <w:numId w:val="12"/>
              </w:numPr>
            </w:pPr>
            <w:r>
              <w:t>Alteration of planned target volume (PTV) margins</w:t>
            </w:r>
          </w:p>
          <w:p w14:paraId="5663E4E6" w14:textId="25B111CB" w:rsidR="00542641" w:rsidRDefault="00396260" w:rsidP="00542641">
            <w:pPr>
              <w:pStyle w:val="ListParagraph"/>
              <w:numPr>
                <w:ilvl w:val="1"/>
                <w:numId w:val="12"/>
              </w:numPr>
            </w:pPr>
            <w:r>
              <w:t>T</w:t>
            </w:r>
            <w:r w:rsidR="00542641">
              <w:t>reatment toxicity and short term toxicity</w:t>
            </w:r>
          </w:p>
          <w:p w14:paraId="5151294A" w14:textId="77777777" w:rsidR="00542641" w:rsidRDefault="00542641" w:rsidP="00542641">
            <w:pPr>
              <w:pStyle w:val="ListParagraph"/>
              <w:numPr>
                <w:ilvl w:val="1"/>
                <w:numId w:val="12"/>
              </w:numPr>
            </w:pPr>
            <w:r>
              <w:t>Facilitation of radiation therapy dose escalation</w:t>
            </w:r>
          </w:p>
          <w:p w14:paraId="31A9DEA4" w14:textId="040ADD11" w:rsidR="009C6367" w:rsidRDefault="00275414" w:rsidP="00542641">
            <w:pPr>
              <w:pStyle w:val="ListParagraph"/>
              <w:numPr>
                <w:ilvl w:val="1"/>
                <w:numId w:val="12"/>
              </w:numPr>
            </w:pPr>
            <w:r>
              <w:t>Treatment-</w:t>
            </w:r>
            <w:r w:rsidR="009C6367">
              <w:t>related morbidity</w:t>
            </w:r>
          </w:p>
          <w:p w14:paraId="5D4657E1" w14:textId="43D3D57B" w:rsidR="004D0D3C" w:rsidRDefault="004D0D3C" w:rsidP="00542641">
            <w:pPr>
              <w:pStyle w:val="ListParagraph"/>
              <w:numPr>
                <w:ilvl w:val="1"/>
                <w:numId w:val="12"/>
              </w:numPr>
            </w:pPr>
            <w:r>
              <w:t>Tumour control</w:t>
            </w:r>
          </w:p>
          <w:p w14:paraId="5CCEFC7D" w14:textId="77777777" w:rsidR="00542641" w:rsidRDefault="00542641" w:rsidP="00542641">
            <w:pPr>
              <w:pStyle w:val="ListParagraph"/>
              <w:numPr>
                <w:ilvl w:val="1"/>
                <w:numId w:val="12"/>
              </w:numPr>
            </w:pPr>
            <w:r>
              <w:t xml:space="preserve">Overall survival </w:t>
            </w:r>
          </w:p>
          <w:p w14:paraId="0BB9291F" w14:textId="5895DE46" w:rsidR="00542641" w:rsidRDefault="00542641" w:rsidP="00542641">
            <w:pPr>
              <w:pStyle w:val="ListParagraph"/>
              <w:numPr>
                <w:ilvl w:val="1"/>
                <w:numId w:val="12"/>
              </w:numPr>
            </w:pPr>
            <w:r>
              <w:t>Progression</w:t>
            </w:r>
            <w:r w:rsidR="00F64F48">
              <w:t>-</w:t>
            </w:r>
            <w:r>
              <w:t>free survival</w:t>
            </w:r>
          </w:p>
          <w:p w14:paraId="596B3857" w14:textId="087D0A03" w:rsidR="00542641" w:rsidRDefault="00542641" w:rsidP="00542641">
            <w:pPr>
              <w:pStyle w:val="ListParagraph"/>
              <w:numPr>
                <w:ilvl w:val="1"/>
                <w:numId w:val="12"/>
              </w:numPr>
            </w:pPr>
            <w:r>
              <w:t>Disease</w:t>
            </w:r>
            <w:r w:rsidR="00F64F48">
              <w:t>-</w:t>
            </w:r>
            <w:r>
              <w:t>free survival</w:t>
            </w:r>
          </w:p>
          <w:p w14:paraId="015D56A6" w14:textId="59EB8906" w:rsidR="00542641" w:rsidRDefault="00542641" w:rsidP="00542641">
            <w:pPr>
              <w:pStyle w:val="ListParagraph"/>
              <w:numPr>
                <w:ilvl w:val="1"/>
                <w:numId w:val="12"/>
              </w:numPr>
            </w:pPr>
            <w:r>
              <w:t>Quality of life</w:t>
            </w:r>
          </w:p>
          <w:p w14:paraId="3BF47EE0" w14:textId="77777777" w:rsidR="00B3106D" w:rsidRDefault="00B3106D" w:rsidP="00B3106D">
            <w:pPr>
              <w:pStyle w:val="ListParagraph"/>
              <w:ind w:left="1080"/>
            </w:pPr>
          </w:p>
          <w:p w14:paraId="74D1C723" w14:textId="77777777" w:rsidR="0051318F" w:rsidRDefault="0051318F" w:rsidP="0051318F">
            <w:pPr>
              <w:pStyle w:val="ListParagraph"/>
              <w:numPr>
                <w:ilvl w:val="0"/>
                <w:numId w:val="10"/>
              </w:numPr>
            </w:pPr>
            <w:r w:rsidRPr="009D6757">
              <w:t>Healthcare resources</w:t>
            </w:r>
          </w:p>
          <w:p w14:paraId="0680A7E5" w14:textId="34280AD0" w:rsidR="00B3106D" w:rsidRDefault="00FB5F2F" w:rsidP="00800F4B">
            <w:pPr>
              <w:pStyle w:val="ListParagraph"/>
              <w:numPr>
                <w:ilvl w:val="1"/>
                <w:numId w:val="10"/>
              </w:numPr>
            </w:pPr>
            <w:r>
              <w:t>Cost of intervention delivery</w:t>
            </w:r>
            <w:r w:rsidR="00EA64D2">
              <w:t>,</w:t>
            </w:r>
            <w:r w:rsidR="00275414">
              <w:t xml:space="preserve"> including </w:t>
            </w:r>
            <w:r>
              <w:t>a</w:t>
            </w:r>
            <w:r w:rsidRPr="006E4B02">
              <w:t>dditional physician and medical physicist time</w:t>
            </w:r>
            <w:r>
              <w:t xml:space="preserve"> </w:t>
            </w:r>
          </w:p>
          <w:p w14:paraId="7F33A321" w14:textId="77777777" w:rsidR="00800F4B" w:rsidRDefault="00800F4B" w:rsidP="00800F4B">
            <w:pPr>
              <w:pStyle w:val="ListParagraph"/>
              <w:ind w:left="1080"/>
            </w:pPr>
          </w:p>
          <w:p w14:paraId="57CCBD98" w14:textId="7ACAB7CA" w:rsidR="00B3106D" w:rsidRDefault="00623350" w:rsidP="00800F4B">
            <w:pPr>
              <w:pStyle w:val="ListParagraph"/>
              <w:numPr>
                <w:ilvl w:val="0"/>
                <w:numId w:val="10"/>
              </w:numPr>
            </w:pPr>
            <w:r>
              <w:t>C</w:t>
            </w:r>
            <w:r w:rsidRPr="003E4B3C">
              <w:t>ost-</w:t>
            </w:r>
            <w:r>
              <w:t>minimisation analysis</w:t>
            </w:r>
          </w:p>
          <w:p w14:paraId="4DF9A89C" w14:textId="77777777" w:rsidR="00800F4B" w:rsidRDefault="00800F4B" w:rsidP="00800F4B">
            <w:pPr>
              <w:pStyle w:val="ListParagraph"/>
              <w:ind w:left="360"/>
            </w:pPr>
          </w:p>
          <w:p w14:paraId="73FEB915" w14:textId="77777777" w:rsidR="0051318F" w:rsidRDefault="0051318F" w:rsidP="0051318F">
            <w:pPr>
              <w:pStyle w:val="ListParagraph"/>
              <w:numPr>
                <w:ilvl w:val="0"/>
                <w:numId w:val="10"/>
              </w:numPr>
            </w:pPr>
            <w:r w:rsidRPr="009D6757">
              <w:t>Total Australian Government healthcare costs</w:t>
            </w:r>
            <w:r>
              <w:t>:</w:t>
            </w:r>
          </w:p>
          <w:p w14:paraId="0E0F4DCC" w14:textId="093A712E" w:rsidR="0051318F" w:rsidRDefault="0051318F" w:rsidP="0051318F">
            <w:pPr>
              <w:pStyle w:val="ListParagraph"/>
              <w:numPr>
                <w:ilvl w:val="1"/>
                <w:numId w:val="10"/>
              </w:numPr>
            </w:pPr>
            <w:r>
              <w:t>Total cost to the M</w:t>
            </w:r>
            <w:r w:rsidR="00EA64D2">
              <w:t>edicare</w:t>
            </w:r>
            <w:r>
              <w:t xml:space="preserve"> Benefits Schedule (MBS)</w:t>
            </w:r>
          </w:p>
          <w:p w14:paraId="295146A4" w14:textId="77777777" w:rsidR="006C3E73" w:rsidRDefault="0051318F" w:rsidP="0051318F">
            <w:pPr>
              <w:pStyle w:val="ListParagraph"/>
              <w:numPr>
                <w:ilvl w:val="1"/>
                <w:numId w:val="10"/>
              </w:numPr>
            </w:pPr>
            <w:r>
              <w:t>Total cost to the Pharmaceutical Benefits Scheme (PBS)</w:t>
            </w:r>
          </w:p>
          <w:p w14:paraId="566B11C1" w14:textId="0C57B76A" w:rsidR="00A84A56" w:rsidRPr="00FB5F2F" w:rsidRDefault="0051318F" w:rsidP="00FB5F2F">
            <w:pPr>
              <w:pStyle w:val="ListParagraph"/>
              <w:numPr>
                <w:ilvl w:val="1"/>
                <w:numId w:val="10"/>
              </w:numPr>
            </w:pPr>
            <w:r>
              <w:t>Total cost to other healthcare services.</w:t>
            </w:r>
          </w:p>
        </w:tc>
      </w:tr>
    </w:tbl>
    <w:p w14:paraId="2EF598DC" w14:textId="44993D22" w:rsidR="003E02B3" w:rsidRDefault="003E02B3">
      <w:pPr>
        <w:rPr>
          <w:rFonts w:eastAsia="MS Gothic"/>
          <w:b/>
          <w:bCs/>
          <w:i/>
          <w:color w:val="548DD4"/>
          <w:szCs w:val="26"/>
          <w:u w:val="single"/>
        </w:rPr>
      </w:pPr>
    </w:p>
    <w:p w14:paraId="1EF5EEB7" w14:textId="0234DBC3" w:rsidR="007F4E20" w:rsidRPr="00E364F7" w:rsidRDefault="003E02B3">
      <w:pPr>
        <w:rPr>
          <w:rFonts w:eastAsia="MS Gothic"/>
          <w:bCs/>
          <w:color w:val="548DD4"/>
          <w:szCs w:val="26"/>
        </w:rPr>
      </w:pPr>
      <w:r>
        <w:rPr>
          <w:rFonts w:eastAsia="MS Gothic"/>
          <w:b/>
          <w:bCs/>
          <w:i/>
          <w:color w:val="548DD4"/>
          <w:szCs w:val="26"/>
          <w:u w:val="single"/>
        </w:rPr>
        <w:br w:type="page"/>
      </w:r>
      <w:r w:rsidR="00E364F7" w:rsidRPr="00272077">
        <w:rPr>
          <w:rFonts w:eastAsia="MS Gothic"/>
          <w:b/>
          <w:bCs/>
          <w:i/>
          <w:color w:val="00B0F0"/>
          <w:szCs w:val="26"/>
          <w:u w:val="single"/>
        </w:rPr>
        <w:lastRenderedPageBreak/>
        <w:t>PICO</w:t>
      </w:r>
      <w:r w:rsidR="00953ED7" w:rsidRPr="00272077">
        <w:rPr>
          <w:rFonts w:eastAsia="MS Gothic"/>
          <w:b/>
          <w:bCs/>
          <w:i/>
          <w:color w:val="00B0F0"/>
          <w:szCs w:val="26"/>
          <w:u w:val="single"/>
        </w:rPr>
        <w:t xml:space="preserve"> or PPICO</w:t>
      </w:r>
      <w:r w:rsidR="00E364F7" w:rsidRPr="00272077">
        <w:rPr>
          <w:rFonts w:eastAsia="MS Gothic"/>
          <w:b/>
          <w:bCs/>
          <w:i/>
          <w:color w:val="00B0F0"/>
          <w:szCs w:val="26"/>
          <w:u w:val="single"/>
        </w:rPr>
        <w:t xml:space="preserve"> rationale</w:t>
      </w:r>
      <w:r w:rsidR="006D1643" w:rsidRPr="00272077">
        <w:rPr>
          <w:rFonts w:eastAsia="MS Gothic"/>
          <w:b/>
          <w:bCs/>
          <w:i/>
          <w:color w:val="00B0F0"/>
          <w:szCs w:val="26"/>
          <w:u w:val="single"/>
        </w:rPr>
        <w:t xml:space="preserve"> for therapeutic </w:t>
      </w:r>
      <w:r w:rsidR="00B45971" w:rsidRPr="00272077">
        <w:rPr>
          <w:rFonts w:eastAsia="MS Gothic"/>
          <w:b/>
          <w:bCs/>
          <w:i/>
          <w:color w:val="00B0F0"/>
          <w:szCs w:val="26"/>
          <w:u w:val="single"/>
        </w:rPr>
        <w:t xml:space="preserve">and investigative </w:t>
      </w:r>
      <w:r w:rsidR="00BA63AA" w:rsidRPr="00272077">
        <w:rPr>
          <w:rFonts w:eastAsia="MS Gothic"/>
          <w:b/>
          <w:bCs/>
          <w:i/>
          <w:color w:val="00B0F0"/>
          <w:szCs w:val="26"/>
          <w:u w:val="single"/>
        </w:rPr>
        <w:t>medical services only</w:t>
      </w:r>
    </w:p>
    <w:p w14:paraId="5BD39E32" w14:textId="765ABD9C" w:rsidR="00896845" w:rsidRPr="00272077" w:rsidRDefault="00272077" w:rsidP="00272077">
      <w:pPr>
        <w:spacing w:after="0"/>
        <w:rPr>
          <w:b/>
          <w:color w:val="00B0F0"/>
          <w:sz w:val="32"/>
          <w:szCs w:val="32"/>
        </w:rPr>
      </w:pPr>
      <w:r>
        <w:rPr>
          <w:b/>
          <w:color w:val="00B0F0"/>
          <w:sz w:val="32"/>
          <w:szCs w:val="32"/>
        </w:rPr>
        <w:t>POPULATION</w:t>
      </w:r>
    </w:p>
    <w:p w14:paraId="76C87EF8" w14:textId="77777777" w:rsidR="006E0F6F" w:rsidRDefault="006E0F6F" w:rsidP="006E0F6F">
      <w:pPr>
        <w:spacing w:after="0"/>
        <w:rPr>
          <w:lang w:eastAsia="en-AU"/>
        </w:rPr>
      </w:pPr>
    </w:p>
    <w:p w14:paraId="5E4FA755" w14:textId="77777777" w:rsidR="001E6ABB" w:rsidRPr="004D029F" w:rsidRDefault="00FB6046" w:rsidP="001E6ABB">
      <w:pPr>
        <w:rPr>
          <w:i/>
          <w:iCs/>
        </w:rPr>
      </w:pPr>
      <w:r>
        <w:rPr>
          <w:lang w:eastAsia="en-AU"/>
        </w:rPr>
        <w:t xml:space="preserve">The proposed population includes all patients </w:t>
      </w:r>
      <w:r w:rsidR="00295E9B">
        <w:rPr>
          <w:lang w:eastAsia="en-AU"/>
        </w:rPr>
        <w:t xml:space="preserve">with cancer </w:t>
      </w:r>
      <w:r>
        <w:rPr>
          <w:lang w:eastAsia="en-AU"/>
        </w:rPr>
        <w:t xml:space="preserve">undergoing external beam radiation therapy (EBRT) regardless of the cancer type. </w:t>
      </w:r>
      <w:r w:rsidR="001E6ABB" w:rsidRPr="004D029F">
        <w:rPr>
          <w:i/>
          <w:iCs/>
        </w:rPr>
        <w:t>PASC confirmed the proposed population.</w:t>
      </w:r>
    </w:p>
    <w:p w14:paraId="378BCB87" w14:textId="30D34B3C" w:rsidR="009B5E25" w:rsidRDefault="00632F68" w:rsidP="00B3106D">
      <w:pPr>
        <w:rPr>
          <w:lang w:eastAsia="en-AU"/>
        </w:rPr>
      </w:pPr>
      <w:r w:rsidRPr="00632F68">
        <w:rPr>
          <w:lang w:eastAsia="en-AU"/>
        </w:rPr>
        <w:t xml:space="preserve">The Australian Institute of Health and Welfare (AIHW) estimates that approximately </w:t>
      </w:r>
      <w:r>
        <w:rPr>
          <w:lang w:eastAsia="en-AU"/>
        </w:rPr>
        <w:t>150</w:t>
      </w:r>
      <w:r w:rsidRPr="00632F68">
        <w:rPr>
          <w:lang w:eastAsia="en-AU"/>
        </w:rPr>
        <w:t xml:space="preserve">,000 new </w:t>
      </w:r>
      <w:r>
        <w:rPr>
          <w:lang w:eastAsia="en-AU"/>
        </w:rPr>
        <w:t xml:space="preserve">cancer </w:t>
      </w:r>
      <w:r w:rsidRPr="00632F68">
        <w:rPr>
          <w:lang w:eastAsia="en-AU"/>
        </w:rPr>
        <w:t xml:space="preserve">cases will be diagnosed </w:t>
      </w:r>
      <w:r>
        <w:rPr>
          <w:lang w:eastAsia="en-AU"/>
        </w:rPr>
        <w:t>in year</w:t>
      </w:r>
      <w:r w:rsidRPr="00632F68">
        <w:rPr>
          <w:lang w:eastAsia="en-AU"/>
        </w:rPr>
        <w:t xml:space="preserve"> 2020</w:t>
      </w:r>
      <w:r>
        <w:rPr>
          <w:lang w:eastAsia="en-AU"/>
        </w:rPr>
        <w:t xml:space="preserve">. </w:t>
      </w:r>
      <w:r w:rsidRPr="00CB5FC7">
        <w:rPr>
          <w:lang w:eastAsia="en-AU"/>
        </w:rPr>
        <w:t xml:space="preserve">Cancer is now the leading cause of death in Australia, and </w:t>
      </w:r>
      <w:r w:rsidRPr="00B3106D">
        <w:t>the risk of an individual being diagnosed with cancer by their 85th birthday will be 1 in 2 for both males and females.</w:t>
      </w:r>
      <w:r>
        <w:rPr>
          <w:rStyle w:val="normaltextrun"/>
          <w:rFonts w:cs="Calibri"/>
          <w:color w:val="231F20"/>
          <w:sz w:val="21"/>
          <w:szCs w:val="21"/>
          <w:shd w:val="clear" w:color="auto" w:fill="FFFFFF"/>
          <w:lang w:val="en"/>
        </w:rPr>
        <w:t xml:space="preserve"> </w:t>
      </w:r>
      <w:r>
        <w:rPr>
          <w:lang w:eastAsia="en-AU"/>
        </w:rPr>
        <w:t>A</w:t>
      </w:r>
      <w:r w:rsidRPr="00CB5FC7">
        <w:rPr>
          <w:lang w:eastAsia="en-AU"/>
        </w:rPr>
        <w:t xml:space="preserve">lthough mainly affecting the older population, </w:t>
      </w:r>
      <w:r>
        <w:rPr>
          <w:lang w:eastAsia="en-AU"/>
        </w:rPr>
        <w:t xml:space="preserve">cancer remains the </w:t>
      </w:r>
      <w:r w:rsidRPr="00CB5FC7">
        <w:rPr>
          <w:lang w:eastAsia="en-AU"/>
        </w:rPr>
        <w:t>leading cause of premature death</w:t>
      </w:r>
      <w:r>
        <w:rPr>
          <w:lang w:eastAsia="en-AU"/>
        </w:rPr>
        <w:t>.</w:t>
      </w:r>
      <w:r w:rsidRPr="00CB5FC7">
        <w:rPr>
          <w:lang w:eastAsia="en-AU"/>
        </w:rPr>
        <w:t xml:space="preserve"> Many patients live for a number of years with a diagnosis of cancer, potentially requiring ongoing intervention to support quality of life.</w:t>
      </w:r>
    </w:p>
    <w:p w14:paraId="22A6C7CF" w14:textId="2CE4F46F" w:rsidR="00632F68" w:rsidRPr="00CB5FC7" w:rsidRDefault="00806C0F" w:rsidP="00E70730">
      <w:pPr>
        <w:autoSpaceDE w:val="0"/>
        <w:autoSpaceDN w:val="0"/>
        <w:adjustRightInd w:val="0"/>
        <w:rPr>
          <w:rFonts w:cs="Arial"/>
          <w:lang w:eastAsia="en-AU"/>
        </w:rPr>
      </w:pPr>
      <w:r w:rsidRPr="00806C0F">
        <w:rPr>
          <w:rFonts w:cs="Arial"/>
          <w:lang w:eastAsia="en-AU"/>
        </w:rPr>
        <w:t>Radiation therapy is one of the main treatments for cancer and is an effective treatment for a very wide</w:t>
      </w:r>
      <w:r>
        <w:rPr>
          <w:rFonts w:cs="Arial"/>
          <w:lang w:eastAsia="en-AU"/>
        </w:rPr>
        <w:t xml:space="preserve"> </w:t>
      </w:r>
      <w:r w:rsidRPr="00806C0F">
        <w:rPr>
          <w:rFonts w:cs="Arial"/>
          <w:lang w:eastAsia="en-AU"/>
        </w:rPr>
        <w:t>range of cancer types, stages and locations.</w:t>
      </w:r>
      <w:r>
        <w:rPr>
          <w:rFonts w:cs="Arial"/>
          <w:lang w:eastAsia="en-AU"/>
        </w:rPr>
        <w:t xml:space="preserve"> </w:t>
      </w:r>
      <w:r w:rsidRPr="00806C0F">
        <w:rPr>
          <w:rFonts w:cs="Arial"/>
          <w:lang w:eastAsia="en-AU"/>
        </w:rPr>
        <w:t>Radiation therapy uses a controlled dose of radiation to kill cancer cells or damage them so they cannot</w:t>
      </w:r>
      <w:r>
        <w:rPr>
          <w:rFonts w:cs="Arial"/>
          <w:lang w:eastAsia="en-AU"/>
        </w:rPr>
        <w:t xml:space="preserve"> </w:t>
      </w:r>
      <w:r w:rsidRPr="00806C0F">
        <w:rPr>
          <w:rFonts w:cs="Arial"/>
          <w:lang w:eastAsia="en-AU"/>
        </w:rPr>
        <w:t>grow, multiply or spread. The radiation is usually in the form of focused x-ray beams, also known as</w:t>
      </w:r>
      <w:r>
        <w:rPr>
          <w:rFonts w:cs="Arial"/>
          <w:lang w:eastAsia="en-AU"/>
        </w:rPr>
        <w:t xml:space="preserve"> </w:t>
      </w:r>
      <w:r w:rsidRPr="00806C0F">
        <w:rPr>
          <w:rFonts w:cs="Arial"/>
          <w:lang w:eastAsia="en-AU"/>
        </w:rPr>
        <w:t>photons. It is a localised treatment, which means it generally affects only the part of the body where the</w:t>
      </w:r>
      <w:r>
        <w:rPr>
          <w:rFonts w:cs="Arial"/>
          <w:lang w:eastAsia="en-AU"/>
        </w:rPr>
        <w:t xml:space="preserve"> </w:t>
      </w:r>
      <w:r w:rsidRPr="00806C0F">
        <w:rPr>
          <w:rFonts w:cs="Arial"/>
          <w:lang w:eastAsia="en-AU"/>
        </w:rPr>
        <w:t xml:space="preserve">radiation is </w:t>
      </w:r>
      <w:r w:rsidR="00DB69BE">
        <w:rPr>
          <w:rFonts w:cs="Arial"/>
          <w:lang w:eastAsia="en-AU"/>
        </w:rPr>
        <w:t>targeted</w:t>
      </w:r>
      <w:r w:rsidRPr="00806C0F">
        <w:rPr>
          <w:rFonts w:cs="Arial"/>
          <w:lang w:eastAsia="en-AU"/>
        </w:rPr>
        <w:t>.</w:t>
      </w:r>
      <w:r w:rsidR="00DF6E37">
        <w:rPr>
          <w:rFonts w:cs="Arial"/>
          <w:lang w:eastAsia="en-AU"/>
        </w:rPr>
        <w:t xml:space="preserve"> </w:t>
      </w:r>
      <w:r w:rsidR="00E70730">
        <w:rPr>
          <w:rFonts w:cs="Arial"/>
          <w:lang w:eastAsia="en-AU"/>
        </w:rPr>
        <w:t xml:space="preserve">About half of </w:t>
      </w:r>
      <w:r w:rsidR="007E202E">
        <w:rPr>
          <w:rFonts w:cs="Arial"/>
          <w:lang w:eastAsia="en-AU"/>
        </w:rPr>
        <w:t xml:space="preserve">all </w:t>
      </w:r>
      <w:r w:rsidR="00E70730">
        <w:rPr>
          <w:rFonts w:cs="Arial"/>
          <w:lang w:eastAsia="en-AU"/>
        </w:rPr>
        <w:t>patients</w:t>
      </w:r>
      <w:r w:rsidR="00295E9B">
        <w:rPr>
          <w:rFonts w:cs="Arial"/>
          <w:lang w:eastAsia="en-AU"/>
        </w:rPr>
        <w:t xml:space="preserve"> with cancer</w:t>
      </w:r>
      <w:r w:rsidR="00E70730">
        <w:rPr>
          <w:rFonts w:cs="Arial"/>
          <w:lang w:eastAsia="en-AU"/>
        </w:rPr>
        <w:t xml:space="preserve"> need radiation therapy for a cure, to improve their chance of survival or to relieve symptoms</w:t>
      </w:r>
      <w:r w:rsidR="00A5422D">
        <w:rPr>
          <w:rFonts w:cs="Arial"/>
          <w:lang w:eastAsia="en-AU"/>
        </w:rPr>
        <w:t xml:space="preserve"> </w:t>
      </w:r>
      <w:r w:rsidR="002B6B1B">
        <w:rPr>
          <w:rFonts w:cs="Arial"/>
          <w:lang w:eastAsia="en-AU"/>
        </w:rPr>
        <w:fldChar w:fldCharType="begin">
          <w:fldData xml:space="preserve">PEVuZE5vdGU+PENpdGU+PEF1dGhvcj5IYWxsPC9BdXRob3I+PFllYXI+MjAxOTwvWWVhcj48UmVj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==
</w:fldData>
        </w:fldChar>
      </w:r>
      <w:r w:rsidR="002B6B1B">
        <w:rPr>
          <w:rFonts w:cs="Arial"/>
          <w:lang w:eastAsia="en-AU"/>
        </w:rPr>
        <w:instrText xml:space="preserve"> ADDIN EN.CITE </w:instrText>
      </w:r>
      <w:r w:rsidR="002B6B1B">
        <w:rPr>
          <w:rFonts w:cs="Arial"/>
          <w:lang w:eastAsia="en-AU"/>
        </w:rPr>
        <w:fldChar w:fldCharType="begin">
          <w:fldData xml:space="preserve">PEVuZE5vdGU+PENpdGU+PEF1dGhvcj5IYWxsPC9BdXRob3I+PFllYXI+MjAxOTwvWWVhcj48UmVj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==
</w:fldData>
        </w:fldChar>
      </w:r>
      <w:r w:rsidR="002B6B1B">
        <w:rPr>
          <w:rFonts w:cs="Arial"/>
          <w:lang w:eastAsia="en-AU"/>
        </w:rPr>
        <w:instrText xml:space="preserve"> ADDIN EN.CITE.DATA </w:instrText>
      </w:r>
      <w:r w:rsidR="002B6B1B">
        <w:rPr>
          <w:rFonts w:cs="Arial"/>
          <w:lang w:eastAsia="en-AU"/>
        </w:rPr>
      </w:r>
      <w:r w:rsidR="002B6B1B">
        <w:rPr>
          <w:rFonts w:cs="Arial"/>
          <w:lang w:eastAsia="en-AU"/>
        </w:rPr>
        <w:fldChar w:fldCharType="end"/>
      </w:r>
      <w:r w:rsidR="002B6B1B">
        <w:rPr>
          <w:rFonts w:cs="Arial"/>
          <w:lang w:eastAsia="en-AU"/>
        </w:rPr>
      </w:r>
      <w:r w:rsidR="002B6B1B">
        <w:rPr>
          <w:rFonts w:cs="Arial"/>
          <w:lang w:eastAsia="en-AU"/>
        </w:rPr>
        <w:fldChar w:fldCharType="separate"/>
      </w:r>
      <w:r w:rsidR="002B6B1B">
        <w:rPr>
          <w:rFonts w:cs="Arial"/>
          <w:noProof/>
          <w:lang w:eastAsia="en-AU"/>
        </w:rPr>
        <w:t>(Hall et al., 2019)</w:t>
      </w:r>
      <w:r w:rsidR="002B6B1B">
        <w:rPr>
          <w:rFonts w:cs="Arial"/>
          <w:lang w:eastAsia="en-AU"/>
        </w:rPr>
        <w:fldChar w:fldCharType="end"/>
      </w:r>
      <w:r w:rsidR="00E70730">
        <w:rPr>
          <w:rFonts w:cs="Arial"/>
          <w:lang w:eastAsia="en-AU"/>
        </w:rPr>
        <w:t>.</w:t>
      </w:r>
    </w:p>
    <w:p w14:paraId="1F15D71A" w14:textId="77777777" w:rsidR="001E6ABB" w:rsidRDefault="00AB21B4" w:rsidP="001E6ABB">
      <w:pPr>
        <w:rPr>
          <w:rFonts w:cs="Arial"/>
          <w:lang w:eastAsia="en-AU"/>
        </w:rPr>
      </w:pPr>
      <w:r w:rsidRPr="000A6AAD">
        <w:t xml:space="preserve">Most people </w:t>
      </w:r>
      <w:r>
        <w:t xml:space="preserve">receiving radiotherapy </w:t>
      </w:r>
      <w:r w:rsidRPr="000A6AAD">
        <w:t>have treatment once a day</w:t>
      </w:r>
      <w:r>
        <w:t xml:space="preserve"> but the </w:t>
      </w:r>
      <w:r w:rsidRPr="000A6AAD">
        <w:t>number of treatments vary based on type and stage of the cancer and the size and location.</w:t>
      </w:r>
      <w:r>
        <w:t xml:space="preserve"> </w:t>
      </w:r>
      <w:r w:rsidR="00004853" w:rsidRPr="00004853">
        <w:rPr>
          <w:rFonts w:cs="Arial"/>
          <w:lang w:eastAsia="en-AU"/>
        </w:rPr>
        <w:t>In 2017–18, almost 67,800 courses of radiothera</w:t>
      </w:r>
      <w:r w:rsidR="000A6AAD">
        <w:rPr>
          <w:rFonts w:cs="Arial"/>
          <w:lang w:eastAsia="en-AU"/>
        </w:rPr>
        <w:t>py were delivered in Australia</w:t>
      </w:r>
      <w:r w:rsidR="002B6B1B">
        <w:rPr>
          <w:rFonts w:cs="Arial"/>
          <w:lang w:eastAsia="en-AU"/>
        </w:rPr>
        <w:t xml:space="preserve"> </w:t>
      </w:r>
      <w:r w:rsidR="002B6B1B">
        <w:rPr>
          <w:rFonts w:cs="Arial"/>
          <w:lang w:eastAsia="en-AU"/>
        </w:rPr>
        <w:fldChar w:fldCharType="begin"/>
      </w:r>
      <w:r w:rsidR="006201C9">
        <w:rPr>
          <w:rFonts w:cs="Arial"/>
          <w:lang w:eastAsia="en-AU"/>
        </w:rPr>
        <w:instrText xml:space="preserve"> ADDIN EN.CITE &lt;EndNote&gt;&lt;Cite ExcludeYear="1"&gt;&lt;Year&gt;2019&lt;/Year&gt;&lt;RecNum&gt;11&lt;/RecNum&gt;&lt;DisplayText&gt;(Australian Institute of Health and Welfare)&lt;/DisplayText&gt;&lt;record&gt;&lt;rec-number&gt;11&lt;/rec-number&gt;&lt;foreign-keys&gt;&lt;key app="EN" db-id="zx5wv0eapasetsezdzlxrdvgpwapdsw5ex5s" timestamp="1583878000"&gt;11&lt;/key&gt;&lt;/foreign-keys&gt;&lt;ref-type name="Government Document"&gt;46&lt;/ref-type&gt;&lt;contributors&gt;&lt;authors&gt;&lt;author&gt;Australian Institute of Health and Welfare,&lt;/author&gt;&lt;/authors&gt;&lt;/contributors&gt;&lt;titles&gt;&lt;title&gt;Radiotherapy in Australia 2017–18&lt;/title&gt;&lt;/titles&gt;&lt;dates&gt;&lt;year&gt;2019&lt;/year&gt;&lt;/dates&gt;&lt;pub-location&gt;Canberra&lt;/pub-location&gt;&lt;publisher&gt;AIWH&lt;/publisher&gt;&lt;urls&gt;&lt;related-urls&gt;&lt;url&gt;https://www.aihw.gov.au/reports/cancer/radiotherapy-in-australia-2017-18/contents/radiotherapy-waiting-times&lt;/url&gt;&lt;/related-urls&gt;&lt;/urls&gt;&lt;/record&gt;&lt;/Cite&gt;&lt;/EndNote&gt;</w:instrText>
      </w:r>
      <w:r w:rsidR="002B6B1B">
        <w:rPr>
          <w:rFonts w:cs="Arial"/>
          <w:lang w:eastAsia="en-AU"/>
        </w:rPr>
        <w:fldChar w:fldCharType="separate"/>
      </w:r>
      <w:r w:rsidR="00444ECD">
        <w:rPr>
          <w:rFonts w:cs="Arial"/>
          <w:noProof/>
          <w:lang w:eastAsia="en-AU"/>
        </w:rPr>
        <w:t>(Australian Institute of Health and Welfare)</w:t>
      </w:r>
      <w:r w:rsidR="002B6B1B">
        <w:rPr>
          <w:rFonts w:cs="Arial"/>
          <w:lang w:eastAsia="en-AU"/>
        </w:rPr>
        <w:fldChar w:fldCharType="end"/>
      </w:r>
      <w:r w:rsidR="002B6B1B">
        <w:rPr>
          <w:rFonts w:cs="Arial"/>
          <w:lang w:eastAsia="en-AU"/>
        </w:rPr>
        <w:t>.</w:t>
      </w:r>
      <w:r w:rsidR="001E6ABB">
        <w:rPr>
          <w:rFonts w:cs="Arial"/>
          <w:lang w:eastAsia="en-AU"/>
        </w:rPr>
        <w:t xml:space="preserve"> </w:t>
      </w:r>
    </w:p>
    <w:p w14:paraId="24F4FE81" w14:textId="47548F17" w:rsidR="007A1331" w:rsidRDefault="001E6ABB" w:rsidP="00FF02DA">
      <w:pPr>
        <w:rPr>
          <w:i/>
          <w:iCs/>
        </w:rPr>
      </w:pPr>
      <w:r w:rsidRPr="006802F2">
        <w:rPr>
          <w:i/>
          <w:iCs/>
        </w:rPr>
        <w:t>PASC noted the applicant’s estimate of 400–500 patient courses delivered in the first year, equating to &lt;1% of the MBS services claimed for items 15275 and 15555 in the last financial year (913,801). However, PASC queried whether there may be an increase in the treated population, if the technology allows treatment for previously untreatable patients (</w:t>
      </w:r>
      <w:r w:rsidR="000D41D7" w:rsidRPr="006802F2">
        <w:rPr>
          <w:i/>
          <w:iCs/>
        </w:rPr>
        <w:t>see</w:t>
      </w:r>
      <w:r w:rsidR="000D41D7">
        <w:rPr>
          <w:i/>
          <w:iCs/>
        </w:rPr>
        <w:t xml:space="preserve"> ‘Intervention’</w:t>
      </w:r>
      <w:r w:rsidRPr="006802F2">
        <w:rPr>
          <w:i/>
          <w:iCs/>
        </w:rPr>
        <w:t>).</w:t>
      </w:r>
    </w:p>
    <w:p w14:paraId="120232C3" w14:textId="4489C155" w:rsidR="006F0FC0" w:rsidRPr="00FF02DA" w:rsidRDefault="006F0FC0" w:rsidP="00FF02DA">
      <w:pPr>
        <w:rPr>
          <w:i/>
          <w:iCs/>
        </w:rPr>
      </w:pPr>
      <w:r>
        <w:rPr>
          <w:i/>
          <w:iCs/>
        </w:rPr>
        <w:t>The Applicant advised, the number of previously untreated patients is likely to come from clinical sites with lower incidence and may initially increase the treatment population by &lt;1%.</w:t>
      </w:r>
    </w:p>
    <w:p w14:paraId="179C503C" w14:textId="0A3A9E8A" w:rsidR="009B5E25" w:rsidRPr="00272077" w:rsidRDefault="002B3338" w:rsidP="00272077">
      <w:pPr>
        <w:spacing w:after="80"/>
        <w:rPr>
          <w:b/>
          <w:sz w:val="24"/>
          <w:szCs w:val="24"/>
          <w:u w:val="single"/>
        </w:rPr>
      </w:pPr>
      <w:r w:rsidRPr="00272077">
        <w:rPr>
          <w:b/>
          <w:sz w:val="24"/>
          <w:szCs w:val="24"/>
          <w:u w:val="single"/>
        </w:rPr>
        <w:t>Rationale</w:t>
      </w:r>
    </w:p>
    <w:p w14:paraId="763F9E3B" w14:textId="4D6B7B15" w:rsidR="007A1331" w:rsidRPr="00EB2191" w:rsidRDefault="00EB2191" w:rsidP="005971CA">
      <w:pPr>
        <w:spacing w:after="120"/>
      </w:pPr>
      <w:r>
        <w:t xml:space="preserve">Following a cancer diagnosis in a patient, decisions are made about treatment. </w:t>
      </w:r>
      <w:r w:rsidRPr="00EB2191">
        <w:t xml:space="preserve">There are many different steps involved in a course of treatment for radiation therapy (planning, simulation and treatment), </w:t>
      </w:r>
      <w:r w:rsidR="00B3106D">
        <w:t xml:space="preserve">and </w:t>
      </w:r>
      <w:r w:rsidRPr="00EB2191">
        <w:t>a unique treatment plan is created for each individual.</w:t>
      </w:r>
      <w:r>
        <w:t xml:space="preserve"> How these decisions are made and how </w:t>
      </w:r>
      <w:r w:rsidR="005D15E9">
        <w:t xml:space="preserve">a </w:t>
      </w:r>
      <w:r>
        <w:t xml:space="preserve">patient is investigated, managed and referred within the Australian healthcare system is dependent </w:t>
      </w:r>
      <w:r w:rsidR="00F427CB">
        <w:t xml:space="preserve">on numerous factors including </w:t>
      </w:r>
      <w:r>
        <w:t xml:space="preserve">the type of cancer, </w:t>
      </w:r>
      <w:r w:rsidR="00F427CB">
        <w:t>tumour size and location in the body, general health of the patient and their medical history, other treatments administered as well as age and other medical conditions.</w:t>
      </w:r>
    </w:p>
    <w:p w14:paraId="1C600D17" w14:textId="77777777" w:rsidR="000A55DD" w:rsidRDefault="000A55DD">
      <w:pPr>
        <w:rPr>
          <w:b/>
          <w:color w:val="00B0F0"/>
          <w:sz w:val="32"/>
          <w:szCs w:val="32"/>
        </w:rPr>
      </w:pPr>
      <w:bookmarkStart w:id="2" w:name="_Hlk41647286"/>
      <w:r>
        <w:rPr>
          <w:b/>
          <w:color w:val="00B0F0"/>
          <w:sz w:val="32"/>
          <w:szCs w:val="32"/>
        </w:rPr>
        <w:br w:type="page"/>
      </w:r>
    </w:p>
    <w:p w14:paraId="1790349B" w14:textId="14BFC7C8" w:rsidR="006E0F6F" w:rsidRPr="00ED0534" w:rsidRDefault="00272077" w:rsidP="00ED0534">
      <w:pPr>
        <w:spacing w:after="80"/>
        <w:rPr>
          <w:b/>
          <w:color w:val="00B0F0"/>
          <w:sz w:val="32"/>
          <w:szCs w:val="32"/>
        </w:rPr>
      </w:pPr>
      <w:r>
        <w:rPr>
          <w:b/>
          <w:color w:val="00B0F0"/>
          <w:sz w:val="32"/>
          <w:szCs w:val="32"/>
        </w:rPr>
        <w:lastRenderedPageBreak/>
        <w:t>INTERVENTION</w:t>
      </w:r>
      <w:bookmarkEnd w:id="2"/>
    </w:p>
    <w:p w14:paraId="7CB8747C" w14:textId="7805F4E0" w:rsidR="008F2914" w:rsidRDefault="005D15E9" w:rsidP="00CC2C71">
      <w:pPr>
        <w:contextualSpacing/>
        <w:rPr>
          <w:color w:val="000000"/>
          <w:shd w:val="clear" w:color="auto" w:fill="FFFFFF"/>
        </w:rPr>
      </w:pPr>
      <w:r>
        <w:t>The g</w:t>
      </w:r>
      <w:r w:rsidR="00145A83">
        <w:t xml:space="preserve">oal of radiation therapy is </w:t>
      </w:r>
      <w:r w:rsidR="00145A83" w:rsidRPr="00806C0F">
        <w:t>to</w:t>
      </w:r>
      <w:r w:rsidR="00145A83">
        <w:t xml:space="preserve"> </w:t>
      </w:r>
      <w:r w:rsidR="00145A83" w:rsidRPr="00806C0F">
        <w:t xml:space="preserve">deliver sufficient </w:t>
      </w:r>
      <w:r w:rsidR="00145A83">
        <w:t xml:space="preserve">radiation </w:t>
      </w:r>
      <w:r w:rsidR="00145A83" w:rsidRPr="00806C0F">
        <w:t xml:space="preserve">dose to the </w:t>
      </w:r>
      <w:r w:rsidR="00145A83">
        <w:t>cancerous tissue</w:t>
      </w:r>
      <w:r w:rsidR="00145A83" w:rsidRPr="00806C0F">
        <w:t xml:space="preserve"> to achieve local cont</w:t>
      </w:r>
      <w:r w:rsidR="00145A83">
        <w:t xml:space="preserve">rol while minimising the toxicity to </w:t>
      </w:r>
      <w:r w:rsidR="00145A83" w:rsidRPr="00806C0F">
        <w:t>normal surrounding tissue (organs at risk</w:t>
      </w:r>
      <w:r w:rsidR="003B569C">
        <w:t xml:space="preserve"> [</w:t>
      </w:r>
      <w:r w:rsidR="00145A83" w:rsidRPr="00806C0F">
        <w:t>OARs</w:t>
      </w:r>
      <w:r w:rsidR="003B569C">
        <w:t>]</w:t>
      </w:r>
      <w:r w:rsidR="00145A83" w:rsidRPr="00806C0F">
        <w:t xml:space="preserve">). </w:t>
      </w:r>
      <w:r w:rsidR="007950CF">
        <w:t>For this reason, radiotherapy treatment usually requires patients to undergo some form of imaging during treatment planning and delivery. These images are needed in order to determine the clinical target volumes (CTV) which in t</w:t>
      </w:r>
      <w:r>
        <w:t>urn</w:t>
      </w:r>
      <w:r w:rsidR="007950CF">
        <w:t xml:space="preserve"> determine the planning target volumes (PTV). The CTV contains the gross tumour volume (GTV), i.e. what can be seen, palpated or imaged </w:t>
      </w:r>
      <w:r w:rsidR="00D5492C">
        <w:t>plus invisible tumour extensions</w:t>
      </w:r>
      <w:r w:rsidR="007950CF">
        <w:t xml:space="preserve">. The PTV </w:t>
      </w:r>
      <w:r w:rsidR="007950CF">
        <w:rPr>
          <w:color w:val="000000"/>
          <w:shd w:val="clear" w:color="auto" w:fill="FFFFFF"/>
        </w:rPr>
        <w:t xml:space="preserve">is a geometric concept designed to ensure that the radiotherapy dose is </w:t>
      </w:r>
      <w:r w:rsidR="008F2914">
        <w:rPr>
          <w:color w:val="000000"/>
          <w:shd w:val="clear" w:color="auto" w:fill="FFFFFF"/>
        </w:rPr>
        <w:t>d</w:t>
      </w:r>
      <w:r w:rsidR="007950CF">
        <w:rPr>
          <w:color w:val="000000"/>
          <w:shd w:val="clear" w:color="auto" w:fill="FFFFFF"/>
        </w:rPr>
        <w:t xml:space="preserve">elivered to the CTV and includes the CTV and the appropriate </w:t>
      </w:r>
      <w:r w:rsidR="005E477E">
        <w:rPr>
          <w:color w:val="000000"/>
          <w:shd w:val="clear" w:color="auto" w:fill="FFFFFF"/>
        </w:rPr>
        <w:t xml:space="preserve">margins. </w:t>
      </w:r>
      <w:r w:rsidR="00B92F4F">
        <w:rPr>
          <w:color w:val="000000"/>
          <w:shd w:val="clear" w:color="auto" w:fill="FFFFFF"/>
        </w:rPr>
        <w:t>In some cases, it may be necessary to add a margin around an OAR to ensure that the organ cannot r</w:t>
      </w:r>
      <w:r w:rsidR="00CC2C71">
        <w:rPr>
          <w:color w:val="000000"/>
          <w:shd w:val="clear" w:color="auto" w:fill="FFFFFF"/>
        </w:rPr>
        <w:t>eceive a higher-than-safe dose.</w:t>
      </w:r>
    </w:p>
    <w:p w14:paraId="2A0B6A90" w14:textId="77777777" w:rsidR="000F3518" w:rsidRPr="00272077" w:rsidRDefault="000F3518" w:rsidP="00CC2C71">
      <w:pPr>
        <w:contextualSpacing/>
        <w:rPr>
          <w:color w:val="000000"/>
          <w:sz w:val="16"/>
          <w:szCs w:val="16"/>
          <w:shd w:val="clear" w:color="auto" w:fill="FFFFFF"/>
        </w:rPr>
      </w:pPr>
    </w:p>
    <w:p w14:paraId="30F00538" w14:textId="69685D7F" w:rsidR="00087FBF" w:rsidRDefault="005E477E" w:rsidP="00CC2C71">
      <w:pPr>
        <w:contextualSpacing/>
        <w:rPr>
          <w:color w:val="000000"/>
          <w:shd w:val="clear" w:color="auto" w:fill="FFFFFF"/>
        </w:rPr>
      </w:pPr>
      <w:r w:rsidRPr="00EA4A67">
        <w:rPr>
          <w:color w:val="000000"/>
          <w:lang w:val="en-US"/>
        </w:rPr>
        <w:t xml:space="preserve">Tumours change </w:t>
      </w:r>
      <w:r w:rsidR="002B6B1B" w:rsidRPr="00EA4A67">
        <w:rPr>
          <w:color w:val="000000"/>
          <w:lang w:val="en-US"/>
        </w:rPr>
        <w:t>shape, size,</w:t>
      </w:r>
      <w:r w:rsidRPr="00EA4A67">
        <w:rPr>
          <w:color w:val="000000"/>
          <w:lang w:val="en-US"/>
        </w:rPr>
        <w:t xml:space="preserve"> and their position relative to surrounding tissue over the course of</w:t>
      </w:r>
      <w:r>
        <w:rPr>
          <w:color w:val="000000"/>
          <w:lang w:val="en-US"/>
        </w:rPr>
        <w:t xml:space="preserve"> </w:t>
      </w:r>
      <w:r w:rsidRPr="00EA4A67">
        <w:rPr>
          <w:color w:val="000000"/>
          <w:lang w:val="en-US"/>
        </w:rPr>
        <w:t>treatment and during individual treatment sessions. This results in uncertainty about the location of</w:t>
      </w:r>
      <w:r>
        <w:rPr>
          <w:color w:val="000000"/>
          <w:lang w:val="en-US"/>
        </w:rPr>
        <w:t xml:space="preserve"> </w:t>
      </w:r>
      <w:r w:rsidRPr="00EA4A67">
        <w:rPr>
          <w:color w:val="000000"/>
          <w:lang w:val="en-US"/>
        </w:rPr>
        <w:t>tumour and normal tissue during treatment and necessitates increased PTV</w:t>
      </w:r>
      <w:r>
        <w:rPr>
          <w:color w:val="000000"/>
          <w:lang w:val="en-US"/>
        </w:rPr>
        <w:t xml:space="preserve"> </w:t>
      </w:r>
      <w:r w:rsidRPr="00EA4A67">
        <w:rPr>
          <w:color w:val="000000"/>
          <w:lang w:val="en-US"/>
        </w:rPr>
        <w:t>margins in order to ensure complete dosing of the tumour. Larger PTV margins increase the amount of</w:t>
      </w:r>
      <w:r>
        <w:rPr>
          <w:color w:val="000000"/>
          <w:lang w:val="en-US"/>
        </w:rPr>
        <w:t xml:space="preserve"> </w:t>
      </w:r>
      <w:r w:rsidRPr="00EA4A67">
        <w:rPr>
          <w:color w:val="000000"/>
          <w:lang w:val="en-US"/>
        </w:rPr>
        <w:t>normal tissue that is dosed, which causes more widespread or more severe toxicity that can lead to acute</w:t>
      </w:r>
      <w:r>
        <w:rPr>
          <w:color w:val="000000"/>
          <w:lang w:val="en-US"/>
        </w:rPr>
        <w:t xml:space="preserve"> </w:t>
      </w:r>
      <w:r w:rsidRPr="00EA4A67">
        <w:rPr>
          <w:color w:val="000000"/>
          <w:lang w:val="en-US"/>
        </w:rPr>
        <w:t>and long-term side effects and reduced quality of treatment outcomes.</w:t>
      </w:r>
      <w:r w:rsidR="006018B7">
        <w:rPr>
          <w:color w:val="000000"/>
          <w:lang w:val="en-US"/>
        </w:rPr>
        <w:t xml:space="preserve"> </w:t>
      </w:r>
      <w:r w:rsidR="008F2914">
        <w:rPr>
          <w:color w:val="000000"/>
          <w:shd w:val="clear" w:color="auto" w:fill="FFFFFF"/>
        </w:rPr>
        <w:t>Advances in image-guided radiotherapy (RT) have allowed for dose escalation and more precise radiation treatment delivery.</w:t>
      </w:r>
    </w:p>
    <w:p w14:paraId="7D7ABF1D" w14:textId="77777777" w:rsidR="000F3518" w:rsidRPr="00272077" w:rsidRDefault="000F3518" w:rsidP="00CC2C71">
      <w:pPr>
        <w:contextualSpacing/>
        <w:rPr>
          <w:color w:val="000000"/>
          <w:sz w:val="16"/>
          <w:szCs w:val="16"/>
          <w:shd w:val="clear" w:color="auto" w:fill="FFFFFF"/>
        </w:rPr>
      </w:pPr>
    </w:p>
    <w:p w14:paraId="2461CCA9" w14:textId="0A74D62A" w:rsidR="00DC120C" w:rsidRDefault="00DC120C" w:rsidP="00CC38C4">
      <w:pPr>
        <w:autoSpaceDE w:val="0"/>
        <w:autoSpaceDN w:val="0"/>
        <w:adjustRightInd w:val="0"/>
        <w:spacing w:after="160"/>
        <w:rPr>
          <w:color w:val="000000"/>
          <w:lang w:val="en-US"/>
        </w:rPr>
      </w:pPr>
      <w:r w:rsidRPr="00087FBF">
        <w:rPr>
          <w:color w:val="000000"/>
          <w:lang w:val="en-US"/>
        </w:rPr>
        <w:t xml:space="preserve">Adaptive radiotherapy (ART) </w:t>
      </w:r>
      <w:r>
        <w:rPr>
          <w:color w:val="000000"/>
          <w:lang w:val="en-US"/>
        </w:rPr>
        <w:t>involves incorporation of</w:t>
      </w:r>
      <w:r w:rsidRPr="00087FBF">
        <w:rPr>
          <w:color w:val="000000"/>
          <w:lang w:val="en-US"/>
        </w:rPr>
        <w:t xml:space="preserve"> patient-specific anatomical variations </w:t>
      </w:r>
      <w:r>
        <w:rPr>
          <w:color w:val="000000"/>
          <w:lang w:val="en-US"/>
        </w:rPr>
        <w:t>during radiation therapy</w:t>
      </w:r>
      <w:r w:rsidR="00275414">
        <w:rPr>
          <w:color w:val="000000"/>
          <w:lang w:val="en-US"/>
        </w:rPr>
        <w:t>, in order</w:t>
      </w:r>
      <w:r w:rsidRPr="00087FBF">
        <w:rPr>
          <w:color w:val="000000"/>
          <w:lang w:val="en-US"/>
        </w:rPr>
        <w:t xml:space="preserve"> to feed</w:t>
      </w:r>
      <w:r w:rsidR="00275414">
        <w:rPr>
          <w:color w:val="000000"/>
          <w:lang w:val="en-US"/>
        </w:rPr>
        <w:t xml:space="preserve"> </w:t>
      </w:r>
      <w:r w:rsidRPr="00087FBF">
        <w:rPr>
          <w:color w:val="000000"/>
          <w:lang w:val="en-US"/>
        </w:rPr>
        <w:t>back into the plan and</w:t>
      </w:r>
      <w:r w:rsidR="00275414">
        <w:rPr>
          <w:color w:val="000000"/>
          <w:lang w:val="en-US"/>
        </w:rPr>
        <w:t xml:space="preserve"> allow</w:t>
      </w:r>
      <w:r w:rsidRPr="00087FBF">
        <w:rPr>
          <w:color w:val="000000"/>
          <w:lang w:val="en-US"/>
        </w:rPr>
        <w:t xml:space="preserve"> dose-delivery optimisati</w:t>
      </w:r>
      <w:r>
        <w:rPr>
          <w:color w:val="000000"/>
          <w:lang w:val="en-US"/>
        </w:rPr>
        <w:t xml:space="preserve">on during the treatment course </w:t>
      </w:r>
      <w:r w:rsidR="002B6B1B">
        <w:rPr>
          <w:color w:val="000000"/>
          <w:lang w:val="en-US"/>
        </w:rPr>
        <w:fldChar w:fldCharType="begin">
          <w:fldData xml:space="preserve">PEVuZE5vdGU+PENpdGU+PEF1dGhvcj5IdW50PC9BdXRob3I+PFllYXI+MjAxODwvWWVhcj48UmVj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</w:fldData>
        </w:fldChar>
      </w:r>
      <w:r w:rsidR="002B6B1B">
        <w:rPr>
          <w:color w:val="000000"/>
          <w:lang w:val="en-US"/>
        </w:rPr>
        <w:instrText xml:space="preserve"> ADDIN EN.CITE </w:instrText>
      </w:r>
      <w:r w:rsidR="002B6B1B">
        <w:rPr>
          <w:color w:val="000000"/>
          <w:lang w:val="en-US"/>
        </w:rPr>
        <w:fldChar w:fldCharType="begin">
          <w:fldData xml:space="preserve">PEVuZE5vdGU+PENpdGU+PEF1dGhvcj5IdW50PC9BdXRob3I+PFllYXI+MjAxODwvWWVhcj48UmVj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</w:fldData>
        </w:fldChar>
      </w:r>
      <w:r w:rsidR="002B6B1B">
        <w:rPr>
          <w:color w:val="000000"/>
          <w:lang w:val="en-US"/>
        </w:rPr>
        <w:instrText xml:space="preserve"> ADDIN EN.CITE.DATA </w:instrText>
      </w:r>
      <w:r w:rsidR="002B6B1B">
        <w:rPr>
          <w:color w:val="000000"/>
          <w:lang w:val="en-US"/>
        </w:rPr>
      </w:r>
      <w:r w:rsidR="002B6B1B">
        <w:rPr>
          <w:color w:val="000000"/>
          <w:lang w:val="en-US"/>
        </w:rPr>
        <w:fldChar w:fldCharType="end"/>
      </w:r>
      <w:r w:rsidR="002B6B1B">
        <w:rPr>
          <w:color w:val="000000"/>
          <w:lang w:val="en-US"/>
        </w:rPr>
      </w:r>
      <w:r w:rsidR="002B6B1B">
        <w:rPr>
          <w:color w:val="000000"/>
          <w:lang w:val="en-US"/>
        </w:rPr>
        <w:fldChar w:fldCharType="separate"/>
      </w:r>
      <w:r w:rsidR="002B6B1B">
        <w:rPr>
          <w:noProof/>
          <w:color w:val="000000"/>
          <w:lang w:val="en-US"/>
        </w:rPr>
        <w:t>(Hunt, Hansen, Oelfke, Nill, &amp; Hafeez, 2018)</w:t>
      </w:r>
      <w:r w:rsidR="002B6B1B">
        <w:rPr>
          <w:color w:val="000000"/>
          <w:lang w:val="en-US"/>
        </w:rPr>
        <w:fldChar w:fldCharType="end"/>
      </w:r>
      <w:r w:rsidRPr="00087FBF">
        <w:rPr>
          <w:color w:val="000000"/>
          <w:lang w:val="en-US"/>
        </w:rPr>
        <w:t xml:space="preserve">. ART can </w:t>
      </w:r>
      <w:r>
        <w:rPr>
          <w:color w:val="000000"/>
          <w:lang w:val="en-US"/>
        </w:rPr>
        <w:t>occur</w:t>
      </w:r>
      <w:r w:rsidRPr="00087FBF">
        <w:rPr>
          <w:color w:val="000000"/>
          <w:lang w:val="en-US"/>
        </w:rPr>
        <w:t xml:space="preserve"> over three </w:t>
      </w:r>
      <w:r>
        <w:rPr>
          <w:color w:val="000000"/>
          <w:lang w:val="en-US"/>
        </w:rPr>
        <w:t xml:space="preserve">different </w:t>
      </w:r>
      <w:r w:rsidRPr="00087FBF">
        <w:rPr>
          <w:color w:val="000000"/>
          <w:lang w:val="en-US"/>
        </w:rPr>
        <w:t>timescales</w:t>
      </w:r>
      <w:r w:rsidR="00275414">
        <w:rPr>
          <w:color w:val="000000"/>
          <w:lang w:val="en-US"/>
        </w:rPr>
        <w:t>: (1) offline, between fractions;</w:t>
      </w:r>
      <w:r w:rsidRPr="00087FBF">
        <w:rPr>
          <w:color w:val="000000"/>
          <w:lang w:val="en-US"/>
        </w:rPr>
        <w:t xml:space="preserve"> (2) online</w:t>
      </w:r>
      <w:r w:rsidR="00275414">
        <w:rPr>
          <w:color w:val="000000"/>
          <w:lang w:val="en-US"/>
        </w:rPr>
        <w:t>,</w:t>
      </w:r>
      <w:r w:rsidRPr="00087FBF">
        <w:rPr>
          <w:color w:val="000000"/>
          <w:lang w:val="en-US"/>
        </w:rPr>
        <w:t xml:space="preserve"> </w:t>
      </w:r>
      <w:r w:rsidR="00275414">
        <w:rPr>
          <w:color w:val="000000"/>
          <w:lang w:val="en-US"/>
        </w:rPr>
        <w:t>immediately prior to a fraction;</w:t>
      </w:r>
      <w:r w:rsidRPr="00087FBF">
        <w:rPr>
          <w:color w:val="000000"/>
          <w:lang w:val="en-US"/>
        </w:rPr>
        <w:t xml:space="preserve"> and (3) in real-time</w:t>
      </w:r>
      <w:r w:rsidR="00275414">
        <w:rPr>
          <w:color w:val="000000"/>
          <w:lang w:val="en-US"/>
        </w:rPr>
        <w:t>,</w:t>
      </w:r>
      <w:r w:rsidRPr="00087FBF">
        <w:rPr>
          <w:color w:val="000000"/>
          <w:lang w:val="en-US"/>
        </w:rPr>
        <w:t xml:space="preserve"> during a fraction.</w:t>
      </w:r>
    </w:p>
    <w:p w14:paraId="76B21D28" w14:textId="4A674F3E" w:rsidR="00CE0547" w:rsidRDefault="008E39A7" w:rsidP="005F4258">
      <w:r>
        <w:t>The proposed medical service</w:t>
      </w:r>
      <w:r w:rsidR="00BA00E5">
        <w:t xml:space="preserve"> is magnetic resonance (MR) </w:t>
      </w:r>
      <w:r w:rsidR="005D15E9">
        <w:t xml:space="preserve">image </w:t>
      </w:r>
      <w:r w:rsidR="00BA00E5">
        <w:t>guided r</w:t>
      </w:r>
      <w:r w:rsidR="00BA00E5" w:rsidRPr="009214D0">
        <w:t xml:space="preserve">adiation therapy </w:t>
      </w:r>
      <w:r w:rsidR="005F4258">
        <w:t>(MR</w:t>
      </w:r>
      <w:r w:rsidR="00275414">
        <w:t>-</w:t>
      </w:r>
      <w:r w:rsidR="005D15E9">
        <w:t>IG</w:t>
      </w:r>
      <w:r w:rsidR="005F4258">
        <w:t>RT)</w:t>
      </w:r>
      <w:r w:rsidR="00275414">
        <w:t>,</w:t>
      </w:r>
      <w:r w:rsidR="005F4258">
        <w:t xml:space="preserve"> </w:t>
      </w:r>
      <w:r w:rsidR="004A7766">
        <w:t>also known as MR-linac</w:t>
      </w:r>
      <w:r w:rsidR="00BA00E5">
        <w:t xml:space="preserve">. This technology combines </w:t>
      </w:r>
      <w:r w:rsidR="00CE0547">
        <w:t>a</w:t>
      </w:r>
      <w:r w:rsidR="00275414">
        <w:t>n</w:t>
      </w:r>
      <w:r w:rsidR="00CE0547">
        <w:t xml:space="preserve"> MR</w:t>
      </w:r>
      <w:r w:rsidR="00BA00E5">
        <w:t xml:space="preserve"> unit with a </w:t>
      </w:r>
      <w:r w:rsidR="00CE0547">
        <w:t>linear accelerator</w:t>
      </w:r>
      <w:r w:rsidR="00D5492C">
        <w:t xml:space="preserve"> </w:t>
      </w:r>
      <w:r w:rsidR="004A7766">
        <w:t>(</w:t>
      </w:r>
      <w:r w:rsidR="00D5492C">
        <w:t>linac</w:t>
      </w:r>
      <w:r w:rsidR="00CE0547">
        <w:t>)</w:t>
      </w:r>
      <w:r w:rsidR="00BA00E5">
        <w:t>, allowing real-time imaging of target volumes and organs at risk</w:t>
      </w:r>
      <w:r w:rsidR="00275414">
        <w:t>,</w:t>
      </w:r>
      <w:r w:rsidR="00BA00E5">
        <w:t xml:space="preserve"> before and during treatment delivery</w:t>
      </w:r>
      <w:r w:rsidR="00275414">
        <w:t>,</w:t>
      </w:r>
      <w:r w:rsidR="00BA00E5">
        <w:t xml:space="preserve"> with re</w:t>
      </w:r>
      <w:r w:rsidR="00275414">
        <w:t>-</w:t>
      </w:r>
      <w:r w:rsidR="00BA00E5">
        <w:t>planning as necessary</w:t>
      </w:r>
      <w:r w:rsidR="00D5492C">
        <w:t xml:space="preserve"> </w:t>
      </w:r>
      <w:r w:rsidR="002B6B1B">
        <w:fldChar w:fldCharType="begin"/>
      </w:r>
      <w:r w:rsidR="002B6B1B">
        <w:instrText xml:space="preserve"> ADDIN EN.CITE &lt;EndNote&gt;&lt;Cite&gt;&lt;Author&gt;Chin&lt;/Author&gt;&lt;Year&gt;2020&lt;/Year&gt;&lt;RecNum&gt;7&lt;/RecNum&gt;&lt;DisplayText&gt;(Chin et al., 2020)&lt;/DisplayText&gt;&lt;record&gt;&lt;rec-number&gt;7&lt;/rec-number&gt;&lt;foreign-keys&gt;&lt;key app="EN" db-id="zx5wv0eapasetsezdzlxrdvgpwapdsw5ex5s" timestamp="1583374688"&gt;7&lt;/key&gt;&lt;/foreign-keys&gt;&lt;ref-type name="Journal Article"&gt;17&lt;/ref-type&gt;&lt;contributors&gt;&lt;authors&gt;&lt;author&gt;Chin, S.&lt;/author&gt;&lt;author&gt;Eccles, C. L.&lt;/author&gt;&lt;author&gt;McWilliam, A.&lt;/author&gt;&lt;author&gt;Chuter, R.&lt;/author&gt;&lt;author&gt;Walker, E.&lt;/author&gt;&lt;author&gt;Whitehurst, P.&lt;/author&gt;&lt;author&gt;Berresford, J.&lt;/author&gt;&lt;author&gt;Van Herk, M.&lt;/author&gt;&lt;author&gt;Hoskin, P. J.&lt;/author&gt;&lt;author&gt;Choudhury, A.&lt;/author&gt;&lt;/authors&gt;&lt;/contributors&gt;&lt;auth-address&gt;Department of Clinical Oncology, The Christie NHS Foundation Trust, Manchester, UK.&amp;#xD;Westmead Clinical School, University of Sydney, Sydney, New South Wales, Australia.&amp;#xD;Department of Radiotherapy, The Christie NHS Foundation Trust, Manchester, UK.&amp;#xD;Division of Cancer Sciences, The University of Manchester, Manchester, UK.&amp;#xD;Christie Medical Physics and Engineering, The Christie NHS Foundation Trust, Manchester, UK.&lt;/auth-address&gt;&lt;titles&gt;&lt;title&gt;Magnetic resonance-guided radiation therapy: A review&lt;/title&gt;&lt;secondary-title&gt;J Med Imaging Radiat Oncol&lt;/secondary-title&gt;&lt;/titles&gt;&lt;periodical&gt;&lt;full-title&gt;J Med Imaging Radiat Oncol&lt;/full-title&gt;&lt;/periodical&gt;&lt;pages&gt;163-177&lt;/pages&gt;&lt;volume&gt;64&lt;/volume&gt;&lt;number&gt;1&lt;/number&gt;&lt;keywords&gt;&lt;keyword&gt;MR-guided radiation therapy&lt;/keyword&gt;&lt;keyword&gt;magnetic resonance imaging&lt;/keyword&gt;&lt;keyword&gt;radiation oncology&lt;/keyword&gt;&lt;keyword&gt;radiation oncology imaging&lt;/keyword&gt;&lt;/keywords&gt;&lt;dates&gt;&lt;year&gt;2020&lt;/year&gt;&lt;pub-dates&gt;&lt;date&gt;Feb&lt;/date&gt;&lt;/pub-dates&gt;&lt;/dates&gt;&lt;isbn&gt;1754-9485 (Electronic)&amp;#xD;1754-9477 (Linking)&lt;/isbn&gt;&lt;accession-num&gt;31646742&lt;/accession-num&gt;&lt;urls&gt;&lt;related-urls&gt;&lt;url&gt;https://www.ncbi.nlm.nih.gov/pubmed/31646742&lt;/url&gt;&lt;/related-urls&gt;&lt;/urls&gt;&lt;electronic-resource-num&gt;10.1111/1754-9485.12968&lt;/electronic-resource-num&gt;&lt;/record&gt;&lt;/Cite&gt;&lt;/EndNote&gt;</w:instrText>
      </w:r>
      <w:r w:rsidR="002B6B1B">
        <w:fldChar w:fldCharType="separate"/>
      </w:r>
      <w:r w:rsidR="002B6B1B">
        <w:rPr>
          <w:noProof/>
        </w:rPr>
        <w:t>(Chin et al., 2020)</w:t>
      </w:r>
      <w:r w:rsidR="002B6B1B">
        <w:fldChar w:fldCharType="end"/>
      </w:r>
      <w:r w:rsidR="00BA00E5">
        <w:t>.</w:t>
      </w:r>
      <w:r w:rsidR="00974E7A">
        <w:t xml:space="preserve"> </w:t>
      </w:r>
      <w:r w:rsidR="00974E7A" w:rsidRPr="008459C2">
        <w:rPr>
          <w:i/>
          <w:iCs/>
        </w:rPr>
        <w:t>PASC confirmed the proposed intervention.</w:t>
      </w:r>
    </w:p>
    <w:p w14:paraId="57DFAAA7" w14:textId="2B1FAA6C" w:rsidR="00467C7A" w:rsidRDefault="00CE0547" w:rsidP="004A0479">
      <w:pPr>
        <w:contextualSpacing/>
      </w:pPr>
      <w:r>
        <w:t>In the</w:t>
      </w:r>
      <w:r w:rsidR="008E39A7">
        <w:t xml:space="preserve"> </w:t>
      </w:r>
      <w:r w:rsidR="008E39A7" w:rsidRPr="008E39A7">
        <w:rPr>
          <w:i/>
        </w:rPr>
        <w:t>MSAC</w:t>
      </w:r>
      <w:r w:rsidRPr="008E39A7">
        <w:rPr>
          <w:i/>
        </w:rPr>
        <w:t xml:space="preserve"> Public Summary Document for Application 1319 – Image-guided radiation therapy for cancer treatment delivery</w:t>
      </w:r>
      <w:r w:rsidR="000A7088">
        <w:rPr>
          <w:i/>
        </w:rPr>
        <w:t xml:space="preserve"> </w:t>
      </w:r>
      <w:r w:rsidR="000A7088" w:rsidRPr="000A7088">
        <w:fldChar w:fldCharType="begin"/>
      </w:r>
      <w:r w:rsidR="000A7088" w:rsidRPr="000A7088">
        <w:instrText xml:space="preserve"> ADDIN EN.CITE &lt;EndNote&gt;&lt;Cite&gt;&lt;Author&gt;Medical Services Advisory Committee&lt;/Author&gt;&lt;Year&gt;2015&lt;/Year&gt;&lt;RecNum&gt;12&lt;/RecNum&gt;&lt;DisplayText&gt;(Medical Services Advisory Committee, 2015)&lt;/DisplayText&gt;&lt;record&gt;&lt;rec-number&gt;12&lt;/rec-number&gt;&lt;foreign-keys&gt;&lt;key app="EN" db-id="zx5wv0eapasetsezdzlxrdvgpwapdsw5ex5s" timestamp="1583963905"&gt;12&lt;/key&gt;&lt;/foreign-keys&gt;&lt;ref-type name="Government Document"&gt;46&lt;/ref-type&gt;&lt;contributors&gt;&lt;authors&gt;&lt;author&gt;Medical Services Advisory Committee,&lt;/author&gt;&lt;/authors&gt;&lt;/contributors&gt;&lt;titles&gt;&lt;title&gt;Application 1319 - Image-guided radiation therapy for cancer treatment delivery&lt;/title&gt;&lt;/titles&gt;&lt;dates&gt;&lt;year&gt;2015&lt;/year&gt;&lt;/dates&gt;&lt;urls&gt;&lt;related-urls&gt;&lt;url&gt;http://www.msac.gov.au/internet/msac/publishing.nsf/Content/5F3B6BD9007ED966CA25801000123BC2/$File/1319FinalPSD-IGRT-Accessible.pdf&lt;/url&gt;&lt;/related-urls&gt;&lt;/urls&gt;&lt;/record&gt;&lt;/Cite&gt;&lt;/EndNote&gt;</w:instrText>
      </w:r>
      <w:r w:rsidR="000A7088" w:rsidRPr="000A7088">
        <w:fldChar w:fldCharType="separate"/>
      </w:r>
      <w:r w:rsidR="000A7088" w:rsidRPr="000A7088">
        <w:rPr>
          <w:noProof/>
        </w:rPr>
        <w:t>(Medical Services Advisory Committee, 2015)</w:t>
      </w:r>
      <w:r w:rsidR="000A7088" w:rsidRPr="000A7088">
        <w:fldChar w:fldCharType="end"/>
      </w:r>
      <w:r>
        <w:t>, MR</w:t>
      </w:r>
      <w:r w:rsidR="00B22660">
        <w:t xml:space="preserve"> imaging</w:t>
      </w:r>
      <w:r>
        <w:t xml:space="preserve"> was identified as a further option for image guided radiation therapy (IGRT). </w:t>
      </w:r>
      <w:r w:rsidR="00582925">
        <w:t>The A</w:t>
      </w:r>
      <w:r w:rsidR="00467C7A">
        <w:t>pplicant stated</w:t>
      </w:r>
      <w:r w:rsidR="004A7766">
        <w:t xml:space="preserve"> that t</w:t>
      </w:r>
      <w:r w:rsidR="004A0479">
        <w:t xml:space="preserve">he </w:t>
      </w:r>
      <w:r w:rsidR="005D15E9">
        <w:t>MR</w:t>
      </w:r>
      <w:r w:rsidR="00467C7A">
        <w:t>-</w:t>
      </w:r>
      <w:r w:rsidR="005D15E9">
        <w:t>IGRT</w:t>
      </w:r>
      <w:r w:rsidR="004A0479">
        <w:t xml:space="preserve"> procedure for every treatment fraction is similar to the standard procedure with conventional linacs: patient set</w:t>
      </w:r>
      <w:r w:rsidR="00467C7A">
        <w:t>-</w:t>
      </w:r>
      <w:r w:rsidR="004A0479">
        <w:t xml:space="preserve">up, imaging, adaptation, treatment. </w:t>
      </w:r>
    </w:p>
    <w:p w14:paraId="00830A39" w14:textId="77777777" w:rsidR="00467C7A" w:rsidRPr="00467C7A" w:rsidRDefault="00467C7A" w:rsidP="004A0479">
      <w:pPr>
        <w:contextualSpacing/>
        <w:rPr>
          <w:sz w:val="16"/>
          <w:szCs w:val="16"/>
        </w:rPr>
      </w:pPr>
    </w:p>
    <w:p w14:paraId="2D58CE21" w14:textId="5EB9ECBB" w:rsidR="008E39A7" w:rsidRDefault="004A0479" w:rsidP="004A0479">
      <w:pPr>
        <w:contextualSpacing/>
      </w:pPr>
      <w:r>
        <w:t xml:space="preserve">The key difference is that </w:t>
      </w:r>
      <w:r w:rsidR="005D15E9">
        <w:t>MR</w:t>
      </w:r>
      <w:r w:rsidR="00467C7A">
        <w:t>-</w:t>
      </w:r>
      <w:r w:rsidR="005D15E9">
        <w:t>IGRT</w:t>
      </w:r>
      <w:r w:rsidR="005D15E9" w:rsidDel="005D15E9">
        <w:t xml:space="preserve"> </w:t>
      </w:r>
      <w:r>
        <w:t>introduces a higher level of</w:t>
      </w:r>
      <w:r w:rsidR="0092418D">
        <w:t xml:space="preserve"> soft tissue</w:t>
      </w:r>
      <w:r>
        <w:t xml:space="preserve"> imaging and a more sophisticated adaptive functionality, </w:t>
      </w:r>
      <w:r w:rsidR="00467C7A">
        <w:t xml:space="preserve">enabling the user to optimise </w:t>
      </w:r>
      <w:r>
        <w:t xml:space="preserve">dose distribution of the treatment plan on every fraction in an online setting (i.e. while the patient is in the machine). </w:t>
      </w:r>
      <w:r w:rsidR="00164E01">
        <w:t xml:space="preserve">Additional expected benefits of </w:t>
      </w:r>
      <w:r w:rsidR="005D15E9">
        <w:t>MR</w:t>
      </w:r>
      <w:r w:rsidR="00467C7A">
        <w:t>-</w:t>
      </w:r>
      <w:r w:rsidR="005D15E9">
        <w:t>IGRT</w:t>
      </w:r>
      <w:r w:rsidR="00164E01">
        <w:t xml:space="preserve"> include </w:t>
      </w:r>
      <w:r w:rsidR="00EF31DC">
        <w:t>hypofractionated</w:t>
      </w:r>
      <w:r w:rsidR="000F3518">
        <w:t xml:space="preserve"> dose to the tumour</w:t>
      </w:r>
      <w:r w:rsidR="00467C7A">
        <w:t xml:space="preserve">, and an </w:t>
      </w:r>
      <w:r w:rsidR="00E13671">
        <w:t xml:space="preserve">image </w:t>
      </w:r>
      <w:r w:rsidR="00467C7A">
        <w:t xml:space="preserve">can be obtained </w:t>
      </w:r>
      <w:r w:rsidR="00E13671">
        <w:t>without</w:t>
      </w:r>
      <w:r w:rsidR="000F3518">
        <w:t xml:space="preserve"> </w:t>
      </w:r>
      <w:r w:rsidR="00467C7A">
        <w:t xml:space="preserve">an </w:t>
      </w:r>
      <w:r w:rsidR="00EF31DC">
        <w:t>additional radiation dose</w:t>
      </w:r>
      <w:r w:rsidR="00467C7A">
        <w:t>,</w:t>
      </w:r>
      <w:r w:rsidR="00EF31DC">
        <w:t xml:space="preserve"> </w:t>
      </w:r>
      <w:r w:rsidR="00467C7A">
        <w:t xml:space="preserve">unlike </w:t>
      </w:r>
      <w:r w:rsidR="00EF31DC">
        <w:t>standard IGRT</w:t>
      </w:r>
      <w:r w:rsidR="00C73E45">
        <w:t>.</w:t>
      </w:r>
    </w:p>
    <w:p w14:paraId="53E78E5D" w14:textId="77777777" w:rsidR="00A9156A" w:rsidRPr="00272077" w:rsidRDefault="00A9156A" w:rsidP="004A0479">
      <w:pPr>
        <w:contextualSpacing/>
        <w:rPr>
          <w:sz w:val="16"/>
          <w:szCs w:val="16"/>
        </w:rPr>
      </w:pPr>
    </w:p>
    <w:p w14:paraId="56B38F5A" w14:textId="31D985EA" w:rsidR="00E102EA" w:rsidRPr="006F0FC0" w:rsidRDefault="00A9156A" w:rsidP="00A55103">
      <w:pPr>
        <w:spacing w:after="0" w:line="240" w:lineRule="auto"/>
        <w:rPr>
          <w:i/>
        </w:rPr>
      </w:pPr>
      <w:r>
        <w:t xml:space="preserve">According to </w:t>
      </w:r>
      <w:r w:rsidR="006D48CE">
        <w:t>a recently published</w:t>
      </w:r>
      <w:r w:rsidR="00D5492C">
        <w:t xml:space="preserve"> literature</w:t>
      </w:r>
      <w:r w:rsidR="00CB0506">
        <w:t xml:space="preserve"> review</w:t>
      </w:r>
      <w:r w:rsidR="006D48CE">
        <w:t xml:space="preserve">, </w:t>
      </w:r>
      <w:r w:rsidR="00275414">
        <w:t>two commercial</w:t>
      </w:r>
      <w:r>
        <w:t xml:space="preserve"> MR</w:t>
      </w:r>
      <w:r w:rsidR="00467C7A">
        <w:t>-IG</w:t>
      </w:r>
      <w:r>
        <w:t xml:space="preserve">RT technologies </w:t>
      </w:r>
      <w:r w:rsidR="00467C7A">
        <w:t xml:space="preserve">are currently available, </w:t>
      </w:r>
      <w:r>
        <w:t xml:space="preserve">and two technologies </w:t>
      </w:r>
      <w:r w:rsidR="00467C7A">
        <w:t xml:space="preserve">are </w:t>
      </w:r>
      <w:r>
        <w:t>in development (</w:t>
      </w:r>
      <w:r w:rsidR="003A61D8">
        <w:fldChar w:fldCharType="begin"/>
      </w:r>
      <w:r w:rsidR="003A61D8">
        <w:instrText xml:space="preserve"> REF _Ref34398547 \h </w:instrText>
      </w:r>
      <w:r w:rsidR="006F0FC0">
        <w:instrText xml:space="preserve"> \* MERGEFORMAT </w:instrText>
      </w:r>
      <w:r w:rsidR="003A61D8">
        <w:fldChar w:fldCharType="separate"/>
      </w:r>
      <w:r w:rsidR="00ED0534" w:rsidRPr="003A61D8">
        <w:t xml:space="preserve">Table </w:t>
      </w:r>
      <w:r w:rsidR="00ED0534">
        <w:t>1</w:t>
      </w:r>
      <w:r w:rsidR="003A61D8">
        <w:fldChar w:fldCharType="end"/>
      </w:r>
      <w:r>
        <w:t>). Only</w:t>
      </w:r>
      <w:r w:rsidR="00467C7A">
        <w:t xml:space="preserve"> the</w:t>
      </w:r>
      <w:r>
        <w:t xml:space="preserve"> Elekta Unity is approved for use in Australia</w:t>
      </w:r>
      <w:r w:rsidR="004C398C">
        <w:t xml:space="preserve"> (Australian Regis</w:t>
      </w:r>
      <w:r w:rsidR="00467C7A">
        <w:t xml:space="preserve">ter of Therapeutic Goods [ARTG] number </w:t>
      </w:r>
      <w:r w:rsidR="004C398C">
        <w:t>307588)</w:t>
      </w:r>
      <w:r>
        <w:t>.</w:t>
      </w:r>
      <w:r w:rsidR="00A55103">
        <w:t xml:space="preserve"> </w:t>
      </w:r>
      <w:r w:rsidR="00745B67" w:rsidRPr="006F0FC0">
        <w:rPr>
          <w:i/>
        </w:rPr>
        <w:t>PASC noted that there were more MR-linacs in development and a TGA approved MRIdian li</w:t>
      </w:r>
      <w:r w:rsidR="00E102EA" w:rsidRPr="006F0FC0">
        <w:rPr>
          <w:i/>
        </w:rPr>
        <w:t>n</w:t>
      </w:r>
      <w:r w:rsidR="00745B67" w:rsidRPr="006F0FC0">
        <w:rPr>
          <w:i/>
        </w:rPr>
        <w:t xml:space="preserve">ac system (ARTG 319241). PASC advised that clarification of the TGA approved MRIdian lianc system (ARTG 319241) as a MR-linac technology capable of delivering MR-IGRT is advised. </w:t>
      </w:r>
    </w:p>
    <w:p w14:paraId="7EFB76C9" w14:textId="77777777" w:rsidR="00ED0534" w:rsidRDefault="00ED0534" w:rsidP="00A55103">
      <w:pPr>
        <w:spacing w:after="0" w:line="240" w:lineRule="auto"/>
      </w:pPr>
    </w:p>
    <w:p w14:paraId="5430479C" w14:textId="3193A0E4" w:rsidR="00E102EA" w:rsidRDefault="00E102EA" w:rsidP="000A55DD">
      <w:pPr>
        <w:spacing w:after="240" w:line="240" w:lineRule="auto"/>
      </w:pPr>
      <w:r>
        <w:lastRenderedPageBreak/>
        <w:t>T</w:t>
      </w:r>
      <w:r w:rsidR="00A41ABB">
        <w:t>he t</w:t>
      </w:r>
      <w:r>
        <w:t xml:space="preserve">echnical nature of </w:t>
      </w:r>
      <w:r w:rsidR="007E2F2D">
        <w:t xml:space="preserve">the </w:t>
      </w:r>
      <w:r>
        <w:t xml:space="preserve">ARTG319241 listing is not completely clear </w:t>
      </w:r>
      <w:r w:rsidR="00BD6312">
        <w:t xml:space="preserve">due to listing of the device as </w:t>
      </w:r>
      <w:r w:rsidR="00BD6312" w:rsidRPr="000D41D7">
        <w:t>“Linac System - Stereotactic teletherapy radionuclide system”, suggesting that it is a linac system and a “Stereotactic teletherapy radionuclide system” (i.e., a Co-60 unit)</w:t>
      </w:r>
      <w:r w:rsidR="007E2F2D" w:rsidRPr="000D41D7">
        <w:t>,</w:t>
      </w:r>
      <w:r w:rsidR="00BD6312" w:rsidRPr="000D41D7">
        <w:t xml:space="preserve"> which do not co-exist in the same device</w:t>
      </w:r>
      <w:r w:rsidRPr="000D41D7">
        <w:t xml:space="preserve">. </w:t>
      </w:r>
    </w:p>
    <w:p w14:paraId="72C486A9" w14:textId="784C322B" w:rsidR="00A9156A" w:rsidRPr="003A61D8" w:rsidRDefault="00A9156A" w:rsidP="003A61D8">
      <w:pPr>
        <w:pStyle w:val="Caption"/>
      </w:pPr>
      <w:bookmarkStart w:id="3" w:name="_Ref34398547"/>
      <w:r w:rsidRPr="003A61D8">
        <w:t xml:space="preserve">Table </w:t>
      </w:r>
      <w:r w:rsidRPr="003A61D8">
        <w:fldChar w:fldCharType="begin"/>
      </w:r>
      <w:r w:rsidRPr="003A61D8">
        <w:instrText xml:space="preserve"> SEQ Table \* ARABIC </w:instrText>
      </w:r>
      <w:r w:rsidRPr="003A61D8">
        <w:fldChar w:fldCharType="separate"/>
      </w:r>
      <w:r w:rsidR="00ED0534">
        <w:rPr>
          <w:noProof/>
        </w:rPr>
        <w:t>1</w:t>
      </w:r>
      <w:r w:rsidRPr="003A61D8">
        <w:fldChar w:fldCharType="end"/>
      </w:r>
      <w:bookmarkEnd w:id="3"/>
      <w:r w:rsidR="006D48CE" w:rsidRPr="003A61D8">
        <w:tab/>
        <w:t xml:space="preserve">Types of </w:t>
      </w:r>
      <w:r w:rsidR="005D15E9">
        <w:t>MR</w:t>
      </w:r>
      <w:r w:rsidR="00467C7A">
        <w:t>-</w:t>
      </w:r>
      <w:r w:rsidR="005D15E9">
        <w:t>IGRT</w:t>
      </w:r>
      <w:r w:rsidR="006D48CE" w:rsidRPr="003A61D8">
        <w:t xml:space="preserve"> </w:t>
      </w:r>
      <w:r w:rsidRPr="003A61D8">
        <w:t>technologies currently available (</w:t>
      </w:r>
      <w:r w:rsidR="00F3499D">
        <w:t xml:space="preserve">adapted from </w:t>
      </w:r>
      <w:r w:rsidRPr="003A61D8">
        <w:t>Hall et al 2019)</w:t>
      </w:r>
    </w:p>
    <w:tbl>
      <w:tblPr>
        <w:tblStyle w:val="TableGrid"/>
        <w:tblW w:w="0" w:type="auto"/>
        <w:tblLook w:val="04A0" w:firstRow="1" w:lastRow="0" w:firstColumn="1" w:lastColumn="0" w:noHBand="0" w:noVBand="1"/>
        <w:tblCaption w:val="Table 1"/>
        <w:tblDescription w:val="Table"/>
      </w:tblPr>
      <w:tblGrid>
        <w:gridCol w:w="1558"/>
        <w:gridCol w:w="2378"/>
        <w:gridCol w:w="1269"/>
        <w:gridCol w:w="1173"/>
        <w:gridCol w:w="1430"/>
        <w:gridCol w:w="1208"/>
      </w:tblGrid>
      <w:tr w:rsidR="007404AB" w:rsidRPr="00A9467F" w14:paraId="4D6C29C0" w14:textId="54E9802B" w:rsidTr="007404AB">
        <w:trPr>
          <w:trHeight w:val="512"/>
          <w:tblHeader/>
        </w:trPr>
        <w:tc>
          <w:tcPr>
            <w:tcW w:w="1558" w:type="dxa"/>
          </w:tcPr>
          <w:p w14:paraId="786F08F0" w14:textId="77777777" w:rsidR="007404AB" w:rsidRPr="00A9467F" w:rsidRDefault="007404AB" w:rsidP="003F5887">
            <w:pPr>
              <w:rPr>
                <w:rFonts w:ascii="Arial Narrow" w:hAnsi="Arial Narrow"/>
                <w:b/>
                <w:lang w:val="en-GB" w:eastAsia="ja-JP"/>
              </w:rPr>
            </w:pPr>
            <w:r w:rsidRPr="00A9467F">
              <w:rPr>
                <w:rFonts w:ascii="Arial Narrow" w:hAnsi="Arial Narrow"/>
                <w:b/>
                <w:lang w:val="en-GB" w:eastAsia="ja-JP"/>
              </w:rPr>
              <w:t>Commercial name</w:t>
            </w:r>
          </w:p>
        </w:tc>
        <w:tc>
          <w:tcPr>
            <w:tcW w:w="2378" w:type="dxa"/>
          </w:tcPr>
          <w:p w14:paraId="56B6CFA7" w14:textId="77777777" w:rsidR="007404AB" w:rsidRPr="00A9467F" w:rsidRDefault="007404AB" w:rsidP="003F5887">
            <w:pPr>
              <w:rPr>
                <w:rFonts w:ascii="Arial Narrow" w:hAnsi="Arial Narrow"/>
                <w:b/>
                <w:lang w:val="en-GB" w:eastAsia="ja-JP"/>
              </w:rPr>
            </w:pPr>
            <w:r w:rsidRPr="00A9467F">
              <w:rPr>
                <w:rFonts w:ascii="Arial Narrow" w:hAnsi="Arial Narrow"/>
                <w:b/>
                <w:lang w:val="en-GB" w:eastAsia="ja-JP"/>
              </w:rPr>
              <w:t>Manufacturer</w:t>
            </w:r>
          </w:p>
        </w:tc>
        <w:tc>
          <w:tcPr>
            <w:tcW w:w="1269" w:type="dxa"/>
          </w:tcPr>
          <w:p w14:paraId="3E492C3C" w14:textId="77777777" w:rsidR="007404AB" w:rsidRPr="00A9467F" w:rsidRDefault="007404AB" w:rsidP="003F5887">
            <w:pPr>
              <w:rPr>
                <w:rFonts w:ascii="Arial Narrow" w:hAnsi="Arial Narrow"/>
                <w:b/>
                <w:lang w:val="en-GB" w:eastAsia="ja-JP"/>
              </w:rPr>
            </w:pPr>
            <w:r w:rsidRPr="00A9467F">
              <w:rPr>
                <w:rFonts w:ascii="Arial Narrow" w:hAnsi="Arial Narrow"/>
                <w:b/>
                <w:lang w:val="en-GB" w:eastAsia="ja-JP"/>
              </w:rPr>
              <w:t>MRI field strength</w:t>
            </w:r>
          </w:p>
        </w:tc>
        <w:tc>
          <w:tcPr>
            <w:tcW w:w="1173" w:type="dxa"/>
          </w:tcPr>
          <w:p w14:paraId="1832C939" w14:textId="77777777" w:rsidR="007404AB" w:rsidRPr="00A9467F" w:rsidRDefault="007404AB" w:rsidP="003F5887">
            <w:pPr>
              <w:rPr>
                <w:rFonts w:ascii="Arial Narrow" w:hAnsi="Arial Narrow"/>
                <w:b/>
                <w:lang w:val="en-GB" w:eastAsia="ja-JP"/>
              </w:rPr>
            </w:pPr>
            <w:r w:rsidRPr="00A9467F">
              <w:rPr>
                <w:rFonts w:ascii="Arial Narrow" w:hAnsi="Arial Narrow"/>
                <w:b/>
                <w:lang w:val="en-GB" w:eastAsia="ja-JP"/>
              </w:rPr>
              <w:t>Bore size</w:t>
            </w:r>
          </w:p>
        </w:tc>
        <w:tc>
          <w:tcPr>
            <w:tcW w:w="1430" w:type="dxa"/>
          </w:tcPr>
          <w:p w14:paraId="6F5E57DC" w14:textId="77777777" w:rsidR="007404AB" w:rsidRPr="00A9467F" w:rsidRDefault="007404AB" w:rsidP="003F5887">
            <w:pPr>
              <w:rPr>
                <w:rFonts w:ascii="Arial Narrow" w:hAnsi="Arial Narrow"/>
                <w:b/>
                <w:lang w:val="en-GB" w:eastAsia="ja-JP"/>
              </w:rPr>
            </w:pPr>
            <w:r w:rsidRPr="00A9467F">
              <w:rPr>
                <w:rFonts w:ascii="Arial Narrow" w:hAnsi="Arial Narrow"/>
                <w:b/>
                <w:lang w:val="en-GB" w:eastAsia="ja-JP"/>
              </w:rPr>
              <w:t>Beam strength</w:t>
            </w:r>
          </w:p>
          <w:p w14:paraId="115D900E" w14:textId="77777777" w:rsidR="007404AB" w:rsidRPr="00A9467F" w:rsidRDefault="007404AB" w:rsidP="003F5887">
            <w:pPr>
              <w:rPr>
                <w:rFonts w:ascii="Arial Narrow" w:hAnsi="Arial Narrow"/>
                <w:b/>
                <w:lang w:val="en-GB" w:eastAsia="ja-JP"/>
              </w:rPr>
            </w:pPr>
          </w:p>
        </w:tc>
        <w:tc>
          <w:tcPr>
            <w:tcW w:w="1208" w:type="dxa"/>
          </w:tcPr>
          <w:p w14:paraId="1CE6E3BD" w14:textId="32953EE5" w:rsidR="007404AB" w:rsidRPr="00A9467F" w:rsidRDefault="007404AB" w:rsidP="003F5887">
            <w:pPr>
              <w:rPr>
                <w:rFonts w:ascii="Arial Narrow" w:hAnsi="Arial Narrow"/>
                <w:b/>
                <w:lang w:val="en-GB" w:eastAsia="ja-JP"/>
              </w:rPr>
            </w:pPr>
            <w:r>
              <w:rPr>
                <w:rFonts w:ascii="Arial Narrow" w:hAnsi="Arial Narrow"/>
                <w:b/>
                <w:lang w:val="en-GB" w:eastAsia="ja-JP"/>
              </w:rPr>
              <w:t>ARTG number</w:t>
            </w:r>
          </w:p>
        </w:tc>
      </w:tr>
      <w:tr w:rsidR="007404AB" w:rsidRPr="00A9467F" w14:paraId="47AAED7E" w14:textId="60BB95A3" w:rsidTr="007404AB">
        <w:tc>
          <w:tcPr>
            <w:tcW w:w="1558" w:type="dxa"/>
            <w:tcBorders>
              <w:right w:val="nil"/>
            </w:tcBorders>
          </w:tcPr>
          <w:p w14:paraId="498A7B39" w14:textId="77777777" w:rsidR="007404AB" w:rsidRPr="00A9467F" w:rsidRDefault="007404AB" w:rsidP="003F5887">
            <w:pPr>
              <w:rPr>
                <w:rFonts w:ascii="Arial Narrow" w:hAnsi="Arial Narrow"/>
                <w:i/>
                <w:lang w:val="en-GB" w:eastAsia="ja-JP"/>
              </w:rPr>
            </w:pPr>
            <w:r w:rsidRPr="00A9467F">
              <w:rPr>
                <w:rFonts w:ascii="Arial Narrow" w:hAnsi="Arial Narrow"/>
                <w:i/>
                <w:lang w:val="en-GB" w:eastAsia="ja-JP"/>
              </w:rPr>
              <w:t>Available</w:t>
            </w:r>
          </w:p>
        </w:tc>
        <w:tc>
          <w:tcPr>
            <w:tcW w:w="2378" w:type="dxa"/>
            <w:tcBorders>
              <w:left w:val="nil"/>
              <w:right w:val="nil"/>
            </w:tcBorders>
          </w:tcPr>
          <w:p w14:paraId="60A616B1" w14:textId="77777777" w:rsidR="007404AB" w:rsidRPr="00A9467F" w:rsidRDefault="007404AB" w:rsidP="003F5887">
            <w:pPr>
              <w:rPr>
                <w:rFonts w:ascii="Arial Narrow" w:hAnsi="Arial Narrow"/>
                <w:lang w:val="en-GB" w:eastAsia="ja-JP"/>
              </w:rPr>
            </w:pPr>
          </w:p>
        </w:tc>
        <w:tc>
          <w:tcPr>
            <w:tcW w:w="1269" w:type="dxa"/>
            <w:tcBorders>
              <w:left w:val="nil"/>
              <w:right w:val="nil"/>
            </w:tcBorders>
          </w:tcPr>
          <w:p w14:paraId="5EC16E19" w14:textId="77777777" w:rsidR="007404AB" w:rsidRPr="00A9467F" w:rsidRDefault="007404AB" w:rsidP="003F5887">
            <w:pPr>
              <w:rPr>
                <w:rFonts w:ascii="Arial Narrow" w:hAnsi="Arial Narrow"/>
                <w:lang w:val="en-GB" w:eastAsia="ja-JP"/>
              </w:rPr>
            </w:pPr>
          </w:p>
        </w:tc>
        <w:tc>
          <w:tcPr>
            <w:tcW w:w="1173" w:type="dxa"/>
            <w:tcBorders>
              <w:left w:val="nil"/>
              <w:right w:val="nil"/>
            </w:tcBorders>
          </w:tcPr>
          <w:p w14:paraId="3DA9A134" w14:textId="77777777" w:rsidR="007404AB" w:rsidRPr="00A9467F" w:rsidRDefault="007404AB" w:rsidP="003F5887">
            <w:pPr>
              <w:rPr>
                <w:rFonts w:ascii="Arial Narrow" w:hAnsi="Arial Narrow"/>
                <w:lang w:val="en-GB" w:eastAsia="ja-JP"/>
              </w:rPr>
            </w:pPr>
          </w:p>
        </w:tc>
        <w:tc>
          <w:tcPr>
            <w:tcW w:w="1430" w:type="dxa"/>
            <w:tcBorders>
              <w:left w:val="nil"/>
            </w:tcBorders>
          </w:tcPr>
          <w:p w14:paraId="2F9A25DA" w14:textId="77777777" w:rsidR="007404AB" w:rsidRPr="00A9467F" w:rsidRDefault="007404AB" w:rsidP="003F5887">
            <w:pPr>
              <w:rPr>
                <w:rFonts w:ascii="Arial Narrow" w:hAnsi="Arial Narrow"/>
                <w:lang w:val="en-GB" w:eastAsia="ja-JP"/>
              </w:rPr>
            </w:pPr>
          </w:p>
        </w:tc>
        <w:tc>
          <w:tcPr>
            <w:tcW w:w="1208" w:type="dxa"/>
            <w:tcBorders>
              <w:left w:val="nil"/>
            </w:tcBorders>
          </w:tcPr>
          <w:p w14:paraId="17686F1A" w14:textId="77777777" w:rsidR="007404AB" w:rsidRPr="00A9467F" w:rsidRDefault="007404AB" w:rsidP="003F5887">
            <w:pPr>
              <w:rPr>
                <w:rFonts w:ascii="Arial Narrow" w:hAnsi="Arial Narrow"/>
                <w:lang w:val="en-GB" w:eastAsia="ja-JP"/>
              </w:rPr>
            </w:pPr>
          </w:p>
        </w:tc>
      </w:tr>
      <w:tr w:rsidR="007404AB" w:rsidRPr="00A9467F" w14:paraId="142B71DF" w14:textId="1C7AE69B" w:rsidTr="007404AB">
        <w:tc>
          <w:tcPr>
            <w:tcW w:w="1558" w:type="dxa"/>
          </w:tcPr>
          <w:p w14:paraId="0365D7B0" w14:textId="1A37350F" w:rsidR="007404AB" w:rsidRPr="00A9467F" w:rsidRDefault="007404AB" w:rsidP="003A61D8">
            <w:pPr>
              <w:rPr>
                <w:rFonts w:ascii="Arial Narrow" w:hAnsi="Arial Narrow"/>
                <w:lang w:val="en-GB" w:eastAsia="ja-JP"/>
              </w:rPr>
            </w:pPr>
            <w:r w:rsidRPr="00A9467F">
              <w:rPr>
                <w:rFonts w:ascii="Arial Narrow" w:hAnsi="Arial Narrow"/>
                <w:lang w:val="en-GB" w:eastAsia="ja-JP"/>
              </w:rPr>
              <w:t xml:space="preserve">ViewRay  Co-60 </w:t>
            </w:r>
          </w:p>
        </w:tc>
        <w:tc>
          <w:tcPr>
            <w:tcW w:w="2378" w:type="dxa"/>
          </w:tcPr>
          <w:p w14:paraId="75103767" w14:textId="77777777" w:rsidR="007404AB" w:rsidRPr="00A9467F" w:rsidRDefault="007404AB" w:rsidP="003F5887">
            <w:pPr>
              <w:rPr>
                <w:rFonts w:ascii="Arial Narrow" w:hAnsi="Arial Narrow"/>
                <w:lang w:val="en-GB" w:eastAsia="ja-JP"/>
              </w:rPr>
            </w:pPr>
            <w:r w:rsidRPr="00A9467F">
              <w:rPr>
                <w:rFonts w:ascii="Arial Narrow" w:hAnsi="Arial Narrow"/>
                <w:lang w:val="en-GB" w:eastAsia="ja-JP"/>
              </w:rPr>
              <w:t>ViewRay Technologies Inc,</w:t>
            </w:r>
          </w:p>
          <w:p w14:paraId="0A2A5AAA" w14:textId="77777777" w:rsidR="007404AB" w:rsidRPr="00A9467F" w:rsidRDefault="007404AB" w:rsidP="003F5887">
            <w:pPr>
              <w:rPr>
                <w:rFonts w:ascii="Arial Narrow" w:hAnsi="Arial Narrow"/>
                <w:lang w:val="en-GB" w:eastAsia="ja-JP"/>
              </w:rPr>
            </w:pPr>
            <w:r w:rsidRPr="00A9467F">
              <w:rPr>
                <w:rFonts w:ascii="Arial Narrow" w:hAnsi="Arial Narrow"/>
                <w:lang w:val="en-GB" w:eastAsia="ja-JP"/>
              </w:rPr>
              <w:t>Oakwood Village, Ohio</w:t>
            </w:r>
          </w:p>
        </w:tc>
        <w:tc>
          <w:tcPr>
            <w:tcW w:w="1269" w:type="dxa"/>
          </w:tcPr>
          <w:p w14:paraId="15E4E322" w14:textId="77777777" w:rsidR="007404AB" w:rsidRPr="00A9467F" w:rsidRDefault="007404AB" w:rsidP="003F5887">
            <w:pPr>
              <w:rPr>
                <w:rFonts w:ascii="Arial Narrow" w:hAnsi="Arial Narrow"/>
                <w:lang w:val="en-GB" w:eastAsia="ja-JP"/>
              </w:rPr>
            </w:pPr>
            <w:r w:rsidRPr="00A9467F">
              <w:rPr>
                <w:rFonts w:ascii="Arial Narrow" w:hAnsi="Arial Narrow"/>
                <w:lang w:val="en-GB" w:eastAsia="ja-JP"/>
              </w:rPr>
              <w:t>0.35T</w:t>
            </w:r>
          </w:p>
        </w:tc>
        <w:tc>
          <w:tcPr>
            <w:tcW w:w="1173" w:type="dxa"/>
          </w:tcPr>
          <w:p w14:paraId="08EA4BBF" w14:textId="77777777" w:rsidR="007404AB" w:rsidRPr="00A9467F" w:rsidRDefault="007404AB" w:rsidP="003F5887">
            <w:pPr>
              <w:rPr>
                <w:rFonts w:ascii="Arial Narrow" w:hAnsi="Arial Narrow"/>
                <w:lang w:val="en-GB" w:eastAsia="ja-JP"/>
              </w:rPr>
            </w:pPr>
            <w:r w:rsidRPr="00A9467F">
              <w:rPr>
                <w:rFonts w:ascii="Arial Narrow" w:hAnsi="Arial Narrow"/>
                <w:lang w:val="en-GB" w:eastAsia="ja-JP"/>
              </w:rPr>
              <w:t xml:space="preserve">70 cm </w:t>
            </w:r>
          </w:p>
        </w:tc>
        <w:tc>
          <w:tcPr>
            <w:tcW w:w="1430" w:type="dxa"/>
          </w:tcPr>
          <w:p w14:paraId="1F68A14D" w14:textId="77777777" w:rsidR="007404AB" w:rsidRPr="00A9467F" w:rsidRDefault="007404AB" w:rsidP="003F5887">
            <w:pPr>
              <w:rPr>
                <w:rFonts w:ascii="Arial Narrow" w:hAnsi="Arial Narrow"/>
                <w:lang w:val="en-GB" w:eastAsia="ja-JP"/>
              </w:rPr>
            </w:pPr>
            <w:r w:rsidRPr="00A9467F">
              <w:rPr>
                <w:rFonts w:ascii="Arial Narrow" w:hAnsi="Arial Narrow"/>
                <w:lang w:val="en-GB" w:eastAsia="ja-JP"/>
              </w:rPr>
              <w:t>Co-60 source</w:t>
            </w:r>
          </w:p>
          <w:p w14:paraId="0C00C252" w14:textId="20179AC9" w:rsidR="007404AB" w:rsidRPr="00A9467F" w:rsidRDefault="007404AB" w:rsidP="003F5887">
            <w:pPr>
              <w:rPr>
                <w:rFonts w:ascii="Arial Narrow" w:hAnsi="Arial Narrow"/>
                <w:lang w:val="en-GB" w:eastAsia="ja-JP"/>
              </w:rPr>
            </w:pPr>
          </w:p>
        </w:tc>
        <w:tc>
          <w:tcPr>
            <w:tcW w:w="1208" w:type="dxa"/>
          </w:tcPr>
          <w:p w14:paraId="31ED7797" w14:textId="72B77F24" w:rsidR="007404AB" w:rsidRPr="00A9467F" w:rsidRDefault="007404AB" w:rsidP="003F5887">
            <w:pPr>
              <w:rPr>
                <w:rFonts w:ascii="Arial Narrow" w:hAnsi="Arial Narrow"/>
                <w:lang w:val="en-GB" w:eastAsia="ja-JP"/>
              </w:rPr>
            </w:pPr>
            <w:r>
              <w:rPr>
                <w:rFonts w:ascii="Arial Narrow" w:hAnsi="Arial Narrow"/>
                <w:lang w:val="en-GB" w:eastAsia="ja-JP"/>
              </w:rPr>
              <w:t>NA</w:t>
            </w:r>
          </w:p>
        </w:tc>
      </w:tr>
      <w:tr w:rsidR="007404AB" w:rsidRPr="00A9467F" w14:paraId="7CAFE083" w14:textId="7E11A6EE" w:rsidTr="007404AB">
        <w:tc>
          <w:tcPr>
            <w:tcW w:w="1558" w:type="dxa"/>
          </w:tcPr>
          <w:p w14:paraId="530FC3FA" w14:textId="30022166" w:rsidR="007404AB" w:rsidRPr="00A9467F" w:rsidRDefault="007404AB" w:rsidP="003A61D8">
            <w:pPr>
              <w:rPr>
                <w:rFonts w:ascii="Arial Narrow" w:hAnsi="Arial Narrow"/>
                <w:lang w:val="en-GB" w:eastAsia="ja-JP"/>
              </w:rPr>
            </w:pPr>
            <w:r w:rsidRPr="00A9467F">
              <w:rPr>
                <w:rFonts w:ascii="Arial Narrow" w:hAnsi="Arial Narrow"/>
                <w:lang w:val="en-GB" w:eastAsia="ja-JP"/>
              </w:rPr>
              <w:t>ViewRay  Linac</w:t>
            </w:r>
          </w:p>
        </w:tc>
        <w:tc>
          <w:tcPr>
            <w:tcW w:w="2378" w:type="dxa"/>
          </w:tcPr>
          <w:p w14:paraId="3871D502" w14:textId="77777777" w:rsidR="007404AB" w:rsidRPr="00A9467F" w:rsidRDefault="007404AB" w:rsidP="003A61D8">
            <w:pPr>
              <w:rPr>
                <w:rFonts w:ascii="Arial Narrow" w:hAnsi="Arial Narrow"/>
                <w:lang w:val="en-GB" w:eastAsia="ja-JP"/>
              </w:rPr>
            </w:pPr>
            <w:r w:rsidRPr="00A9467F">
              <w:rPr>
                <w:rFonts w:ascii="Arial Narrow" w:hAnsi="Arial Narrow"/>
                <w:lang w:val="en-GB" w:eastAsia="ja-JP"/>
              </w:rPr>
              <w:t>ViewRay Technologies Inc,</w:t>
            </w:r>
          </w:p>
          <w:p w14:paraId="1EDE3C58" w14:textId="02058FE3" w:rsidR="007404AB" w:rsidRPr="00A9467F" w:rsidRDefault="007404AB" w:rsidP="003A61D8">
            <w:pPr>
              <w:rPr>
                <w:rFonts w:ascii="Arial Narrow" w:hAnsi="Arial Narrow"/>
                <w:lang w:val="en-GB" w:eastAsia="ja-JP"/>
              </w:rPr>
            </w:pPr>
            <w:r w:rsidRPr="00A9467F">
              <w:rPr>
                <w:rFonts w:ascii="Arial Narrow" w:hAnsi="Arial Narrow"/>
                <w:lang w:val="en-GB" w:eastAsia="ja-JP"/>
              </w:rPr>
              <w:t>Oakwood Village, Ohio</w:t>
            </w:r>
          </w:p>
        </w:tc>
        <w:tc>
          <w:tcPr>
            <w:tcW w:w="1269" w:type="dxa"/>
          </w:tcPr>
          <w:p w14:paraId="4EBDAC5F" w14:textId="2A6DA8FE" w:rsidR="007404AB" w:rsidRPr="00A9467F" w:rsidRDefault="007404AB" w:rsidP="003A61D8">
            <w:pPr>
              <w:rPr>
                <w:rFonts w:ascii="Arial Narrow" w:hAnsi="Arial Narrow"/>
                <w:lang w:val="en-GB" w:eastAsia="ja-JP"/>
              </w:rPr>
            </w:pPr>
            <w:r w:rsidRPr="00A9467F">
              <w:rPr>
                <w:rFonts w:ascii="Arial Narrow" w:hAnsi="Arial Narrow"/>
                <w:lang w:val="en-GB" w:eastAsia="ja-JP"/>
              </w:rPr>
              <w:t>0.35T</w:t>
            </w:r>
          </w:p>
        </w:tc>
        <w:tc>
          <w:tcPr>
            <w:tcW w:w="1173" w:type="dxa"/>
          </w:tcPr>
          <w:p w14:paraId="5D8A9F63" w14:textId="4BF8F496" w:rsidR="007404AB" w:rsidRPr="00A9467F" w:rsidRDefault="007404AB" w:rsidP="003A61D8">
            <w:pPr>
              <w:rPr>
                <w:rFonts w:ascii="Arial Narrow" w:hAnsi="Arial Narrow"/>
                <w:lang w:val="en-GB" w:eastAsia="ja-JP"/>
              </w:rPr>
            </w:pPr>
            <w:r w:rsidRPr="00A9467F">
              <w:rPr>
                <w:rFonts w:ascii="Arial Narrow" w:hAnsi="Arial Narrow"/>
                <w:lang w:val="en-GB" w:eastAsia="ja-JP"/>
              </w:rPr>
              <w:t xml:space="preserve">70 cm </w:t>
            </w:r>
          </w:p>
        </w:tc>
        <w:tc>
          <w:tcPr>
            <w:tcW w:w="1430" w:type="dxa"/>
          </w:tcPr>
          <w:p w14:paraId="2A1181DE" w14:textId="6C77835A" w:rsidR="007404AB" w:rsidRPr="00A9467F" w:rsidRDefault="007404AB" w:rsidP="003A61D8">
            <w:pPr>
              <w:rPr>
                <w:rFonts w:ascii="Arial Narrow" w:hAnsi="Arial Narrow"/>
                <w:lang w:val="en-GB" w:eastAsia="ja-JP"/>
              </w:rPr>
            </w:pPr>
            <w:r w:rsidRPr="00A9467F">
              <w:rPr>
                <w:rFonts w:ascii="Arial Narrow" w:hAnsi="Arial Narrow"/>
                <w:lang w:val="en-GB" w:eastAsia="ja-JP"/>
              </w:rPr>
              <w:t>6 MV</w:t>
            </w:r>
          </w:p>
        </w:tc>
        <w:tc>
          <w:tcPr>
            <w:tcW w:w="1208" w:type="dxa"/>
          </w:tcPr>
          <w:p w14:paraId="063DF8D1" w14:textId="0A272F7E" w:rsidR="007404AB" w:rsidRPr="00A9467F" w:rsidRDefault="007404AB" w:rsidP="003A61D8">
            <w:pPr>
              <w:rPr>
                <w:rFonts w:ascii="Arial Narrow" w:hAnsi="Arial Narrow"/>
                <w:lang w:val="en-GB" w:eastAsia="ja-JP"/>
              </w:rPr>
            </w:pPr>
            <w:r>
              <w:t>319241</w:t>
            </w:r>
          </w:p>
        </w:tc>
      </w:tr>
      <w:tr w:rsidR="007404AB" w:rsidRPr="00A9467F" w14:paraId="7D76E2C3" w14:textId="127F2340" w:rsidTr="007404AB">
        <w:tc>
          <w:tcPr>
            <w:tcW w:w="1558" w:type="dxa"/>
          </w:tcPr>
          <w:p w14:paraId="61BC46AF" w14:textId="77777777" w:rsidR="007404AB" w:rsidRPr="007404AB" w:rsidRDefault="007404AB" w:rsidP="00CB0506">
            <w:pPr>
              <w:rPr>
                <w:rStyle w:val="IntenseEmphasis"/>
                <w:rFonts w:ascii="Arial Narrow" w:hAnsi="Arial Narrow"/>
                <w:i w:val="0"/>
                <w:iCs w:val="0"/>
                <w:color w:val="auto"/>
              </w:rPr>
            </w:pPr>
            <w:r w:rsidRPr="007404AB">
              <w:rPr>
                <w:rStyle w:val="IntenseEmphasis"/>
                <w:rFonts w:ascii="Arial Narrow" w:hAnsi="Arial Narrow"/>
                <w:i w:val="0"/>
                <w:iCs w:val="0"/>
                <w:color w:val="auto"/>
              </w:rPr>
              <w:t>Elekta Unity</w:t>
            </w:r>
          </w:p>
        </w:tc>
        <w:tc>
          <w:tcPr>
            <w:tcW w:w="2378" w:type="dxa"/>
          </w:tcPr>
          <w:p w14:paraId="0EF09D24" w14:textId="77777777" w:rsidR="007404AB" w:rsidRPr="007404AB" w:rsidRDefault="007404AB" w:rsidP="00CB0506">
            <w:pPr>
              <w:rPr>
                <w:rStyle w:val="IntenseEmphasis"/>
                <w:rFonts w:ascii="Arial Narrow" w:hAnsi="Arial Narrow"/>
                <w:i w:val="0"/>
                <w:iCs w:val="0"/>
                <w:color w:val="auto"/>
              </w:rPr>
            </w:pPr>
            <w:r w:rsidRPr="007404AB">
              <w:rPr>
                <w:rStyle w:val="IntenseEmphasis"/>
                <w:rFonts w:ascii="Arial Narrow" w:hAnsi="Arial Narrow"/>
                <w:i w:val="0"/>
                <w:iCs w:val="0"/>
                <w:color w:val="auto"/>
              </w:rPr>
              <w:t>Elekta AB, Stockholm, Sweden</w:t>
            </w:r>
          </w:p>
        </w:tc>
        <w:tc>
          <w:tcPr>
            <w:tcW w:w="1269" w:type="dxa"/>
          </w:tcPr>
          <w:p w14:paraId="3FC92154" w14:textId="77777777" w:rsidR="007404AB" w:rsidRPr="007404AB" w:rsidRDefault="007404AB" w:rsidP="00CB0506">
            <w:pPr>
              <w:rPr>
                <w:rStyle w:val="IntenseEmphasis"/>
                <w:rFonts w:ascii="Arial Narrow" w:hAnsi="Arial Narrow"/>
                <w:i w:val="0"/>
                <w:iCs w:val="0"/>
                <w:color w:val="auto"/>
              </w:rPr>
            </w:pPr>
            <w:r w:rsidRPr="007404AB">
              <w:rPr>
                <w:rStyle w:val="IntenseEmphasis"/>
                <w:rFonts w:ascii="Arial Narrow" w:hAnsi="Arial Narrow"/>
                <w:i w:val="0"/>
                <w:iCs w:val="0"/>
                <w:color w:val="auto"/>
              </w:rPr>
              <w:t>1.5T</w:t>
            </w:r>
          </w:p>
        </w:tc>
        <w:tc>
          <w:tcPr>
            <w:tcW w:w="1173" w:type="dxa"/>
          </w:tcPr>
          <w:p w14:paraId="221076A6" w14:textId="77777777" w:rsidR="007404AB" w:rsidRPr="007404AB" w:rsidRDefault="007404AB" w:rsidP="00CB0506">
            <w:pPr>
              <w:rPr>
                <w:rStyle w:val="IntenseEmphasis"/>
                <w:rFonts w:ascii="Arial Narrow" w:hAnsi="Arial Narrow"/>
                <w:i w:val="0"/>
                <w:iCs w:val="0"/>
                <w:color w:val="auto"/>
              </w:rPr>
            </w:pPr>
            <w:r w:rsidRPr="007404AB">
              <w:rPr>
                <w:rStyle w:val="IntenseEmphasis"/>
                <w:rFonts w:ascii="Arial Narrow" w:hAnsi="Arial Narrow"/>
                <w:i w:val="0"/>
                <w:iCs w:val="0"/>
                <w:color w:val="auto"/>
              </w:rPr>
              <w:t>70 cm</w:t>
            </w:r>
          </w:p>
        </w:tc>
        <w:tc>
          <w:tcPr>
            <w:tcW w:w="1430" w:type="dxa"/>
          </w:tcPr>
          <w:p w14:paraId="6CA47DB1" w14:textId="77777777" w:rsidR="007404AB" w:rsidRPr="007404AB" w:rsidRDefault="007404AB" w:rsidP="00CB0506">
            <w:pPr>
              <w:rPr>
                <w:rStyle w:val="IntenseEmphasis"/>
                <w:rFonts w:ascii="Arial Narrow" w:hAnsi="Arial Narrow"/>
                <w:i w:val="0"/>
                <w:iCs w:val="0"/>
                <w:color w:val="auto"/>
              </w:rPr>
            </w:pPr>
            <w:r w:rsidRPr="007404AB">
              <w:rPr>
                <w:rStyle w:val="IntenseEmphasis"/>
                <w:rFonts w:ascii="Arial Narrow" w:hAnsi="Arial Narrow"/>
                <w:i w:val="0"/>
                <w:iCs w:val="0"/>
                <w:color w:val="auto"/>
              </w:rPr>
              <w:t>7 MV</w:t>
            </w:r>
          </w:p>
        </w:tc>
        <w:tc>
          <w:tcPr>
            <w:tcW w:w="1208" w:type="dxa"/>
          </w:tcPr>
          <w:p w14:paraId="32780001" w14:textId="0EC85AC4" w:rsidR="007404AB" w:rsidRPr="00A9467F" w:rsidRDefault="007404AB" w:rsidP="00CB0506">
            <w:pPr>
              <w:rPr>
                <w:rStyle w:val="IntenseEmphasis"/>
                <w:rFonts w:ascii="Arial Narrow" w:hAnsi="Arial Narrow"/>
              </w:rPr>
            </w:pPr>
            <w:r>
              <w:t>307588</w:t>
            </w:r>
          </w:p>
        </w:tc>
      </w:tr>
      <w:tr w:rsidR="007404AB" w:rsidRPr="00A9467F" w14:paraId="5C4DBBDC" w14:textId="40A4F138" w:rsidTr="007404AB">
        <w:tc>
          <w:tcPr>
            <w:tcW w:w="1558" w:type="dxa"/>
            <w:tcBorders>
              <w:right w:val="nil"/>
            </w:tcBorders>
          </w:tcPr>
          <w:p w14:paraId="54E64F98" w14:textId="77777777" w:rsidR="007404AB" w:rsidRPr="00A9467F" w:rsidRDefault="007404AB" w:rsidP="003A61D8">
            <w:pPr>
              <w:rPr>
                <w:rFonts w:ascii="Arial Narrow" w:hAnsi="Arial Narrow"/>
                <w:i/>
                <w:lang w:val="en-GB" w:eastAsia="ja-JP"/>
              </w:rPr>
            </w:pPr>
            <w:r w:rsidRPr="00A9467F">
              <w:rPr>
                <w:rFonts w:ascii="Arial Narrow" w:hAnsi="Arial Narrow"/>
                <w:i/>
                <w:lang w:val="en-GB" w:eastAsia="ja-JP"/>
              </w:rPr>
              <w:t>In development</w:t>
            </w:r>
          </w:p>
        </w:tc>
        <w:tc>
          <w:tcPr>
            <w:tcW w:w="2378" w:type="dxa"/>
            <w:tcBorders>
              <w:left w:val="nil"/>
              <w:right w:val="nil"/>
            </w:tcBorders>
          </w:tcPr>
          <w:p w14:paraId="228864B2" w14:textId="77777777" w:rsidR="007404AB" w:rsidRPr="00A9467F" w:rsidRDefault="007404AB" w:rsidP="003A61D8">
            <w:pPr>
              <w:rPr>
                <w:rFonts w:ascii="Arial Narrow" w:hAnsi="Arial Narrow"/>
                <w:lang w:val="en-GB" w:eastAsia="ja-JP"/>
              </w:rPr>
            </w:pPr>
          </w:p>
        </w:tc>
        <w:tc>
          <w:tcPr>
            <w:tcW w:w="1269" w:type="dxa"/>
            <w:tcBorders>
              <w:left w:val="nil"/>
              <w:right w:val="nil"/>
            </w:tcBorders>
          </w:tcPr>
          <w:p w14:paraId="658BB869" w14:textId="77777777" w:rsidR="007404AB" w:rsidRPr="00A9467F" w:rsidRDefault="007404AB" w:rsidP="003A61D8">
            <w:pPr>
              <w:rPr>
                <w:rFonts w:ascii="Arial Narrow" w:hAnsi="Arial Narrow"/>
                <w:lang w:val="en-GB" w:eastAsia="ja-JP"/>
              </w:rPr>
            </w:pPr>
          </w:p>
        </w:tc>
        <w:tc>
          <w:tcPr>
            <w:tcW w:w="1173" w:type="dxa"/>
            <w:tcBorders>
              <w:left w:val="nil"/>
              <w:right w:val="nil"/>
            </w:tcBorders>
          </w:tcPr>
          <w:p w14:paraId="3C2E7361" w14:textId="77777777" w:rsidR="007404AB" w:rsidRPr="00A9467F" w:rsidRDefault="007404AB" w:rsidP="003A61D8">
            <w:pPr>
              <w:rPr>
                <w:rFonts w:ascii="Arial Narrow" w:hAnsi="Arial Narrow"/>
                <w:lang w:val="en-GB" w:eastAsia="ja-JP"/>
              </w:rPr>
            </w:pPr>
          </w:p>
        </w:tc>
        <w:tc>
          <w:tcPr>
            <w:tcW w:w="1430" w:type="dxa"/>
            <w:tcBorders>
              <w:left w:val="nil"/>
            </w:tcBorders>
          </w:tcPr>
          <w:p w14:paraId="5D0D24E8" w14:textId="77777777" w:rsidR="007404AB" w:rsidRPr="00A9467F" w:rsidRDefault="007404AB" w:rsidP="003A61D8">
            <w:pPr>
              <w:rPr>
                <w:rFonts w:ascii="Arial Narrow" w:hAnsi="Arial Narrow"/>
                <w:lang w:val="en-GB" w:eastAsia="ja-JP"/>
              </w:rPr>
            </w:pPr>
          </w:p>
        </w:tc>
        <w:tc>
          <w:tcPr>
            <w:tcW w:w="1208" w:type="dxa"/>
            <w:tcBorders>
              <w:left w:val="nil"/>
            </w:tcBorders>
          </w:tcPr>
          <w:p w14:paraId="12C6B66E" w14:textId="77777777" w:rsidR="007404AB" w:rsidRPr="00A9467F" w:rsidRDefault="007404AB" w:rsidP="003A61D8">
            <w:pPr>
              <w:rPr>
                <w:rFonts w:ascii="Arial Narrow" w:hAnsi="Arial Narrow"/>
                <w:lang w:val="en-GB" w:eastAsia="ja-JP"/>
              </w:rPr>
            </w:pPr>
          </w:p>
        </w:tc>
      </w:tr>
      <w:tr w:rsidR="007404AB" w:rsidRPr="00A9467F" w14:paraId="0EC7315B" w14:textId="6C515F91" w:rsidTr="007404AB">
        <w:tc>
          <w:tcPr>
            <w:tcW w:w="1558" w:type="dxa"/>
          </w:tcPr>
          <w:p w14:paraId="2D2CD01F" w14:textId="77777777" w:rsidR="007404AB" w:rsidRPr="00A9467F" w:rsidRDefault="007404AB" w:rsidP="003A61D8">
            <w:pPr>
              <w:rPr>
                <w:rFonts w:ascii="Arial Narrow" w:hAnsi="Arial Narrow"/>
                <w:lang w:val="en-GB" w:eastAsia="ja-JP"/>
              </w:rPr>
            </w:pPr>
            <w:r w:rsidRPr="00A9467F">
              <w:rPr>
                <w:rFonts w:ascii="Arial Narrow" w:hAnsi="Arial Narrow"/>
                <w:lang w:val="en-GB" w:eastAsia="ja-JP"/>
              </w:rPr>
              <w:t>Australian MRI Linac System</w:t>
            </w:r>
          </w:p>
        </w:tc>
        <w:tc>
          <w:tcPr>
            <w:tcW w:w="2378" w:type="dxa"/>
          </w:tcPr>
          <w:p w14:paraId="2B391000" w14:textId="77777777" w:rsidR="007404AB" w:rsidRPr="00A9467F" w:rsidRDefault="007404AB" w:rsidP="003A61D8">
            <w:pPr>
              <w:rPr>
                <w:rFonts w:ascii="Arial Narrow" w:hAnsi="Arial Narrow"/>
                <w:lang w:val="en-GB" w:eastAsia="ja-JP"/>
              </w:rPr>
            </w:pPr>
            <w:r w:rsidRPr="00A9467F">
              <w:rPr>
                <w:rFonts w:ascii="Arial Narrow" w:hAnsi="Arial Narrow"/>
                <w:lang w:val="en-GB" w:eastAsia="ja-JP"/>
              </w:rPr>
              <w:t>Australian MRI-Linac Program</w:t>
            </w:r>
          </w:p>
        </w:tc>
        <w:tc>
          <w:tcPr>
            <w:tcW w:w="1269" w:type="dxa"/>
          </w:tcPr>
          <w:p w14:paraId="4727A891" w14:textId="77777777" w:rsidR="007404AB" w:rsidRPr="00A9467F" w:rsidRDefault="007404AB" w:rsidP="003A61D8">
            <w:pPr>
              <w:rPr>
                <w:rFonts w:ascii="Arial Narrow" w:hAnsi="Arial Narrow"/>
                <w:lang w:val="en-GB" w:eastAsia="ja-JP"/>
              </w:rPr>
            </w:pPr>
            <w:r w:rsidRPr="00A9467F">
              <w:rPr>
                <w:rFonts w:ascii="Arial Narrow" w:hAnsi="Arial Narrow"/>
                <w:lang w:val="en-GB" w:eastAsia="ja-JP"/>
              </w:rPr>
              <w:t>1 T</w:t>
            </w:r>
          </w:p>
        </w:tc>
        <w:tc>
          <w:tcPr>
            <w:tcW w:w="1173" w:type="dxa"/>
          </w:tcPr>
          <w:p w14:paraId="577A90FA" w14:textId="77777777" w:rsidR="007404AB" w:rsidRPr="00A9467F" w:rsidRDefault="007404AB" w:rsidP="003A61D8">
            <w:pPr>
              <w:rPr>
                <w:rFonts w:ascii="Arial Narrow" w:hAnsi="Arial Narrow"/>
                <w:lang w:val="en-GB" w:eastAsia="ja-JP"/>
              </w:rPr>
            </w:pPr>
            <w:r w:rsidRPr="00A9467F">
              <w:rPr>
                <w:rFonts w:ascii="Arial Narrow" w:hAnsi="Arial Narrow"/>
                <w:lang w:val="en-GB" w:eastAsia="ja-JP"/>
              </w:rPr>
              <w:t>82 cm</w:t>
            </w:r>
          </w:p>
        </w:tc>
        <w:tc>
          <w:tcPr>
            <w:tcW w:w="1430" w:type="dxa"/>
          </w:tcPr>
          <w:p w14:paraId="1418998B" w14:textId="77777777" w:rsidR="007404AB" w:rsidRPr="00A9467F" w:rsidRDefault="007404AB" w:rsidP="003A61D8">
            <w:pPr>
              <w:rPr>
                <w:rFonts w:ascii="Arial Narrow" w:hAnsi="Arial Narrow"/>
                <w:lang w:val="en-GB" w:eastAsia="ja-JP"/>
              </w:rPr>
            </w:pPr>
            <w:r w:rsidRPr="00A9467F">
              <w:rPr>
                <w:rFonts w:ascii="Arial Narrow" w:hAnsi="Arial Narrow"/>
                <w:lang w:val="en-GB" w:eastAsia="ja-JP"/>
              </w:rPr>
              <w:t>6 MV</w:t>
            </w:r>
          </w:p>
        </w:tc>
        <w:tc>
          <w:tcPr>
            <w:tcW w:w="1208" w:type="dxa"/>
          </w:tcPr>
          <w:p w14:paraId="08CC3411" w14:textId="77048AA0" w:rsidR="007404AB" w:rsidRPr="00A9467F" w:rsidRDefault="007404AB" w:rsidP="003A61D8">
            <w:pPr>
              <w:rPr>
                <w:rFonts w:ascii="Arial Narrow" w:hAnsi="Arial Narrow"/>
                <w:lang w:val="en-GB" w:eastAsia="ja-JP"/>
              </w:rPr>
            </w:pPr>
            <w:r>
              <w:rPr>
                <w:rFonts w:ascii="Arial Narrow" w:hAnsi="Arial Narrow"/>
                <w:lang w:val="en-GB" w:eastAsia="ja-JP"/>
              </w:rPr>
              <w:t>NA</w:t>
            </w:r>
          </w:p>
        </w:tc>
      </w:tr>
      <w:tr w:rsidR="007404AB" w:rsidRPr="00A9467F" w14:paraId="24385694" w14:textId="1CF6235B" w:rsidTr="007404AB">
        <w:tc>
          <w:tcPr>
            <w:tcW w:w="1558" w:type="dxa"/>
          </w:tcPr>
          <w:p w14:paraId="0ABD2AF5" w14:textId="77777777" w:rsidR="007404AB" w:rsidRPr="00A9467F" w:rsidRDefault="007404AB" w:rsidP="003A61D8">
            <w:pPr>
              <w:rPr>
                <w:rFonts w:ascii="Arial Narrow" w:hAnsi="Arial Narrow"/>
                <w:lang w:val="en-GB" w:eastAsia="ja-JP"/>
              </w:rPr>
            </w:pPr>
            <w:r w:rsidRPr="00A9467F">
              <w:rPr>
                <w:rFonts w:ascii="Arial Narrow" w:hAnsi="Arial Narrow"/>
                <w:lang w:val="en-GB" w:eastAsia="ja-JP"/>
              </w:rPr>
              <w:t>Aurora-RT system</w:t>
            </w:r>
          </w:p>
        </w:tc>
        <w:tc>
          <w:tcPr>
            <w:tcW w:w="2378" w:type="dxa"/>
          </w:tcPr>
          <w:p w14:paraId="1625A3A4" w14:textId="77777777" w:rsidR="007404AB" w:rsidRPr="00A9467F" w:rsidRDefault="007404AB" w:rsidP="003A61D8">
            <w:pPr>
              <w:rPr>
                <w:rFonts w:ascii="Arial Narrow" w:hAnsi="Arial Narrow"/>
                <w:lang w:val="en-GB" w:eastAsia="ja-JP"/>
              </w:rPr>
            </w:pPr>
            <w:r w:rsidRPr="00A9467F">
              <w:rPr>
                <w:rFonts w:ascii="Arial Narrow" w:hAnsi="Arial Narrow"/>
                <w:lang w:val="en-GB" w:eastAsia="ja-JP"/>
              </w:rPr>
              <w:t>MagnetTx, Edmonton, Alberta, Canada</w:t>
            </w:r>
          </w:p>
        </w:tc>
        <w:tc>
          <w:tcPr>
            <w:tcW w:w="1269" w:type="dxa"/>
          </w:tcPr>
          <w:p w14:paraId="3D038B9E" w14:textId="77777777" w:rsidR="007404AB" w:rsidRPr="00A9467F" w:rsidRDefault="007404AB" w:rsidP="003A61D8">
            <w:pPr>
              <w:rPr>
                <w:rFonts w:ascii="Arial Narrow" w:hAnsi="Arial Narrow"/>
                <w:lang w:val="en-GB" w:eastAsia="ja-JP"/>
              </w:rPr>
            </w:pPr>
            <w:r w:rsidRPr="00A9467F">
              <w:rPr>
                <w:rFonts w:ascii="Arial Narrow" w:hAnsi="Arial Narrow"/>
                <w:lang w:val="en-GB" w:eastAsia="ja-JP"/>
              </w:rPr>
              <w:t>0.6 T</w:t>
            </w:r>
          </w:p>
        </w:tc>
        <w:tc>
          <w:tcPr>
            <w:tcW w:w="1173" w:type="dxa"/>
          </w:tcPr>
          <w:p w14:paraId="4C0FF959" w14:textId="77777777" w:rsidR="007404AB" w:rsidRPr="00A9467F" w:rsidRDefault="007404AB" w:rsidP="003A61D8">
            <w:pPr>
              <w:rPr>
                <w:rFonts w:ascii="Arial Narrow" w:hAnsi="Arial Narrow"/>
                <w:lang w:val="en-GB" w:eastAsia="ja-JP"/>
              </w:rPr>
            </w:pPr>
            <w:r w:rsidRPr="00A9467F">
              <w:rPr>
                <w:rFonts w:ascii="Arial Narrow" w:hAnsi="Arial Narrow"/>
                <w:lang w:val="en-GB" w:eastAsia="ja-JP"/>
              </w:rPr>
              <w:t>60 cm</w:t>
            </w:r>
          </w:p>
        </w:tc>
        <w:tc>
          <w:tcPr>
            <w:tcW w:w="1430" w:type="dxa"/>
          </w:tcPr>
          <w:p w14:paraId="1BDDBA14" w14:textId="77777777" w:rsidR="007404AB" w:rsidRPr="00A9467F" w:rsidRDefault="007404AB" w:rsidP="003A61D8">
            <w:pPr>
              <w:rPr>
                <w:rFonts w:ascii="Arial Narrow" w:hAnsi="Arial Narrow"/>
                <w:lang w:val="en-GB" w:eastAsia="ja-JP"/>
              </w:rPr>
            </w:pPr>
            <w:r w:rsidRPr="00A9467F">
              <w:rPr>
                <w:rFonts w:ascii="Arial Narrow" w:hAnsi="Arial Narrow"/>
                <w:lang w:val="en-GB" w:eastAsia="ja-JP"/>
              </w:rPr>
              <w:t>6 MV</w:t>
            </w:r>
          </w:p>
        </w:tc>
        <w:tc>
          <w:tcPr>
            <w:tcW w:w="1208" w:type="dxa"/>
          </w:tcPr>
          <w:p w14:paraId="29B70FDC" w14:textId="35AF4481" w:rsidR="007404AB" w:rsidRPr="00A9467F" w:rsidRDefault="007404AB" w:rsidP="003A61D8">
            <w:pPr>
              <w:rPr>
                <w:rFonts w:ascii="Arial Narrow" w:hAnsi="Arial Narrow"/>
                <w:lang w:val="en-GB" w:eastAsia="ja-JP"/>
              </w:rPr>
            </w:pPr>
            <w:r>
              <w:rPr>
                <w:rFonts w:ascii="Arial Narrow" w:hAnsi="Arial Narrow"/>
                <w:lang w:val="en-GB" w:eastAsia="ja-JP"/>
              </w:rPr>
              <w:t>NA</w:t>
            </w:r>
          </w:p>
        </w:tc>
      </w:tr>
    </w:tbl>
    <w:p w14:paraId="7E7F3519" w14:textId="176C198E" w:rsidR="00F3499D" w:rsidRPr="00A55103" w:rsidRDefault="003A61D8" w:rsidP="00A9156A">
      <w:pPr>
        <w:rPr>
          <w:rFonts w:ascii="Arial Narrow" w:hAnsi="Arial Narrow"/>
          <w:sz w:val="16"/>
          <w:szCs w:val="16"/>
          <w:lang w:val="en-GB" w:eastAsia="ja-JP"/>
        </w:rPr>
      </w:pPr>
      <w:r w:rsidRPr="00A55103">
        <w:rPr>
          <w:rFonts w:ascii="Arial Narrow" w:hAnsi="Arial Narrow"/>
          <w:sz w:val="16"/>
          <w:szCs w:val="16"/>
          <w:lang w:val="en-GB" w:eastAsia="ja-JP"/>
        </w:rPr>
        <w:t>MV, megavolatage; Co-60, Cobalt-60</w:t>
      </w:r>
      <w:r w:rsidR="007404AB" w:rsidRPr="00A55103">
        <w:rPr>
          <w:rFonts w:ascii="Arial Narrow" w:hAnsi="Arial Narrow"/>
          <w:sz w:val="16"/>
          <w:szCs w:val="16"/>
          <w:lang w:val="en-GB" w:eastAsia="ja-JP"/>
        </w:rPr>
        <w:t>; NA, not applicable</w:t>
      </w:r>
      <w:r w:rsidR="00A55103" w:rsidRPr="00A55103">
        <w:rPr>
          <w:rFonts w:ascii="Arial Narrow" w:hAnsi="Arial Narrow"/>
          <w:sz w:val="16"/>
          <w:szCs w:val="16"/>
          <w:lang w:val="en-GB" w:eastAsia="ja-JP"/>
        </w:rPr>
        <w:t>; ARTG, Australian Register of Therapeutic Goods</w:t>
      </w:r>
    </w:p>
    <w:p w14:paraId="75BA9355" w14:textId="49999889" w:rsidR="006F4BB3" w:rsidRPr="00BF2AB3" w:rsidRDefault="007952EE" w:rsidP="006F4BB3">
      <w:pPr>
        <w:rPr>
          <w:rFonts w:cs="Calibri"/>
        </w:rPr>
      </w:pPr>
      <w:r>
        <w:t>The m</w:t>
      </w:r>
      <w:r w:rsidR="00884CCC">
        <w:t>ajority of published literature on MR-linacs relate</w:t>
      </w:r>
      <w:r w:rsidR="00F8560F">
        <w:t>s</w:t>
      </w:r>
      <w:r w:rsidR="00884CCC">
        <w:t xml:space="preserve"> to the </w:t>
      </w:r>
      <w:r w:rsidR="005A1CE0">
        <w:t>ViewRay</w:t>
      </w:r>
      <w:r w:rsidR="00884CCC">
        <w:t xml:space="preserve"> Co-60 device and </w:t>
      </w:r>
      <w:r w:rsidR="008C37A3">
        <w:t>is</w:t>
      </w:r>
      <w:r w:rsidR="00884CCC">
        <w:t xml:space="preserve"> not necessarily translatable to linacs with different beam strengths </w:t>
      </w:r>
      <w:r w:rsidR="00884CCC">
        <w:fldChar w:fldCharType="begin"/>
      </w:r>
      <w:r w:rsidR="00884CCC">
        <w:instrText xml:space="preserve"> ADDIN EN.CITE &lt;EndNote&gt;&lt;Cite&gt;&lt;Author&gt;Chin&lt;/Author&gt;&lt;Year&gt;2020&lt;/Year&gt;&lt;RecNum&gt;7&lt;/RecNum&gt;&lt;DisplayText&gt;(Chin et al., 2020)&lt;/DisplayText&gt;&lt;record&gt;&lt;rec-number&gt;7&lt;/rec-number&gt;&lt;foreign-keys&gt;&lt;key app="EN" db-id="zx5wv0eapasetsezdzlxrdvgpwapdsw5ex5s" timestamp="1583374688"&gt;7&lt;/key&gt;&lt;/foreign-keys&gt;&lt;ref-type name="Journal Article"&gt;17&lt;/ref-type&gt;&lt;contributors&gt;&lt;authors&gt;&lt;author&gt;Chin, S.&lt;/author&gt;&lt;author&gt;Eccles, C. L.&lt;/author&gt;&lt;author&gt;McWilliam, A.&lt;/author&gt;&lt;author&gt;Chuter, R.&lt;/author&gt;&lt;author&gt;Walker, E.&lt;/author&gt;&lt;author&gt;Whitehurst, P.&lt;/author&gt;&lt;author&gt;Berresford, J.&lt;/author&gt;&lt;author&gt;Van Herk, M.&lt;/author&gt;&lt;author&gt;Hoskin, P. J.&lt;/author&gt;&lt;author&gt;Choudhury, A.&lt;/author&gt;&lt;/authors&gt;&lt;/contributors&gt;&lt;auth-address&gt;Department of Clinical Oncology, The Christie NHS Foundation Trust, Manchester, UK.&amp;#xD;Westmead Clinical School, University of Sydney, Sydney, New South Wales, Australia.&amp;#xD;Department of Radiotherapy, The Christie NHS Foundation Trust, Manchester, UK.&amp;#xD;Division of Cancer Sciences, The University of Manchester, Manchester, UK.&amp;#xD;Christie Medical Physics and Engineering, The Christie NHS Foundation Trust, Manchester, UK.&lt;/auth-address&gt;&lt;titles&gt;&lt;title&gt;Magnetic resonance-guided radiation therapy: A review&lt;/title&gt;&lt;secondary-title&gt;J Med Imaging Radiat Oncol&lt;/secondary-title&gt;&lt;/titles&gt;&lt;periodical&gt;&lt;full-title&gt;J Med Imaging Radiat Oncol&lt;/full-title&gt;&lt;/periodical&gt;&lt;pages&gt;163-177&lt;/pages&gt;&lt;volume&gt;64&lt;/volume&gt;&lt;number&gt;1&lt;/number&gt;&lt;keywords&gt;&lt;keyword&gt;MR-guided radiation therapy&lt;/keyword&gt;&lt;keyword&gt;magnetic resonance imaging&lt;/keyword&gt;&lt;keyword&gt;radiation oncology&lt;/keyword&gt;&lt;keyword&gt;radiation oncology imaging&lt;/keyword&gt;&lt;/keywords&gt;&lt;dates&gt;&lt;year&gt;2020&lt;/year&gt;&lt;pub-dates&gt;&lt;date&gt;Feb&lt;/date&gt;&lt;/pub-dates&gt;&lt;/dates&gt;&lt;isbn&gt;1754-9485 (Electronic)&amp;#xD;1754-9477 (Linking)&lt;/isbn&gt;&lt;accession-num&gt;31646742&lt;/accession-num&gt;&lt;urls&gt;&lt;related-urls&gt;&lt;url&gt;https://www.ncbi.nlm.nih.gov/pubmed/31646742&lt;/url&gt;&lt;/related-urls&gt;&lt;/urls&gt;&lt;electronic-resource-num&gt;10.1111/1754-9485.12968&lt;/electronic-resource-num&gt;&lt;/record&gt;&lt;/Cite&gt;&lt;/EndNote&gt;</w:instrText>
      </w:r>
      <w:r w:rsidR="00884CCC">
        <w:fldChar w:fldCharType="separate"/>
      </w:r>
      <w:r w:rsidR="00884CCC">
        <w:rPr>
          <w:noProof/>
        </w:rPr>
        <w:t>(Chin et al., 2020)</w:t>
      </w:r>
      <w:r w:rsidR="00884CCC">
        <w:fldChar w:fldCharType="end"/>
      </w:r>
      <w:r w:rsidR="002B0581">
        <w:t>.</w:t>
      </w:r>
      <w:r w:rsidR="005A1CE0">
        <w:t xml:space="preserve"> The Co-60 source in the ViewRay device has to be replaced at regular intervals as the radionucleotide decays.</w:t>
      </w:r>
      <w:r w:rsidR="00FF02DA">
        <w:t xml:space="preserve"> </w:t>
      </w:r>
      <w:r w:rsidR="006F4BB3">
        <w:rPr>
          <w:rFonts w:cs="Calibri"/>
        </w:rPr>
        <w:t>B</w:t>
      </w:r>
      <w:r w:rsidR="006F4BB3" w:rsidRPr="00BF2AB3">
        <w:rPr>
          <w:rFonts w:cs="Calibri"/>
        </w:rPr>
        <w:t xml:space="preserve">oth </w:t>
      </w:r>
      <w:r w:rsidR="00BF2AB3">
        <w:rPr>
          <w:rFonts w:cs="Calibri"/>
        </w:rPr>
        <w:t>MRI-l</w:t>
      </w:r>
      <w:r w:rsidR="006F4BB3" w:rsidRPr="00BF2AB3">
        <w:rPr>
          <w:rFonts w:cs="Calibri"/>
        </w:rPr>
        <w:t xml:space="preserve">inacs </w:t>
      </w:r>
      <w:r w:rsidR="00F8560F">
        <w:rPr>
          <w:rFonts w:cs="Calibri"/>
        </w:rPr>
        <w:t xml:space="preserve">approved for use by TGA </w:t>
      </w:r>
      <w:r w:rsidR="006F4BB3" w:rsidRPr="00BF2AB3">
        <w:rPr>
          <w:rFonts w:cs="Calibri"/>
        </w:rPr>
        <w:t>have had FDA Device Recalls (for software problems):</w:t>
      </w:r>
    </w:p>
    <w:p w14:paraId="11B30EA8" w14:textId="247DA3E0" w:rsidR="006F4BB3" w:rsidRPr="006F4BB3" w:rsidRDefault="006F4BB3" w:rsidP="006F4BB3">
      <w:pPr>
        <w:pStyle w:val="ListParagraph"/>
        <w:numPr>
          <w:ilvl w:val="0"/>
          <w:numId w:val="25"/>
        </w:numPr>
        <w:spacing w:after="0" w:line="240" w:lineRule="auto"/>
        <w:rPr>
          <w:rFonts w:cs="Calibri"/>
          <w:color w:val="000000"/>
        </w:rPr>
      </w:pPr>
      <w:r>
        <w:rPr>
          <w:color w:val="000000"/>
        </w:rPr>
        <w:t xml:space="preserve">ViewRay </w:t>
      </w:r>
      <w:r w:rsidRPr="006F4BB3">
        <w:rPr>
          <w:color w:val="000000"/>
        </w:rPr>
        <w:t>MRIdian Linac: May 02, 2019; December 12, 2019;</w:t>
      </w:r>
    </w:p>
    <w:p w14:paraId="1D45F05E" w14:textId="6292B8E3" w:rsidR="006F4BB3" w:rsidRDefault="006F4BB3" w:rsidP="006F4BB3">
      <w:pPr>
        <w:pStyle w:val="ListParagraph"/>
        <w:numPr>
          <w:ilvl w:val="0"/>
          <w:numId w:val="25"/>
        </w:numPr>
        <w:spacing w:after="0" w:line="240" w:lineRule="auto"/>
        <w:rPr>
          <w:color w:val="000000"/>
          <w:lang w:eastAsia="en-AU"/>
        </w:rPr>
      </w:pPr>
      <w:r w:rsidRPr="00BF2AB3">
        <w:rPr>
          <w:color w:val="000000"/>
        </w:rPr>
        <w:t>Elekta Unity: April 08, 2019; July 16, 2019.</w:t>
      </w:r>
    </w:p>
    <w:p w14:paraId="31CBB781" w14:textId="1FF5888A" w:rsidR="00FF02DA" w:rsidRDefault="00FF02DA" w:rsidP="00FF02DA">
      <w:pPr>
        <w:spacing w:after="0" w:line="240" w:lineRule="auto"/>
        <w:rPr>
          <w:color w:val="000000"/>
          <w:lang w:eastAsia="en-AU"/>
        </w:rPr>
      </w:pPr>
    </w:p>
    <w:p w14:paraId="424CDB27" w14:textId="3AA14990" w:rsidR="00FF02DA" w:rsidRDefault="00FF02DA" w:rsidP="00FF02DA">
      <w:pPr>
        <w:spacing w:after="0" w:line="240" w:lineRule="auto"/>
      </w:pPr>
      <w:r w:rsidRPr="006802F2">
        <w:rPr>
          <w:i/>
          <w:iCs/>
        </w:rPr>
        <w:t>PASC considered that the available MR-linac technologies are not interchangeable, and differ in MR field and beam strength.</w:t>
      </w:r>
      <w:r>
        <w:rPr>
          <w:i/>
          <w:iCs/>
        </w:rPr>
        <w:t xml:space="preserve"> </w:t>
      </w:r>
      <w:r>
        <w:t>The differences in MRI field strength have implications for image resolution and acquisition times.</w:t>
      </w:r>
    </w:p>
    <w:p w14:paraId="588FF579" w14:textId="02E891D2" w:rsidR="006F0FC0" w:rsidRDefault="006F0FC0" w:rsidP="00FF02DA">
      <w:pPr>
        <w:spacing w:after="0" w:line="240" w:lineRule="auto"/>
      </w:pPr>
    </w:p>
    <w:p w14:paraId="2F2EE38E" w14:textId="29E84719" w:rsidR="006F0FC0" w:rsidRPr="006F0FC0" w:rsidRDefault="00463785" w:rsidP="00FF02DA">
      <w:pPr>
        <w:spacing w:after="0" w:line="240" w:lineRule="auto"/>
        <w:rPr>
          <w:i/>
        </w:rPr>
      </w:pPr>
      <w:r>
        <w:rPr>
          <w:i/>
        </w:rPr>
        <w:t>While t</w:t>
      </w:r>
      <w:r w:rsidR="006F0FC0">
        <w:rPr>
          <w:i/>
        </w:rPr>
        <w:t>he Applicant agreed with the PASC that the available MR-Linac technologies are not interchangeable, the</w:t>
      </w:r>
      <w:r>
        <w:rPr>
          <w:i/>
        </w:rPr>
        <w:t xml:space="preserve"> Applicant noted that</w:t>
      </w:r>
      <w:r w:rsidR="006F0FC0">
        <w:rPr>
          <w:i/>
        </w:rPr>
        <w:t xml:space="preserve"> clinical IGRT intended throu</w:t>
      </w:r>
      <w:r>
        <w:rPr>
          <w:i/>
        </w:rPr>
        <w:t>gh the utilisation of MR imaging</w:t>
      </w:r>
      <w:r w:rsidR="006F0FC0">
        <w:rPr>
          <w:i/>
        </w:rPr>
        <w:t xml:space="preserve"> to support IGRT workflow is similar. Therefore, the Applicant considered the clinical studies related to the MRIdian device should be accepted as evidence of support for the MR-Linac technology. </w:t>
      </w:r>
    </w:p>
    <w:p w14:paraId="27049450" w14:textId="77777777" w:rsidR="006F4BB3" w:rsidRDefault="006F4BB3" w:rsidP="00CC3BE3">
      <w:pPr>
        <w:contextualSpacing/>
      </w:pPr>
    </w:p>
    <w:p w14:paraId="00E4B619" w14:textId="7E2D44BA" w:rsidR="00CC3BE3" w:rsidRPr="00CC3BE3" w:rsidRDefault="00F23528" w:rsidP="00CC3BE3">
      <w:pPr>
        <w:contextualSpacing/>
      </w:pPr>
      <w:r>
        <w:t xml:space="preserve">The </w:t>
      </w:r>
      <w:r w:rsidR="00272077">
        <w:t>Applicant estimated</w:t>
      </w:r>
      <w:r w:rsidR="005D63B2">
        <w:t xml:space="preserve"> that</w:t>
      </w:r>
      <w:r w:rsidR="00DB5E88">
        <w:t>,</w:t>
      </w:r>
      <w:r w:rsidR="005D63B2">
        <w:t xml:space="preserve"> over the next t</w:t>
      </w:r>
      <w:r w:rsidR="00B3106D">
        <w:t>hree years</w:t>
      </w:r>
      <w:r w:rsidR="00DB5E88">
        <w:t>,</w:t>
      </w:r>
      <w:r w:rsidR="00B3106D">
        <w:t xml:space="preserve"> at least 10 MR-linac units</w:t>
      </w:r>
      <w:r w:rsidR="005D63B2">
        <w:t xml:space="preserve"> will be in operation in Australia</w:t>
      </w:r>
      <w:r w:rsidR="00DB5E88">
        <w:t>,</w:t>
      </w:r>
      <w:r w:rsidR="005D63B2">
        <w:t xml:space="preserve"> with 400-500 patient courses delivered in </w:t>
      </w:r>
      <w:r w:rsidR="00DB5E88">
        <w:t xml:space="preserve">the </w:t>
      </w:r>
      <w:r w:rsidR="005D63B2">
        <w:t xml:space="preserve">first year. </w:t>
      </w:r>
      <w:r w:rsidR="00990573">
        <w:t xml:space="preserve">Use of </w:t>
      </w:r>
      <w:r w:rsidR="005D15E9">
        <w:t>MR</w:t>
      </w:r>
      <w:r w:rsidR="00DB5E88">
        <w:t>-</w:t>
      </w:r>
      <w:r w:rsidR="005D15E9">
        <w:t>IGRT</w:t>
      </w:r>
      <w:r w:rsidR="00990573">
        <w:t xml:space="preserve"> is logistically challenging</w:t>
      </w:r>
      <w:r w:rsidR="00DB5E88">
        <w:t>,</w:t>
      </w:r>
      <w:r w:rsidR="00990573">
        <w:t xml:space="preserve"> as it requires </w:t>
      </w:r>
      <w:r w:rsidR="00DB5E88">
        <w:t>significant co-operation amongst</w:t>
      </w:r>
      <w:r w:rsidR="00990573">
        <w:t xml:space="preserve"> multidisciplinary teams </w:t>
      </w:r>
      <w:r w:rsidR="00DB5E88">
        <w:t>(</w:t>
      </w:r>
      <w:r w:rsidR="00990573">
        <w:t>consisting of physicians, radiographers and physicists</w:t>
      </w:r>
      <w:r w:rsidR="00DB5E88">
        <w:t>)</w:t>
      </w:r>
      <w:r w:rsidR="00990573">
        <w:t xml:space="preserve">, mainly due to the diversity and complexity of tasks </w:t>
      </w:r>
      <w:r w:rsidR="00CC3BE3" w:rsidRPr="00CC3BE3">
        <w:t xml:space="preserve">involved in treatment delivery </w:t>
      </w:r>
      <w:r w:rsidR="00CC3BE3" w:rsidRPr="00CC3BE3">
        <w:fldChar w:fldCharType="begin"/>
      </w:r>
      <w:r w:rsidR="00CC3BE3" w:rsidRPr="00CC3BE3">
        <w:instrText xml:space="preserve"> ADDIN EN.CITE &lt;EndNote&gt;&lt;Cite&gt;&lt;Author&gt;Chin&lt;/Author&gt;&lt;Year&gt;2020&lt;/Year&gt;&lt;RecNum&gt;7&lt;/RecNum&gt;&lt;DisplayText&gt;(Chin et al., 2020)&lt;/DisplayText&gt;&lt;record&gt;&lt;rec-number&gt;7&lt;/rec-number&gt;&lt;foreign-keys&gt;&lt;key app="EN" db-id="zx5wv0eapasetsezdzlxrdvgpwapdsw5ex5s" timestamp="1583374688"&gt;7&lt;/key&gt;&lt;/foreign-keys&gt;&lt;ref-type name="Journal Article"&gt;17&lt;/ref-type&gt;&lt;contributors&gt;&lt;authors&gt;&lt;author&gt;Chin, S.&lt;/author&gt;&lt;author&gt;Eccles, C. L.&lt;/author&gt;&lt;author&gt;McWilliam, A.&lt;/author&gt;&lt;author&gt;Chuter, R.&lt;/author&gt;&lt;author&gt;Walker, E.&lt;/author&gt;&lt;author&gt;Whitehurst, P.&lt;/author&gt;&lt;author&gt;Berresford, J.&lt;/author&gt;&lt;author&gt;Van Herk, M.&lt;/author&gt;&lt;author&gt;Hoskin, P. J.&lt;/author&gt;&lt;author&gt;Choudhury, A.&lt;/author&gt;&lt;/authors&gt;&lt;/contributors&gt;&lt;auth-address&gt;Department of Clinical Oncology, The Christie NHS Foundation Trust, Manchester, UK.&amp;#xD;Westmead Clinical School, University of Sydney, Sydney, New South Wales, Australia.&amp;#xD;Department of Radiotherapy, The Christie NHS Foundation Trust, Manchester, UK.&amp;#xD;Division of Cancer Sciences, The University of Manchester, Manchester, UK.&amp;#xD;Christie Medical Physics and Engineering, The Christie NHS Foundation Trust, Manchester, UK.&lt;/auth-address&gt;&lt;titles&gt;&lt;title&gt;Magnetic resonance-guided radiation therapy: A review&lt;/title&gt;&lt;secondary-title&gt;J Med Imaging Radiat Oncol&lt;/secondary-title&gt;&lt;/titles&gt;&lt;periodical&gt;&lt;full-title&gt;J Med Imaging Radiat Oncol&lt;/full-title&gt;&lt;/periodical&gt;&lt;pages&gt;163-177&lt;/pages&gt;&lt;volume&gt;64&lt;/volume&gt;&lt;number&gt;1&lt;/number&gt;&lt;keywords&gt;&lt;keyword&gt;MR-guided radiation therapy&lt;/keyword&gt;&lt;keyword&gt;magnetic resonance imaging&lt;/keyword&gt;&lt;keyword&gt;radiation oncology&lt;/keyword&gt;&lt;keyword&gt;radiation oncology imaging&lt;/keyword&gt;&lt;/keywords&gt;&lt;dates&gt;&lt;year&gt;2020&lt;/year&gt;&lt;pub-dates&gt;&lt;date&gt;Feb&lt;/date&gt;&lt;/pub-dates&gt;&lt;/dates&gt;&lt;isbn&gt;1754-9485 (Electronic)&amp;#xD;1754-9477 (Linking)&lt;/isbn&gt;&lt;accession-num&gt;31646742&lt;/accession-num&gt;&lt;urls&gt;&lt;related-urls&gt;&lt;url&gt;https://www.ncbi.nlm.nih.gov/pubmed/31646742&lt;/url&gt;&lt;/related-urls&gt;&lt;/urls&gt;&lt;electronic-resource-num&gt;10.1111/1754-9485.12968&lt;/electronic-resource-num&gt;&lt;/record&gt;&lt;/Cite&gt;&lt;/EndNote&gt;</w:instrText>
      </w:r>
      <w:r w:rsidR="00CC3BE3" w:rsidRPr="00CC3BE3">
        <w:fldChar w:fldCharType="separate"/>
      </w:r>
      <w:r w:rsidR="00CC3BE3" w:rsidRPr="00CC3BE3">
        <w:t>(Chin et al., 2020)</w:t>
      </w:r>
      <w:r w:rsidR="00CC3BE3" w:rsidRPr="00CC3BE3">
        <w:fldChar w:fldCharType="end"/>
      </w:r>
      <w:r w:rsidR="00CC3BE3" w:rsidRPr="00CC3BE3">
        <w:t>. Typically, MR</w:t>
      </w:r>
      <w:r w:rsidR="00CC3BE3">
        <w:t>-</w:t>
      </w:r>
      <w:r w:rsidR="00CC3BE3" w:rsidRPr="00CC3BE3">
        <w:t xml:space="preserve">IGRT takes approximately </w:t>
      </w:r>
      <w:r w:rsidR="00CC3BE3">
        <w:br/>
      </w:r>
      <w:r w:rsidR="00CC3BE3" w:rsidRPr="00CC3BE3">
        <w:t>30-45 minutes to perform</w:t>
      </w:r>
      <w:r w:rsidR="00CC3BE3">
        <w:t>,</w:t>
      </w:r>
      <w:r w:rsidR="00CC3BE3" w:rsidRPr="00CC3BE3">
        <w:t xml:space="preserve"> per treatment fraction.</w:t>
      </w:r>
    </w:p>
    <w:p w14:paraId="14447BA9" w14:textId="218149C2" w:rsidR="00A5207F" w:rsidRPr="00272077" w:rsidRDefault="00A5207F" w:rsidP="005D63B2">
      <w:pPr>
        <w:contextualSpacing/>
        <w:rPr>
          <w:sz w:val="16"/>
          <w:szCs w:val="16"/>
        </w:rPr>
      </w:pPr>
    </w:p>
    <w:p w14:paraId="191837B7" w14:textId="77777777" w:rsidR="000A55DD" w:rsidRDefault="000A55DD">
      <w:r>
        <w:br w:type="page"/>
      </w:r>
    </w:p>
    <w:p w14:paraId="527F2E08" w14:textId="50FD1B96" w:rsidR="00CF5DB0" w:rsidRDefault="00272077" w:rsidP="000A55DD">
      <w:pPr>
        <w:spacing w:line="240" w:lineRule="auto"/>
      </w:pPr>
      <w:r>
        <w:lastRenderedPageBreak/>
        <w:t>The A</w:t>
      </w:r>
      <w:r w:rsidR="00740BED">
        <w:t xml:space="preserve">pplication </w:t>
      </w:r>
      <w:r>
        <w:t xml:space="preserve">Form </w:t>
      </w:r>
      <w:r w:rsidR="00740BED">
        <w:t>states that t</w:t>
      </w:r>
      <w:r w:rsidR="00791029">
        <w:t>he cost per treatment fraction of providing MR</w:t>
      </w:r>
      <w:r w:rsidR="00DB5E88">
        <w:t>-</w:t>
      </w:r>
      <w:r w:rsidR="00791029">
        <w:t>IGRT is expected to be higher than existing IGRT</w:t>
      </w:r>
      <w:r w:rsidR="00DB5E88">
        <w:t>. This is</w:t>
      </w:r>
      <w:r w:rsidR="00227C08">
        <w:t xml:space="preserve"> due to equipment cost, </w:t>
      </w:r>
      <w:r w:rsidR="00791029">
        <w:t>imaging and treatment fraction times</w:t>
      </w:r>
      <w:r w:rsidR="00227C08">
        <w:t xml:space="preserve">, and </w:t>
      </w:r>
      <w:r w:rsidR="00791029">
        <w:t xml:space="preserve">professional resources required. The MR-linac cost is approximately 3x higher than a conventional </w:t>
      </w:r>
      <w:r w:rsidR="00A9467F">
        <w:rPr>
          <w:shd w:val="clear" w:color="auto" w:fill="FFFFFF"/>
        </w:rPr>
        <w:t>cone beam computed tomography</w:t>
      </w:r>
      <w:r w:rsidR="00A9467F">
        <w:t xml:space="preserve"> (</w:t>
      </w:r>
      <w:r w:rsidR="00791029">
        <w:t>CBCT</w:t>
      </w:r>
      <w:r w:rsidR="00A9467F">
        <w:t>)</w:t>
      </w:r>
      <w:r w:rsidR="00791029">
        <w:t xml:space="preserve"> Linac.</w:t>
      </w:r>
      <w:r w:rsidR="00A5207F">
        <w:t xml:space="preserve"> </w:t>
      </w:r>
      <w:r w:rsidR="00791029">
        <w:t xml:space="preserve">Imaging and treatment fraction times are expected to be 2-3 times longer than </w:t>
      </w:r>
      <w:r w:rsidR="00970093">
        <w:t xml:space="preserve">those </w:t>
      </w:r>
      <w:r w:rsidR="00791029">
        <w:t>on a CBCT Linac</w:t>
      </w:r>
      <w:r w:rsidR="00227C08">
        <w:t>,</w:t>
      </w:r>
      <w:r w:rsidR="00791029">
        <w:t xml:space="preserve"> due to</w:t>
      </w:r>
      <w:r w:rsidR="00A5207F">
        <w:t xml:space="preserve"> </w:t>
      </w:r>
      <w:r w:rsidR="00740BED">
        <w:t>MR i</w:t>
      </w:r>
      <w:r w:rsidR="00791029">
        <w:t>mage acq</w:t>
      </w:r>
      <w:r w:rsidR="00740BED">
        <w:t>uisition</w:t>
      </w:r>
      <w:r w:rsidR="00227C08">
        <w:t>,</w:t>
      </w:r>
      <w:r w:rsidR="00740BED">
        <w:t xml:space="preserve"> and time to adapt the treatment p</w:t>
      </w:r>
      <w:r w:rsidR="00791029">
        <w:t xml:space="preserve">lan to the daily patient </w:t>
      </w:r>
      <w:r w:rsidR="00227C08">
        <w:t>anatomy.</w:t>
      </w:r>
      <w:r w:rsidR="009C6A28">
        <w:t xml:space="preserve"> </w:t>
      </w:r>
    </w:p>
    <w:p w14:paraId="7BBC6242" w14:textId="187A43D2" w:rsidR="00970093" w:rsidRPr="000A55DD" w:rsidRDefault="00227C08" w:rsidP="000A55DD">
      <w:pPr>
        <w:spacing w:line="240" w:lineRule="auto"/>
        <w:rPr>
          <w:i/>
          <w:iCs/>
        </w:rPr>
      </w:pPr>
      <w:r>
        <w:t>H</w:t>
      </w:r>
      <w:r w:rsidR="00791029">
        <w:t>owever</w:t>
      </w:r>
      <w:r>
        <w:t>,</w:t>
      </w:r>
      <w:r w:rsidR="00A5207F">
        <w:t xml:space="preserve"> </w:t>
      </w:r>
      <w:r w:rsidR="00740BED">
        <w:t>total treatment c</w:t>
      </w:r>
      <w:r w:rsidR="00791029">
        <w:t xml:space="preserve">ourses may require fewer fractions than </w:t>
      </w:r>
      <w:r w:rsidR="00970093">
        <w:t xml:space="preserve">those provided by a </w:t>
      </w:r>
      <w:r w:rsidR="00791029">
        <w:t>CBCT</w:t>
      </w:r>
      <w:r w:rsidR="00740BED">
        <w:t xml:space="preserve"> Linac</w:t>
      </w:r>
      <w:r w:rsidR="00791029">
        <w:t xml:space="preserve">. </w:t>
      </w:r>
      <w:r w:rsidR="009C6A28" w:rsidRPr="006802F2">
        <w:rPr>
          <w:i/>
          <w:iCs/>
        </w:rPr>
        <w:t>PASC noted that the applicant in their response to the draft PICO highlighted that MR-IGRT also has the potential to expand case referrals that currently do not receive radiotherapy due to poor target visualisation – example Pancreatic Stereotactic Radiotherapy.</w:t>
      </w:r>
    </w:p>
    <w:p w14:paraId="7B40BD71" w14:textId="3970562C" w:rsidR="00FF02DA" w:rsidRDefault="00FF02DA" w:rsidP="000A55DD">
      <w:pPr>
        <w:spacing w:line="240" w:lineRule="auto"/>
        <w:rPr>
          <w:i/>
          <w:iCs/>
        </w:rPr>
      </w:pPr>
      <w:r w:rsidRPr="006802F2">
        <w:rPr>
          <w:i/>
          <w:iCs/>
        </w:rPr>
        <w:t>PASC noted that uptake and utilisation of the intervention (MR-IGRT) is likely to be restricted in the short term due to the capital costs of establishing the technology</w:t>
      </w:r>
      <w:r w:rsidRPr="00CF5DB0">
        <w:rPr>
          <w:i/>
          <w:iCs/>
        </w:rPr>
        <w:t xml:space="preserve">. </w:t>
      </w:r>
    </w:p>
    <w:p w14:paraId="2DC94DA2" w14:textId="60BAFD61" w:rsidR="006F0FC0" w:rsidRDefault="00FF02DA" w:rsidP="000A55DD">
      <w:pPr>
        <w:spacing w:line="240" w:lineRule="auto"/>
        <w:rPr>
          <w:i/>
          <w:iCs/>
        </w:rPr>
      </w:pPr>
      <w:r w:rsidRPr="00FF02DA">
        <w:rPr>
          <w:i/>
          <w:iCs/>
        </w:rPr>
        <w:t>PASC also noted the potential for the new technology to require additional training. Radiation therapists, radiation oncologists, medical physicists and others may not be routinely trained in the use of MRI-IGRT. An accreditation program may be required. PASC advised that these issues should be assessed in the submission.</w:t>
      </w:r>
    </w:p>
    <w:p w14:paraId="130353DE" w14:textId="11A548AF" w:rsidR="00970093" w:rsidRPr="000A55DD" w:rsidRDefault="006F0FC0" w:rsidP="000A55DD">
      <w:pPr>
        <w:spacing w:line="240" w:lineRule="auto"/>
      </w:pPr>
      <w:r>
        <w:rPr>
          <w:i/>
          <w:iCs/>
        </w:rPr>
        <w:t>The Applicant noted that MRI Simulation is a regular process in many clinical cases currently receiving radiation therapy, so the MRI training topic is in part already in place. The Applicant advised that the IGRT workflow on the MR-Linac is the component of training associated with this technology, much like IGRT with CBCT is covered in conventional Linac training. MR-IGRT training is part of all installation programs. As with CBCT-IGRT, individual providers will have required competencies for staff.</w:t>
      </w:r>
    </w:p>
    <w:p w14:paraId="008B7A7C" w14:textId="3892CCF1" w:rsidR="002D2E8E" w:rsidRPr="000A55DD" w:rsidRDefault="00791029" w:rsidP="000A55DD">
      <w:pPr>
        <w:spacing w:line="240" w:lineRule="auto"/>
      </w:pPr>
      <w:r>
        <w:t>MR-linac workflows are still developing</w:t>
      </w:r>
      <w:r w:rsidR="00970093">
        <w:t>,</w:t>
      </w:r>
      <w:r>
        <w:t xml:space="preserve"> and the</w:t>
      </w:r>
      <w:r w:rsidR="00740BED">
        <w:t xml:space="preserve"> </w:t>
      </w:r>
      <w:r>
        <w:t>professional resources (</w:t>
      </w:r>
      <w:r w:rsidR="00970093">
        <w:t>radiation oncologist; p</w:t>
      </w:r>
      <w:r>
        <w:t>hysicist</w:t>
      </w:r>
      <w:r w:rsidR="00970093">
        <w:t>; and r</w:t>
      </w:r>
      <w:r>
        <w:t>adiati</w:t>
      </w:r>
      <w:r w:rsidR="00970093">
        <w:t>on therapist) needed at treatment d</w:t>
      </w:r>
      <w:r>
        <w:t>elivery may be higher</w:t>
      </w:r>
      <w:r w:rsidR="00970093">
        <w:t>,</w:t>
      </w:r>
      <w:r>
        <w:t xml:space="preserve"> than with current conventional CBCT Linacs.</w:t>
      </w:r>
      <w:r w:rsidR="009C6A28">
        <w:t xml:space="preserve"> </w:t>
      </w:r>
    </w:p>
    <w:p w14:paraId="2E081EAB" w14:textId="0ABC58C7" w:rsidR="00A9467F" w:rsidRDefault="00B3106D" w:rsidP="000A55DD">
      <w:pPr>
        <w:spacing w:line="240" w:lineRule="auto"/>
      </w:pPr>
      <w:r>
        <w:t xml:space="preserve">The </w:t>
      </w:r>
      <w:r w:rsidR="00907CA5">
        <w:t>A</w:t>
      </w:r>
      <w:r w:rsidR="00272077">
        <w:t>pplicant stated</w:t>
      </w:r>
      <w:r w:rsidR="00DB5E88">
        <w:t xml:space="preserve"> that many </w:t>
      </w:r>
      <w:r>
        <w:t xml:space="preserve">clinical tumour sites would be appropriate for use with </w:t>
      </w:r>
      <w:r w:rsidR="005D15E9">
        <w:t>MR</w:t>
      </w:r>
      <w:r w:rsidR="00DB5E88">
        <w:t>-</w:t>
      </w:r>
      <w:r w:rsidR="005D15E9">
        <w:t>IGRT</w:t>
      </w:r>
      <w:r w:rsidR="00970093">
        <w:t xml:space="preserve">, </w:t>
      </w:r>
      <w:r>
        <w:t>excluding patient</w:t>
      </w:r>
      <w:r w:rsidR="005D15E9">
        <w:t>s</w:t>
      </w:r>
      <w:r>
        <w:t xml:space="preserve"> with contraindications for MR</w:t>
      </w:r>
      <w:r w:rsidR="0043282C">
        <w:t>I</w:t>
      </w:r>
      <w:r w:rsidR="00DB5E88">
        <w:t>,</w:t>
      </w:r>
      <w:r>
        <w:t xml:space="preserve"> and obese patients unable to fit into the device. The </w:t>
      </w:r>
      <w:r w:rsidR="00907CA5">
        <w:t>A</w:t>
      </w:r>
      <w:r>
        <w:t xml:space="preserve">pplicant provided </w:t>
      </w:r>
      <w:r w:rsidRPr="00C216A0">
        <w:t>the curre</w:t>
      </w:r>
      <w:r w:rsidR="00DB5E88">
        <w:t xml:space="preserve">nt utilisation breakdown of </w:t>
      </w:r>
      <w:r w:rsidRPr="00C216A0">
        <w:t>MR-linac patient indications to date</w:t>
      </w:r>
      <w:r w:rsidR="00DB5E88">
        <w:t>,</w:t>
      </w:r>
      <w:r>
        <w:t xml:space="preserve"> along with 2015 cancer statistics for the Australian population</w:t>
      </w:r>
      <w:r w:rsidR="00A9467F">
        <w:t xml:space="preserve"> </w:t>
      </w:r>
      <w:r w:rsidR="00262DB6">
        <w:t>(</w:t>
      </w:r>
      <w:r w:rsidR="00262DB6">
        <w:fldChar w:fldCharType="begin"/>
      </w:r>
      <w:r w:rsidR="00262DB6">
        <w:instrText xml:space="preserve"> REF _Ref34814021 \h </w:instrText>
      </w:r>
      <w:r w:rsidR="00262DB6">
        <w:fldChar w:fldCharType="separate"/>
      </w:r>
      <w:r w:rsidR="00ED0534">
        <w:t xml:space="preserve">Table </w:t>
      </w:r>
      <w:r w:rsidR="00ED0534">
        <w:rPr>
          <w:noProof/>
        </w:rPr>
        <w:t>2</w:t>
      </w:r>
      <w:r w:rsidR="00262DB6">
        <w:fldChar w:fldCharType="end"/>
      </w:r>
      <w:r w:rsidR="00262DB6">
        <w:t>)</w:t>
      </w:r>
      <w:r>
        <w:t>.</w:t>
      </w:r>
      <w:r w:rsidR="009C6A28">
        <w:t xml:space="preserve"> </w:t>
      </w:r>
    </w:p>
    <w:p w14:paraId="35806540" w14:textId="67655E73" w:rsidR="00970093" w:rsidRDefault="00970093" w:rsidP="000A55DD">
      <w:pPr>
        <w:spacing w:line="240" w:lineRule="auto"/>
      </w:pPr>
      <w:r w:rsidRPr="00970093">
        <w:t>MRIGRT is currently not funded or reimbursed in Australia for any indication.</w:t>
      </w:r>
    </w:p>
    <w:p w14:paraId="1598FCE1" w14:textId="79AC1108" w:rsidR="00B3106D" w:rsidRPr="00A9467F" w:rsidRDefault="00A9467F" w:rsidP="00D31BE4">
      <w:pPr>
        <w:pStyle w:val="Caption"/>
      </w:pPr>
      <w:bookmarkStart w:id="4" w:name="_Ref34814021"/>
      <w:r>
        <w:t xml:space="preserve">Table </w:t>
      </w:r>
      <w:r>
        <w:fldChar w:fldCharType="begin"/>
      </w:r>
      <w:r>
        <w:instrText xml:space="preserve"> SEQ Table \* ARABIC </w:instrText>
      </w:r>
      <w:r>
        <w:fldChar w:fldCharType="separate"/>
      </w:r>
      <w:r w:rsidR="00ED0534">
        <w:rPr>
          <w:noProof/>
        </w:rPr>
        <w:t>2</w:t>
      </w:r>
      <w:r>
        <w:fldChar w:fldCharType="end"/>
      </w:r>
      <w:bookmarkEnd w:id="4"/>
      <w:r w:rsidR="00CC3BE3">
        <w:t xml:space="preserve">    </w:t>
      </w:r>
      <w:r>
        <w:t xml:space="preserve"> </w:t>
      </w:r>
      <w:r w:rsidR="00272077">
        <w:t>Applicant-</w:t>
      </w:r>
      <w:r w:rsidR="00262DB6">
        <w:t>provided curre</w:t>
      </w:r>
      <w:r w:rsidR="00272077">
        <w:t xml:space="preserve">nt utilisation breakdown of </w:t>
      </w:r>
      <w:r w:rsidR="00262DB6">
        <w:t>MR-linac patient indications to date</w:t>
      </w:r>
    </w:p>
    <w:tbl>
      <w:tblPr>
        <w:tblStyle w:val="TableGrid"/>
        <w:tblW w:w="0" w:type="auto"/>
        <w:tblLook w:val="04A0" w:firstRow="1" w:lastRow="0" w:firstColumn="1" w:lastColumn="0" w:noHBand="0" w:noVBand="1"/>
        <w:tblCaption w:val="Table 2"/>
        <w:tblDescription w:val="Table"/>
      </w:tblPr>
      <w:tblGrid>
        <w:gridCol w:w="2076"/>
        <w:gridCol w:w="2077"/>
        <w:gridCol w:w="2077"/>
        <w:gridCol w:w="2077"/>
      </w:tblGrid>
      <w:tr w:rsidR="00734451" w:rsidRPr="00DB5E88" w14:paraId="435FB85B" w14:textId="77777777" w:rsidTr="00E6659A">
        <w:trPr>
          <w:tblHeader/>
        </w:trPr>
        <w:tc>
          <w:tcPr>
            <w:tcW w:w="2076" w:type="dxa"/>
          </w:tcPr>
          <w:p w14:paraId="0BC01019" w14:textId="77777777" w:rsidR="00734451" w:rsidRPr="00DB5E88" w:rsidRDefault="00734451" w:rsidP="00D31BE4">
            <w:pPr>
              <w:spacing w:after="200" w:line="276" w:lineRule="auto"/>
              <w:rPr>
                <w:b/>
              </w:rPr>
            </w:pPr>
            <w:r w:rsidRPr="00DB5E88">
              <w:rPr>
                <w:b/>
              </w:rPr>
              <w:t>Indications</w:t>
            </w:r>
          </w:p>
        </w:tc>
        <w:tc>
          <w:tcPr>
            <w:tcW w:w="2077" w:type="dxa"/>
          </w:tcPr>
          <w:p w14:paraId="6236573C" w14:textId="77777777" w:rsidR="00734451" w:rsidRPr="00DB5E88" w:rsidRDefault="00734451" w:rsidP="00D31BE4">
            <w:pPr>
              <w:spacing w:after="200" w:line="276" w:lineRule="auto"/>
              <w:rPr>
                <w:b/>
              </w:rPr>
            </w:pPr>
            <w:r w:rsidRPr="00DB5E88">
              <w:rPr>
                <w:b/>
              </w:rPr>
              <w:t xml:space="preserve">Utilisation of </w:t>
            </w:r>
            <w:r>
              <w:rPr>
                <w:b/>
              </w:rPr>
              <w:br/>
            </w:r>
            <w:r w:rsidRPr="00DB5E88">
              <w:rPr>
                <w:b/>
              </w:rPr>
              <w:t>MR-linac</w:t>
            </w:r>
          </w:p>
        </w:tc>
        <w:tc>
          <w:tcPr>
            <w:tcW w:w="2077" w:type="dxa"/>
          </w:tcPr>
          <w:p w14:paraId="59BD95ED" w14:textId="77777777" w:rsidR="00734451" w:rsidRPr="00DB5E88" w:rsidRDefault="00734451" w:rsidP="00D31BE4">
            <w:pPr>
              <w:spacing w:after="200" w:line="276" w:lineRule="auto"/>
              <w:rPr>
                <w:b/>
              </w:rPr>
            </w:pPr>
            <w:r w:rsidRPr="00DB5E88">
              <w:rPr>
                <w:b/>
              </w:rPr>
              <w:t>2015 Incidence</w:t>
            </w:r>
            <w:r>
              <w:rPr>
                <w:b/>
              </w:rPr>
              <w:t xml:space="preserve"> in</w:t>
            </w:r>
            <w:r w:rsidRPr="00DB5E88">
              <w:rPr>
                <w:b/>
              </w:rPr>
              <w:t xml:space="preserve"> Australia</w:t>
            </w:r>
          </w:p>
        </w:tc>
        <w:tc>
          <w:tcPr>
            <w:tcW w:w="2077" w:type="dxa"/>
          </w:tcPr>
          <w:p w14:paraId="592D8BF9" w14:textId="77777777" w:rsidR="00734451" w:rsidRPr="00DB5E88" w:rsidRDefault="00734451" w:rsidP="00D31BE4">
            <w:pPr>
              <w:spacing w:after="200" w:line="276" w:lineRule="auto"/>
              <w:rPr>
                <w:b/>
              </w:rPr>
            </w:pPr>
            <w:r>
              <w:rPr>
                <w:b/>
              </w:rPr>
              <w:t>2015 N</w:t>
            </w:r>
            <w:r w:rsidRPr="00DB5E88">
              <w:rPr>
                <w:b/>
              </w:rPr>
              <w:t>umber of deaths Australia</w:t>
            </w:r>
          </w:p>
        </w:tc>
      </w:tr>
      <w:tr w:rsidR="00734451" w:rsidRPr="00DB5E88" w14:paraId="3332088F" w14:textId="77777777" w:rsidTr="000A55DD">
        <w:trPr>
          <w:trHeight w:val="260"/>
        </w:trPr>
        <w:tc>
          <w:tcPr>
            <w:tcW w:w="2076" w:type="dxa"/>
          </w:tcPr>
          <w:p w14:paraId="4A306049" w14:textId="77777777" w:rsidR="00734451" w:rsidRPr="00AB0CCC" w:rsidRDefault="00734451" w:rsidP="000A55DD">
            <w:r w:rsidRPr="00AB0CCC">
              <w:t>Brain/GBM</w:t>
            </w:r>
          </w:p>
        </w:tc>
        <w:tc>
          <w:tcPr>
            <w:tcW w:w="2077" w:type="dxa"/>
          </w:tcPr>
          <w:p w14:paraId="3CEAB992" w14:textId="77777777" w:rsidR="00734451" w:rsidRPr="00AB0CCC" w:rsidRDefault="00734451" w:rsidP="000A55DD">
            <w:r w:rsidRPr="00AB0CCC">
              <w:t>1%</w:t>
            </w:r>
          </w:p>
        </w:tc>
        <w:tc>
          <w:tcPr>
            <w:tcW w:w="2077" w:type="dxa"/>
          </w:tcPr>
          <w:p w14:paraId="13DDE2D8" w14:textId="77777777" w:rsidR="00734451" w:rsidRPr="00AB0CCC" w:rsidRDefault="00734451" w:rsidP="000A55DD">
            <w:r w:rsidRPr="00AB0CCC">
              <w:t>1,787</w:t>
            </w:r>
          </w:p>
        </w:tc>
        <w:tc>
          <w:tcPr>
            <w:tcW w:w="2077" w:type="dxa"/>
          </w:tcPr>
          <w:p w14:paraId="425432EA" w14:textId="77777777" w:rsidR="00734451" w:rsidRPr="00AB0CCC" w:rsidRDefault="00734451" w:rsidP="000A55DD">
            <w:r w:rsidRPr="00AB0CCC">
              <w:t>1,365</w:t>
            </w:r>
          </w:p>
        </w:tc>
      </w:tr>
      <w:tr w:rsidR="00734451" w:rsidRPr="00DB5E88" w14:paraId="6D03C13E" w14:textId="77777777" w:rsidTr="00D31BE4">
        <w:tc>
          <w:tcPr>
            <w:tcW w:w="2076" w:type="dxa"/>
          </w:tcPr>
          <w:p w14:paraId="217F2FB7" w14:textId="77777777" w:rsidR="00734451" w:rsidRPr="00AB0CCC" w:rsidRDefault="00734451" w:rsidP="000A55DD">
            <w:r w:rsidRPr="00AB0CCC">
              <w:t>Breast</w:t>
            </w:r>
          </w:p>
        </w:tc>
        <w:tc>
          <w:tcPr>
            <w:tcW w:w="2077" w:type="dxa"/>
          </w:tcPr>
          <w:p w14:paraId="27564A30" w14:textId="77777777" w:rsidR="00734451" w:rsidRPr="00AB0CCC" w:rsidRDefault="00734451" w:rsidP="000A55DD">
            <w:r w:rsidRPr="00AB0CCC">
              <w:t>6%</w:t>
            </w:r>
          </w:p>
        </w:tc>
        <w:tc>
          <w:tcPr>
            <w:tcW w:w="2077" w:type="dxa"/>
          </w:tcPr>
          <w:p w14:paraId="3468CA96" w14:textId="77777777" w:rsidR="00734451" w:rsidRPr="00AB0CCC" w:rsidRDefault="00734451" w:rsidP="000A55DD">
            <w:r w:rsidRPr="00AB0CCC">
              <w:t>17,004</w:t>
            </w:r>
          </w:p>
        </w:tc>
        <w:tc>
          <w:tcPr>
            <w:tcW w:w="2077" w:type="dxa"/>
          </w:tcPr>
          <w:p w14:paraId="3330AA58" w14:textId="77777777" w:rsidR="00734451" w:rsidRPr="00AB0CCC" w:rsidRDefault="00734451" w:rsidP="000A55DD">
            <w:r w:rsidRPr="00AB0CCC">
              <w:t>2,924</w:t>
            </w:r>
          </w:p>
        </w:tc>
      </w:tr>
      <w:tr w:rsidR="00734451" w:rsidRPr="00DB5E88" w14:paraId="4C371E09" w14:textId="77777777" w:rsidTr="00D31BE4">
        <w:tc>
          <w:tcPr>
            <w:tcW w:w="2076" w:type="dxa"/>
          </w:tcPr>
          <w:p w14:paraId="4419481B" w14:textId="77777777" w:rsidR="00734451" w:rsidRPr="00AB0CCC" w:rsidRDefault="00734451" w:rsidP="000A55DD">
            <w:r w:rsidRPr="00AB0CCC">
              <w:t>Oesophagus</w:t>
            </w:r>
          </w:p>
        </w:tc>
        <w:tc>
          <w:tcPr>
            <w:tcW w:w="2077" w:type="dxa"/>
          </w:tcPr>
          <w:p w14:paraId="18F012E5" w14:textId="77777777" w:rsidR="00734451" w:rsidRPr="00AB0CCC" w:rsidRDefault="00734451" w:rsidP="000A55DD">
            <w:r w:rsidRPr="00AB0CCC">
              <w:t>1%</w:t>
            </w:r>
          </w:p>
        </w:tc>
        <w:tc>
          <w:tcPr>
            <w:tcW w:w="2077" w:type="dxa"/>
          </w:tcPr>
          <w:p w14:paraId="4D11A1EC" w14:textId="77777777" w:rsidR="00734451" w:rsidRPr="00AB0CCC" w:rsidRDefault="00734451" w:rsidP="000A55DD">
            <w:r w:rsidRPr="00AB0CCC">
              <w:t>1,469</w:t>
            </w:r>
          </w:p>
        </w:tc>
        <w:tc>
          <w:tcPr>
            <w:tcW w:w="2077" w:type="dxa"/>
          </w:tcPr>
          <w:p w14:paraId="387DC68F" w14:textId="77777777" w:rsidR="00734451" w:rsidRPr="00AB0CCC" w:rsidRDefault="00734451" w:rsidP="000A55DD">
            <w:r w:rsidRPr="00AB0CCC">
              <w:t>1,312</w:t>
            </w:r>
          </w:p>
        </w:tc>
      </w:tr>
      <w:tr w:rsidR="00734451" w:rsidRPr="00DB5E88" w14:paraId="2AA71F8B" w14:textId="77777777" w:rsidTr="00D31BE4">
        <w:tc>
          <w:tcPr>
            <w:tcW w:w="2076" w:type="dxa"/>
          </w:tcPr>
          <w:p w14:paraId="7988210C" w14:textId="77777777" w:rsidR="00734451" w:rsidRPr="00AB0CCC" w:rsidRDefault="00734451" w:rsidP="000A55DD">
            <w:r w:rsidRPr="00AB0CCC">
              <w:t>Head&amp;Neck</w:t>
            </w:r>
          </w:p>
        </w:tc>
        <w:tc>
          <w:tcPr>
            <w:tcW w:w="2077" w:type="dxa"/>
          </w:tcPr>
          <w:p w14:paraId="7668CB22" w14:textId="77777777" w:rsidR="00734451" w:rsidRPr="00AB0CCC" w:rsidRDefault="00734451" w:rsidP="000A55DD">
            <w:r w:rsidRPr="00AB0CCC">
              <w:t>2%</w:t>
            </w:r>
          </w:p>
        </w:tc>
        <w:tc>
          <w:tcPr>
            <w:tcW w:w="2077" w:type="dxa"/>
          </w:tcPr>
          <w:p w14:paraId="2D45C845" w14:textId="77777777" w:rsidR="00734451" w:rsidRPr="00AB0CCC" w:rsidRDefault="00734451" w:rsidP="000A55DD">
            <w:r w:rsidRPr="00AB0CCC">
              <w:t>3,697</w:t>
            </w:r>
          </w:p>
        </w:tc>
        <w:tc>
          <w:tcPr>
            <w:tcW w:w="2077" w:type="dxa"/>
          </w:tcPr>
          <w:p w14:paraId="6920CEB7" w14:textId="77777777" w:rsidR="00734451" w:rsidRPr="00AB0CCC" w:rsidRDefault="00734451" w:rsidP="000A55DD">
            <w:r w:rsidRPr="00AB0CCC">
              <w:t>1,121</w:t>
            </w:r>
          </w:p>
        </w:tc>
      </w:tr>
      <w:tr w:rsidR="00734451" w:rsidRPr="00DB5E88" w14:paraId="4DC981D7" w14:textId="77777777" w:rsidTr="00D31BE4">
        <w:tc>
          <w:tcPr>
            <w:tcW w:w="2076" w:type="dxa"/>
          </w:tcPr>
          <w:p w14:paraId="6871E1E6" w14:textId="77777777" w:rsidR="00734451" w:rsidRPr="00AB0CCC" w:rsidRDefault="00734451" w:rsidP="000A55DD">
            <w:r w:rsidRPr="00AB0CCC">
              <w:t>Liver</w:t>
            </w:r>
          </w:p>
        </w:tc>
        <w:tc>
          <w:tcPr>
            <w:tcW w:w="2077" w:type="dxa"/>
          </w:tcPr>
          <w:p w14:paraId="73F41C8D" w14:textId="77777777" w:rsidR="00734451" w:rsidRPr="00AB0CCC" w:rsidRDefault="00734451" w:rsidP="000A55DD">
            <w:r w:rsidRPr="00AB0CCC">
              <w:t>8%</w:t>
            </w:r>
          </w:p>
        </w:tc>
        <w:tc>
          <w:tcPr>
            <w:tcW w:w="2077" w:type="dxa"/>
          </w:tcPr>
          <w:p w14:paraId="76F851EB" w14:textId="77777777" w:rsidR="00734451" w:rsidRPr="00AB0CCC" w:rsidRDefault="00734451" w:rsidP="000A55DD">
            <w:r w:rsidRPr="00AB0CCC">
              <w:t>2,079</w:t>
            </w:r>
          </w:p>
        </w:tc>
        <w:tc>
          <w:tcPr>
            <w:tcW w:w="2077" w:type="dxa"/>
          </w:tcPr>
          <w:p w14:paraId="2F6B9896" w14:textId="77777777" w:rsidR="00734451" w:rsidRPr="00AB0CCC" w:rsidRDefault="00734451" w:rsidP="000A55DD">
            <w:r w:rsidRPr="00AB0CCC">
              <w:t>1,785</w:t>
            </w:r>
          </w:p>
        </w:tc>
      </w:tr>
      <w:tr w:rsidR="00734451" w:rsidRPr="00DB5E88" w14:paraId="42DAB4CB" w14:textId="77777777" w:rsidTr="00D31BE4">
        <w:tc>
          <w:tcPr>
            <w:tcW w:w="2076" w:type="dxa"/>
          </w:tcPr>
          <w:p w14:paraId="4686FCA8" w14:textId="77777777" w:rsidR="00734451" w:rsidRPr="00AB0CCC" w:rsidRDefault="00734451" w:rsidP="000A55DD">
            <w:r w:rsidRPr="00AB0CCC">
              <w:t>Pancreas</w:t>
            </w:r>
          </w:p>
        </w:tc>
        <w:tc>
          <w:tcPr>
            <w:tcW w:w="2077" w:type="dxa"/>
          </w:tcPr>
          <w:p w14:paraId="439793EB" w14:textId="77777777" w:rsidR="00734451" w:rsidRPr="00AB0CCC" w:rsidRDefault="00734451" w:rsidP="000A55DD">
            <w:r w:rsidRPr="00AB0CCC">
              <w:t>3%</w:t>
            </w:r>
          </w:p>
        </w:tc>
        <w:tc>
          <w:tcPr>
            <w:tcW w:w="2077" w:type="dxa"/>
          </w:tcPr>
          <w:p w14:paraId="291284E0" w14:textId="77777777" w:rsidR="00734451" w:rsidRPr="00AB0CCC" w:rsidRDefault="00734451" w:rsidP="000A55DD">
            <w:r w:rsidRPr="00AB0CCC">
              <w:t>3,307</w:t>
            </w:r>
          </w:p>
        </w:tc>
        <w:tc>
          <w:tcPr>
            <w:tcW w:w="2077" w:type="dxa"/>
          </w:tcPr>
          <w:p w14:paraId="46804B6F" w14:textId="77777777" w:rsidR="00734451" w:rsidRPr="00AB0CCC" w:rsidRDefault="00734451" w:rsidP="000A55DD">
            <w:r w:rsidRPr="00AB0CCC">
              <w:t>2,911</w:t>
            </w:r>
          </w:p>
        </w:tc>
      </w:tr>
      <w:tr w:rsidR="00734451" w:rsidRPr="00DB5E88" w14:paraId="39E5DBD7" w14:textId="77777777" w:rsidTr="00D31BE4">
        <w:tc>
          <w:tcPr>
            <w:tcW w:w="2076" w:type="dxa"/>
          </w:tcPr>
          <w:p w14:paraId="5B56B6EC" w14:textId="77777777" w:rsidR="00734451" w:rsidRPr="00AB0CCC" w:rsidRDefault="00734451" w:rsidP="000A55DD">
            <w:r w:rsidRPr="00AB0CCC">
              <w:t>Prostate</w:t>
            </w:r>
          </w:p>
        </w:tc>
        <w:tc>
          <w:tcPr>
            <w:tcW w:w="2077" w:type="dxa"/>
          </w:tcPr>
          <w:p w14:paraId="28B45A25" w14:textId="77777777" w:rsidR="00734451" w:rsidRPr="00AB0CCC" w:rsidRDefault="00734451" w:rsidP="000A55DD">
            <w:r w:rsidRPr="00AB0CCC">
              <w:t>29%</w:t>
            </w:r>
          </w:p>
        </w:tc>
        <w:tc>
          <w:tcPr>
            <w:tcW w:w="2077" w:type="dxa"/>
          </w:tcPr>
          <w:p w14:paraId="29F31230" w14:textId="77777777" w:rsidR="00734451" w:rsidRPr="00AB0CCC" w:rsidRDefault="00734451" w:rsidP="000A55DD">
            <w:r w:rsidRPr="00AB0CCC">
              <w:t>18,878</w:t>
            </w:r>
          </w:p>
        </w:tc>
        <w:tc>
          <w:tcPr>
            <w:tcW w:w="2077" w:type="dxa"/>
          </w:tcPr>
          <w:p w14:paraId="6D0D7F9F" w14:textId="77777777" w:rsidR="00734451" w:rsidRPr="00AB0CCC" w:rsidRDefault="00734451" w:rsidP="000A55DD">
            <w:r w:rsidRPr="00AB0CCC">
              <w:t>3,159</w:t>
            </w:r>
          </w:p>
        </w:tc>
      </w:tr>
      <w:tr w:rsidR="00734451" w:rsidRPr="00DB5E88" w14:paraId="118736EA" w14:textId="77777777" w:rsidTr="00D31BE4">
        <w:tc>
          <w:tcPr>
            <w:tcW w:w="2076" w:type="dxa"/>
          </w:tcPr>
          <w:p w14:paraId="422FA24B" w14:textId="77777777" w:rsidR="00734451" w:rsidRPr="00AB0CCC" w:rsidRDefault="00734451" w:rsidP="000A55DD">
            <w:r w:rsidRPr="00AB0CCC">
              <w:t>Rectum</w:t>
            </w:r>
          </w:p>
        </w:tc>
        <w:tc>
          <w:tcPr>
            <w:tcW w:w="2077" w:type="dxa"/>
          </w:tcPr>
          <w:p w14:paraId="3871F342" w14:textId="77777777" w:rsidR="00734451" w:rsidRPr="00AB0CCC" w:rsidRDefault="00734451" w:rsidP="000A55DD">
            <w:r w:rsidRPr="00AB0CCC">
              <w:t>17%</w:t>
            </w:r>
          </w:p>
        </w:tc>
        <w:tc>
          <w:tcPr>
            <w:tcW w:w="2077" w:type="dxa"/>
          </w:tcPr>
          <w:p w14:paraId="068E06EB" w14:textId="77777777" w:rsidR="00734451" w:rsidRPr="00AB0CCC" w:rsidRDefault="00734451" w:rsidP="000A55DD">
            <w:r w:rsidRPr="00AB0CCC">
              <w:t>5,120</w:t>
            </w:r>
          </w:p>
        </w:tc>
        <w:tc>
          <w:tcPr>
            <w:tcW w:w="2077" w:type="dxa"/>
          </w:tcPr>
          <w:p w14:paraId="11AC13FB" w14:textId="77777777" w:rsidR="00734451" w:rsidRPr="00AB0CCC" w:rsidRDefault="00734451" w:rsidP="000A55DD">
            <w:r w:rsidRPr="00AB0CCC">
              <w:t>2,527</w:t>
            </w:r>
          </w:p>
        </w:tc>
      </w:tr>
      <w:tr w:rsidR="00734451" w:rsidRPr="00DB5E88" w14:paraId="4E4FBB37" w14:textId="77777777" w:rsidTr="00D31BE4">
        <w:tc>
          <w:tcPr>
            <w:tcW w:w="2076" w:type="dxa"/>
          </w:tcPr>
          <w:p w14:paraId="0B52615D" w14:textId="77777777" w:rsidR="00734451" w:rsidRPr="00AB0CCC" w:rsidRDefault="00734451" w:rsidP="000A55DD">
            <w:r w:rsidRPr="00AB0CCC">
              <w:t>Oligometastatic</w:t>
            </w:r>
          </w:p>
        </w:tc>
        <w:tc>
          <w:tcPr>
            <w:tcW w:w="2077" w:type="dxa"/>
          </w:tcPr>
          <w:p w14:paraId="726DE2A8" w14:textId="77777777" w:rsidR="00734451" w:rsidRPr="00AB0CCC" w:rsidRDefault="00734451" w:rsidP="000A55DD">
            <w:r w:rsidRPr="00AB0CCC">
              <w:t>22%</w:t>
            </w:r>
          </w:p>
        </w:tc>
        <w:tc>
          <w:tcPr>
            <w:tcW w:w="2077" w:type="dxa"/>
          </w:tcPr>
          <w:p w14:paraId="7C9D37DF" w14:textId="77777777" w:rsidR="00734451" w:rsidRPr="00AB0CCC" w:rsidRDefault="00734451" w:rsidP="000A55DD"/>
        </w:tc>
        <w:tc>
          <w:tcPr>
            <w:tcW w:w="2077" w:type="dxa"/>
          </w:tcPr>
          <w:p w14:paraId="36755522" w14:textId="77777777" w:rsidR="00734451" w:rsidRPr="00AB0CCC" w:rsidRDefault="00734451" w:rsidP="000A55DD"/>
        </w:tc>
      </w:tr>
      <w:tr w:rsidR="00734451" w:rsidRPr="00DB5E88" w14:paraId="78D4D361" w14:textId="77777777" w:rsidTr="00D31BE4">
        <w:tc>
          <w:tcPr>
            <w:tcW w:w="2076" w:type="dxa"/>
          </w:tcPr>
          <w:p w14:paraId="63CDF9DB" w14:textId="77777777" w:rsidR="00734451" w:rsidRPr="00AB0CCC" w:rsidRDefault="00734451" w:rsidP="000A55DD">
            <w:r w:rsidRPr="00AB0CCC">
              <w:t>Bone</w:t>
            </w:r>
          </w:p>
        </w:tc>
        <w:tc>
          <w:tcPr>
            <w:tcW w:w="2077" w:type="dxa"/>
          </w:tcPr>
          <w:p w14:paraId="6FF72E55" w14:textId="77777777" w:rsidR="00734451" w:rsidRPr="00AB0CCC" w:rsidRDefault="00734451" w:rsidP="000A55DD">
            <w:r w:rsidRPr="00AB0CCC">
              <w:t>6%</w:t>
            </w:r>
          </w:p>
        </w:tc>
        <w:tc>
          <w:tcPr>
            <w:tcW w:w="2077" w:type="dxa"/>
          </w:tcPr>
          <w:p w14:paraId="78B962AB" w14:textId="77777777" w:rsidR="00734451" w:rsidRPr="00AB0CCC" w:rsidRDefault="00734451" w:rsidP="000A55DD">
            <w:r w:rsidRPr="00AB0CCC">
              <w:t>255</w:t>
            </w:r>
          </w:p>
        </w:tc>
        <w:tc>
          <w:tcPr>
            <w:tcW w:w="2077" w:type="dxa"/>
          </w:tcPr>
          <w:p w14:paraId="7B0B3A9F" w14:textId="77777777" w:rsidR="00734451" w:rsidRPr="00AB0CCC" w:rsidRDefault="00734451" w:rsidP="000A55DD">
            <w:r w:rsidRPr="00AB0CCC">
              <w:t>101</w:t>
            </w:r>
          </w:p>
        </w:tc>
      </w:tr>
      <w:tr w:rsidR="00734451" w:rsidRPr="00DB5E88" w14:paraId="7F1A552F" w14:textId="77777777" w:rsidTr="00D31BE4">
        <w:tc>
          <w:tcPr>
            <w:tcW w:w="2076" w:type="dxa"/>
          </w:tcPr>
          <w:p w14:paraId="17BE268E" w14:textId="77777777" w:rsidR="00734451" w:rsidRPr="00AB0CCC" w:rsidRDefault="00734451" w:rsidP="000A55DD">
            <w:r w:rsidRPr="00AB0CCC">
              <w:t>Nodal boosts</w:t>
            </w:r>
          </w:p>
        </w:tc>
        <w:tc>
          <w:tcPr>
            <w:tcW w:w="2077" w:type="dxa"/>
          </w:tcPr>
          <w:p w14:paraId="74D9C1DE" w14:textId="77777777" w:rsidR="00734451" w:rsidRPr="00AB0CCC" w:rsidRDefault="00734451" w:rsidP="000A55DD">
            <w:r w:rsidRPr="00AB0CCC">
              <w:t>1%</w:t>
            </w:r>
          </w:p>
        </w:tc>
        <w:tc>
          <w:tcPr>
            <w:tcW w:w="2077" w:type="dxa"/>
          </w:tcPr>
          <w:p w14:paraId="60EF48E6" w14:textId="77777777" w:rsidR="00734451" w:rsidRPr="00AB0CCC" w:rsidRDefault="00734451" w:rsidP="000A55DD"/>
        </w:tc>
        <w:tc>
          <w:tcPr>
            <w:tcW w:w="2077" w:type="dxa"/>
          </w:tcPr>
          <w:p w14:paraId="56CC8515" w14:textId="77777777" w:rsidR="00734451" w:rsidRPr="00AB0CCC" w:rsidRDefault="00734451" w:rsidP="000A55DD"/>
        </w:tc>
      </w:tr>
      <w:tr w:rsidR="00734451" w:rsidRPr="00DB5E88" w14:paraId="59D75B68" w14:textId="77777777" w:rsidTr="00D31BE4">
        <w:tc>
          <w:tcPr>
            <w:tcW w:w="2076" w:type="dxa"/>
          </w:tcPr>
          <w:p w14:paraId="3042F51F" w14:textId="77777777" w:rsidR="00734451" w:rsidRPr="00AB0CCC" w:rsidRDefault="00734451" w:rsidP="000A55DD">
            <w:r w:rsidRPr="00AB0CCC">
              <w:t>Lung</w:t>
            </w:r>
          </w:p>
        </w:tc>
        <w:tc>
          <w:tcPr>
            <w:tcW w:w="2077" w:type="dxa"/>
          </w:tcPr>
          <w:p w14:paraId="13C26248" w14:textId="77777777" w:rsidR="00734451" w:rsidRPr="00AB0CCC" w:rsidRDefault="00734451" w:rsidP="000A55DD">
            <w:r w:rsidRPr="00AB0CCC">
              <w:t>1%</w:t>
            </w:r>
          </w:p>
        </w:tc>
        <w:tc>
          <w:tcPr>
            <w:tcW w:w="2077" w:type="dxa"/>
          </w:tcPr>
          <w:p w14:paraId="23412A97" w14:textId="77777777" w:rsidR="00734451" w:rsidRPr="00AB0CCC" w:rsidRDefault="00734451" w:rsidP="000A55DD">
            <w:r w:rsidRPr="00AB0CCC">
              <w:t>11,788</w:t>
            </w:r>
          </w:p>
        </w:tc>
        <w:tc>
          <w:tcPr>
            <w:tcW w:w="2077" w:type="dxa"/>
          </w:tcPr>
          <w:p w14:paraId="160BB2CF" w14:textId="77777777" w:rsidR="00734451" w:rsidRPr="00AB0CCC" w:rsidRDefault="00734451" w:rsidP="000A55DD">
            <w:r w:rsidRPr="00AB0CCC">
              <w:t>8,416</w:t>
            </w:r>
          </w:p>
        </w:tc>
      </w:tr>
      <w:tr w:rsidR="00734451" w:rsidRPr="00DB5E88" w14:paraId="4610013D" w14:textId="77777777" w:rsidTr="00D31BE4">
        <w:tc>
          <w:tcPr>
            <w:tcW w:w="2076" w:type="dxa"/>
          </w:tcPr>
          <w:p w14:paraId="35DA8511" w14:textId="77777777" w:rsidR="00734451" w:rsidRPr="00AB0CCC" w:rsidRDefault="00734451" w:rsidP="000A55DD">
            <w:r w:rsidRPr="00AB0CCC">
              <w:t>Larynx</w:t>
            </w:r>
          </w:p>
        </w:tc>
        <w:tc>
          <w:tcPr>
            <w:tcW w:w="2077" w:type="dxa"/>
          </w:tcPr>
          <w:p w14:paraId="1B2FA050" w14:textId="77777777" w:rsidR="00734451" w:rsidRPr="00AB0CCC" w:rsidRDefault="00734451" w:rsidP="000A55DD">
            <w:r w:rsidRPr="00AB0CCC">
              <w:t>2%</w:t>
            </w:r>
          </w:p>
        </w:tc>
        <w:tc>
          <w:tcPr>
            <w:tcW w:w="2077" w:type="dxa"/>
          </w:tcPr>
          <w:p w14:paraId="0D25ED50" w14:textId="77777777" w:rsidR="00734451" w:rsidRPr="00AB0CCC" w:rsidRDefault="00734451" w:rsidP="000A55DD">
            <w:r w:rsidRPr="00AB0CCC">
              <w:t>638</w:t>
            </w:r>
          </w:p>
        </w:tc>
        <w:tc>
          <w:tcPr>
            <w:tcW w:w="2077" w:type="dxa"/>
          </w:tcPr>
          <w:p w14:paraId="030DDE26" w14:textId="77777777" w:rsidR="00734451" w:rsidRPr="00AB0CCC" w:rsidRDefault="00734451" w:rsidP="000A55DD">
            <w:r w:rsidRPr="00AB0CCC">
              <w:t>212</w:t>
            </w:r>
          </w:p>
        </w:tc>
      </w:tr>
    </w:tbl>
    <w:p w14:paraId="5D7CA825" w14:textId="01A94A64" w:rsidR="00DB5E88" w:rsidRDefault="00DB5E88">
      <w:pPr>
        <w:rPr>
          <w:b/>
        </w:rPr>
      </w:pPr>
    </w:p>
    <w:p w14:paraId="08EF8C0E" w14:textId="62A47EAB" w:rsidR="006E0F6F" w:rsidRPr="00ED0534" w:rsidRDefault="00896845" w:rsidP="00ED0534">
      <w:pPr>
        <w:spacing w:after="60"/>
        <w:rPr>
          <w:b/>
          <w:color w:val="00B0F0"/>
          <w:sz w:val="32"/>
          <w:szCs w:val="32"/>
        </w:rPr>
      </w:pPr>
      <w:r w:rsidRPr="00272077">
        <w:rPr>
          <w:b/>
          <w:color w:val="00B0F0"/>
          <w:sz w:val="32"/>
          <w:szCs w:val="32"/>
        </w:rPr>
        <w:lastRenderedPageBreak/>
        <w:t>C</w:t>
      </w:r>
      <w:r w:rsidR="00272077">
        <w:rPr>
          <w:b/>
          <w:color w:val="00B0F0"/>
          <w:sz w:val="32"/>
          <w:szCs w:val="32"/>
        </w:rPr>
        <w:t>OMPARATOR</w:t>
      </w:r>
    </w:p>
    <w:p w14:paraId="3E3CCB26" w14:textId="4078DA9C" w:rsidR="00FF2F6E" w:rsidRDefault="00DF7026" w:rsidP="005D7B50">
      <w:pPr>
        <w:rPr>
          <w:shd w:val="clear" w:color="auto" w:fill="FFFFFF"/>
        </w:rPr>
      </w:pPr>
      <w:r>
        <w:rPr>
          <w:shd w:val="clear" w:color="auto" w:fill="FFFFFF"/>
        </w:rPr>
        <w:t>The c</w:t>
      </w:r>
      <w:r w:rsidR="00D0584C">
        <w:rPr>
          <w:shd w:val="clear" w:color="auto" w:fill="FFFFFF"/>
        </w:rPr>
        <w:t>omparator is</w:t>
      </w:r>
      <w:r w:rsidR="000F3518">
        <w:rPr>
          <w:shd w:val="clear" w:color="auto" w:fill="FFFFFF"/>
        </w:rPr>
        <w:t xml:space="preserve"> cone beam </w:t>
      </w:r>
      <w:r w:rsidR="00970093">
        <w:rPr>
          <w:shd w:val="clear" w:color="auto" w:fill="FFFFFF"/>
        </w:rPr>
        <w:t>computed tomography (CBCT)-</w:t>
      </w:r>
      <w:r w:rsidR="00D0584C">
        <w:rPr>
          <w:shd w:val="clear" w:color="auto" w:fill="FFFFFF"/>
        </w:rPr>
        <w:t>guided radiation therapy</w:t>
      </w:r>
      <w:r w:rsidR="00200D9C">
        <w:rPr>
          <w:shd w:val="clear" w:color="auto" w:fill="FFFFFF"/>
        </w:rPr>
        <w:t xml:space="preserve">. </w:t>
      </w:r>
      <w:r w:rsidR="004D0D3C">
        <w:rPr>
          <w:shd w:val="clear" w:color="auto" w:fill="FFFFFF"/>
        </w:rPr>
        <w:t>U</w:t>
      </w:r>
      <w:r w:rsidR="00970093">
        <w:rPr>
          <w:shd w:val="clear" w:color="auto" w:fill="FFFFFF"/>
        </w:rPr>
        <w:t xml:space="preserve">nlike </w:t>
      </w:r>
      <w:r w:rsidR="00970093">
        <w:rPr>
          <w:shd w:val="clear" w:color="auto" w:fill="FFFFFF"/>
        </w:rPr>
        <w:br/>
        <w:t>MR-IG</w:t>
      </w:r>
      <w:r w:rsidR="002B6B1B">
        <w:rPr>
          <w:shd w:val="clear" w:color="auto" w:fill="FFFFFF"/>
        </w:rPr>
        <w:t xml:space="preserve">RT, </w:t>
      </w:r>
      <w:r w:rsidR="000F3518">
        <w:rPr>
          <w:shd w:val="clear" w:color="auto" w:fill="FFFFFF"/>
        </w:rPr>
        <w:t>CBCT can only be used preceding, not during, each daily treatment</w:t>
      </w:r>
      <w:r w:rsidR="00970093">
        <w:rPr>
          <w:shd w:val="clear" w:color="auto" w:fill="FFFFFF"/>
        </w:rPr>
        <w:t xml:space="preserve">, and therefore does not allow </w:t>
      </w:r>
      <w:r w:rsidR="000F3518">
        <w:rPr>
          <w:shd w:val="clear" w:color="auto" w:fill="FFFFFF"/>
        </w:rPr>
        <w:t>optimal imaging of tumours and OAR</w:t>
      </w:r>
      <w:r w:rsidR="00970093">
        <w:rPr>
          <w:shd w:val="clear" w:color="auto" w:fill="FFFFFF"/>
        </w:rPr>
        <w:t>,</w:t>
      </w:r>
      <w:r w:rsidR="000F3518">
        <w:rPr>
          <w:shd w:val="clear" w:color="auto" w:fill="FFFFFF"/>
        </w:rPr>
        <w:t xml:space="preserve"> when tumour is surrounded by soft tissues </w:t>
      </w:r>
      <w:r w:rsidR="002B6B1B">
        <w:rPr>
          <w:shd w:val="clear" w:color="auto" w:fill="FFFFFF"/>
        </w:rPr>
        <w:fldChar w:fldCharType="begin">
          <w:fldData xml:space="preserve">PEVuZE5vdGU+PENpdGU+PEF1dGhvcj5LZXJrbWVpamVyPC9BdXRob3I+PFllYXI+MjAxNjwvWWVh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=
</w:fldData>
        </w:fldChar>
      </w:r>
      <w:r w:rsidR="002B6B1B">
        <w:rPr>
          <w:shd w:val="clear" w:color="auto" w:fill="FFFFFF"/>
        </w:rPr>
        <w:instrText xml:space="preserve"> ADDIN EN.CITE </w:instrText>
      </w:r>
      <w:r w:rsidR="002B6B1B">
        <w:rPr>
          <w:shd w:val="clear" w:color="auto" w:fill="FFFFFF"/>
        </w:rPr>
        <w:fldChar w:fldCharType="begin">
          <w:fldData xml:space="preserve">PEVuZE5vdGU+PENpdGU+PEF1dGhvcj5LZXJrbWVpamVyPC9BdXRob3I+PFllYXI+MjAxNjwvWWVh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=
</w:fldData>
        </w:fldChar>
      </w:r>
      <w:r w:rsidR="002B6B1B">
        <w:rPr>
          <w:shd w:val="clear" w:color="auto" w:fill="FFFFFF"/>
        </w:rPr>
        <w:instrText xml:space="preserve"> ADDIN EN.CITE.DATA </w:instrText>
      </w:r>
      <w:r w:rsidR="002B6B1B">
        <w:rPr>
          <w:shd w:val="clear" w:color="auto" w:fill="FFFFFF"/>
        </w:rPr>
      </w:r>
      <w:r w:rsidR="002B6B1B">
        <w:rPr>
          <w:shd w:val="clear" w:color="auto" w:fill="FFFFFF"/>
        </w:rPr>
        <w:fldChar w:fldCharType="end"/>
      </w:r>
      <w:r w:rsidR="002B6B1B">
        <w:rPr>
          <w:shd w:val="clear" w:color="auto" w:fill="FFFFFF"/>
        </w:rPr>
      </w:r>
      <w:r w:rsidR="002B6B1B">
        <w:rPr>
          <w:shd w:val="clear" w:color="auto" w:fill="FFFFFF"/>
        </w:rPr>
        <w:fldChar w:fldCharType="separate"/>
      </w:r>
      <w:r w:rsidR="002B6B1B">
        <w:rPr>
          <w:noProof/>
          <w:shd w:val="clear" w:color="auto" w:fill="FFFFFF"/>
        </w:rPr>
        <w:t>(Kerkmeijer et al., 2016)</w:t>
      </w:r>
      <w:r w:rsidR="002B6B1B">
        <w:rPr>
          <w:shd w:val="clear" w:color="auto" w:fill="FFFFFF"/>
        </w:rPr>
        <w:fldChar w:fldCharType="end"/>
      </w:r>
      <w:r w:rsidR="00B22660">
        <w:rPr>
          <w:shd w:val="clear" w:color="auto" w:fill="FFFFFF"/>
        </w:rPr>
        <w:t>.</w:t>
      </w:r>
    </w:p>
    <w:p w14:paraId="77677A38" w14:textId="243BC25E" w:rsidR="00EF2EA9" w:rsidRPr="00EF2EA9" w:rsidRDefault="00EF2EA9" w:rsidP="005D7B50">
      <w:pPr>
        <w:rPr>
          <w:i/>
          <w:iCs/>
        </w:rPr>
      </w:pPr>
      <w:r w:rsidRPr="00EF2EA9">
        <w:rPr>
          <w:i/>
          <w:iCs/>
        </w:rPr>
        <w:t>PASC confirmed the proposed comparator.</w:t>
      </w:r>
    </w:p>
    <w:p w14:paraId="1D2729F2" w14:textId="102F0FF3" w:rsidR="00F91386" w:rsidRDefault="00D0584C" w:rsidP="00DB5E88">
      <w:pPr>
        <w:spacing w:after="120"/>
      </w:pPr>
      <w:r>
        <w:t xml:space="preserve">The </w:t>
      </w:r>
      <w:r w:rsidR="00907CA5">
        <w:t>A</w:t>
      </w:r>
      <w:r w:rsidR="00DF7026">
        <w:t>pplicant proposed</w:t>
      </w:r>
      <w:r>
        <w:t xml:space="preserve"> that </w:t>
      </w:r>
      <w:r w:rsidR="005D15E9">
        <w:t>MR</w:t>
      </w:r>
      <w:r w:rsidR="00970093">
        <w:t>-</w:t>
      </w:r>
      <w:r w:rsidR="005D15E9">
        <w:t>IGRT</w:t>
      </w:r>
      <w:r w:rsidR="005D7B50">
        <w:t xml:space="preserve"> is </w:t>
      </w:r>
      <w:r>
        <w:t>expected to be used</w:t>
      </w:r>
      <w:r w:rsidR="005D7B50">
        <w:t xml:space="preserve"> </w:t>
      </w:r>
      <w:r>
        <w:t>as a replacement to current practice</w:t>
      </w:r>
      <w:r w:rsidR="006C2630">
        <w:t>. The extent to which the current</w:t>
      </w:r>
      <w:r w:rsidR="003B2A4F">
        <w:t xml:space="preserve"> standard of IGRT delivery </w:t>
      </w:r>
      <w:r w:rsidR="003309BF">
        <w:t>(</w:t>
      </w:r>
      <w:r w:rsidR="003B2A4F">
        <w:t>using CBCT imaging system</w:t>
      </w:r>
      <w:r w:rsidR="003309BF">
        <w:t>)</w:t>
      </w:r>
      <w:r w:rsidR="006C2630">
        <w:t xml:space="preserve"> </w:t>
      </w:r>
      <w:r w:rsidR="00BE5B13">
        <w:t>would</w:t>
      </w:r>
      <w:r w:rsidR="006C2630">
        <w:t xml:space="preserve"> </w:t>
      </w:r>
      <w:r w:rsidR="00BE5B13">
        <w:t xml:space="preserve">be </w:t>
      </w:r>
      <w:r w:rsidR="003B2A4F">
        <w:t>substituted</w:t>
      </w:r>
      <w:r w:rsidR="006C2630">
        <w:t xml:space="preserve"> with </w:t>
      </w:r>
      <w:r w:rsidR="005D15E9">
        <w:t>MR</w:t>
      </w:r>
      <w:r w:rsidR="00970093">
        <w:t>-</w:t>
      </w:r>
      <w:r w:rsidR="005D15E9">
        <w:t>IGRT</w:t>
      </w:r>
      <w:r w:rsidR="006C2630">
        <w:t xml:space="preserve"> </w:t>
      </w:r>
      <w:r w:rsidR="009A0280">
        <w:t>may be difficult to estimate</w:t>
      </w:r>
      <w:r w:rsidR="003309BF">
        <w:t xml:space="preserve">, because </w:t>
      </w:r>
      <w:r w:rsidR="005D15E9">
        <w:t>MR</w:t>
      </w:r>
      <w:r w:rsidR="003309BF">
        <w:t>-</w:t>
      </w:r>
      <w:r w:rsidR="005D15E9">
        <w:t>IGRT</w:t>
      </w:r>
      <w:r w:rsidR="009A0280">
        <w:t xml:space="preserve"> is a relatively novel technique. </w:t>
      </w:r>
      <w:r w:rsidR="001C73AC">
        <w:t>The upt</w:t>
      </w:r>
      <w:r w:rsidR="009A0280">
        <w:t xml:space="preserve">ake of </w:t>
      </w:r>
      <w:r w:rsidR="005D15E9">
        <w:t>MR</w:t>
      </w:r>
      <w:r w:rsidR="003309BF">
        <w:t>-</w:t>
      </w:r>
      <w:r w:rsidR="005D15E9">
        <w:t>IGRT</w:t>
      </w:r>
      <w:r w:rsidR="009A0280">
        <w:t xml:space="preserve"> is</w:t>
      </w:r>
      <w:r w:rsidR="00BE5B13">
        <w:t xml:space="preserve"> likely to </w:t>
      </w:r>
      <w:r w:rsidR="0093066F">
        <w:t>depend on access to the service</w:t>
      </w:r>
      <w:r w:rsidR="009A0280">
        <w:t>, resources</w:t>
      </w:r>
      <w:r w:rsidR="003309BF">
        <w:t xml:space="preserve"> and clinical indications. The A</w:t>
      </w:r>
      <w:r w:rsidR="00BE5B13">
        <w:t xml:space="preserve">pplication </w:t>
      </w:r>
      <w:r w:rsidR="003309BF">
        <w:t xml:space="preserve">Form </w:t>
      </w:r>
      <w:r w:rsidR="00BE5B13">
        <w:t xml:space="preserve">states that MR-linac will introduce a clinical choice for tumour </w:t>
      </w:r>
      <w:r w:rsidR="004D0D3C">
        <w:t>sites</w:t>
      </w:r>
      <w:r w:rsidR="003309BF">
        <w:t>,</w:t>
      </w:r>
      <w:r w:rsidR="004D0D3C">
        <w:t xml:space="preserve"> </w:t>
      </w:r>
      <w:r w:rsidR="003309BF">
        <w:t xml:space="preserve">which </w:t>
      </w:r>
      <w:r w:rsidR="00BE5B13">
        <w:t>demonstrate</w:t>
      </w:r>
      <w:r w:rsidR="003309BF">
        <w:t>s</w:t>
      </w:r>
      <w:r w:rsidR="00BE5B13">
        <w:t xml:space="preserve"> </w:t>
      </w:r>
      <w:r w:rsidR="003309BF">
        <w:t xml:space="preserve">the </w:t>
      </w:r>
      <w:r w:rsidR="00BE5B13">
        <w:t>benefit of reduced target volume margins and hypofractionated</w:t>
      </w:r>
      <w:r w:rsidR="00907CA5">
        <w:t xml:space="preserve"> (shorter)</w:t>
      </w:r>
      <w:r w:rsidR="00BE5B13">
        <w:t xml:space="preserve"> courses.</w:t>
      </w:r>
    </w:p>
    <w:p w14:paraId="78839BC4" w14:textId="74068820" w:rsidR="00F757FD" w:rsidRPr="00F757FD" w:rsidRDefault="00F757FD" w:rsidP="00DB5E88">
      <w:pPr>
        <w:spacing w:after="120"/>
        <w:rPr>
          <w:i/>
        </w:rPr>
      </w:pPr>
      <w:r>
        <w:rPr>
          <w:i/>
        </w:rPr>
        <w:t>The Applicant advised that the application is specifically for use of the IGRT MBS Item with MR-L</w:t>
      </w:r>
      <w:r w:rsidR="005023B8">
        <w:rPr>
          <w:i/>
        </w:rPr>
        <w:t>i</w:t>
      </w:r>
      <w:r>
        <w:rPr>
          <w:i/>
        </w:rPr>
        <w:t>nac devices, with MRI being the imaging for IGRT.</w:t>
      </w:r>
    </w:p>
    <w:p w14:paraId="112EB62F" w14:textId="68F578C6" w:rsidR="00896845" w:rsidRPr="00272077" w:rsidRDefault="002B3338" w:rsidP="00DF7026">
      <w:pPr>
        <w:spacing w:after="0"/>
        <w:rPr>
          <w:b/>
          <w:sz w:val="24"/>
          <w:szCs w:val="24"/>
          <w:u w:val="single"/>
        </w:rPr>
      </w:pPr>
      <w:r w:rsidRPr="00272077">
        <w:rPr>
          <w:b/>
          <w:sz w:val="24"/>
          <w:szCs w:val="24"/>
          <w:u w:val="single"/>
        </w:rPr>
        <w:t>Rationale</w:t>
      </w:r>
    </w:p>
    <w:p w14:paraId="55124D14" w14:textId="77C27A64" w:rsidR="00ED0534" w:rsidRPr="00ED0534" w:rsidRDefault="001C73AC" w:rsidP="00ED0534">
      <w:pPr>
        <w:spacing w:after="120"/>
      </w:pPr>
      <w:r>
        <w:rPr>
          <w:color w:val="000000"/>
          <w:shd w:val="clear" w:color="auto" w:fill="FFFFFF"/>
        </w:rPr>
        <w:t>Currently</w:t>
      </w:r>
      <w:r w:rsidR="00CC3BE3">
        <w:rPr>
          <w:color w:val="000000"/>
          <w:shd w:val="clear" w:color="auto" w:fill="FFFFFF"/>
        </w:rPr>
        <w:t>,</w:t>
      </w:r>
      <w:r>
        <w:rPr>
          <w:color w:val="000000"/>
          <w:shd w:val="clear" w:color="auto" w:fill="FFFFFF"/>
        </w:rPr>
        <w:t xml:space="preserve"> IGRT can be performed using many systems and techniques, including ultrasound, </w:t>
      </w:r>
      <w:r w:rsidR="00715832">
        <w:rPr>
          <w:color w:val="000000"/>
          <w:shd w:val="clear" w:color="auto" w:fill="FFFFFF"/>
        </w:rPr>
        <w:t>magnetic resonance imaging (</w:t>
      </w:r>
      <w:r>
        <w:rPr>
          <w:color w:val="000000"/>
          <w:shd w:val="clear" w:color="auto" w:fill="FFFFFF"/>
        </w:rPr>
        <w:t>MRI</w:t>
      </w:r>
      <w:r w:rsidR="00715832">
        <w:rPr>
          <w:color w:val="000000"/>
          <w:shd w:val="clear" w:color="auto" w:fill="FFFFFF"/>
        </w:rPr>
        <w:t>)</w:t>
      </w:r>
      <w:r>
        <w:rPr>
          <w:color w:val="000000"/>
          <w:shd w:val="clear" w:color="auto" w:fill="FFFFFF"/>
        </w:rPr>
        <w:t xml:space="preserve">, radiographic and fluoroscopic imaging and CT guided systems. </w:t>
      </w:r>
      <w:r w:rsidRPr="00B22660">
        <w:rPr>
          <w:color w:val="000000"/>
          <w:shd w:val="clear" w:color="auto" w:fill="FFFFFF"/>
        </w:rPr>
        <w:t>The type of system used depend</w:t>
      </w:r>
      <w:r w:rsidR="004D0D3C">
        <w:rPr>
          <w:color w:val="000000"/>
          <w:shd w:val="clear" w:color="auto" w:fill="FFFFFF"/>
        </w:rPr>
        <w:t>s</w:t>
      </w:r>
      <w:r w:rsidR="003309BF">
        <w:rPr>
          <w:color w:val="000000"/>
          <w:shd w:val="clear" w:color="auto" w:fill="FFFFFF"/>
        </w:rPr>
        <w:t xml:space="preserve"> on resources in</w:t>
      </w:r>
      <w:r w:rsidRPr="00B22660">
        <w:rPr>
          <w:color w:val="000000"/>
          <w:shd w:val="clear" w:color="auto" w:fill="FFFFFF"/>
        </w:rPr>
        <w:t xml:space="preserve"> departments</w:t>
      </w:r>
      <w:r w:rsidR="003309BF">
        <w:rPr>
          <w:color w:val="000000"/>
          <w:shd w:val="clear" w:color="auto" w:fill="FFFFFF"/>
        </w:rPr>
        <w:t xml:space="preserve">, and </w:t>
      </w:r>
      <w:r w:rsidRPr="00B22660">
        <w:rPr>
          <w:color w:val="000000"/>
          <w:shd w:val="clear" w:color="auto" w:fill="FFFFFF"/>
        </w:rPr>
        <w:t>accuracy of the</w:t>
      </w:r>
      <w:r>
        <w:rPr>
          <w:color w:val="000000"/>
          <w:shd w:val="clear" w:color="auto" w:fill="FFFFFF"/>
        </w:rPr>
        <w:t xml:space="preserve"> </w:t>
      </w:r>
      <w:r w:rsidRPr="00B22660">
        <w:rPr>
          <w:color w:val="000000"/>
          <w:shd w:val="clear" w:color="auto" w:fill="FFFFFF"/>
        </w:rPr>
        <w:t>type of treat</w:t>
      </w:r>
      <w:r>
        <w:rPr>
          <w:color w:val="000000"/>
          <w:shd w:val="clear" w:color="auto" w:fill="FFFFFF"/>
        </w:rPr>
        <w:t>ments to be delivered</w:t>
      </w:r>
      <w:r w:rsidR="003309BF">
        <w:rPr>
          <w:color w:val="000000"/>
          <w:shd w:val="clear" w:color="auto" w:fill="FFFFFF"/>
        </w:rPr>
        <w:t>. H</w:t>
      </w:r>
      <w:r>
        <w:rPr>
          <w:color w:val="000000"/>
          <w:shd w:val="clear" w:color="auto" w:fill="FFFFFF"/>
        </w:rPr>
        <w:t>owever</w:t>
      </w:r>
      <w:r w:rsidR="003309BF">
        <w:rPr>
          <w:color w:val="000000"/>
          <w:shd w:val="clear" w:color="auto" w:fill="FFFFFF"/>
        </w:rPr>
        <w:t>,</w:t>
      </w:r>
      <w:r>
        <w:rPr>
          <w:color w:val="000000"/>
          <w:shd w:val="clear" w:color="auto" w:fill="FFFFFF"/>
        </w:rPr>
        <w:t xml:space="preserve"> CBCT is generally </w:t>
      </w:r>
      <w:r w:rsidR="003309BF">
        <w:rPr>
          <w:color w:val="000000"/>
          <w:shd w:val="clear" w:color="auto" w:fill="FFFFFF"/>
        </w:rPr>
        <w:t xml:space="preserve">understood to be </w:t>
      </w:r>
      <w:r>
        <w:rPr>
          <w:color w:val="000000"/>
          <w:shd w:val="clear" w:color="auto" w:fill="FFFFFF"/>
        </w:rPr>
        <w:t>the current standard of care for IGRT</w:t>
      </w:r>
      <w:r w:rsidR="003309BF">
        <w:rPr>
          <w:color w:val="000000"/>
          <w:shd w:val="clear" w:color="auto" w:fill="FFFFFF"/>
        </w:rPr>
        <w:t>,</w:t>
      </w:r>
      <w:r>
        <w:rPr>
          <w:color w:val="000000"/>
          <w:shd w:val="clear" w:color="auto" w:fill="FFFFFF"/>
        </w:rPr>
        <w:t xml:space="preserve"> for most cancer types </w:t>
      </w:r>
      <w:r w:rsidR="002B6B1B">
        <w:rPr>
          <w:color w:val="000000"/>
          <w:shd w:val="clear" w:color="auto" w:fill="FFFFFF"/>
        </w:rPr>
        <w:fldChar w:fldCharType="begin"/>
      </w:r>
      <w:r w:rsidR="002B6B1B">
        <w:rPr>
          <w:color w:val="000000"/>
          <w:shd w:val="clear" w:color="auto" w:fill="FFFFFF"/>
        </w:rPr>
        <w:instrText xml:space="preserve"> ADDIN EN.CITE &lt;EndNote&gt;&lt;Cite&gt;&lt;Author&gt;Srinivasan&lt;/Author&gt;&lt;Year&gt;2014&lt;/Year&gt;&lt;RecNum&gt;10&lt;/RecNum&gt;&lt;DisplayText&gt;(Srinivasan, Mohammadi, &amp;amp; Shepherd, 2014)&lt;/DisplayText&gt;&lt;record&gt;&lt;rec-number&gt;10&lt;/rec-number&gt;&lt;foreign-keys&gt;&lt;key app="EN" db-id="zx5wv0eapasetsezdzlxrdvgpwapdsw5ex5s" timestamp="1583462894"&gt;10&lt;/key&gt;&lt;/foreign-keys&gt;&lt;ref-type name="Journal Article"&gt;17&lt;/ref-type&gt;&lt;contributors&gt;&lt;authors&gt;&lt;author&gt;Srinivasan, K.&lt;/author&gt;&lt;author&gt;Mohammadi, M.&lt;/author&gt;&lt;author&gt;Shepherd, J.&lt;/author&gt;&lt;/authors&gt;&lt;/contributors&gt;&lt;auth-address&gt;School of Chemistry and Physics, University of Adelaide, Adelaide, Australia.&amp;#xD;School of Chemistry and Physics, University of Adelaide, Adelaide, Australia ; Department of Medical Physics, Royal Adelaide Hospital, Adelaide, Australia.&amp;#xD;Department of Medical Physics, Royal Adelaide Hospital, Adelaide, Australia.&lt;/auth-address&gt;&lt;titles&gt;&lt;title&gt;Applications of linac-mounted kilovoltage Cone-beam Computed Tomography in modern radiation therapy: A review&lt;/title&gt;&lt;secondary-title&gt;Pol J Radiol&lt;/secondary-title&gt;&lt;/titles&gt;&lt;periodical&gt;&lt;full-title&gt;Pol J Radiol&lt;/full-title&gt;&lt;/periodical&gt;&lt;pages&gt;181-93&lt;/pages&gt;&lt;volume&gt;79&lt;/volume&gt;&lt;keywords&gt;&lt;keyword&gt;Artifacts&lt;/keyword&gt;&lt;keyword&gt;Computer-Assisted&lt;/keyword&gt;&lt;keyword&gt;Cone-Beam Computed Tomography&lt;/keyword&gt;&lt;keyword&gt;Image Processing&lt;/keyword&gt;&lt;keyword&gt;Image-Guided&lt;/keyword&gt;&lt;keyword&gt;Radiotherapy&lt;/keyword&gt;&lt;/keywords&gt;&lt;dates&gt;&lt;year&gt;2014&lt;/year&gt;&lt;/dates&gt;&lt;isbn&gt;1733-134X (Print)&amp;#xD;1733-134X (Linking)&lt;/isbn&gt;&lt;accession-num&gt;25006356&lt;/accession-num&gt;&lt;urls&gt;&lt;related-urls&gt;&lt;url&gt;https://www.ncbi.nlm.nih.gov/pubmed/25006356&lt;/url&gt;&lt;/related-urls&gt;&lt;/urls&gt;&lt;custom2&gt;PMC4085117&lt;/custom2&gt;&lt;electronic-resource-num&gt;10.12659/PJR.890745&lt;/electronic-resource-num&gt;&lt;/record&gt;&lt;/Cite&gt;&lt;/EndNote&gt;</w:instrText>
      </w:r>
      <w:r w:rsidR="002B6B1B">
        <w:rPr>
          <w:color w:val="000000"/>
          <w:shd w:val="clear" w:color="auto" w:fill="FFFFFF"/>
        </w:rPr>
        <w:fldChar w:fldCharType="separate"/>
      </w:r>
      <w:r w:rsidR="002B6B1B">
        <w:rPr>
          <w:noProof/>
          <w:color w:val="000000"/>
          <w:shd w:val="clear" w:color="auto" w:fill="FFFFFF"/>
        </w:rPr>
        <w:t>(Srinivasan, Mohammadi, &amp; Shepherd, 2014)</w:t>
      </w:r>
      <w:r w:rsidR="002B6B1B">
        <w:rPr>
          <w:color w:val="000000"/>
          <w:shd w:val="clear" w:color="auto" w:fill="FFFFFF"/>
        </w:rPr>
        <w:fldChar w:fldCharType="end"/>
      </w:r>
      <w:r>
        <w:rPr>
          <w:color w:val="000000"/>
          <w:shd w:val="clear" w:color="auto" w:fill="FFFFFF"/>
        </w:rPr>
        <w:t>.</w:t>
      </w:r>
    </w:p>
    <w:p w14:paraId="6B606271" w14:textId="7B840A50" w:rsidR="006E0F6F" w:rsidRPr="00ED0534" w:rsidRDefault="00896845" w:rsidP="00ED0534">
      <w:pPr>
        <w:spacing w:after="40"/>
        <w:rPr>
          <w:b/>
          <w:color w:val="00B0F0"/>
          <w:sz w:val="32"/>
          <w:szCs w:val="32"/>
        </w:rPr>
      </w:pPr>
      <w:r w:rsidRPr="00272077">
        <w:rPr>
          <w:b/>
          <w:color w:val="00B0F0"/>
          <w:sz w:val="32"/>
          <w:szCs w:val="32"/>
        </w:rPr>
        <w:t>O</w:t>
      </w:r>
      <w:r w:rsidR="00272077">
        <w:rPr>
          <w:b/>
          <w:color w:val="00B0F0"/>
          <w:sz w:val="32"/>
          <w:szCs w:val="32"/>
        </w:rPr>
        <w:t>UTCOMES</w:t>
      </w:r>
    </w:p>
    <w:p w14:paraId="11BF8886" w14:textId="6D04C758" w:rsidR="00D0584C" w:rsidRPr="00E364F7" w:rsidRDefault="00907CA5" w:rsidP="00272077">
      <w:pPr>
        <w:spacing w:after="120"/>
        <w:rPr>
          <w:b/>
        </w:rPr>
      </w:pPr>
      <w:r>
        <w:t xml:space="preserve">The </w:t>
      </w:r>
      <w:r w:rsidR="00DF7026">
        <w:t xml:space="preserve">Applicant </w:t>
      </w:r>
      <w:r w:rsidR="00D0584C">
        <w:t>provide</w:t>
      </w:r>
      <w:r w:rsidR="006464A7">
        <w:t xml:space="preserve">d a list of four relevant ongoing studies, two feasibility studies and two prospective observational studies. </w:t>
      </w:r>
      <w:r w:rsidR="00D551E9">
        <w:t>One of these is a multi-institutional international observational cohort study</w:t>
      </w:r>
      <w:r w:rsidR="003309BF">
        <w:t>,</w:t>
      </w:r>
      <w:r w:rsidR="00D551E9">
        <w:t xml:space="preserve"> aiming </w:t>
      </w:r>
      <w:r w:rsidR="006464A7">
        <w:t>to</w:t>
      </w:r>
      <w:r w:rsidR="006464A7" w:rsidRPr="006464A7">
        <w:t xml:space="preserve"> collect technical and clinical patient data</w:t>
      </w:r>
      <w:r w:rsidR="006464A7">
        <w:t xml:space="preserve"> in cancer patients receiving treatment and/or imaging on an MR-linac.</w:t>
      </w:r>
    </w:p>
    <w:p w14:paraId="3B926D1E" w14:textId="23489EA9" w:rsidR="00396260" w:rsidRDefault="00396260" w:rsidP="003B237B">
      <w:pPr>
        <w:pStyle w:val="ListParagraph"/>
        <w:numPr>
          <w:ilvl w:val="0"/>
          <w:numId w:val="14"/>
        </w:numPr>
        <w:spacing w:after="0"/>
        <w:ind w:left="357" w:hanging="357"/>
      </w:pPr>
      <w:r w:rsidRPr="00542641">
        <w:t>Safety</w:t>
      </w:r>
      <w:r w:rsidR="00275414">
        <w:t>,</w:t>
      </w:r>
      <w:r w:rsidRPr="00542641">
        <w:t xml:space="preserve"> including any po</w:t>
      </w:r>
      <w:r>
        <w:t>tential risk of harm to patient</w:t>
      </w:r>
    </w:p>
    <w:p w14:paraId="7B70FAF3" w14:textId="77777777" w:rsidR="00396260" w:rsidRDefault="00396260" w:rsidP="00396260">
      <w:pPr>
        <w:pStyle w:val="ListParagraph"/>
        <w:numPr>
          <w:ilvl w:val="0"/>
          <w:numId w:val="11"/>
        </w:numPr>
        <w:spacing w:after="0"/>
      </w:pPr>
      <w:r>
        <w:t>Acute and long-term side effects</w:t>
      </w:r>
    </w:p>
    <w:p w14:paraId="3858416D" w14:textId="77777777" w:rsidR="00396260" w:rsidRDefault="00396260" w:rsidP="00396260">
      <w:pPr>
        <w:pStyle w:val="ListParagraph"/>
        <w:numPr>
          <w:ilvl w:val="0"/>
          <w:numId w:val="11"/>
        </w:numPr>
        <w:spacing w:after="0"/>
      </w:pPr>
      <w:r>
        <w:t>Any adverse events arising from the procedure</w:t>
      </w:r>
    </w:p>
    <w:p w14:paraId="2CD2C3E5" w14:textId="1B89E110" w:rsidR="00396260" w:rsidRDefault="00396260" w:rsidP="003B237B">
      <w:pPr>
        <w:pStyle w:val="ListParagraph"/>
        <w:numPr>
          <w:ilvl w:val="0"/>
          <w:numId w:val="12"/>
        </w:numPr>
        <w:spacing w:after="0"/>
        <w:ind w:left="357" w:hanging="357"/>
      </w:pPr>
      <w:r w:rsidRPr="009D6757">
        <w:t>Efficacy / effectiveness</w:t>
      </w:r>
      <w:r w:rsidR="00275414">
        <w:t>, including (but not limited to)</w:t>
      </w:r>
      <w:r w:rsidRPr="009D6757">
        <w:t xml:space="preserve"> patient-relevant outcomes</w:t>
      </w:r>
    </w:p>
    <w:p w14:paraId="2CB2051B" w14:textId="410642C1" w:rsidR="00396260" w:rsidRDefault="00396260" w:rsidP="00396260">
      <w:pPr>
        <w:pStyle w:val="ListParagraph"/>
        <w:numPr>
          <w:ilvl w:val="1"/>
          <w:numId w:val="12"/>
        </w:numPr>
      </w:pPr>
      <w:r>
        <w:t>Alteration of PTV margins</w:t>
      </w:r>
    </w:p>
    <w:p w14:paraId="447A9947" w14:textId="77777777" w:rsidR="00396260" w:rsidRDefault="00396260" w:rsidP="00396260">
      <w:pPr>
        <w:pStyle w:val="ListParagraph"/>
        <w:numPr>
          <w:ilvl w:val="1"/>
          <w:numId w:val="12"/>
        </w:numPr>
      </w:pPr>
      <w:r>
        <w:t>Treatment toxicity and short term toxicity</w:t>
      </w:r>
    </w:p>
    <w:p w14:paraId="2E5702AC" w14:textId="77777777" w:rsidR="00396260" w:rsidRDefault="00396260" w:rsidP="00396260">
      <w:pPr>
        <w:pStyle w:val="ListParagraph"/>
        <w:numPr>
          <w:ilvl w:val="1"/>
          <w:numId w:val="12"/>
        </w:numPr>
      </w:pPr>
      <w:r>
        <w:t>Facilitation of radiation therapy dose escalation</w:t>
      </w:r>
    </w:p>
    <w:p w14:paraId="5B0E5E12" w14:textId="49827F26" w:rsidR="00396260" w:rsidRDefault="00275414" w:rsidP="00396260">
      <w:pPr>
        <w:pStyle w:val="ListParagraph"/>
        <w:numPr>
          <w:ilvl w:val="1"/>
          <w:numId w:val="12"/>
        </w:numPr>
      </w:pPr>
      <w:r>
        <w:t>Treatment-</w:t>
      </w:r>
      <w:r w:rsidR="00396260">
        <w:t>related morbidity</w:t>
      </w:r>
    </w:p>
    <w:p w14:paraId="3501C86D" w14:textId="162BBD7B" w:rsidR="004D0D3C" w:rsidRDefault="004D0D3C" w:rsidP="00396260">
      <w:pPr>
        <w:pStyle w:val="ListParagraph"/>
        <w:numPr>
          <w:ilvl w:val="1"/>
          <w:numId w:val="12"/>
        </w:numPr>
      </w:pPr>
      <w:r>
        <w:t>Tumour control</w:t>
      </w:r>
    </w:p>
    <w:p w14:paraId="513BAD5B" w14:textId="77777777" w:rsidR="00396260" w:rsidRDefault="00396260" w:rsidP="00396260">
      <w:pPr>
        <w:pStyle w:val="ListParagraph"/>
        <w:numPr>
          <w:ilvl w:val="1"/>
          <w:numId w:val="12"/>
        </w:numPr>
      </w:pPr>
      <w:r>
        <w:t xml:space="preserve">Overall survival </w:t>
      </w:r>
    </w:p>
    <w:p w14:paraId="79766D92" w14:textId="283BCBA5" w:rsidR="00396260" w:rsidRDefault="00396260" w:rsidP="00396260">
      <w:pPr>
        <w:pStyle w:val="ListParagraph"/>
        <w:numPr>
          <w:ilvl w:val="1"/>
          <w:numId w:val="12"/>
        </w:numPr>
      </w:pPr>
      <w:r>
        <w:t>Progression</w:t>
      </w:r>
      <w:r w:rsidR="00F64F48">
        <w:t>-</w:t>
      </w:r>
      <w:r>
        <w:t>free survival</w:t>
      </w:r>
    </w:p>
    <w:p w14:paraId="4F56815C" w14:textId="19003124" w:rsidR="00396260" w:rsidRDefault="00396260" w:rsidP="00396260">
      <w:pPr>
        <w:pStyle w:val="ListParagraph"/>
        <w:numPr>
          <w:ilvl w:val="1"/>
          <w:numId w:val="12"/>
        </w:numPr>
      </w:pPr>
      <w:r>
        <w:t>Disease</w:t>
      </w:r>
      <w:r w:rsidR="00F64F48">
        <w:t>-</w:t>
      </w:r>
      <w:r>
        <w:t>free survival</w:t>
      </w:r>
    </w:p>
    <w:p w14:paraId="44AD820F" w14:textId="77777777" w:rsidR="00396260" w:rsidRDefault="00396260" w:rsidP="00396260">
      <w:pPr>
        <w:pStyle w:val="ListParagraph"/>
        <w:numPr>
          <w:ilvl w:val="1"/>
          <w:numId w:val="12"/>
        </w:numPr>
      </w:pPr>
      <w:r>
        <w:t>Quality of life</w:t>
      </w:r>
    </w:p>
    <w:p w14:paraId="4F6358E8" w14:textId="77777777" w:rsidR="00396260" w:rsidRDefault="00396260" w:rsidP="00396260">
      <w:pPr>
        <w:pStyle w:val="ListParagraph"/>
        <w:numPr>
          <w:ilvl w:val="0"/>
          <w:numId w:val="10"/>
        </w:numPr>
      </w:pPr>
      <w:r w:rsidRPr="009D6757">
        <w:t>Healthcare resources</w:t>
      </w:r>
    </w:p>
    <w:p w14:paraId="3156A5DB" w14:textId="4135AA48" w:rsidR="00396260" w:rsidRDefault="00396260" w:rsidP="00396260">
      <w:pPr>
        <w:pStyle w:val="ListParagraph"/>
        <w:numPr>
          <w:ilvl w:val="1"/>
          <w:numId w:val="10"/>
        </w:numPr>
      </w:pPr>
      <w:r>
        <w:t>Cost of intervention delivery</w:t>
      </w:r>
      <w:r w:rsidR="00275414">
        <w:t xml:space="preserve">, including </w:t>
      </w:r>
      <w:r>
        <w:t>a</w:t>
      </w:r>
      <w:r w:rsidRPr="006E4B02">
        <w:t>dditional physician and medical physicist time</w:t>
      </w:r>
      <w:r>
        <w:t xml:space="preserve"> </w:t>
      </w:r>
    </w:p>
    <w:p w14:paraId="14FC64A1" w14:textId="77777777" w:rsidR="000A55DD" w:rsidRDefault="000A55DD">
      <w:r>
        <w:br w:type="page"/>
      </w:r>
    </w:p>
    <w:p w14:paraId="642599C6" w14:textId="403038B6" w:rsidR="00396260" w:rsidRDefault="00396260" w:rsidP="00396260">
      <w:pPr>
        <w:pStyle w:val="ListParagraph"/>
        <w:numPr>
          <w:ilvl w:val="0"/>
          <w:numId w:val="10"/>
        </w:numPr>
      </w:pPr>
      <w:r w:rsidRPr="003E4B3C">
        <w:lastRenderedPageBreak/>
        <w:t>Cost-effectiveness</w:t>
      </w:r>
      <w:r>
        <w:t>:</w:t>
      </w:r>
    </w:p>
    <w:p w14:paraId="11892B42" w14:textId="77777777" w:rsidR="00396260" w:rsidRDefault="00396260" w:rsidP="00396260">
      <w:pPr>
        <w:pStyle w:val="ListParagraph"/>
        <w:numPr>
          <w:ilvl w:val="1"/>
          <w:numId w:val="10"/>
        </w:numPr>
      </w:pPr>
      <w:r>
        <w:t>Cost per life-year gained</w:t>
      </w:r>
    </w:p>
    <w:p w14:paraId="564D2CC9" w14:textId="490D84E8" w:rsidR="00396260" w:rsidRPr="00272077" w:rsidRDefault="00396260" w:rsidP="00272077">
      <w:pPr>
        <w:pStyle w:val="ListParagraph"/>
        <w:numPr>
          <w:ilvl w:val="1"/>
          <w:numId w:val="10"/>
        </w:numPr>
        <w:spacing w:after="240"/>
        <w:rPr>
          <w:sz w:val="6"/>
          <w:szCs w:val="6"/>
        </w:rPr>
      </w:pPr>
      <w:r>
        <w:t xml:space="preserve">Cost per </w:t>
      </w:r>
      <w:r w:rsidR="00F64F48">
        <w:t>quality-adjusted life year (</w:t>
      </w:r>
      <w:r>
        <w:t>QALY</w:t>
      </w:r>
      <w:r w:rsidR="00272077">
        <w:t xml:space="preserve">) </w:t>
      </w:r>
      <w:r>
        <w:t>gained</w:t>
      </w:r>
      <w:r w:rsidR="00272077">
        <w:br/>
      </w:r>
    </w:p>
    <w:p w14:paraId="69BC027E" w14:textId="77777777" w:rsidR="00396260" w:rsidRDefault="00396260" w:rsidP="00396260">
      <w:pPr>
        <w:pStyle w:val="ListParagraph"/>
        <w:numPr>
          <w:ilvl w:val="0"/>
          <w:numId w:val="10"/>
        </w:numPr>
      </w:pPr>
      <w:r w:rsidRPr="009D6757">
        <w:t>Total Australian Government healthcare costs</w:t>
      </w:r>
      <w:r>
        <w:t>:</w:t>
      </w:r>
    </w:p>
    <w:p w14:paraId="6CB8960E" w14:textId="05AECCA7" w:rsidR="00396260" w:rsidRDefault="00275414" w:rsidP="00396260">
      <w:pPr>
        <w:pStyle w:val="ListParagraph"/>
        <w:numPr>
          <w:ilvl w:val="1"/>
          <w:numId w:val="10"/>
        </w:numPr>
      </w:pPr>
      <w:r>
        <w:t>Total cost to the Medicare</w:t>
      </w:r>
      <w:r w:rsidR="00396260">
        <w:t xml:space="preserve"> Benefits Schedule (MBS)</w:t>
      </w:r>
    </w:p>
    <w:p w14:paraId="51163184" w14:textId="46D27085" w:rsidR="00396260" w:rsidRDefault="00396260" w:rsidP="00396260">
      <w:pPr>
        <w:pStyle w:val="ListParagraph"/>
        <w:numPr>
          <w:ilvl w:val="1"/>
          <w:numId w:val="10"/>
        </w:numPr>
      </w:pPr>
      <w:r>
        <w:t>Total cost to the Pharmaceutical Benefits Scheme (PBS)</w:t>
      </w:r>
    </w:p>
    <w:p w14:paraId="7C638D32" w14:textId="77777777" w:rsidR="00EF2EA9" w:rsidRDefault="00396260" w:rsidP="00EF2EA9">
      <w:pPr>
        <w:pStyle w:val="ListParagraph"/>
        <w:numPr>
          <w:ilvl w:val="1"/>
          <w:numId w:val="10"/>
        </w:numPr>
      </w:pPr>
      <w:r>
        <w:t>Total cost to other healthcare services.</w:t>
      </w:r>
    </w:p>
    <w:p w14:paraId="5AE726A2" w14:textId="6FC71A38" w:rsidR="00EF2EA9" w:rsidRDefault="00EF2EA9" w:rsidP="00EF2EA9">
      <w:pPr>
        <w:rPr>
          <w:i/>
          <w:iCs/>
        </w:rPr>
      </w:pPr>
      <w:r w:rsidRPr="00EF2EA9">
        <w:rPr>
          <w:i/>
          <w:iCs/>
        </w:rPr>
        <w:t>PASC noted that the majority of the proposed safety and effectiveness outcomes are patient-relevant outcomes, but due to the level of evidence provided in the application, queried whether other technical measurements should be included (such as dosimetry outcomes [e.g. dose to tumour]) when the patient relevant outcomes were not available. PASC recommended that the applicant seek expert advice on this.</w:t>
      </w:r>
    </w:p>
    <w:p w14:paraId="47748398" w14:textId="43879085" w:rsidR="00F757FD" w:rsidRPr="00F757FD" w:rsidRDefault="00F757FD" w:rsidP="00F757FD">
      <w:pPr>
        <w:autoSpaceDE w:val="0"/>
        <w:autoSpaceDN w:val="0"/>
        <w:adjustRightInd w:val="0"/>
        <w:spacing w:after="0" w:line="240" w:lineRule="auto"/>
        <w:rPr>
          <w:i/>
          <w:iCs/>
        </w:rPr>
      </w:pPr>
      <w:r>
        <w:rPr>
          <w:i/>
          <w:iCs/>
        </w:rPr>
        <w:t>The Applicant advised that t</w:t>
      </w:r>
      <w:r w:rsidRPr="00F757FD">
        <w:rPr>
          <w:i/>
          <w:iCs/>
        </w:rPr>
        <w:t>here is already an ARPANSA ACDS process covering MR-Linac systems i</w:t>
      </w:r>
      <w:r>
        <w:rPr>
          <w:i/>
          <w:iCs/>
        </w:rPr>
        <w:t xml:space="preserve">n Australia. The ACDS </w:t>
      </w:r>
      <w:r w:rsidRPr="00F757FD">
        <w:rPr>
          <w:i/>
          <w:iCs/>
        </w:rPr>
        <w:t xml:space="preserve">is the dosimetry accreditation provider in Australia and </w:t>
      </w:r>
      <w:r>
        <w:rPr>
          <w:i/>
          <w:iCs/>
        </w:rPr>
        <w:t xml:space="preserve">already has a program which the </w:t>
      </w:r>
      <w:r w:rsidRPr="00F757FD">
        <w:rPr>
          <w:i/>
          <w:iCs/>
        </w:rPr>
        <w:t>Applicant strongly supports. Level 1b and III Audits have been completed successfully in</w:t>
      </w:r>
    </w:p>
    <w:p w14:paraId="5AC38297" w14:textId="25D536BC" w:rsidR="00F757FD" w:rsidRDefault="00F757FD" w:rsidP="00F757FD">
      <w:pPr>
        <w:autoSpaceDE w:val="0"/>
        <w:autoSpaceDN w:val="0"/>
        <w:adjustRightInd w:val="0"/>
        <w:spacing w:after="0" w:line="240" w:lineRule="auto"/>
        <w:rPr>
          <w:i/>
          <w:iCs/>
        </w:rPr>
      </w:pPr>
      <w:r w:rsidRPr="00F757FD">
        <w:rPr>
          <w:i/>
          <w:iCs/>
        </w:rPr>
        <w:t>Townsville before the first patient treatment</w:t>
      </w:r>
      <w:r w:rsidR="00CE559E">
        <w:rPr>
          <w:rStyle w:val="FootnoteReference"/>
          <w:i/>
          <w:iCs/>
        </w:rPr>
        <w:footnoteReference w:id="1"/>
      </w:r>
      <w:r w:rsidRPr="00F757FD">
        <w:rPr>
          <w:i/>
          <w:iCs/>
        </w:rPr>
        <w:t xml:space="preserve"> and are being completed (June 2nd-3</w:t>
      </w:r>
      <w:r w:rsidRPr="00F757FD">
        <w:rPr>
          <w:i/>
          <w:iCs/>
          <w:vertAlign w:val="superscript"/>
        </w:rPr>
        <w:t>rd</w:t>
      </w:r>
      <w:r>
        <w:rPr>
          <w:i/>
          <w:iCs/>
        </w:rPr>
        <w:t xml:space="preserve"> 2020) for the Sydney system. The Applicant emphasised that MRI is an i</w:t>
      </w:r>
      <w:r w:rsidRPr="00F757FD">
        <w:rPr>
          <w:i/>
          <w:iCs/>
        </w:rPr>
        <w:t>maging capability which has been in use for ma</w:t>
      </w:r>
      <w:r>
        <w:rPr>
          <w:i/>
          <w:iCs/>
        </w:rPr>
        <w:t>ny years with proven safety and clinical effectiveness and that t</w:t>
      </w:r>
      <w:r w:rsidRPr="00F757FD">
        <w:rPr>
          <w:i/>
          <w:iCs/>
        </w:rPr>
        <w:t xml:space="preserve">raining for MR-Linacs aligns with the </w:t>
      </w:r>
      <w:r>
        <w:rPr>
          <w:i/>
          <w:iCs/>
        </w:rPr>
        <w:t>existing MR safety and clinical use t</w:t>
      </w:r>
      <w:r w:rsidRPr="00F757FD">
        <w:rPr>
          <w:i/>
          <w:iCs/>
        </w:rPr>
        <w:t>raining in p</w:t>
      </w:r>
      <w:r>
        <w:rPr>
          <w:i/>
          <w:iCs/>
        </w:rPr>
        <w:t>lace for dedicated MRI devices. MR-IGRT also enables i</w:t>
      </w:r>
      <w:r w:rsidRPr="00F757FD">
        <w:rPr>
          <w:i/>
          <w:iCs/>
        </w:rPr>
        <w:t>maging with no</w:t>
      </w:r>
      <w:r>
        <w:rPr>
          <w:i/>
          <w:iCs/>
        </w:rPr>
        <w:t xml:space="preserve"> radiation dose to the patient. The Applicant considered the</w:t>
      </w:r>
      <w:r w:rsidRPr="00F757FD">
        <w:rPr>
          <w:i/>
          <w:iCs/>
        </w:rPr>
        <w:t xml:space="preserve"> Viewray MRIdian clinical papers submitted on Prostate, Liver, Lung, Pancreas, Breast</w:t>
      </w:r>
      <w:r>
        <w:rPr>
          <w:i/>
          <w:iCs/>
        </w:rPr>
        <w:t xml:space="preserve">, </w:t>
      </w:r>
      <w:r w:rsidRPr="00F757FD">
        <w:rPr>
          <w:i/>
          <w:iCs/>
        </w:rPr>
        <w:t>Oligomets in the P</w:t>
      </w:r>
      <w:r>
        <w:rPr>
          <w:i/>
          <w:iCs/>
        </w:rPr>
        <w:t>ublic Consultation also support</w:t>
      </w:r>
      <w:r w:rsidRPr="00F757FD">
        <w:rPr>
          <w:i/>
          <w:iCs/>
        </w:rPr>
        <w:t xml:space="preserve"> the clinical use of MR-Linac technologies.</w:t>
      </w:r>
    </w:p>
    <w:p w14:paraId="0D1074E2" w14:textId="77777777" w:rsidR="00183266" w:rsidRPr="00EF2EA9" w:rsidRDefault="00183266" w:rsidP="00F757FD">
      <w:pPr>
        <w:autoSpaceDE w:val="0"/>
        <w:autoSpaceDN w:val="0"/>
        <w:adjustRightInd w:val="0"/>
        <w:spacing w:after="0" w:line="240" w:lineRule="auto"/>
        <w:rPr>
          <w:i/>
          <w:iCs/>
        </w:rPr>
      </w:pPr>
    </w:p>
    <w:p w14:paraId="7F59B260" w14:textId="660CF612" w:rsidR="00272077" w:rsidRPr="00272077" w:rsidRDefault="00272077" w:rsidP="006E0F6F">
      <w:pPr>
        <w:pStyle w:val="Heading2"/>
        <w:spacing w:line="240" w:lineRule="auto"/>
        <w:jc w:val="both"/>
        <w:rPr>
          <w:i w:val="0"/>
          <w:color w:val="00B0F0"/>
          <w:sz w:val="32"/>
          <w:szCs w:val="32"/>
          <w:u w:val="none"/>
        </w:rPr>
      </w:pPr>
      <w:r w:rsidRPr="00272077">
        <w:rPr>
          <w:i w:val="0"/>
          <w:color w:val="00B0F0"/>
          <w:sz w:val="32"/>
          <w:szCs w:val="32"/>
          <w:u w:val="none"/>
        </w:rPr>
        <w:t>CURRENT AND PROPOSED CLINICAL MANAGEMENT ALGORITHMS</w:t>
      </w:r>
    </w:p>
    <w:p w14:paraId="5C03E3F4" w14:textId="17F58937" w:rsidR="00896845" w:rsidRPr="00B769FD" w:rsidRDefault="00896845" w:rsidP="006E0F6F">
      <w:pPr>
        <w:pStyle w:val="Heading2"/>
        <w:spacing w:before="200" w:line="240" w:lineRule="auto"/>
        <w:jc w:val="both"/>
        <w:rPr>
          <w:i w:val="0"/>
          <w:color w:val="00B0F0"/>
          <w:sz w:val="28"/>
          <w:szCs w:val="28"/>
          <w:u w:val="none"/>
        </w:rPr>
      </w:pPr>
      <w:r w:rsidRPr="00B769FD">
        <w:rPr>
          <w:i w:val="0"/>
          <w:color w:val="00B0F0"/>
          <w:sz w:val="28"/>
          <w:szCs w:val="28"/>
        </w:rPr>
        <w:t>Current</w:t>
      </w:r>
      <w:r w:rsidRPr="00B769FD">
        <w:rPr>
          <w:i w:val="0"/>
          <w:color w:val="00B0F0"/>
          <w:sz w:val="28"/>
          <w:szCs w:val="28"/>
          <w:u w:val="none"/>
        </w:rPr>
        <w:t xml:space="preserve"> clinical management algorithm</w:t>
      </w:r>
      <w:r w:rsidR="002B3338" w:rsidRPr="00B769FD">
        <w:rPr>
          <w:i w:val="0"/>
          <w:color w:val="00B0F0"/>
          <w:sz w:val="28"/>
          <w:szCs w:val="28"/>
          <w:u w:val="none"/>
        </w:rPr>
        <w:t xml:space="preserve"> for identified population</w:t>
      </w:r>
    </w:p>
    <w:p w14:paraId="6939F4CC" w14:textId="0334D7BE" w:rsidR="003F1786" w:rsidRDefault="00CC38C4" w:rsidP="003F1786">
      <w:r>
        <w:t>The current c</w:t>
      </w:r>
      <w:r w:rsidR="003F1786">
        <w:t>linical management pathway provid</w:t>
      </w:r>
      <w:r>
        <w:t xml:space="preserve">ed in the Application Form was taken from earlier </w:t>
      </w:r>
      <w:r w:rsidR="003F1786">
        <w:t>Application 1319</w:t>
      </w:r>
      <w:r>
        <w:t>,</w:t>
      </w:r>
      <w:r w:rsidR="003F1786">
        <w:t xml:space="preserve"> publicly available </w:t>
      </w:r>
      <w:r>
        <w:t>on MSAC’s website</w:t>
      </w:r>
      <w:r w:rsidR="000A7088">
        <w:t xml:space="preserve"> </w:t>
      </w:r>
      <w:r w:rsidR="000A7088">
        <w:fldChar w:fldCharType="begin"/>
      </w:r>
      <w:r w:rsidR="000A7088">
        <w:instrText xml:space="preserve"> ADDIN EN.CITE &lt;EndNote&gt;&lt;Cite&gt;&lt;Author&gt;Medical Services Advisory Committee&lt;/Author&gt;&lt;Year&gt;2015&lt;/Year&gt;&lt;RecNum&gt;12&lt;/RecNum&gt;&lt;DisplayText&gt;(Medical Services Advisory Committee, 2015)&lt;/DisplayText&gt;&lt;record&gt;&lt;rec-number&gt;12&lt;/rec-number&gt;&lt;foreign-keys&gt;&lt;key app="EN" db-id="zx5wv0eapasetsezdzlxrdvgpwapdsw5ex5s" timestamp="1583963905"&gt;12&lt;/key&gt;&lt;/foreign-keys&gt;&lt;ref-type name="Government Document"&gt;46&lt;/ref-type&gt;&lt;contributors&gt;&lt;authors&gt;&lt;author&gt;Medical Services Advisory Committee,&lt;/author&gt;&lt;/authors&gt;&lt;/contributors&gt;&lt;titles&gt;&lt;title&gt;Application 1319 - Image-guided radiation therapy for cancer treatment delivery&lt;/title&gt;&lt;/titles&gt;&lt;dates&gt;&lt;year&gt;2015&lt;/year&gt;&lt;/dates&gt;&lt;urls&gt;&lt;related-urls&gt;&lt;url&gt;http://www.msac.gov.au/internet/msac/publishing.nsf/Content/5F3B6BD9007ED966CA25801000123BC2/$File/1319FinalPSD-IGRT-Accessible.pdf&lt;/url&gt;&lt;/related-urls&gt;&lt;/urls&gt;&lt;/record&gt;&lt;/Cite&gt;&lt;/EndNote&gt;</w:instrText>
      </w:r>
      <w:r w:rsidR="000A7088">
        <w:fldChar w:fldCharType="separate"/>
      </w:r>
      <w:r w:rsidR="000A7088">
        <w:rPr>
          <w:noProof/>
        </w:rPr>
        <w:t>(Medical Services Advisory Committee, 2015)</w:t>
      </w:r>
      <w:r w:rsidR="000A7088">
        <w:fldChar w:fldCharType="end"/>
      </w:r>
      <w:r w:rsidR="003F1786">
        <w:t>.</w:t>
      </w:r>
    </w:p>
    <w:p w14:paraId="241D0B1A" w14:textId="77777777" w:rsidR="006A7507" w:rsidRPr="00B769FD" w:rsidRDefault="006A7507" w:rsidP="006A7507">
      <w:pPr>
        <w:pStyle w:val="Heading2"/>
        <w:spacing w:before="0" w:line="240" w:lineRule="auto"/>
        <w:jc w:val="both"/>
        <w:rPr>
          <w:i w:val="0"/>
          <w:color w:val="00B0F0"/>
          <w:sz w:val="28"/>
          <w:szCs w:val="28"/>
          <w:u w:val="none"/>
        </w:rPr>
      </w:pPr>
      <w:r w:rsidRPr="00B769FD">
        <w:rPr>
          <w:i w:val="0"/>
          <w:color w:val="00B0F0"/>
          <w:sz w:val="28"/>
          <w:szCs w:val="28"/>
        </w:rPr>
        <w:t>Proposed</w:t>
      </w:r>
      <w:r w:rsidRPr="00B769FD">
        <w:rPr>
          <w:i w:val="0"/>
          <w:color w:val="00B0F0"/>
          <w:sz w:val="28"/>
          <w:szCs w:val="28"/>
          <w:u w:val="none"/>
        </w:rPr>
        <w:t xml:space="preserve"> clinical management algorithm for identified population</w:t>
      </w:r>
    </w:p>
    <w:p w14:paraId="093FB419" w14:textId="0E21624F" w:rsidR="006A7507" w:rsidRDefault="006A7507" w:rsidP="006A7507">
      <w:r>
        <w:t>The Applicant sought modification to the way service is clinically delivered under the existing MBS item. The premise is that the current clinical management algorithm (below) would remain unchanged, given MR-IGRT is a form of IGRT.</w:t>
      </w:r>
    </w:p>
    <w:p w14:paraId="20C77C5D" w14:textId="20FE0839" w:rsidR="006A7507" w:rsidRDefault="006A7507" w:rsidP="006A7507">
      <w:pPr>
        <w:rPr>
          <w:i/>
          <w:iCs/>
        </w:rPr>
      </w:pPr>
      <w:r w:rsidRPr="00EF2EA9">
        <w:rPr>
          <w:i/>
          <w:iCs/>
        </w:rPr>
        <w:t>PASC noted that changes in prior imaging or marker procedures were not well captured in the algorithm. Also, the proposed clinical management algorithm does include imaging during treatment, which is a proposed benefit of the intervention. PASC advised this should be rectified in the final PICO.</w:t>
      </w:r>
      <w:r>
        <w:rPr>
          <w:i/>
          <w:iCs/>
        </w:rPr>
        <w:t xml:space="preserve"> </w:t>
      </w:r>
      <w:r w:rsidRPr="00ED0534">
        <w:rPr>
          <w:iCs/>
        </w:rPr>
        <w:t>The clinical management algorithm</w:t>
      </w:r>
      <w:r>
        <w:rPr>
          <w:iCs/>
        </w:rPr>
        <w:t>s below (Figure 1 and Figure 2) have</w:t>
      </w:r>
      <w:r w:rsidRPr="00ED0534">
        <w:rPr>
          <w:iCs/>
        </w:rPr>
        <w:t xml:space="preserve"> been updated </w:t>
      </w:r>
      <w:r w:rsidR="00993B45">
        <w:rPr>
          <w:iCs/>
        </w:rPr>
        <w:t xml:space="preserve">by the Applicant </w:t>
      </w:r>
      <w:r w:rsidRPr="00ED0534">
        <w:rPr>
          <w:iCs/>
        </w:rPr>
        <w:t>to reflect PASC’s advice</w:t>
      </w:r>
      <w:r>
        <w:rPr>
          <w:i/>
          <w:iCs/>
        </w:rPr>
        <w:t xml:space="preserve">. </w:t>
      </w:r>
    </w:p>
    <w:p w14:paraId="07339A3C" w14:textId="77777777" w:rsidR="00E85CBC" w:rsidRDefault="00E85CBC">
      <w:pPr>
        <w:rPr>
          <w:rFonts w:ascii="Arial Narrow" w:eastAsia="Times New Roman" w:hAnsi="Arial Narrow" w:cs="Tahoma"/>
          <w:b/>
          <w:sz w:val="20"/>
          <w:szCs w:val="20"/>
          <w:lang w:val="en-GB" w:eastAsia="ja-JP"/>
        </w:rPr>
      </w:pPr>
      <w:r>
        <w:br w:type="page"/>
      </w:r>
    </w:p>
    <w:p w14:paraId="536AEF73" w14:textId="021B2230" w:rsidR="00E85CBC" w:rsidRPr="00272077" w:rsidRDefault="00E85CBC">
      <w:pPr>
        <w:pStyle w:val="Caption"/>
        <w:rPr>
          <w:sz w:val="24"/>
          <w:szCs w:val="24"/>
        </w:rPr>
      </w:pPr>
      <w:r w:rsidRPr="00272077">
        <w:rPr>
          <w:sz w:val="24"/>
          <w:szCs w:val="24"/>
        </w:rPr>
        <w:lastRenderedPageBreak/>
        <w:t xml:space="preserve">Figure </w:t>
      </w:r>
      <w:r w:rsidRPr="00272077">
        <w:rPr>
          <w:b w:val="0"/>
          <w:sz w:val="24"/>
          <w:szCs w:val="24"/>
        </w:rPr>
        <w:fldChar w:fldCharType="begin"/>
      </w:r>
      <w:r w:rsidRPr="00272077">
        <w:rPr>
          <w:sz w:val="24"/>
          <w:szCs w:val="24"/>
        </w:rPr>
        <w:instrText xml:space="preserve"> SEQ Figure \* ARABIC </w:instrText>
      </w:r>
      <w:r w:rsidRPr="00272077">
        <w:rPr>
          <w:b w:val="0"/>
          <w:sz w:val="24"/>
          <w:szCs w:val="24"/>
        </w:rPr>
        <w:fldChar w:fldCharType="separate"/>
      </w:r>
      <w:r w:rsidR="00ED0534">
        <w:rPr>
          <w:noProof/>
          <w:sz w:val="24"/>
          <w:szCs w:val="24"/>
        </w:rPr>
        <w:t>1</w:t>
      </w:r>
      <w:r w:rsidRPr="00272077">
        <w:rPr>
          <w:b w:val="0"/>
          <w:sz w:val="24"/>
          <w:szCs w:val="24"/>
        </w:rPr>
        <w:fldChar w:fldCharType="end"/>
      </w:r>
      <w:r w:rsidR="00272077" w:rsidRPr="00272077">
        <w:rPr>
          <w:sz w:val="24"/>
          <w:szCs w:val="24"/>
        </w:rPr>
        <w:t xml:space="preserve">: </w:t>
      </w:r>
      <w:r w:rsidRPr="00272077">
        <w:rPr>
          <w:sz w:val="24"/>
          <w:szCs w:val="24"/>
        </w:rPr>
        <w:t xml:space="preserve">Current clinical management pathway for cancer patients receiving radiation therapy </w:t>
      </w:r>
    </w:p>
    <w:p w14:paraId="19137CFE" w14:textId="3573963A" w:rsidR="008F2914" w:rsidRDefault="008F2914" w:rsidP="00396260">
      <w:pPr>
        <w:pStyle w:val="Caption"/>
        <w:ind w:left="0" w:firstLine="0"/>
      </w:pPr>
    </w:p>
    <w:p w14:paraId="25EAAF9D" w14:textId="6B11EDE2" w:rsidR="006A7507" w:rsidRPr="006A7507" w:rsidRDefault="005023B8" w:rsidP="006A7507">
      <w:pPr>
        <w:rPr>
          <w:lang w:val="en-GB" w:eastAsia="ja-JP"/>
        </w:rPr>
      </w:pPr>
      <w:r>
        <w:rPr>
          <w:noProof/>
          <w:lang w:eastAsia="en-AU"/>
        </w:rPr>
        <w:drawing>
          <wp:inline distT="0" distB="0" distL="0" distR="0" wp14:anchorId="18916042" wp14:editId="2C766A78">
            <wp:extent cx="5731510" cy="7313930"/>
            <wp:effectExtent l="0" t="0" r="2540" b="1270"/>
            <wp:docPr id="5" name="Picture 5" descr="Picture"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7313930"/>
                    </a:xfrm>
                    <a:prstGeom prst="rect">
                      <a:avLst/>
                    </a:prstGeom>
                  </pic:spPr>
                </pic:pic>
              </a:graphicData>
            </a:graphic>
          </wp:inline>
        </w:drawing>
      </w:r>
      <w:r w:rsidR="006A7507" w:rsidRPr="006A7507">
        <w:rPr>
          <w:sz w:val="16"/>
          <w:lang w:val="en-GB" w:eastAsia="ja-JP"/>
        </w:rPr>
        <w:t xml:space="preserve">Source: Applicant’s comment to PASC Outcomes </w:t>
      </w:r>
    </w:p>
    <w:p w14:paraId="71DCA21C" w14:textId="71CA01FB" w:rsidR="006A7507" w:rsidRDefault="006A7507" w:rsidP="006A7507">
      <w:pPr>
        <w:pStyle w:val="Caption"/>
        <w:rPr>
          <w:sz w:val="24"/>
          <w:szCs w:val="24"/>
        </w:rPr>
      </w:pPr>
    </w:p>
    <w:p w14:paraId="6DBAE434" w14:textId="085A76A0" w:rsidR="006A7507" w:rsidRDefault="006A7507" w:rsidP="006A7507">
      <w:pPr>
        <w:rPr>
          <w:lang w:val="en-GB" w:eastAsia="ja-JP"/>
        </w:rPr>
      </w:pPr>
    </w:p>
    <w:p w14:paraId="11857DBE" w14:textId="25692B7B" w:rsidR="006A7507" w:rsidRPr="006A7507" w:rsidRDefault="006A7507" w:rsidP="006A7507">
      <w:pPr>
        <w:rPr>
          <w:lang w:val="en-GB" w:eastAsia="ja-JP"/>
        </w:rPr>
      </w:pPr>
      <w:r>
        <w:rPr>
          <w:lang w:val="en-GB" w:eastAsia="ja-JP"/>
        </w:rPr>
        <w:br/>
      </w:r>
    </w:p>
    <w:p w14:paraId="40F1F9D4" w14:textId="77777777" w:rsidR="006A7507" w:rsidRDefault="006A7507" w:rsidP="006A7507">
      <w:pPr>
        <w:pStyle w:val="Caption"/>
        <w:rPr>
          <w:sz w:val="24"/>
          <w:szCs w:val="24"/>
        </w:rPr>
      </w:pPr>
    </w:p>
    <w:p w14:paraId="611F64DC" w14:textId="06853FEC" w:rsidR="006A7507" w:rsidRPr="00272077" w:rsidRDefault="006A7507" w:rsidP="006A7507">
      <w:pPr>
        <w:pStyle w:val="Caption"/>
        <w:rPr>
          <w:sz w:val="24"/>
          <w:szCs w:val="24"/>
        </w:rPr>
      </w:pPr>
      <w:r w:rsidRPr="00272077">
        <w:rPr>
          <w:sz w:val="24"/>
          <w:szCs w:val="24"/>
        </w:rPr>
        <w:t xml:space="preserve">Figure </w:t>
      </w:r>
      <w:r w:rsidRPr="006A7507">
        <w:rPr>
          <w:sz w:val="24"/>
          <w:szCs w:val="24"/>
        </w:rPr>
        <w:t>2</w:t>
      </w:r>
      <w:r w:rsidRPr="00272077">
        <w:rPr>
          <w:sz w:val="24"/>
          <w:szCs w:val="24"/>
        </w:rPr>
        <w:t xml:space="preserve">: </w:t>
      </w:r>
      <w:r>
        <w:rPr>
          <w:sz w:val="24"/>
          <w:szCs w:val="24"/>
        </w:rPr>
        <w:t>Proposed</w:t>
      </w:r>
      <w:r w:rsidRPr="00272077">
        <w:rPr>
          <w:sz w:val="24"/>
          <w:szCs w:val="24"/>
        </w:rPr>
        <w:t xml:space="preserve"> clinical management pathway for cancer patients receiving radiation therapy </w:t>
      </w:r>
    </w:p>
    <w:p w14:paraId="30C3B8C1" w14:textId="77777777" w:rsidR="006A7507" w:rsidRDefault="006A7507" w:rsidP="00396260">
      <w:pPr>
        <w:rPr>
          <w:i/>
          <w:iCs/>
        </w:rPr>
      </w:pPr>
    </w:p>
    <w:p w14:paraId="666C629F" w14:textId="484A28B4" w:rsidR="00142FB9" w:rsidRPr="006A7507" w:rsidRDefault="006A7507" w:rsidP="006A7507">
      <w:pPr>
        <w:rPr>
          <w:i/>
          <w:iCs/>
        </w:rPr>
      </w:pPr>
      <w:r w:rsidRPr="006A7507">
        <w:rPr>
          <w:i/>
          <w:iCs/>
          <w:noProof/>
          <w:lang w:eastAsia="en-AU"/>
        </w:rPr>
        <w:drawing>
          <wp:inline distT="0" distB="0" distL="0" distR="0" wp14:anchorId="33BEF7D9" wp14:editId="0934B277">
            <wp:extent cx="5731510" cy="7743438"/>
            <wp:effectExtent l="0" t="0" r="2540" b="0"/>
            <wp:docPr id="7" name="Picture 7" descr="Picture"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7743438"/>
                    </a:xfrm>
                    <a:prstGeom prst="rect">
                      <a:avLst/>
                    </a:prstGeom>
                    <a:noFill/>
                    <a:ln>
                      <a:noFill/>
                    </a:ln>
                  </pic:spPr>
                </pic:pic>
              </a:graphicData>
            </a:graphic>
          </wp:inline>
        </w:drawing>
      </w:r>
      <w:r w:rsidRPr="006A7507">
        <w:rPr>
          <w:sz w:val="16"/>
          <w:lang w:val="en-GB" w:eastAsia="ja-JP"/>
        </w:rPr>
        <w:t>Source: Applicant’s comment to PASC Outcomes</w:t>
      </w:r>
      <w:r>
        <w:rPr>
          <w:sz w:val="16"/>
          <w:lang w:val="en-GB" w:eastAsia="ja-JP"/>
        </w:rPr>
        <w:t xml:space="preserve"> </w:t>
      </w:r>
    </w:p>
    <w:p w14:paraId="390A0EC4" w14:textId="5BFB661B" w:rsidR="006E0F6F" w:rsidRPr="00ED0534" w:rsidRDefault="003E0382" w:rsidP="00ED0534">
      <w:pPr>
        <w:pStyle w:val="Heading2"/>
        <w:spacing w:line="240" w:lineRule="auto"/>
        <w:jc w:val="both"/>
        <w:rPr>
          <w:i w:val="0"/>
          <w:color w:val="00B0F0"/>
          <w:sz w:val="32"/>
          <w:szCs w:val="32"/>
          <w:u w:val="none"/>
        </w:rPr>
      </w:pPr>
      <w:r w:rsidRPr="00B769FD">
        <w:rPr>
          <w:i w:val="0"/>
          <w:color w:val="00B0F0"/>
          <w:sz w:val="32"/>
          <w:szCs w:val="32"/>
          <w:u w:val="none"/>
        </w:rPr>
        <w:lastRenderedPageBreak/>
        <w:t xml:space="preserve">Proposed </w:t>
      </w:r>
      <w:r w:rsidR="002B226C" w:rsidRPr="00B769FD">
        <w:rPr>
          <w:i w:val="0"/>
          <w:color w:val="00B0F0"/>
          <w:sz w:val="32"/>
          <w:szCs w:val="32"/>
          <w:u w:val="none"/>
        </w:rPr>
        <w:t xml:space="preserve">economic </w:t>
      </w:r>
      <w:r w:rsidR="009E5295" w:rsidRPr="00B769FD">
        <w:rPr>
          <w:i w:val="0"/>
          <w:color w:val="00B0F0"/>
          <w:sz w:val="32"/>
          <w:szCs w:val="32"/>
          <w:u w:val="none"/>
        </w:rPr>
        <w:t>evaluation</w:t>
      </w:r>
    </w:p>
    <w:p w14:paraId="73376AB1" w14:textId="3687C32D" w:rsidR="00054CF0" w:rsidRDefault="00054CF0" w:rsidP="006E0F6F">
      <w:pPr>
        <w:spacing w:after="120"/>
      </w:pPr>
      <w:r>
        <w:t xml:space="preserve">The clinical claim is that </w:t>
      </w:r>
      <w:r w:rsidR="00E85CBC">
        <w:t>MR</w:t>
      </w:r>
      <w:r w:rsidR="00DF7026">
        <w:t>-</w:t>
      </w:r>
      <w:r w:rsidR="00E85CBC">
        <w:t>IGRT</w:t>
      </w:r>
      <w:r>
        <w:t xml:space="preserve"> is non-inferior in safety and non-inferior in clinical effectiveness</w:t>
      </w:r>
      <w:r w:rsidR="004C1EBE">
        <w:t>,</w:t>
      </w:r>
      <w:r>
        <w:t xml:space="preserve"> when compared to </w:t>
      </w:r>
      <w:r w:rsidR="00396260">
        <w:t xml:space="preserve">current standard of </w:t>
      </w:r>
      <w:r w:rsidR="007E1EC7">
        <w:t>CBCT</w:t>
      </w:r>
      <w:r w:rsidR="00396260">
        <w:t xml:space="preserve"> guided radiation therapy. </w:t>
      </w:r>
      <w:r>
        <w:t xml:space="preserve">According to the </w:t>
      </w:r>
      <w:r w:rsidRPr="00CA7658">
        <w:rPr>
          <w:i/>
        </w:rPr>
        <w:t>Technical Guidelines for preparing assessment reports for the Medical Services Advisory Committee</w:t>
      </w:r>
      <w:r>
        <w:rPr>
          <w:i/>
        </w:rPr>
        <w:t>: Therapeutic,</w:t>
      </w:r>
      <w:r>
        <w:t xml:space="preserve"> the required economic analysis is therefore a cost-minimisation analysis against the comparator</w:t>
      </w:r>
      <w:r w:rsidR="004C1EBE">
        <w:t xml:space="preserve"> (C</w:t>
      </w:r>
      <w:r w:rsidR="007E1EC7">
        <w:t>BCT</w:t>
      </w:r>
      <w:r w:rsidR="00396260">
        <w:t xml:space="preserve"> guided radiation therapy</w:t>
      </w:r>
      <w:r w:rsidR="004C1EBE">
        <w:t>)</w:t>
      </w:r>
      <w:r>
        <w:t>.</w:t>
      </w:r>
    </w:p>
    <w:p w14:paraId="61AA9D9C" w14:textId="77777777" w:rsidR="00EF2EA9" w:rsidRPr="00EF2EA9" w:rsidRDefault="00EF2EA9" w:rsidP="00EF2EA9">
      <w:pPr>
        <w:rPr>
          <w:i/>
          <w:iCs/>
        </w:rPr>
      </w:pPr>
      <w:r w:rsidRPr="00EF2EA9">
        <w:rPr>
          <w:i/>
          <w:iCs/>
        </w:rPr>
        <w:t>PASC confirmed that a cost-minimisation analysis (CMA) was appropriate.</w:t>
      </w:r>
    </w:p>
    <w:p w14:paraId="54DC1A78" w14:textId="1B900959" w:rsidR="00EF2EA9" w:rsidRPr="00EF2EA9" w:rsidRDefault="00EF2EA9" w:rsidP="00EF2EA9">
      <w:pPr>
        <w:spacing w:after="120"/>
        <w:rPr>
          <w:i/>
          <w:iCs/>
        </w:rPr>
      </w:pPr>
      <w:r w:rsidRPr="00EF2EA9">
        <w:rPr>
          <w:i/>
          <w:iCs/>
        </w:rPr>
        <w:t>PASC queried if the comparator would be a complete substitution, or would there be any changes in healthcare resource use. PASC noted the applicant’s advice indicating there would be a reduction in fiducial marker procedures, increased case referral and changes in treatment schedule with MR-IGRT compared with CBCT.</w:t>
      </w:r>
    </w:p>
    <w:p w14:paraId="1066EE30" w14:textId="1888C62B" w:rsidR="00EF2EA9" w:rsidRPr="00EF2EA9" w:rsidRDefault="00EF2EA9" w:rsidP="00EF2EA9">
      <w:pPr>
        <w:spacing w:after="120"/>
        <w:rPr>
          <w:i/>
          <w:iCs/>
        </w:rPr>
      </w:pPr>
      <w:r w:rsidRPr="00EF2EA9">
        <w:rPr>
          <w:i/>
          <w:iCs/>
        </w:rPr>
        <w:t>PASC advised that the evaluation should be clear on whether the intervention is budget neutral.</w:t>
      </w:r>
    </w:p>
    <w:p w14:paraId="55EB1320" w14:textId="42A3949B" w:rsidR="00EF2EA9" w:rsidRPr="00EF2EA9" w:rsidRDefault="00EF2EA9" w:rsidP="00EF2EA9">
      <w:pPr>
        <w:spacing w:after="120"/>
        <w:rPr>
          <w:i/>
          <w:iCs/>
        </w:rPr>
      </w:pPr>
      <w:r w:rsidRPr="00EF2EA9">
        <w:rPr>
          <w:i/>
          <w:iCs/>
        </w:rPr>
        <w:t>PASC noted that the distribution of costs between the intervention and comparator should be evaluated, including capital costs, and resource costs (including procedural time). PASC queried if there would be a net impact to out-of-pocket costs and Extended Medicare Safety Net costs, although noted these are not always included in economic modelling.</w:t>
      </w:r>
    </w:p>
    <w:p w14:paraId="11576AD8" w14:textId="0BFFE849" w:rsidR="00EF2EA9" w:rsidRDefault="00EF2EA9" w:rsidP="00EF2EA9">
      <w:pPr>
        <w:spacing w:after="120"/>
        <w:rPr>
          <w:i/>
          <w:iCs/>
        </w:rPr>
      </w:pPr>
      <w:r w:rsidRPr="00EF2EA9">
        <w:rPr>
          <w:i/>
          <w:iCs/>
        </w:rPr>
        <w:t>PASC noted that changes in the treatment schedule (such as increased hypofractionation or facilitation of dose escalation) and adverse event profile may need to be modelled to assess the risk–benefit trade-offs.</w:t>
      </w:r>
    </w:p>
    <w:p w14:paraId="737EE732" w14:textId="38C731A0" w:rsidR="00BE31AD" w:rsidRPr="00BE31AD" w:rsidRDefault="00BE31AD" w:rsidP="00BE31AD">
      <w:pPr>
        <w:autoSpaceDE w:val="0"/>
        <w:autoSpaceDN w:val="0"/>
        <w:adjustRightInd w:val="0"/>
        <w:spacing w:after="0" w:line="240" w:lineRule="auto"/>
        <w:rPr>
          <w:i/>
          <w:iCs/>
        </w:rPr>
      </w:pPr>
      <w:r w:rsidRPr="00BE31AD">
        <w:rPr>
          <w:i/>
          <w:iCs/>
        </w:rPr>
        <w:t>The Applicant advised that the Application seeks equivalent reimbursement for MR-Linac systems</w:t>
      </w:r>
      <w:r>
        <w:rPr>
          <w:i/>
          <w:iCs/>
        </w:rPr>
        <w:t xml:space="preserve"> </w:t>
      </w:r>
      <w:r w:rsidRPr="00BE31AD">
        <w:rPr>
          <w:i/>
          <w:iCs/>
        </w:rPr>
        <w:t xml:space="preserve">to existing Linacs and considered the current modelling for IGRT for Linacs would be appropriate analysis. </w:t>
      </w:r>
      <w:r>
        <w:rPr>
          <w:i/>
          <w:iCs/>
        </w:rPr>
        <w:t>The Applicant considered that n</w:t>
      </w:r>
      <w:r w:rsidRPr="00BE31AD">
        <w:rPr>
          <w:i/>
          <w:iCs/>
        </w:rPr>
        <w:t>o net</w:t>
      </w:r>
      <w:r>
        <w:rPr>
          <w:i/>
          <w:iCs/>
        </w:rPr>
        <w:t xml:space="preserve"> </w:t>
      </w:r>
      <w:r w:rsidRPr="00BE31AD">
        <w:rPr>
          <w:i/>
          <w:iCs/>
        </w:rPr>
        <w:t xml:space="preserve">impact to out-of-pocket costs </w:t>
      </w:r>
      <w:r>
        <w:rPr>
          <w:i/>
          <w:iCs/>
        </w:rPr>
        <w:t xml:space="preserve">would be </w:t>
      </w:r>
      <w:r w:rsidRPr="00BE31AD">
        <w:rPr>
          <w:i/>
          <w:iCs/>
        </w:rPr>
        <w:t>expected and would be dependent on the individual provider, just as the situation currently is for all radiation therapy tr</w:t>
      </w:r>
      <w:r>
        <w:rPr>
          <w:i/>
          <w:iCs/>
        </w:rPr>
        <w:t xml:space="preserve">eatments. The Applicant noted that </w:t>
      </w:r>
      <w:r w:rsidRPr="00BE31AD">
        <w:rPr>
          <w:i/>
          <w:iCs/>
        </w:rPr>
        <w:t xml:space="preserve">MR linacs </w:t>
      </w:r>
      <w:r>
        <w:rPr>
          <w:i/>
          <w:iCs/>
        </w:rPr>
        <w:t xml:space="preserve">are </w:t>
      </w:r>
      <w:r w:rsidRPr="00BE31AD">
        <w:rPr>
          <w:i/>
          <w:iCs/>
        </w:rPr>
        <w:t>going in to both public and private sector sites in Australia.</w:t>
      </w:r>
    </w:p>
    <w:p w14:paraId="50A5A2AA" w14:textId="5E8D2774" w:rsidR="006E0F6F" w:rsidRPr="00ED0534" w:rsidRDefault="00752491" w:rsidP="00ED0534">
      <w:pPr>
        <w:pStyle w:val="Heading2"/>
        <w:spacing w:line="240" w:lineRule="auto"/>
        <w:jc w:val="both"/>
        <w:rPr>
          <w:i w:val="0"/>
          <w:color w:val="00B0F0"/>
          <w:sz w:val="32"/>
          <w:szCs w:val="32"/>
          <w:u w:val="none"/>
        </w:rPr>
      </w:pPr>
      <w:r w:rsidRPr="00B769FD">
        <w:rPr>
          <w:i w:val="0"/>
          <w:color w:val="00B0F0"/>
          <w:sz w:val="32"/>
          <w:szCs w:val="32"/>
          <w:u w:val="none"/>
        </w:rPr>
        <w:t xml:space="preserve">Proposed </w:t>
      </w:r>
      <w:r w:rsidR="00B769FD">
        <w:rPr>
          <w:i w:val="0"/>
          <w:color w:val="00B0F0"/>
          <w:sz w:val="32"/>
          <w:szCs w:val="32"/>
          <w:u w:val="none"/>
        </w:rPr>
        <w:t xml:space="preserve">MBS </w:t>
      </w:r>
      <w:r w:rsidRPr="00B769FD">
        <w:rPr>
          <w:i w:val="0"/>
          <w:color w:val="00B0F0"/>
          <w:sz w:val="32"/>
          <w:szCs w:val="32"/>
          <w:u w:val="none"/>
        </w:rPr>
        <w:t>item descriptor</w:t>
      </w:r>
      <w:r w:rsidR="00B769FD">
        <w:rPr>
          <w:i w:val="0"/>
          <w:color w:val="00B0F0"/>
          <w:sz w:val="32"/>
          <w:szCs w:val="32"/>
          <w:u w:val="none"/>
        </w:rPr>
        <w:t xml:space="preserve"> and MBS fee</w:t>
      </w:r>
    </w:p>
    <w:p w14:paraId="4AD39547" w14:textId="197FA33A" w:rsidR="001B4B14" w:rsidRDefault="00335A12" w:rsidP="006E0F6F">
      <w:pPr>
        <w:spacing w:after="120"/>
      </w:pPr>
      <w:r>
        <w:t>The A</w:t>
      </w:r>
      <w:r w:rsidR="00DF7026">
        <w:t>pplicant requested</w:t>
      </w:r>
      <w:r w:rsidR="00F9541C">
        <w:t xml:space="preserve"> an </w:t>
      </w:r>
      <w:r w:rsidR="00F9541C" w:rsidRPr="003F1786">
        <w:t>amendment to the way the service is clinically delivered under existing MBS item</w:t>
      </w:r>
      <w:r w:rsidR="00F9541C">
        <w:t xml:space="preserve"> 15275.</w:t>
      </w:r>
      <w:r w:rsidR="00DF7026">
        <w:t xml:space="preserve"> I</w:t>
      </w:r>
      <w:r w:rsidR="001B4B14">
        <w:t xml:space="preserve">tem 15275 </w:t>
      </w:r>
      <w:r w:rsidR="00DF7026">
        <w:t>is billed with item</w:t>
      </w:r>
      <w:r w:rsidR="001B4B14">
        <w:t xml:space="preserve"> 15555 SIMULATION FOR INTENSITY-MODULATED RADIATION THERAPY (IMRT)</w:t>
      </w:r>
      <w:r w:rsidR="00DF7026">
        <w:t>,</w:t>
      </w:r>
      <w:r w:rsidR="001B4B14">
        <w:t xml:space="preserve"> </w:t>
      </w:r>
      <w:r w:rsidR="00DF7026">
        <w:t>as well as item</w:t>
      </w:r>
      <w:r w:rsidR="001B4B14">
        <w:t xml:space="preserve"> 15565 Preparation of an IMRT DOSIMETRY PLAN. </w:t>
      </w:r>
      <w:r w:rsidR="004465F2">
        <w:t xml:space="preserve">The </w:t>
      </w:r>
      <w:r w:rsidR="001B4B14">
        <w:t>Applicant claim</w:t>
      </w:r>
      <w:r w:rsidR="00DF7026">
        <w:t>ed that</w:t>
      </w:r>
      <w:r w:rsidR="001B4B14">
        <w:t xml:space="preserve"> Simulation and Dosimetry workflows and processes will be consistent with current practice</w:t>
      </w:r>
      <w:r w:rsidR="00DF7026">
        <w:t>,</w:t>
      </w:r>
      <w:r w:rsidR="001B4B14">
        <w:t xml:space="preserve"> </w:t>
      </w:r>
      <w:r w:rsidR="00DF7026">
        <w:t xml:space="preserve">if </w:t>
      </w:r>
      <w:r w:rsidR="001B4B14">
        <w:t xml:space="preserve">implemented with </w:t>
      </w:r>
      <w:r w:rsidR="003F1786">
        <w:t>MR</w:t>
      </w:r>
      <w:r w:rsidR="00DF7026">
        <w:t>-</w:t>
      </w:r>
      <w:r w:rsidR="00BD43B6">
        <w:t>I</w:t>
      </w:r>
      <w:r w:rsidR="00DF7026">
        <w:t>G</w:t>
      </w:r>
      <w:r w:rsidR="003F1786">
        <w:t>RT</w:t>
      </w:r>
      <w:r w:rsidR="001B4B14">
        <w:t>.</w:t>
      </w:r>
    </w:p>
    <w:p w14:paraId="315BE319" w14:textId="64E7DAE4" w:rsidR="00F9541C" w:rsidRPr="003B237B" w:rsidRDefault="003B237B" w:rsidP="003B237B">
      <w:pPr>
        <w:spacing w:after="120"/>
        <w:rPr>
          <w:b/>
        </w:rPr>
      </w:pPr>
      <w:r w:rsidRPr="003B237B">
        <w:rPr>
          <w:b/>
        </w:rPr>
        <w:t>MBS item 15275</w:t>
      </w:r>
      <w:r w:rsidR="001B4B14" w:rsidRPr="003B237B">
        <w:rPr>
          <w:b/>
        </w:rPr>
        <w:t>:</w:t>
      </w:r>
    </w:p>
    <w:tbl>
      <w:tblPr>
        <w:tblStyle w:val="TableGrid"/>
        <w:tblW w:w="0" w:type="auto"/>
        <w:tblLook w:val="04A0" w:firstRow="1" w:lastRow="0" w:firstColumn="1" w:lastColumn="0" w:noHBand="0" w:noVBand="1"/>
        <w:tblCaption w:val="Table"/>
        <w:tblDescription w:val="Table"/>
      </w:tblPr>
      <w:tblGrid>
        <w:gridCol w:w="9016"/>
      </w:tblGrid>
      <w:tr w:rsidR="00F9541C" w14:paraId="6FD0291D" w14:textId="77777777" w:rsidTr="00E6659A">
        <w:trPr>
          <w:tblHeader/>
        </w:trPr>
        <w:tc>
          <w:tcPr>
            <w:tcW w:w="9016" w:type="dxa"/>
          </w:tcPr>
          <w:p w14:paraId="6899D012" w14:textId="169D3C77" w:rsidR="00F9541C" w:rsidRDefault="00F9541C" w:rsidP="00F9541C">
            <w:r>
              <w:t>Category 3 - THERAPEUTIC PROCEDURES</w:t>
            </w:r>
          </w:p>
        </w:tc>
      </w:tr>
      <w:tr w:rsidR="00F9541C" w14:paraId="114FC373" w14:textId="77777777" w:rsidTr="00F9541C">
        <w:tc>
          <w:tcPr>
            <w:tcW w:w="9016" w:type="dxa"/>
          </w:tcPr>
          <w:p w14:paraId="62D122E1" w14:textId="77777777" w:rsidR="00F9541C" w:rsidRPr="001B4B14" w:rsidRDefault="00F9541C" w:rsidP="00F9541C">
            <w:pPr>
              <w:rPr>
                <w:rFonts w:ascii="Arial Narrow" w:hAnsi="Arial Narrow"/>
                <w:sz w:val="18"/>
                <w:szCs w:val="18"/>
              </w:rPr>
            </w:pPr>
            <w:r w:rsidRPr="001B4B14">
              <w:rPr>
                <w:rFonts w:ascii="Arial Narrow" w:hAnsi="Arial Narrow"/>
                <w:sz w:val="18"/>
                <w:szCs w:val="18"/>
              </w:rPr>
              <w:t>RADIATION ONCOLOGY TREATMENT with IGRT imaging facilities undertaken:</w:t>
            </w:r>
          </w:p>
          <w:p w14:paraId="0C340BCD" w14:textId="77777777" w:rsidR="00F9541C" w:rsidRPr="001B4B14" w:rsidRDefault="00F9541C" w:rsidP="00F9541C">
            <w:pPr>
              <w:rPr>
                <w:rFonts w:ascii="Arial Narrow" w:hAnsi="Arial Narrow"/>
                <w:sz w:val="18"/>
                <w:szCs w:val="18"/>
              </w:rPr>
            </w:pPr>
            <w:r w:rsidRPr="001B4B14">
              <w:rPr>
                <w:rFonts w:ascii="Arial Narrow" w:hAnsi="Arial Narrow"/>
                <w:sz w:val="18"/>
                <w:szCs w:val="18"/>
              </w:rPr>
              <w:t>(a) to implement an IMRT dosimetry plan prepared in accordance with item 15565; and</w:t>
            </w:r>
          </w:p>
          <w:p w14:paraId="43B566D4" w14:textId="6788AC9D" w:rsidR="00F9541C" w:rsidRPr="001B4B14" w:rsidRDefault="00F9541C" w:rsidP="00F9541C">
            <w:pPr>
              <w:rPr>
                <w:rFonts w:ascii="Arial Narrow" w:hAnsi="Arial Narrow"/>
                <w:sz w:val="18"/>
                <w:szCs w:val="18"/>
              </w:rPr>
            </w:pPr>
            <w:r w:rsidRPr="001B4B14">
              <w:rPr>
                <w:rFonts w:ascii="Arial Narrow" w:hAnsi="Arial Narrow"/>
                <w:sz w:val="18"/>
                <w:szCs w:val="18"/>
              </w:rPr>
              <w:t>(b) utilising an intensity modulated treatment delivery mode (delivered by a fixed or dynamic gantry linear accelerator or by a helical non C-arm based linear accelerator), once only at each attendance at which treatment is given.</w:t>
            </w:r>
          </w:p>
          <w:p w14:paraId="0152E246" w14:textId="77777777" w:rsidR="001B4B14" w:rsidRPr="001B4B14" w:rsidRDefault="001B4B14" w:rsidP="00F9541C">
            <w:pPr>
              <w:rPr>
                <w:rFonts w:ascii="Arial Narrow" w:hAnsi="Arial Narrow"/>
                <w:sz w:val="18"/>
                <w:szCs w:val="18"/>
              </w:rPr>
            </w:pPr>
          </w:p>
          <w:p w14:paraId="1FC630ED" w14:textId="03C81422" w:rsidR="00F9541C" w:rsidRPr="003B237B" w:rsidRDefault="003B237B" w:rsidP="00F9541C">
            <w:pPr>
              <w:rPr>
                <w:b/>
              </w:rPr>
            </w:pPr>
            <w:r w:rsidRPr="003B237B">
              <w:rPr>
                <w:rFonts w:ascii="Arial Narrow" w:hAnsi="Arial Narrow"/>
                <w:b/>
                <w:sz w:val="18"/>
                <w:szCs w:val="18"/>
              </w:rPr>
              <w:t xml:space="preserve">MBS </w:t>
            </w:r>
            <w:r w:rsidR="00F9541C" w:rsidRPr="003B237B">
              <w:rPr>
                <w:rFonts w:ascii="Arial Narrow" w:hAnsi="Arial Narrow"/>
                <w:b/>
                <w:sz w:val="18"/>
                <w:szCs w:val="18"/>
              </w:rPr>
              <w:t xml:space="preserve">Fee: $185.85 </w:t>
            </w:r>
            <w:r>
              <w:rPr>
                <w:rFonts w:ascii="Arial Narrow" w:hAnsi="Arial Narrow"/>
                <w:b/>
                <w:sz w:val="18"/>
                <w:szCs w:val="18"/>
              </w:rPr>
              <w:t xml:space="preserve">   </w:t>
            </w:r>
            <w:r w:rsidR="00F9541C" w:rsidRPr="003B237B">
              <w:rPr>
                <w:rFonts w:ascii="Arial Narrow" w:hAnsi="Arial Narrow"/>
                <w:b/>
                <w:sz w:val="18"/>
                <w:szCs w:val="18"/>
              </w:rPr>
              <w:t xml:space="preserve">Benefit: 75% = $139.40 </w:t>
            </w:r>
            <w:r>
              <w:rPr>
                <w:rFonts w:ascii="Arial Narrow" w:hAnsi="Arial Narrow"/>
                <w:b/>
                <w:sz w:val="18"/>
                <w:szCs w:val="18"/>
              </w:rPr>
              <w:t xml:space="preserve">   </w:t>
            </w:r>
            <w:r w:rsidR="00F9541C" w:rsidRPr="003B237B">
              <w:rPr>
                <w:rFonts w:ascii="Arial Narrow" w:hAnsi="Arial Narrow"/>
                <w:b/>
                <w:sz w:val="18"/>
                <w:szCs w:val="18"/>
              </w:rPr>
              <w:t>85% = $158.00</w:t>
            </w:r>
          </w:p>
        </w:tc>
      </w:tr>
    </w:tbl>
    <w:p w14:paraId="1EA33A2C" w14:textId="64656A9C" w:rsidR="003B237B" w:rsidRDefault="003B237B" w:rsidP="003B237B">
      <w:pPr>
        <w:spacing w:after="0"/>
      </w:pPr>
    </w:p>
    <w:p w14:paraId="21B7BE9C" w14:textId="13E9BD6C" w:rsidR="00925D11" w:rsidRDefault="00925D11" w:rsidP="003B237B">
      <w:pPr>
        <w:spacing w:after="0"/>
      </w:pPr>
    </w:p>
    <w:p w14:paraId="0914A317" w14:textId="147D3B7F" w:rsidR="00925D11" w:rsidRDefault="00925D11" w:rsidP="003B237B">
      <w:pPr>
        <w:spacing w:after="0"/>
      </w:pPr>
    </w:p>
    <w:p w14:paraId="2360260B" w14:textId="4986695E" w:rsidR="00925D11" w:rsidRDefault="00925D11" w:rsidP="003B237B">
      <w:pPr>
        <w:spacing w:after="0"/>
      </w:pPr>
    </w:p>
    <w:p w14:paraId="4485081A" w14:textId="6245D5CA" w:rsidR="00925D11" w:rsidRDefault="00925D11" w:rsidP="003B237B">
      <w:pPr>
        <w:spacing w:after="0"/>
      </w:pPr>
    </w:p>
    <w:p w14:paraId="2C2799C6" w14:textId="77777777" w:rsidR="00925D11" w:rsidRDefault="00925D11" w:rsidP="003B237B">
      <w:pPr>
        <w:spacing w:after="0"/>
      </w:pPr>
    </w:p>
    <w:p w14:paraId="64DD6012" w14:textId="652E88B3" w:rsidR="001B4B14" w:rsidRPr="003B237B" w:rsidRDefault="003B237B" w:rsidP="003B237B">
      <w:pPr>
        <w:spacing w:after="120"/>
        <w:rPr>
          <w:b/>
        </w:rPr>
      </w:pPr>
      <w:r>
        <w:rPr>
          <w:b/>
        </w:rPr>
        <w:lastRenderedPageBreak/>
        <w:t>MBS item 15555</w:t>
      </w:r>
      <w:r w:rsidR="001B4B14" w:rsidRPr="003B237B">
        <w:rPr>
          <w:b/>
        </w:rPr>
        <w:t>:</w:t>
      </w:r>
    </w:p>
    <w:tbl>
      <w:tblPr>
        <w:tblStyle w:val="TableGrid"/>
        <w:tblW w:w="0" w:type="auto"/>
        <w:tblLook w:val="04A0" w:firstRow="1" w:lastRow="0" w:firstColumn="1" w:lastColumn="0" w:noHBand="0" w:noVBand="1"/>
        <w:tblCaption w:val="Table"/>
        <w:tblDescription w:val="Table"/>
      </w:tblPr>
      <w:tblGrid>
        <w:gridCol w:w="9016"/>
      </w:tblGrid>
      <w:tr w:rsidR="001B4B14" w14:paraId="04A06438" w14:textId="77777777" w:rsidTr="00E6659A">
        <w:trPr>
          <w:tblHeader/>
        </w:trPr>
        <w:tc>
          <w:tcPr>
            <w:tcW w:w="9016" w:type="dxa"/>
          </w:tcPr>
          <w:p w14:paraId="1BBB89C1" w14:textId="77777777" w:rsidR="001B4B14" w:rsidRDefault="001B4B14" w:rsidP="003F5887">
            <w:r>
              <w:t>Category 3 - THERAPEUTIC PROCEDURES</w:t>
            </w:r>
          </w:p>
        </w:tc>
      </w:tr>
      <w:tr w:rsidR="001B4B14" w14:paraId="2042CA39" w14:textId="77777777" w:rsidTr="003F5887">
        <w:tc>
          <w:tcPr>
            <w:tcW w:w="9016" w:type="dxa"/>
          </w:tcPr>
          <w:p w14:paraId="4CECDAA5" w14:textId="7A0A4433" w:rsidR="001B4B14" w:rsidRPr="001B4B14" w:rsidRDefault="001B4B14" w:rsidP="001B4B14">
            <w:pPr>
              <w:rPr>
                <w:rFonts w:ascii="Arial Narrow" w:hAnsi="Arial Narrow"/>
                <w:sz w:val="18"/>
                <w:szCs w:val="18"/>
              </w:rPr>
            </w:pPr>
            <w:r w:rsidRPr="001B4B14">
              <w:rPr>
                <w:rFonts w:ascii="Arial Narrow" w:hAnsi="Arial Narrow"/>
                <w:sz w:val="18"/>
                <w:szCs w:val="18"/>
              </w:rPr>
              <w:t>SIMULATION FOR INTENSITY-MODULATED RADIATION THERAPY (IMRT), with or without intravenous contrast medium, if:</w:t>
            </w:r>
          </w:p>
          <w:p w14:paraId="358CD238" w14:textId="77777777" w:rsidR="001B4B14" w:rsidRPr="001B4B14" w:rsidRDefault="001B4B14" w:rsidP="001B4B14">
            <w:pPr>
              <w:rPr>
                <w:rFonts w:ascii="Arial Narrow" w:hAnsi="Arial Narrow"/>
                <w:sz w:val="18"/>
                <w:szCs w:val="18"/>
              </w:rPr>
            </w:pPr>
            <w:r w:rsidRPr="001B4B14">
              <w:rPr>
                <w:rFonts w:ascii="Arial Narrow" w:hAnsi="Arial Narrow"/>
                <w:sz w:val="18"/>
                <w:szCs w:val="18"/>
              </w:rPr>
              <w:t>1.    treatment set-up and technique specifications are in preparations for three-dimensional conformal radiotherapy dose planning; and</w:t>
            </w:r>
          </w:p>
          <w:p w14:paraId="766985DB" w14:textId="77777777" w:rsidR="001B4B14" w:rsidRPr="001B4B14" w:rsidRDefault="001B4B14" w:rsidP="001B4B14">
            <w:pPr>
              <w:rPr>
                <w:rFonts w:ascii="Arial Narrow" w:hAnsi="Arial Narrow"/>
                <w:sz w:val="18"/>
                <w:szCs w:val="18"/>
              </w:rPr>
            </w:pPr>
            <w:r w:rsidRPr="001B4B14">
              <w:rPr>
                <w:rFonts w:ascii="Arial Narrow" w:hAnsi="Arial Narrow"/>
                <w:sz w:val="18"/>
                <w:szCs w:val="18"/>
              </w:rPr>
              <w:t>2.    patient set-up and immobilisation techniques are suitable for reliable CT-image volume data acquisition and three-dimensional conformal radiotherapy; and</w:t>
            </w:r>
          </w:p>
          <w:p w14:paraId="494128C1" w14:textId="77777777" w:rsidR="001B4B14" w:rsidRPr="001B4B14" w:rsidRDefault="001B4B14" w:rsidP="001B4B14">
            <w:pPr>
              <w:rPr>
                <w:rFonts w:ascii="Arial Narrow" w:hAnsi="Arial Narrow"/>
                <w:sz w:val="18"/>
                <w:szCs w:val="18"/>
              </w:rPr>
            </w:pPr>
            <w:r w:rsidRPr="001B4B14">
              <w:rPr>
                <w:rFonts w:ascii="Arial Narrow" w:hAnsi="Arial Narrow"/>
                <w:sz w:val="18"/>
                <w:szCs w:val="18"/>
              </w:rPr>
              <w:t>3.    a high-quality CT-image volume dataset is acquired for the relevant region of interest to be planned and treated; and</w:t>
            </w:r>
          </w:p>
          <w:p w14:paraId="2523C61B" w14:textId="309CC3D2" w:rsidR="001B4B14" w:rsidRPr="001B4B14" w:rsidRDefault="001B4B14" w:rsidP="001B4B14">
            <w:pPr>
              <w:rPr>
                <w:rFonts w:ascii="Arial Narrow" w:hAnsi="Arial Narrow"/>
                <w:sz w:val="18"/>
                <w:szCs w:val="18"/>
              </w:rPr>
            </w:pPr>
            <w:r w:rsidRPr="001B4B14">
              <w:rPr>
                <w:rFonts w:ascii="Arial Narrow" w:hAnsi="Arial Narrow"/>
                <w:sz w:val="18"/>
                <w:szCs w:val="18"/>
              </w:rPr>
              <w:t>4.    the image set is suitable for the generation of quality digitally-reconstructed radiographic images.</w:t>
            </w:r>
          </w:p>
          <w:p w14:paraId="3AEDC29F" w14:textId="7FAE507E" w:rsidR="001B4B14" w:rsidRPr="001B4B14" w:rsidRDefault="001B4B14" w:rsidP="001B4B14">
            <w:pPr>
              <w:rPr>
                <w:rFonts w:ascii="Arial Narrow" w:hAnsi="Arial Narrow"/>
                <w:sz w:val="18"/>
                <w:szCs w:val="18"/>
              </w:rPr>
            </w:pPr>
          </w:p>
          <w:p w14:paraId="3B5AAA44" w14:textId="002E4313" w:rsidR="001B4B14" w:rsidRPr="003B237B" w:rsidRDefault="003B237B" w:rsidP="001B4B14">
            <w:pPr>
              <w:rPr>
                <w:b/>
              </w:rPr>
            </w:pPr>
            <w:r>
              <w:rPr>
                <w:rFonts w:ascii="Arial Narrow" w:hAnsi="Arial Narrow"/>
                <w:b/>
                <w:sz w:val="18"/>
                <w:szCs w:val="18"/>
              </w:rPr>
              <w:t xml:space="preserve">MBS </w:t>
            </w:r>
            <w:r w:rsidR="001B4B14" w:rsidRPr="003B237B">
              <w:rPr>
                <w:rFonts w:ascii="Arial Narrow" w:hAnsi="Arial Narrow"/>
                <w:b/>
                <w:sz w:val="18"/>
                <w:szCs w:val="18"/>
              </w:rPr>
              <w:t xml:space="preserve">Fee: $721.90 </w:t>
            </w:r>
            <w:r>
              <w:rPr>
                <w:rFonts w:ascii="Arial Narrow" w:hAnsi="Arial Narrow"/>
                <w:b/>
                <w:sz w:val="18"/>
                <w:szCs w:val="18"/>
              </w:rPr>
              <w:t xml:space="preserve">   </w:t>
            </w:r>
            <w:r w:rsidR="001B4B14" w:rsidRPr="003B237B">
              <w:rPr>
                <w:rFonts w:ascii="Arial Narrow" w:hAnsi="Arial Narrow"/>
                <w:b/>
                <w:sz w:val="18"/>
                <w:szCs w:val="18"/>
              </w:rPr>
              <w:t xml:space="preserve">Benefit: 75% = $541.45 </w:t>
            </w:r>
            <w:r>
              <w:rPr>
                <w:rFonts w:ascii="Arial Narrow" w:hAnsi="Arial Narrow"/>
                <w:b/>
                <w:sz w:val="18"/>
                <w:szCs w:val="18"/>
              </w:rPr>
              <w:t xml:space="preserve">   </w:t>
            </w:r>
            <w:r w:rsidR="001B4B14" w:rsidRPr="003B237B">
              <w:rPr>
                <w:rFonts w:ascii="Arial Narrow" w:hAnsi="Arial Narrow"/>
                <w:b/>
                <w:sz w:val="18"/>
                <w:szCs w:val="18"/>
              </w:rPr>
              <w:t>85% = $637.20</w:t>
            </w:r>
          </w:p>
        </w:tc>
      </w:tr>
    </w:tbl>
    <w:p w14:paraId="29DDB1A5" w14:textId="5213F459" w:rsidR="00F9541C" w:rsidRDefault="00F9541C" w:rsidP="003B237B">
      <w:pPr>
        <w:spacing w:after="0"/>
      </w:pPr>
    </w:p>
    <w:p w14:paraId="59709BB1" w14:textId="688ADE6E" w:rsidR="001B4B14" w:rsidRPr="003B237B" w:rsidRDefault="003B237B" w:rsidP="003B237B">
      <w:pPr>
        <w:spacing w:after="120"/>
        <w:rPr>
          <w:b/>
        </w:rPr>
      </w:pPr>
      <w:r w:rsidRPr="003B237B">
        <w:rPr>
          <w:b/>
        </w:rPr>
        <w:t>MBS item 15565</w:t>
      </w:r>
      <w:r w:rsidR="001B4B14" w:rsidRPr="003B237B">
        <w:rPr>
          <w:b/>
        </w:rPr>
        <w:t>:</w:t>
      </w:r>
    </w:p>
    <w:tbl>
      <w:tblPr>
        <w:tblStyle w:val="TableGrid"/>
        <w:tblW w:w="0" w:type="auto"/>
        <w:tblLook w:val="04A0" w:firstRow="1" w:lastRow="0" w:firstColumn="1" w:lastColumn="0" w:noHBand="0" w:noVBand="1"/>
        <w:tblCaption w:val="Table"/>
        <w:tblDescription w:val="Table"/>
      </w:tblPr>
      <w:tblGrid>
        <w:gridCol w:w="9016"/>
      </w:tblGrid>
      <w:tr w:rsidR="001B4B14" w14:paraId="507055A6" w14:textId="77777777" w:rsidTr="00E6659A">
        <w:trPr>
          <w:tblHeader/>
        </w:trPr>
        <w:tc>
          <w:tcPr>
            <w:tcW w:w="9016" w:type="dxa"/>
          </w:tcPr>
          <w:p w14:paraId="5011A83F" w14:textId="77777777" w:rsidR="001B4B14" w:rsidRDefault="001B4B14" w:rsidP="003F5887">
            <w:r>
              <w:t>Category 3 - THERAPEUTIC PROCEDURES</w:t>
            </w:r>
          </w:p>
        </w:tc>
      </w:tr>
      <w:tr w:rsidR="001B4B14" w14:paraId="42BC70B9" w14:textId="77777777" w:rsidTr="003F5887">
        <w:tc>
          <w:tcPr>
            <w:tcW w:w="9016" w:type="dxa"/>
          </w:tcPr>
          <w:p w14:paraId="5E97D171" w14:textId="77777777" w:rsidR="001B4B14" w:rsidRPr="001B4B14" w:rsidRDefault="001B4B14" w:rsidP="001B4B14">
            <w:pPr>
              <w:rPr>
                <w:rFonts w:ascii="Arial Narrow" w:hAnsi="Arial Narrow"/>
                <w:sz w:val="18"/>
                <w:szCs w:val="18"/>
              </w:rPr>
            </w:pPr>
            <w:r w:rsidRPr="001B4B14">
              <w:rPr>
                <w:rFonts w:ascii="Arial Narrow" w:hAnsi="Arial Narrow"/>
                <w:sz w:val="18"/>
                <w:szCs w:val="18"/>
              </w:rPr>
              <w:t>Preparation of an IMRT DOSIMETRY PLAN, which uses one or more CT image volume datasets, if:</w:t>
            </w:r>
          </w:p>
          <w:p w14:paraId="014AB4D8" w14:textId="77777777" w:rsidR="001B4B14" w:rsidRPr="001B4B14" w:rsidRDefault="001B4B14" w:rsidP="001B4B14">
            <w:pPr>
              <w:rPr>
                <w:rFonts w:ascii="Arial Narrow" w:hAnsi="Arial Narrow"/>
                <w:sz w:val="18"/>
                <w:szCs w:val="18"/>
              </w:rPr>
            </w:pPr>
            <w:r w:rsidRPr="001B4B14">
              <w:rPr>
                <w:rFonts w:ascii="Arial Narrow" w:hAnsi="Arial Narrow"/>
                <w:sz w:val="18"/>
                <w:szCs w:val="18"/>
              </w:rPr>
              <w:t>(a)    in preparing the IMRT dosimetry plan:</w:t>
            </w:r>
          </w:p>
          <w:p w14:paraId="2A087F50" w14:textId="77777777" w:rsidR="001B4B14" w:rsidRPr="001B4B14" w:rsidRDefault="001B4B14" w:rsidP="001B4B14">
            <w:pPr>
              <w:rPr>
                <w:rFonts w:ascii="Arial Narrow" w:hAnsi="Arial Narrow"/>
                <w:sz w:val="18"/>
                <w:szCs w:val="18"/>
              </w:rPr>
            </w:pPr>
            <w:r w:rsidRPr="001B4B14">
              <w:rPr>
                <w:rFonts w:ascii="Arial Narrow" w:hAnsi="Arial Narrow"/>
                <w:sz w:val="18"/>
                <w:szCs w:val="18"/>
              </w:rPr>
              <w:t xml:space="preserve">    (i)    the differential between target dose and normal tissue dose is maximised, based on a review and assessment  by a radiation oncologist; and</w:t>
            </w:r>
          </w:p>
          <w:p w14:paraId="2308E66C" w14:textId="77777777" w:rsidR="001B4B14" w:rsidRPr="001B4B14" w:rsidRDefault="001B4B14" w:rsidP="001B4B14">
            <w:pPr>
              <w:rPr>
                <w:rFonts w:ascii="Arial Narrow" w:hAnsi="Arial Narrow"/>
                <w:sz w:val="18"/>
                <w:szCs w:val="18"/>
              </w:rPr>
            </w:pPr>
            <w:r w:rsidRPr="001B4B14">
              <w:rPr>
                <w:rFonts w:ascii="Arial Narrow" w:hAnsi="Arial Narrow"/>
                <w:sz w:val="18"/>
                <w:szCs w:val="18"/>
              </w:rPr>
              <w:t xml:space="preserve">    (ii)    all gross tumour targets, clinical targets, planning targets and organs at risk are rendered as volumes as defined in the prescription; and</w:t>
            </w:r>
          </w:p>
          <w:p w14:paraId="277C91B8" w14:textId="77777777" w:rsidR="001B4B14" w:rsidRPr="001B4B14" w:rsidRDefault="001B4B14" w:rsidP="001B4B14">
            <w:pPr>
              <w:rPr>
                <w:rFonts w:ascii="Arial Narrow" w:hAnsi="Arial Narrow"/>
                <w:sz w:val="18"/>
                <w:szCs w:val="18"/>
              </w:rPr>
            </w:pPr>
            <w:r w:rsidRPr="001B4B14">
              <w:rPr>
                <w:rFonts w:ascii="Arial Narrow" w:hAnsi="Arial Narrow"/>
                <w:sz w:val="18"/>
                <w:szCs w:val="18"/>
              </w:rPr>
              <w:t xml:space="preserve">    (iii)    organs at risk are nominated as planning dose goals or constraints and the prescription specifies the organs at risk as dose goals or constraints; and</w:t>
            </w:r>
          </w:p>
          <w:p w14:paraId="70EEFED1" w14:textId="77777777" w:rsidR="001B4B14" w:rsidRPr="001B4B14" w:rsidRDefault="001B4B14" w:rsidP="001B4B14">
            <w:pPr>
              <w:rPr>
                <w:rFonts w:ascii="Arial Narrow" w:hAnsi="Arial Narrow"/>
                <w:sz w:val="18"/>
                <w:szCs w:val="18"/>
              </w:rPr>
            </w:pPr>
            <w:r w:rsidRPr="001B4B14">
              <w:rPr>
                <w:rFonts w:ascii="Arial Narrow" w:hAnsi="Arial Narrow"/>
                <w:sz w:val="18"/>
                <w:szCs w:val="18"/>
              </w:rPr>
              <w:t xml:space="preserve">    (iv)    dose calculations and dose volume histograms are generated in an inverse planned process, using a specialised calculation algorithm, with prescription and plan details approved and recorded in the plan; and</w:t>
            </w:r>
          </w:p>
          <w:p w14:paraId="1BB29E9D" w14:textId="77777777" w:rsidR="001B4B14" w:rsidRPr="001B4B14" w:rsidRDefault="001B4B14" w:rsidP="001B4B14">
            <w:pPr>
              <w:rPr>
                <w:rFonts w:ascii="Arial Narrow" w:hAnsi="Arial Narrow"/>
                <w:sz w:val="18"/>
                <w:szCs w:val="18"/>
              </w:rPr>
            </w:pPr>
            <w:r w:rsidRPr="001B4B14">
              <w:rPr>
                <w:rFonts w:ascii="Arial Narrow" w:hAnsi="Arial Narrow"/>
                <w:sz w:val="18"/>
                <w:szCs w:val="18"/>
              </w:rPr>
              <w:t xml:space="preserve">    (v)    a CT image volume dataset is used for the relevant region to be planned and treated; and</w:t>
            </w:r>
          </w:p>
          <w:p w14:paraId="2E7BA083" w14:textId="77777777" w:rsidR="001B4B14" w:rsidRPr="001B4B14" w:rsidRDefault="001B4B14" w:rsidP="001B4B14">
            <w:pPr>
              <w:rPr>
                <w:rFonts w:ascii="Arial Narrow" w:hAnsi="Arial Narrow"/>
                <w:sz w:val="18"/>
                <w:szCs w:val="18"/>
              </w:rPr>
            </w:pPr>
            <w:r w:rsidRPr="001B4B14">
              <w:rPr>
                <w:rFonts w:ascii="Arial Narrow" w:hAnsi="Arial Narrow"/>
                <w:sz w:val="18"/>
                <w:szCs w:val="18"/>
              </w:rPr>
              <w:t xml:space="preserve">    (vi)    the CT images are suitable for the generation of quality digitally reconstructed radiographic images; and</w:t>
            </w:r>
          </w:p>
          <w:p w14:paraId="57C99343" w14:textId="77777777" w:rsidR="001B4B14" w:rsidRPr="001B4B14" w:rsidRDefault="001B4B14" w:rsidP="001B4B14">
            <w:pPr>
              <w:rPr>
                <w:rFonts w:ascii="Arial Narrow" w:hAnsi="Arial Narrow"/>
                <w:sz w:val="18"/>
                <w:szCs w:val="18"/>
              </w:rPr>
            </w:pPr>
            <w:r w:rsidRPr="001B4B14">
              <w:rPr>
                <w:rFonts w:ascii="Arial Narrow" w:hAnsi="Arial Narrow"/>
                <w:sz w:val="18"/>
                <w:szCs w:val="18"/>
              </w:rPr>
              <w:t>(b) the final IMRT dosimetry plan is validated by the radiation therapist and the medical physicist, using robust quality assurance processes that include:</w:t>
            </w:r>
          </w:p>
          <w:p w14:paraId="6B234ABA" w14:textId="77777777" w:rsidR="001B4B14" w:rsidRPr="001B4B14" w:rsidRDefault="001B4B14" w:rsidP="001B4B14">
            <w:pPr>
              <w:rPr>
                <w:rFonts w:ascii="Arial Narrow" w:hAnsi="Arial Narrow"/>
                <w:sz w:val="18"/>
                <w:szCs w:val="18"/>
              </w:rPr>
            </w:pPr>
            <w:r w:rsidRPr="001B4B14">
              <w:rPr>
                <w:rFonts w:ascii="Arial Narrow" w:hAnsi="Arial Narrow"/>
                <w:sz w:val="18"/>
                <w:szCs w:val="18"/>
              </w:rPr>
              <w:t xml:space="preserve">    (i)    determination of the accuracy of the dose fluence delivered by the multi-leaf collimator and gantryposition (static or dynamic); and</w:t>
            </w:r>
          </w:p>
          <w:p w14:paraId="43F6B629" w14:textId="77777777" w:rsidR="001B4B14" w:rsidRPr="001B4B14" w:rsidRDefault="001B4B14" w:rsidP="001B4B14">
            <w:pPr>
              <w:rPr>
                <w:rFonts w:ascii="Arial Narrow" w:hAnsi="Arial Narrow"/>
                <w:sz w:val="18"/>
                <w:szCs w:val="18"/>
              </w:rPr>
            </w:pPr>
            <w:r w:rsidRPr="001B4B14">
              <w:rPr>
                <w:rFonts w:ascii="Arial Narrow" w:hAnsi="Arial Narrow"/>
                <w:sz w:val="18"/>
                <w:szCs w:val="18"/>
              </w:rPr>
              <w:t xml:space="preserve">    (ii)    ensuring that the plan is deliverable, data transfer is acceptable and validation checks are completed on a linear accelerator; and</w:t>
            </w:r>
          </w:p>
          <w:p w14:paraId="6AB70EA5" w14:textId="77777777" w:rsidR="001B4B14" w:rsidRPr="001B4B14" w:rsidRDefault="001B4B14" w:rsidP="001B4B14">
            <w:pPr>
              <w:rPr>
                <w:rFonts w:ascii="Arial Narrow" w:hAnsi="Arial Narrow"/>
                <w:sz w:val="18"/>
                <w:szCs w:val="18"/>
              </w:rPr>
            </w:pPr>
            <w:r w:rsidRPr="001B4B14">
              <w:rPr>
                <w:rFonts w:ascii="Arial Narrow" w:hAnsi="Arial Narrow"/>
                <w:sz w:val="18"/>
                <w:szCs w:val="18"/>
              </w:rPr>
              <w:t xml:space="preserve">    (iii)    validating the accuracy of the derived IMRT dosimetry plan; and</w:t>
            </w:r>
          </w:p>
          <w:p w14:paraId="0BB9C249" w14:textId="77777777" w:rsidR="001B4B14" w:rsidRPr="001B4B14" w:rsidRDefault="001B4B14" w:rsidP="001B4B14">
            <w:pPr>
              <w:rPr>
                <w:rFonts w:ascii="Arial Narrow" w:hAnsi="Arial Narrow"/>
                <w:sz w:val="18"/>
                <w:szCs w:val="18"/>
              </w:rPr>
            </w:pPr>
            <w:r w:rsidRPr="001B4B14">
              <w:rPr>
                <w:rFonts w:ascii="Arial Narrow" w:hAnsi="Arial Narrow"/>
                <w:sz w:val="18"/>
                <w:szCs w:val="18"/>
              </w:rPr>
              <w:t>(c)    the final IMRT dosimetry plan is approved by the radiation oncologist prior to delivery.</w:t>
            </w:r>
          </w:p>
          <w:p w14:paraId="23C43ED0" w14:textId="15D42FE9" w:rsidR="001B4B14" w:rsidRPr="001B4B14" w:rsidRDefault="001B4B14" w:rsidP="001B4B14">
            <w:pPr>
              <w:rPr>
                <w:rFonts w:ascii="Arial Narrow" w:hAnsi="Arial Narrow"/>
                <w:sz w:val="18"/>
                <w:szCs w:val="18"/>
              </w:rPr>
            </w:pPr>
          </w:p>
          <w:p w14:paraId="6D53CBC0" w14:textId="1C19F85D" w:rsidR="001B4B14" w:rsidRPr="003B237B" w:rsidRDefault="003B237B" w:rsidP="001B4B14">
            <w:pPr>
              <w:rPr>
                <w:rFonts w:ascii="Arial Narrow" w:hAnsi="Arial Narrow"/>
                <w:b/>
                <w:sz w:val="18"/>
                <w:szCs w:val="18"/>
              </w:rPr>
            </w:pPr>
            <w:r w:rsidRPr="003B237B">
              <w:rPr>
                <w:rFonts w:ascii="Arial Narrow" w:hAnsi="Arial Narrow"/>
                <w:b/>
                <w:sz w:val="18"/>
                <w:szCs w:val="18"/>
              </w:rPr>
              <w:t xml:space="preserve">MBS </w:t>
            </w:r>
            <w:r w:rsidR="001B4B14" w:rsidRPr="003B237B">
              <w:rPr>
                <w:rFonts w:ascii="Arial Narrow" w:hAnsi="Arial Narrow"/>
                <w:b/>
                <w:sz w:val="18"/>
                <w:szCs w:val="18"/>
              </w:rPr>
              <w:t xml:space="preserve">Fee: $3,366.85 </w:t>
            </w:r>
            <w:r w:rsidRPr="003B237B">
              <w:rPr>
                <w:rFonts w:ascii="Arial Narrow" w:hAnsi="Arial Narrow"/>
                <w:b/>
                <w:sz w:val="18"/>
                <w:szCs w:val="18"/>
              </w:rPr>
              <w:t xml:space="preserve">   </w:t>
            </w:r>
            <w:r w:rsidR="001B4B14" w:rsidRPr="003B237B">
              <w:rPr>
                <w:rFonts w:ascii="Arial Narrow" w:hAnsi="Arial Narrow"/>
                <w:b/>
                <w:sz w:val="18"/>
                <w:szCs w:val="18"/>
              </w:rPr>
              <w:t xml:space="preserve">Benefit: 75% = $2,525.15 </w:t>
            </w:r>
            <w:r w:rsidRPr="003B237B">
              <w:rPr>
                <w:rFonts w:ascii="Arial Narrow" w:hAnsi="Arial Narrow"/>
                <w:b/>
                <w:sz w:val="18"/>
                <w:szCs w:val="18"/>
              </w:rPr>
              <w:t xml:space="preserve">   </w:t>
            </w:r>
            <w:r w:rsidR="001B4B14" w:rsidRPr="003B237B">
              <w:rPr>
                <w:rFonts w:ascii="Arial Narrow" w:hAnsi="Arial Narrow"/>
                <w:b/>
                <w:sz w:val="18"/>
                <w:szCs w:val="18"/>
              </w:rPr>
              <w:t>85% = $3,282.15</w:t>
            </w:r>
          </w:p>
        </w:tc>
      </w:tr>
    </w:tbl>
    <w:p w14:paraId="37A723BF" w14:textId="622B84FA" w:rsidR="006E0F6F" w:rsidRDefault="006E0F6F" w:rsidP="006E0F6F">
      <w:pPr>
        <w:spacing w:after="0"/>
        <w:rPr>
          <w:b/>
          <w:color w:val="00B0F0"/>
          <w:sz w:val="16"/>
          <w:szCs w:val="16"/>
        </w:rPr>
      </w:pPr>
    </w:p>
    <w:p w14:paraId="3A9954D8" w14:textId="747BA561" w:rsidR="00EF2EA9" w:rsidRPr="00ED0534" w:rsidRDefault="00EF2EA9" w:rsidP="00ED0534">
      <w:pPr>
        <w:rPr>
          <w:i/>
          <w:iCs/>
        </w:rPr>
      </w:pPr>
      <w:r w:rsidRPr="00EF2EA9">
        <w:rPr>
          <w:i/>
          <w:iCs/>
        </w:rPr>
        <w:t>PASC confirmed that the proposed existing MBS items and fees were appropriate, noting the item was technologically agnostic.</w:t>
      </w:r>
    </w:p>
    <w:p w14:paraId="538418B9" w14:textId="7D8CD0D0" w:rsidR="006E0F6F" w:rsidRPr="00ED0534" w:rsidRDefault="006E0F6F" w:rsidP="00ED0534">
      <w:pPr>
        <w:spacing w:after="120"/>
        <w:rPr>
          <w:b/>
          <w:color w:val="00B0F0"/>
          <w:sz w:val="32"/>
          <w:szCs w:val="32"/>
        </w:rPr>
      </w:pPr>
      <w:r>
        <w:rPr>
          <w:b/>
          <w:color w:val="00B0F0"/>
          <w:sz w:val="32"/>
          <w:szCs w:val="32"/>
        </w:rPr>
        <w:t>Consultation feedback</w:t>
      </w:r>
    </w:p>
    <w:p w14:paraId="2FC66648" w14:textId="653CE3D0" w:rsidR="00EF2EA9" w:rsidRDefault="00EF2EA9" w:rsidP="00ED0534">
      <w:pPr>
        <w:rPr>
          <w:i/>
          <w:iCs/>
        </w:rPr>
      </w:pPr>
      <w:r w:rsidRPr="00EF2EA9">
        <w:rPr>
          <w:i/>
          <w:iCs/>
        </w:rPr>
        <w:t>PASC noted the consultation feedback received, which was supportive of the application. PASC also noted that the consultation feedback discussed the advantages of proposed service included fewer adverse events, shorter radiotherapy courses and reduced procedures for markers, and disadvantages include access to the proposed service.</w:t>
      </w:r>
    </w:p>
    <w:p w14:paraId="6BFC9E0B" w14:textId="1FF7DF8B" w:rsidR="00BE31AD" w:rsidRPr="00ED0534" w:rsidRDefault="00BE31AD" w:rsidP="00ED0534">
      <w:pPr>
        <w:rPr>
          <w:i/>
          <w:iCs/>
        </w:rPr>
      </w:pPr>
      <w:r>
        <w:rPr>
          <w:i/>
          <w:iCs/>
        </w:rPr>
        <w:t>The Applicant noted that peak professional body letters of support from RANZCR, ASMIR</w:t>
      </w:r>
      <w:r w:rsidR="00C875D1">
        <w:rPr>
          <w:i/>
          <w:iCs/>
        </w:rPr>
        <w:t>T</w:t>
      </w:r>
      <w:bookmarkStart w:id="5" w:name="_GoBack"/>
      <w:bookmarkEnd w:id="5"/>
      <w:r>
        <w:rPr>
          <w:i/>
          <w:iCs/>
        </w:rPr>
        <w:t xml:space="preserve"> and ACPSEM were presented with the application. Further, the Applicant noted the Elekta MR-linac Whitepaper covers the advantages of MR-IGRT</w:t>
      </w:r>
      <w:r w:rsidR="00AA20B5">
        <w:rPr>
          <w:i/>
          <w:iCs/>
        </w:rPr>
        <w:t>.</w:t>
      </w:r>
    </w:p>
    <w:p w14:paraId="2FFAD943" w14:textId="6F80B822" w:rsidR="00C076F1" w:rsidRDefault="006E0F6F" w:rsidP="00ED0534">
      <w:pPr>
        <w:spacing w:after="120"/>
        <w:rPr>
          <w:b/>
          <w:color w:val="00B0F0"/>
          <w:sz w:val="32"/>
          <w:szCs w:val="32"/>
        </w:rPr>
      </w:pPr>
      <w:r>
        <w:rPr>
          <w:b/>
          <w:color w:val="00B0F0"/>
          <w:sz w:val="32"/>
          <w:szCs w:val="32"/>
        </w:rPr>
        <w:t>Next steps</w:t>
      </w:r>
    </w:p>
    <w:p w14:paraId="298E2E79" w14:textId="0C5F604D" w:rsidR="00EF2EA9" w:rsidRPr="00EF2EA9" w:rsidRDefault="00EF2EA9" w:rsidP="00EF2EA9">
      <w:pPr>
        <w:rPr>
          <w:i/>
          <w:iCs/>
        </w:rPr>
      </w:pPr>
      <w:r w:rsidRPr="00EF2EA9">
        <w:rPr>
          <w:i/>
          <w:iCs/>
        </w:rPr>
        <w:t>PASC advised that, upon ratification of the post-PASC PICO, the application can proceed to the Evaluation Sub-Committee (ESC) stage of the MSAC process.</w:t>
      </w:r>
    </w:p>
    <w:p w14:paraId="0C797C0F" w14:textId="260615F1" w:rsidR="006A7507" w:rsidRDefault="00AA20B5">
      <w:pPr>
        <w:rPr>
          <w:rFonts w:cs="Calibri"/>
          <w:i/>
        </w:rPr>
      </w:pPr>
      <w:r w:rsidRPr="00AA20B5">
        <w:rPr>
          <w:rFonts w:cs="Calibri"/>
          <w:i/>
        </w:rPr>
        <w:t xml:space="preserve">The Applicant elected to progress the application as a Department Contracted Assessment Report (DCAR). </w:t>
      </w:r>
    </w:p>
    <w:p w14:paraId="52848D99" w14:textId="77777777" w:rsidR="0036041A" w:rsidRPr="000E7164" w:rsidRDefault="0036041A">
      <w:pPr>
        <w:rPr>
          <w:rFonts w:cs="Calibri"/>
          <w:i/>
        </w:rPr>
      </w:pPr>
    </w:p>
    <w:p w14:paraId="2B71F4A3" w14:textId="01AEC45F" w:rsidR="00A5422D" w:rsidRPr="003B237B" w:rsidRDefault="00CE0547" w:rsidP="003B237B">
      <w:pPr>
        <w:spacing w:after="120"/>
        <w:rPr>
          <w:b/>
          <w:color w:val="00B0F0"/>
          <w:sz w:val="32"/>
          <w:szCs w:val="32"/>
        </w:rPr>
      </w:pPr>
      <w:r w:rsidRPr="003B237B">
        <w:rPr>
          <w:b/>
          <w:color w:val="00B0F0"/>
          <w:sz w:val="32"/>
          <w:szCs w:val="32"/>
        </w:rPr>
        <w:lastRenderedPageBreak/>
        <w:t>References</w:t>
      </w:r>
    </w:p>
    <w:p w14:paraId="3B2F082B" w14:textId="137B49D0" w:rsidR="00884CCC" w:rsidRPr="00884CCC" w:rsidRDefault="002B6B1B" w:rsidP="00884CCC">
      <w:pPr>
        <w:pStyle w:val="EndNoteBibliography"/>
        <w:spacing w:after="0"/>
        <w:ind w:left="720" w:hanging="720"/>
      </w:pPr>
      <w:r>
        <w:fldChar w:fldCharType="begin"/>
      </w:r>
      <w:r>
        <w:instrText xml:space="preserve"> ADDIN EN.REFLIST </w:instrText>
      </w:r>
      <w:r>
        <w:fldChar w:fldCharType="separate"/>
      </w:r>
      <w:r w:rsidR="00884CCC" w:rsidRPr="00884CCC">
        <w:t xml:space="preserve">Australian Institute of Health and Welfare. (2019). </w:t>
      </w:r>
      <w:r w:rsidR="00884CCC" w:rsidRPr="00884CCC">
        <w:rPr>
          <w:i/>
        </w:rPr>
        <w:t>Radiotherapy in Australia 2017–18</w:t>
      </w:r>
      <w:r w:rsidR="00884CCC" w:rsidRPr="00884CCC">
        <w:t xml:space="preserve">. Canberra: AIWH Retrieved from </w:t>
      </w:r>
      <w:hyperlink r:id="rId11" w:history="1">
        <w:r w:rsidR="00884CCC" w:rsidRPr="00884CCC">
          <w:rPr>
            <w:rStyle w:val="Hyperlink"/>
            <w:rFonts w:cs="Calibri"/>
          </w:rPr>
          <w:t>https://www.aihw.gov.au/reports/cancer/radiotherapy-in-australia-2017-18/contents/radiotherapy-waiting-times</w:t>
        </w:r>
      </w:hyperlink>
      <w:r w:rsidR="00884CCC" w:rsidRPr="00884CCC">
        <w:t>.</w:t>
      </w:r>
    </w:p>
    <w:p w14:paraId="553A6489" w14:textId="77777777" w:rsidR="006A7507" w:rsidRDefault="006A7507" w:rsidP="00884CCC">
      <w:pPr>
        <w:pStyle w:val="EndNoteBibliography"/>
        <w:spacing w:after="0"/>
        <w:ind w:left="720" w:hanging="720"/>
      </w:pPr>
    </w:p>
    <w:p w14:paraId="22CE9978" w14:textId="0B083733" w:rsidR="00884CCC" w:rsidRPr="00884CCC" w:rsidRDefault="00884CCC" w:rsidP="00884CCC">
      <w:pPr>
        <w:pStyle w:val="EndNoteBibliography"/>
        <w:spacing w:after="0"/>
        <w:ind w:left="720" w:hanging="720"/>
      </w:pPr>
      <w:r w:rsidRPr="00884CCC">
        <w:t xml:space="preserve">Chin, S., Eccles, C. L., McWilliam, A., Chuter, R., Walker, E., Whitehurst, P., . . . Choudhury, A. (2020). Magnetic resonance-guided radiation therapy: A review. </w:t>
      </w:r>
      <w:r w:rsidRPr="00884CCC">
        <w:rPr>
          <w:i/>
        </w:rPr>
        <w:t>J Med Imaging Radiat Oncol, 64</w:t>
      </w:r>
      <w:r w:rsidRPr="00884CCC">
        <w:t>(1), 163-177. doi:10.1111/1754-9485.12968</w:t>
      </w:r>
    </w:p>
    <w:p w14:paraId="3D76173B" w14:textId="77777777" w:rsidR="006A7507" w:rsidRDefault="006A7507" w:rsidP="00884CCC">
      <w:pPr>
        <w:pStyle w:val="EndNoteBibliography"/>
        <w:spacing w:after="0"/>
        <w:ind w:left="720" w:hanging="720"/>
      </w:pPr>
    </w:p>
    <w:p w14:paraId="0C86708C" w14:textId="3D6742AF" w:rsidR="00884CCC" w:rsidRPr="00884CCC" w:rsidRDefault="00884CCC" w:rsidP="00884CCC">
      <w:pPr>
        <w:pStyle w:val="EndNoteBibliography"/>
        <w:spacing w:after="0"/>
        <w:ind w:left="720" w:hanging="720"/>
      </w:pPr>
      <w:r w:rsidRPr="0063467E">
        <w:t xml:space="preserve">Hall, W. A., Paulson, E. S., van der Heide, U. A., Fuller, C. D., Raaymakers, B. W., Lagendijk, J. J. W., . . . </w:t>
      </w:r>
      <w:r w:rsidRPr="00884CCC">
        <w:t xml:space="preserve">Schultz, C. J. (2019). The transformation of radiation oncology using real-time magnetic resonance guidance: A review. </w:t>
      </w:r>
      <w:r w:rsidRPr="00884CCC">
        <w:rPr>
          <w:i/>
        </w:rPr>
        <w:t>Eur J Cancer, 122</w:t>
      </w:r>
      <w:r w:rsidRPr="00884CCC">
        <w:t>, 42-52. doi:10.1016/j.ejca.2019.07.021</w:t>
      </w:r>
    </w:p>
    <w:p w14:paraId="49231E84" w14:textId="77777777" w:rsidR="006A7507" w:rsidRDefault="006A7507" w:rsidP="00884CCC">
      <w:pPr>
        <w:pStyle w:val="EndNoteBibliography"/>
        <w:spacing w:after="0"/>
        <w:ind w:left="720" w:hanging="720"/>
      </w:pPr>
    </w:p>
    <w:p w14:paraId="0E97FD02" w14:textId="3C133D4A" w:rsidR="00884CCC" w:rsidRPr="00884CCC" w:rsidRDefault="00884CCC" w:rsidP="00884CCC">
      <w:pPr>
        <w:pStyle w:val="EndNoteBibliography"/>
        <w:spacing w:after="0"/>
        <w:ind w:left="720" w:hanging="720"/>
      </w:pPr>
      <w:r w:rsidRPr="00884CCC">
        <w:t xml:space="preserve">Hunt, A., Hansen, V. N., Oelfke, U., Nill, S., &amp; Hafeez, S. (2018). Adaptive Radiotherapy Enabled by MRI Guidance. </w:t>
      </w:r>
      <w:r w:rsidRPr="00884CCC">
        <w:rPr>
          <w:i/>
        </w:rPr>
        <w:t>Clin Oncol (R Coll Radiol), 30</w:t>
      </w:r>
      <w:r w:rsidRPr="00884CCC">
        <w:t>(11), 711-719. doi:10.1016/j.clon.2018.08.001</w:t>
      </w:r>
    </w:p>
    <w:p w14:paraId="5FFDC96C" w14:textId="77777777" w:rsidR="006A7507" w:rsidRDefault="006A7507" w:rsidP="00884CCC">
      <w:pPr>
        <w:pStyle w:val="EndNoteBibliography"/>
        <w:spacing w:after="0"/>
        <w:ind w:left="720" w:hanging="720"/>
      </w:pPr>
    </w:p>
    <w:p w14:paraId="2B310F68" w14:textId="66798C07" w:rsidR="00884CCC" w:rsidRPr="00884CCC" w:rsidRDefault="00884CCC" w:rsidP="00884CCC">
      <w:pPr>
        <w:pStyle w:val="EndNoteBibliography"/>
        <w:spacing w:after="0"/>
        <w:ind w:left="720" w:hanging="720"/>
      </w:pPr>
      <w:r w:rsidRPr="0063467E">
        <w:t xml:space="preserve">Kerkmeijer, L. G., Fuller, C. D., Verkooijen, H. M., Verheij, M., Choudhury, A., Harrington, K. J., . . . </w:t>
      </w:r>
      <w:r w:rsidRPr="00884CCC">
        <w:t xml:space="preserve">Committee, M. R.-L. C. C. S. (2016). The MRI-Linear Accelerator Consortium: Evidence-Based Clinical Introduction of an Innovation in Radiation Oncology Connecting Researchers, Methodology, Data Collection, Quality Assurance, and Technical Development. </w:t>
      </w:r>
      <w:r w:rsidRPr="00884CCC">
        <w:rPr>
          <w:i/>
        </w:rPr>
        <w:t>Front Oncol, 6</w:t>
      </w:r>
      <w:r w:rsidRPr="00884CCC">
        <w:t>, 215. doi:10.3389/fonc.2016.00215</w:t>
      </w:r>
    </w:p>
    <w:p w14:paraId="1C566197" w14:textId="77777777" w:rsidR="006A7507" w:rsidRDefault="006A7507" w:rsidP="00884CCC">
      <w:pPr>
        <w:pStyle w:val="EndNoteBibliography"/>
        <w:spacing w:after="0"/>
        <w:ind w:left="720" w:hanging="720"/>
      </w:pPr>
    </w:p>
    <w:p w14:paraId="07B2A94C" w14:textId="11B30869" w:rsidR="00884CCC" w:rsidRPr="00884CCC" w:rsidRDefault="00884CCC" w:rsidP="00884CCC">
      <w:pPr>
        <w:pStyle w:val="EndNoteBibliography"/>
        <w:spacing w:after="0"/>
        <w:ind w:left="720" w:hanging="720"/>
      </w:pPr>
      <w:r w:rsidRPr="00884CCC">
        <w:t xml:space="preserve">Medical Services Advisory Committee. (2015). </w:t>
      </w:r>
      <w:r w:rsidRPr="00884CCC">
        <w:rPr>
          <w:i/>
        </w:rPr>
        <w:t>Application 1319 - Image-guided radiation therapy for cancer treatment delivery</w:t>
      </w:r>
      <w:r w:rsidRPr="00884CCC">
        <w:t xml:space="preserve">.  Retrieved from </w:t>
      </w:r>
      <w:hyperlink r:id="rId12" w:history="1">
        <w:r w:rsidRPr="00884CCC">
          <w:rPr>
            <w:rStyle w:val="Hyperlink"/>
            <w:rFonts w:cs="Calibri"/>
          </w:rPr>
          <w:t>http://www.msac.gov.au/internet/msac/publishing.nsf/Content/5F3B6BD9007ED966CA25801000123BC2/$File/1319FinalPSD-IGRT-Accessible.pdf</w:t>
        </w:r>
      </w:hyperlink>
      <w:r w:rsidRPr="00884CCC">
        <w:t>.</w:t>
      </w:r>
    </w:p>
    <w:p w14:paraId="7AA8F86B" w14:textId="77777777" w:rsidR="006A7507" w:rsidRDefault="006A7507" w:rsidP="00884CCC">
      <w:pPr>
        <w:pStyle w:val="EndNoteBibliography"/>
        <w:ind w:left="720" w:hanging="720"/>
      </w:pPr>
    </w:p>
    <w:p w14:paraId="68CF9A19" w14:textId="007098F7" w:rsidR="00884CCC" w:rsidRPr="00884CCC" w:rsidRDefault="00884CCC" w:rsidP="00884CCC">
      <w:pPr>
        <w:pStyle w:val="EndNoteBibliography"/>
        <w:ind w:left="720" w:hanging="720"/>
      </w:pPr>
      <w:r w:rsidRPr="00884CCC">
        <w:t xml:space="preserve">Srinivasan, K., Mohammadi, M., &amp; Shepherd, J. (2014). Applications of linac-mounted kilovoltage Cone-beam Computed Tomography in modern radiation therapy: A review. </w:t>
      </w:r>
      <w:r w:rsidRPr="00884CCC">
        <w:rPr>
          <w:i/>
        </w:rPr>
        <w:t>Pol J Radiol, 79</w:t>
      </w:r>
      <w:r w:rsidRPr="00884CCC">
        <w:t>, 181-193. doi:10.12659/PJR.890745</w:t>
      </w:r>
    </w:p>
    <w:p w14:paraId="2F85C0BA" w14:textId="256189CD" w:rsidR="00221847" w:rsidRPr="00CE0547" w:rsidRDefault="002B6B1B" w:rsidP="00CE0547">
      <w:r>
        <w:fldChar w:fldCharType="end"/>
      </w:r>
    </w:p>
    <w:sectPr w:rsidR="00221847" w:rsidRPr="00CE0547" w:rsidSect="003B237B">
      <w:headerReference w:type="even" r:id="rId13"/>
      <w:footerReference w:type="default" r:id="rId14"/>
      <w:pgSz w:w="11906" w:h="16838"/>
      <w:pgMar w:top="567" w:right="1440" w:bottom="1440" w:left="1440" w:header="708" w:footer="1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6F1AC8" w16cid:durableId="227B72E1"/>
  <w16cid:commentId w16cid:paraId="2BFE676C" w16cid:durableId="226FAF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E1904" w14:textId="77777777" w:rsidR="006F1987" w:rsidRDefault="006F1987" w:rsidP="003D699E">
      <w:pPr>
        <w:spacing w:after="0" w:line="240" w:lineRule="auto"/>
      </w:pPr>
      <w:r>
        <w:separator/>
      </w:r>
    </w:p>
  </w:endnote>
  <w:endnote w:type="continuationSeparator" w:id="0">
    <w:p w14:paraId="5102C4A0" w14:textId="77777777" w:rsidR="006F1987" w:rsidRDefault="006F1987"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2CDD81EC" w14:textId="523B202C" w:rsidR="00F8560F" w:rsidRDefault="00F8560F"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C875D1" w:rsidRPr="00C875D1">
          <w:rPr>
            <w:b/>
            <w:bCs/>
            <w:noProof/>
            <w:sz w:val="18"/>
            <w:szCs w:val="18"/>
          </w:rPr>
          <w:t>4</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r w:rsidR="00ED0534">
          <w:rPr>
            <w:color w:val="808080" w:themeColor="background1" w:themeShade="80"/>
            <w:spacing w:val="60"/>
            <w:sz w:val="18"/>
            <w:szCs w:val="18"/>
          </w:rPr>
          <w:t>Ratified PICO – JUNE</w:t>
        </w:r>
        <w:r>
          <w:rPr>
            <w:color w:val="808080" w:themeColor="background1" w:themeShade="80"/>
            <w:spacing w:val="60"/>
            <w:sz w:val="18"/>
            <w:szCs w:val="18"/>
          </w:rPr>
          <w:t xml:space="preserve"> 2020</w:t>
        </w:r>
      </w:p>
      <w:p w14:paraId="48CDF840" w14:textId="4D82FC9C" w:rsidR="00F8560F" w:rsidRPr="00CF2DFA" w:rsidRDefault="00F8560F" w:rsidP="003B237B">
        <w:pPr>
          <w:pStyle w:val="Footer"/>
          <w:pBdr>
            <w:top w:val="single" w:sz="4" w:space="1" w:color="D9D9D9" w:themeColor="background1" w:themeShade="D9"/>
          </w:pBdr>
          <w:jc w:val="center"/>
          <w:rPr>
            <w:b/>
            <w:bCs/>
            <w:sz w:val="18"/>
            <w:szCs w:val="18"/>
          </w:rPr>
        </w:pPr>
        <w:r>
          <w:rPr>
            <w:color w:val="808080" w:themeColor="background1" w:themeShade="80"/>
            <w:spacing w:val="60"/>
            <w:sz w:val="18"/>
            <w:szCs w:val="18"/>
          </w:rPr>
          <w:t>Application 1620: Magnetic Resonance Image-</w:t>
        </w:r>
        <w:r w:rsidRPr="002D456C">
          <w:rPr>
            <w:color w:val="808080" w:themeColor="background1" w:themeShade="80"/>
            <w:spacing w:val="60"/>
            <w:sz w:val="18"/>
            <w:szCs w:val="18"/>
          </w:rPr>
          <w:t xml:space="preserve">Guided </w:t>
        </w:r>
        <w:r>
          <w:rPr>
            <w:color w:val="808080" w:themeColor="background1" w:themeShade="80"/>
            <w:spacing w:val="60"/>
            <w:sz w:val="18"/>
            <w:szCs w:val="18"/>
          </w:rPr>
          <w:br/>
        </w:r>
        <w:r w:rsidRPr="002D456C">
          <w:rPr>
            <w:color w:val="808080" w:themeColor="background1" w:themeShade="80"/>
            <w:spacing w:val="60"/>
            <w:sz w:val="18"/>
            <w:szCs w:val="18"/>
          </w:rPr>
          <w:t>Radiation Therapy</w:t>
        </w:r>
      </w:p>
    </w:sdtContent>
  </w:sdt>
  <w:p w14:paraId="20B98DF6" w14:textId="77777777" w:rsidR="00F8560F" w:rsidRDefault="00F8560F" w:rsidP="003D699E">
    <w:pPr>
      <w:pStyle w:val="Footer"/>
    </w:pPr>
  </w:p>
  <w:p w14:paraId="0987E0A0" w14:textId="77777777" w:rsidR="00F8560F" w:rsidRDefault="00F85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E5D89" w14:textId="77777777" w:rsidR="006F1987" w:rsidRDefault="006F1987" w:rsidP="003D699E">
      <w:pPr>
        <w:spacing w:after="0" w:line="240" w:lineRule="auto"/>
      </w:pPr>
      <w:r>
        <w:separator/>
      </w:r>
    </w:p>
  </w:footnote>
  <w:footnote w:type="continuationSeparator" w:id="0">
    <w:p w14:paraId="1CBA80A6" w14:textId="77777777" w:rsidR="006F1987" w:rsidRDefault="006F1987" w:rsidP="003D699E">
      <w:pPr>
        <w:spacing w:after="0" w:line="240" w:lineRule="auto"/>
      </w:pPr>
      <w:r>
        <w:continuationSeparator/>
      </w:r>
    </w:p>
  </w:footnote>
  <w:footnote w:id="1">
    <w:p w14:paraId="4C3F6DC9" w14:textId="0E81D572" w:rsidR="00CE559E" w:rsidRPr="00CE559E" w:rsidRDefault="00CE559E" w:rsidP="00CE559E">
      <w:pPr>
        <w:autoSpaceDE w:val="0"/>
        <w:autoSpaceDN w:val="0"/>
        <w:adjustRightInd w:val="0"/>
        <w:spacing w:after="0" w:line="240" w:lineRule="auto"/>
        <w:rPr>
          <w:i/>
          <w:iCs/>
        </w:rPr>
      </w:pPr>
      <w:r>
        <w:rPr>
          <w:rStyle w:val="FootnoteReference"/>
        </w:rPr>
        <w:footnoteRef/>
      </w:r>
      <w:r>
        <w:t xml:space="preserve"> </w:t>
      </w:r>
      <w:r w:rsidRPr="00CE559E">
        <w:rPr>
          <w:i/>
          <w:iCs/>
          <w:sz w:val="16"/>
        </w:rPr>
        <w:t>https://www.arpansa.gov.au/news/arpansadevelops-audit-new-mri-linac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2A8AD" w14:textId="77777777" w:rsidR="00F8560F" w:rsidRDefault="00F8560F">
    <w:pPr>
      <w:pStyle w:val="Header"/>
    </w:pPr>
    <w:r>
      <w:rPr>
        <w:noProof/>
        <w:lang w:eastAsia="en-AU"/>
      </w:rPr>
      <mc:AlternateContent>
        <mc:Choice Requires="wps">
          <w:drawing>
            <wp:anchor distT="0" distB="0" distL="114300" distR="114300" simplePos="0" relativeHeight="251657728" behindDoc="1" locked="0" layoutInCell="0" allowOverlap="1" wp14:anchorId="032C2A77" wp14:editId="5065C037">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8BE588" w14:textId="77777777" w:rsidR="00F8560F" w:rsidRDefault="00F8560F" w:rsidP="002210F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2C2A77"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6A8BE588" w14:textId="77777777" w:rsidR="00F8560F" w:rsidRDefault="00F8560F" w:rsidP="002210F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572E"/>
    <w:multiLevelType w:val="hybridMultilevel"/>
    <w:tmpl w:val="9244C1C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6232503"/>
    <w:multiLevelType w:val="hybridMultilevel"/>
    <w:tmpl w:val="76F06256"/>
    <w:lvl w:ilvl="0" w:tplc="FE2C8848">
      <w:start w:val="1"/>
      <w:numFmt w:val="decimal"/>
      <w:lvlText w:val="%1."/>
      <w:lvlJc w:val="left"/>
      <w:pPr>
        <w:ind w:left="720" w:hanging="360"/>
      </w:pPr>
      <w:rPr>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271D5B"/>
    <w:multiLevelType w:val="hybridMultilevel"/>
    <w:tmpl w:val="A32EBC1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8483073"/>
    <w:multiLevelType w:val="hybridMultilevel"/>
    <w:tmpl w:val="DE7A75FC"/>
    <w:lvl w:ilvl="0" w:tplc="0C090001">
      <w:start w:val="1"/>
      <w:numFmt w:val="bullet"/>
      <w:lvlText w:val=""/>
      <w:lvlJc w:val="left"/>
      <w:pPr>
        <w:ind w:left="360" w:hanging="360"/>
      </w:pPr>
      <w:rPr>
        <w:rFonts w:ascii="Symbol" w:hAnsi="Symbol" w:hint="default"/>
      </w:rPr>
    </w:lvl>
    <w:lvl w:ilvl="1" w:tplc="1B54E936">
      <w:start w:val="1"/>
      <w:numFmt w:val="bullet"/>
      <w:lvlText w:val="o"/>
      <w:lvlJc w:val="left"/>
      <w:pPr>
        <w:ind w:left="1080" w:hanging="360"/>
      </w:pPr>
      <w:rPr>
        <w:rFonts w:ascii="Courier New" w:hAnsi="Courier New" w:cs="Courier New" w:hint="default"/>
        <w:sz w:val="22"/>
        <w:szCs w:val="22"/>
      </w:rPr>
    </w:lvl>
    <w:lvl w:ilvl="2" w:tplc="2B4A3C82">
      <w:numFmt w:val="bullet"/>
      <w:lvlText w:val="-"/>
      <w:lvlJc w:val="left"/>
      <w:pPr>
        <w:ind w:left="1800" w:hanging="360"/>
      </w:pPr>
      <w:rPr>
        <w:rFonts w:ascii="Calibri" w:eastAsia="Calibri" w:hAnsi="Calibri" w:cs="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BC11EB"/>
    <w:multiLevelType w:val="hybridMultilevel"/>
    <w:tmpl w:val="2A7AFD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314D0FBB"/>
    <w:multiLevelType w:val="hybridMultilevel"/>
    <w:tmpl w:val="541E963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38FC4C10"/>
    <w:multiLevelType w:val="hybridMultilevel"/>
    <w:tmpl w:val="71ECF7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458D67A6"/>
    <w:multiLevelType w:val="hybridMultilevel"/>
    <w:tmpl w:val="7102E66A"/>
    <w:lvl w:ilvl="0" w:tplc="F7B0E4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95869"/>
    <w:multiLevelType w:val="hybridMultilevel"/>
    <w:tmpl w:val="F57C1F7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AA6049"/>
    <w:multiLevelType w:val="hybridMultilevel"/>
    <w:tmpl w:val="39CCB05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5C88208A"/>
    <w:multiLevelType w:val="hybridMultilevel"/>
    <w:tmpl w:val="2D2A2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5DA3480"/>
    <w:multiLevelType w:val="hybridMultilevel"/>
    <w:tmpl w:val="A94C3D80"/>
    <w:lvl w:ilvl="0" w:tplc="9322F7E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72019E"/>
    <w:multiLevelType w:val="hybridMultilevel"/>
    <w:tmpl w:val="D782591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696F86"/>
    <w:multiLevelType w:val="hybridMultilevel"/>
    <w:tmpl w:val="6E424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76514329"/>
    <w:multiLevelType w:val="hybridMultilevel"/>
    <w:tmpl w:val="7CF68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7"/>
  </w:num>
  <w:num w:numId="4">
    <w:abstractNumId w:val="20"/>
  </w:num>
  <w:num w:numId="5">
    <w:abstractNumId w:val="22"/>
  </w:num>
  <w:num w:numId="6">
    <w:abstractNumId w:val="13"/>
  </w:num>
  <w:num w:numId="7">
    <w:abstractNumId w:val="5"/>
  </w:num>
  <w:num w:numId="8">
    <w:abstractNumId w:val="3"/>
  </w:num>
  <w:num w:numId="9">
    <w:abstractNumId w:val="14"/>
  </w:num>
  <w:num w:numId="10">
    <w:abstractNumId w:val="6"/>
  </w:num>
  <w:num w:numId="11">
    <w:abstractNumId w:val="0"/>
  </w:num>
  <w:num w:numId="12">
    <w:abstractNumId w:val="17"/>
  </w:num>
  <w:num w:numId="13">
    <w:abstractNumId w:val="23"/>
  </w:num>
  <w:num w:numId="14">
    <w:abstractNumId w:val="2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2"/>
  </w:num>
  <w:num w:numId="18">
    <w:abstractNumId w:val="16"/>
  </w:num>
  <w:num w:numId="19">
    <w:abstractNumId w:val="4"/>
  </w:num>
  <w:num w:numId="20">
    <w:abstractNumId w:val="9"/>
  </w:num>
  <w:num w:numId="21">
    <w:abstractNumId w:val="11"/>
  </w:num>
  <w:num w:numId="22">
    <w:abstractNumId w:val="1"/>
  </w:num>
  <w:num w:numId="23">
    <w:abstractNumId w:val="18"/>
  </w:num>
  <w:num w:numId="24">
    <w:abstractNumId w:val="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xtDQ0NrAwNTIwNTdX0lEKTi0uzszPAykwqgUAI9Miei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x5wv0eapasetsezdzlxrdvgpwapdsw5ex5s&quot;&gt;References for 1620&lt;record-ids&gt;&lt;item&gt;3&lt;/item&gt;&lt;item&gt;6&lt;/item&gt;&lt;item&gt;7&lt;/item&gt;&lt;item&gt;9&lt;/item&gt;&lt;item&gt;10&lt;/item&gt;&lt;item&gt;11&lt;/item&gt;&lt;item&gt;12&lt;/item&gt;&lt;/record-ids&gt;&lt;/item&gt;&lt;/Libraries&gt;"/>
  </w:docVars>
  <w:rsids>
    <w:rsidRoot w:val="0044715D"/>
    <w:rsid w:val="00002118"/>
    <w:rsid w:val="00004548"/>
    <w:rsid w:val="00004853"/>
    <w:rsid w:val="0001371C"/>
    <w:rsid w:val="00014375"/>
    <w:rsid w:val="000244B4"/>
    <w:rsid w:val="0003068E"/>
    <w:rsid w:val="00032F32"/>
    <w:rsid w:val="000374AF"/>
    <w:rsid w:val="0004216B"/>
    <w:rsid w:val="000473A1"/>
    <w:rsid w:val="0005356A"/>
    <w:rsid w:val="00053EDE"/>
    <w:rsid w:val="00054CF0"/>
    <w:rsid w:val="00057693"/>
    <w:rsid w:val="00063AC8"/>
    <w:rsid w:val="00072649"/>
    <w:rsid w:val="00087FBF"/>
    <w:rsid w:val="000A0FBA"/>
    <w:rsid w:val="000A3C80"/>
    <w:rsid w:val="000A55DD"/>
    <w:rsid w:val="000A6AAD"/>
    <w:rsid w:val="000A7088"/>
    <w:rsid w:val="000B1B01"/>
    <w:rsid w:val="000B519A"/>
    <w:rsid w:val="000D3290"/>
    <w:rsid w:val="000D41D7"/>
    <w:rsid w:val="000D519D"/>
    <w:rsid w:val="000E7164"/>
    <w:rsid w:val="000E7E5C"/>
    <w:rsid w:val="000F3518"/>
    <w:rsid w:val="000F7DFA"/>
    <w:rsid w:val="00115F4B"/>
    <w:rsid w:val="00142FB9"/>
    <w:rsid w:val="001455EC"/>
    <w:rsid w:val="00145A83"/>
    <w:rsid w:val="00150F87"/>
    <w:rsid w:val="00164E01"/>
    <w:rsid w:val="001657F4"/>
    <w:rsid w:val="001757EA"/>
    <w:rsid w:val="00183266"/>
    <w:rsid w:val="00185A78"/>
    <w:rsid w:val="00191E53"/>
    <w:rsid w:val="001960ED"/>
    <w:rsid w:val="00197879"/>
    <w:rsid w:val="001B4B14"/>
    <w:rsid w:val="001C73AC"/>
    <w:rsid w:val="001E419B"/>
    <w:rsid w:val="001E6ABB"/>
    <w:rsid w:val="001E6DAF"/>
    <w:rsid w:val="001F2A5C"/>
    <w:rsid w:val="00200D9C"/>
    <w:rsid w:val="00203DD8"/>
    <w:rsid w:val="00205FA5"/>
    <w:rsid w:val="0021046A"/>
    <w:rsid w:val="00214EA5"/>
    <w:rsid w:val="002210FF"/>
    <w:rsid w:val="00221847"/>
    <w:rsid w:val="002266D2"/>
    <w:rsid w:val="00227C08"/>
    <w:rsid w:val="00227EC2"/>
    <w:rsid w:val="0025490B"/>
    <w:rsid w:val="00262DB6"/>
    <w:rsid w:val="00272077"/>
    <w:rsid w:val="00275414"/>
    <w:rsid w:val="00276CAC"/>
    <w:rsid w:val="002777DE"/>
    <w:rsid w:val="00282B7B"/>
    <w:rsid w:val="00292DE9"/>
    <w:rsid w:val="00295E9B"/>
    <w:rsid w:val="002A03CE"/>
    <w:rsid w:val="002A3844"/>
    <w:rsid w:val="002A4909"/>
    <w:rsid w:val="002A4D6B"/>
    <w:rsid w:val="002A66BD"/>
    <w:rsid w:val="002A6D93"/>
    <w:rsid w:val="002B0581"/>
    <w:rsid w:val="002B12BA"/>
    <w:rsid w:val="002B226C"/>
    <w:rsid w:val="002B3338"/>
    <w:rsid w:val="002B3395"/>
    <w:rsid w:val="002B6B1B"/>
    <w:rsid w:val="002C5AE6"/>
    <w:rsid w:val="002D2E8E"/>
    <w:rsid w:val="002D456C"/>
    <w:rsid w:val="00303C94"/>
    <w:rsid w:val="003057B0"/>
    <w:rsid w:val="003200CE"/>
    <w:rsid w:val="003309BF"/>
    <w:rsid w:val="0033478E"/>
    <w:rsid w:val="00335A12"/>
    <w:rsid w:val="003474CC"/>
    <w:rsid w:val="00353ACD"/>
    <w:rsid w:val="0036041A"/>
    <w:rsid w:val="00361704"/>
    <w:rsid w:val="00362776"/>
    <w:rsid w:val="00366064"/>
    <w:rsid w:val="00382875"/>
    <w:rsid w:val="00396260"/>
    <w:rsid w:val="003A61D8"/>
    <w:rsid w:val="003B13B5"/>
    <w:rsid w:val="003B204F"/>
    <w:rsid w:val="003B237B"/>
    <w:rsid w:val="003B26B7"/>
    <w:rsid w:val="003B2A4F"/>
    <w:rsid w:val="003B569C"/>
    <w:rsid w:val="003C0AAF"/>
    <w:rsid w:val="003D699E"/>
    <w:rsid w:val="003E02B3"/>
    <w:rsid w:val="003E0382"/>
    <w:rsid w:val="003E4052"/>
    <w:rsid w:val="003F1786"/>
    <w:rsid w:val="003F5887"/>
    <w:rsid w:val="00411511"/>
    <w:rsid w:val="00413E2E"/>
    <w:rsid w:val="00417C3A"/>
    <w:rsid w:val="0042483F"/>
    <w:rsid w:val="00431A90"/>
    <w:rsid w:val="0043282C"/>
    <w:rsid w:val="00440228"/>
    <w:rsid w:val="00444ECD"/>
    <w:rsid w:val="004465F2"/>
    <w:rsid w:val="0044715D"/>
    <w:rsid w:val="00452BE0"/>
    <w:rsid w:val="004546B5"/>
    <w:rsid w:val="00463785"/>
    <w:rsid w:val="00467C7A"/>
    <w:rsid w:val="00480FD4"/>
    <w:rsid w:val="00490431"/>
    <w:rsid w:val="00493CE4"/>
    <w:rsid w:val="004A0479"/>
    <w:rsid w:val="004A187C"/>
    <w:rsid w:val="004A66D9"/>
    <w:rsid w:val="004A7766"/>
    <w:rsid w:val="004C1EBE"/>
    <w:rsid w:val="004C1FA9"/>
    <w:rsid w:val="004C398C"/>
    <w:rsid w:val="004D0D3C"/>
    <w:rsid w:val="004D1D41"/>
    <w:rsid w:val="004E57BE"/>
    <w:rsid w:val="004F5C87"/>
    <w:rsid w:val="005023B8"/>
    <w:rsid w:val="0051318F"/>
    <w:rsid w:val="0051761A"/>
    <w:rsid w:val="00533055"/>
    <w:rsid w:val="00542641"/>
    <w:rsid w:val="00543A25"/>
    <w:rsid w:val="00543ECE"/>
    <w:rsid w:val="005640CC"/>
    <w:rsid w:val="005644CC"/>
    <w:rsid w:val="00571035"/>
    <w:rsid w:val="0057716F"/>
    <w:rsid w:val="0057737E"/>
    <w:rsid w:val="00577A8D"/>
    <w:rsid w:val="00582925"/>
    <w:rsid w:val="0059216B"/>
    <w:rsid w:val="005971CA"/>
    <w:rsid w:val="005A1CE0"/>
    <w:rsid w:val="005A31EA"/>
    <w:rsid w:val="005C7B58"/>
    <w:rsid w:val="005D0031"/>
    <w:rsid w:val="005D15E9"/>
    <w:rsid w:val="005D63B2"/>
    <w:rsid w:val="005D7B50"/>
    <w:rsid w:val="005E477E"/>
    <w:rsid w:val="005E4FDA"/>
    <w:rsid w:val="005E5FFE"/>
    <w:rsid w:val="005F4258"/>
    <w:rsid w:val="005F4D2F"/>
    <w:rsid w:val="006018B7"/>
    <w:rsid w:val="0061360B"/>
    <w:rsid w:val="006201C9"/>
    <w:rsid w:val="00623350"/>
    <w:rsid w:val="00627B5C"/>
    <w:rsid w:val="00632F68"/>
    <w:rsid w:val="0063467E"/>
    <w:rsid w:val="00644920"/>
    <w:rsid w:val="006464A7"/>
    <w:rsid w:val="00646E47"/>
    <w:rsid w:val="00655327"/>
    <w:rsid w:val="0067489D"/>
    <w:rsid w:val="006904B9"/>
    <w:rsid w:val="006906B4"/>
    <w:rsid w:val="006A7507"/>
    <w:rsid w:val="006B1E39"/>
    <w:rsid w:val="006B6204"/>
    <w:rsid w:val="006C2630"/>
    <w:rsid w:val="006C3E73"/>
    <w:rsid w:val="006D1643"/>
    <w:rsid w:val="006D48CE"/>
    <w:rsid w:val="006E0F6F"/>
    <w:rsid w:val="006E4B02"/>
    <w:rsid w:val="006E4EBB"/>
    <w:rsid w:val="006F0FC0"/>
    <w:rsid w:val="006F1987"/>
    <w:rsid w:val="006F4BB3"/>
    <w:rsid w:val="00700559"/>
    <w:rsid w:val="00701B16"/>
    <w:rsid w:val="00706095"/>
    <w:rsid w:val="00715832"/>
    <w:rsid w:val="00734451"/>
    <w:rsid w:val="00734F81"/>
    <w:rsid w:val="0073757B"/>
    <w:rsid w:val="007404AB"/>
    <w:rsid w:val="00740BED"/>
    <w:rsid w:val="00745B67"/>
    <w:rsid w:val="00751006"/>
    <w:rsid w:val="00752491"/>
    <w:rsid w:val="007824DF"/>
    <w:rsid w:val="00791029"/>
    <w:rsid w:val="00793239"/>
    <w:rsid w:val="007950CF"/>
    <w:rsid w:val="007952EE"/>
    <w:rsid w:val="00797645"/>
    <w:rsid w:val="007A1331"/>
    <w:rsid w:val="007A1B9C"/>
    <w:rsid w:val="007A46C6"/>
    <w:rsid w:val="007A77E8"/>
    <w:rsid w:val="007C47F5"/>
    <w:rsid w:val="007D08EF"/>
    <w:rsid w:val="007D11AF"/>
    <w:rsid w:val="007D70EC"/>
    <w:rsid w:val="007D7572"/>
    <w:rsid w:val="007E1EC7"/>
    <w:rsid w:val="007E202E"/>
    <w:rsid w:val="007E2332"/>
    <w:rsid w:val="007E2F2D"/>
    <w:rsid w:val="007E7E23"/>
    <w:rsid w:val="007F0F6A"/>
    <w:rsid w:val="007F4E20"/>
    <w:rsid w:val="00800F4B"/>
    <w:rsid w:val="00806C0F"/>
    <w:rsid w:val="008257B8"/>
    <w:rsid w:val="00831CA9"/>
    <w:rsid w:val="008425D2"/>
    <w:rsid w:val="00843E8A"/>
    <w:rsid w:val="008459C2"/>
    <w:rsid w:val="00870120"/>
    <w:rsid w:val="00870245"/>
    <w:rsid w:val="008706D6"/>
    <w:rsid w:val="00874BA7"/>
    <w:rsid w:val="008757BF"/>
    <w:rsid w:val="00884CCC"/>
    <w:rsid w:val="0088618B"/>
    <w:rsid w:val="00895BCC"/>
    <w:rsid w:val="00896845"/>
    <w:rsid w:val="008A3F10"/>
    <w:rsid w:val="008A52AC"/>
    <w:rsid w:val="008C0370"/>
    <w:rsid w:val="008C2EB4"/>
    <w:rsid w:val="008C37A3"/>
    <w:rsid w:val="008C3E5E"/>
    <w:rsid w:val="008E2733"/>
    <w:rsid w:val="008E39A7"/>
    <w:rsid w:val="008E6BB3"/>
    <w:rsid w:val="008F2914"/>
    <w:rsid w:val="008F3D16"/>
    <w:rsid w:val="00907CA5"/>
    <w:rsid w:val="00915AAE"/>
    <w:rsid w:val="009214D0"/>
    <w:rsid w:val="0092418D"/>
    <w:rsid w:val="00925D11"/>
    <w:rsid w:val="00925EF4"/>
    <w:rsid w:val="00926AF8"/>
    <w:rsid w:val="0093066F"/>
    <w:rsid w:val="00932E6A"/>
    <w:rsid w:val="00944BF6"/>
    <w:rsid w:val="00953ED7"/>
    <w:rsid w:val="0095673C"/>
    <w:rsid w:val="00970093"/>
    <w:rsid w:val="00974E7A"/>
    <w:rsid w:val="009805A2"/>
    <w:rsid w:val="00980CFA"/>
    <w:rsid w:val="00981DB3"/>
    <w:rsid w:val="00990573"/>
    <w:rsid w:val="00993B45"/>
    <w:rsid w:val="009A0280"/>
    <w:rsid w:val="009A4775"/>
    <w:rsid w:val="009A5FCD"/>
    <w:rsid w:val="009B1BC8"/>
    <w:rsid w:val="009B335C"/>
    <w:rsid w:val="009B5E25"/>
    <w:rsid w:val="009C574E"/>
    <w:rsid w:val="009C6367"/>
    <w:rsid w:val="009C6A28"/>
    <w:rsid w:val="009D6757"/>
    <w:rsid w:val="009E5295"/>
    <w:rsid w:val="00A0558F"/>
    <w:rsid w:val="00A41ABB"/>
    <w:rsid w:val="00A42401"/>
    <w:rsid w:val="00A431BD"/>
    <w:rsid w:val="00A448D8"/>
    <w:rsid w:val="00A5207F"/>
    <w:rsid w:val="00A5422D"/>
    <w:rsid w:val="00A54FAD"/>
    <w:rsid w:val="00A55103"/>
    <w:rsid w:val="00A601AC"/>
    <w:rsid w:val="00A656BD"/>
    <w:rsid w:val="00A77E3D"/>
    <w:rsid w:val="00A81FFF"/>
    <w:rsid w:val="00A84A56"/>
    <w:rsid w:val="00A9156A"/>
    <w:rsid w:val="00A9467F"/>
    <w:rsid w:val="00AA20B5"/>
    <w:rsid w:val="00AA518F"/>
    <w:rsid w:val="00AB0CCC"/>
    <w:rsid w:val="00AB1F47"/>
    <w:rsid w:val="00AB21B4"/>
    <w:rsid w:val="00AB6D42"/>
    <w:rsid w:val="00AF2413"/>
    <w:rsid w:val="00B01008"/>
    <w:rsid w:val="00B02850"/>
    <w:rsid w:val="00B02BB2"/>
    <w:rsid w:val="00B11E4E"/>
    <w:rsid w:val="00B13BEA"/>
    <w:rsid w:val="00B22660"/>
    <w:rsid w:val="00B25FA2"/>
    <w:rsid w:val="00B2754C"/>
    <w:rsid w:val="00B3106D"/>
    <w:rsid w:val="00B33103"/>
    <w:rsid w:val="00B3595A"/>
    <w:rsid w:val="00B36009"/>
    <w:rsid w:val="00B434FE"/>
    <w:rsid w:val="00B45971"/>
    <w:rsid w:val="00B46A0A"/>
    <w:rsid w:val="00B62485"/>
    <w:rsid w:val="00B74B4D"/>
    <w:rsid w:val="00B769FD"/>
    <w:rsid w:val="00B83C0D"/>
    <w:rsid w:val="00B85D39"/>
    <w:rsid w:val="00B878AB"/>
    <w:rsid w:val="00B92F4F"/>
    <w:rsid w:val="00B9440C"/>
    <w:rsid w:val="00BA00E5"/>
    <w:rsid w:val="00BA63AA"/>
    <w:rsid w:val="00BC1EFD"/>
    <w:rsid w:val="00BD43B6"/>
    <w:rsid w:val="00BD6028"/>
    <w:rsid w:val="00BD6312"/>
    <w:rsid w:val="00BE31AD"/>
    <w:rsid w:val="00BE5B13"/>
    <w:rsid w:val="00BF2AB3"/>
    <w:rsid w:val="00BF62B7"/>
    <w:rsid w:val="00C033B7"/>
    <w:rsid w:val="00C06246"/>
    <w:rsid w:val="00C076F1"/>
    <w:rsid w:val="00C216A0"/>
    <w:rsid w:val="00C346E3"/>
    <w:rsid w:val="00C45F57"/>
    <w:rsid w:val="00C504CD"/>
    <w:rsid w:val="00C54AFE"/>
    <w:rsid w:val="00C61965"/>
    <w:rsid w:val="00C63A94"/>
    <w:rsid w:val="00C72801"/>
    <w:rsid w:val="00C73E45"/>
    <w:rsid w:val="00C852E8"/>
    <w:rsid w:val="00C875D1"/>
    <w:rsid w:val="00C9630A"/>
    <w:rsid w:val="00CB0506"/>
    <w:rsid w:val="00CC2AD0"/>
    <w:rsid w:val="00CC2C71"/>
    <w:rsid w:val="00CC38C4"/>
    <w:rsid w:val="00CC3BE3"/>
    <w:rsid w:val="00CC60B0"/>
    <w:rsid w:val="00CE0547"/>
    <w:rsid w:val="00CE4229"/>
    <w:rsid w:val="00CE559E"/>
    <w:rsid w:val="00CE7D13"/>
    <w:rsid w:val="00CF5DB0"/>
    <w:rsid w:val="00D00F19"/>
    <w:rsid w:val="00D0584C"/>
    <w:rsid w:val="00D136B9"/>
    <w:rsid w:val="00D26848"/>
    <w:rsid w:val="00D31BE4"/>
    <w:rsid w:val="00D34E84"/>
    <w:rsid w:val="00D44B05"/>
    <w:rsid w:val="00D46C89"/>
    <w:rsid w:val="00D5492C"/>
    <w:rsid w:val="00D551E9"/>
    <w:rsid w:val="00D64A29"/>
    <w:rsid w:val="00D8185E"/>
    <w:rsid w:val="00D914E5"/>
    <w:rsid w:val="00D91994"/>
    <w:rsid w:val="00DA5E1B"/>
    <w:rsid w:val="00DA7322"/>
    <w:rsid w:val="00DB3353"/>
    <w:rsid w:val="00DB3CD9"/>
    <w:rsid w:val="00DB5E88"/>
    <w:rsid w:val="00DB69BE"/>
    <w:rsid w:val="00DC120C"/>
    <w:rsid w:val="00DC29F1"/>
    <w:rsid w:val="00DD456A"/>
    <w:rsid w:val="00DD74F6"/>
    <w:rsid w:val="00DE3D6C"/>
    <w:rsid w:val="00DE7839"/>
    <w:rsid w:val="00DF02F7"/>
    <w:rsid w:val="00DF2F2B"/>
    <w:rsid w:val="00DF6E37"/>
    <w:rsid w:val="00DF7026"/>
    <w:rsid w:val="00E03864"/>
    <w:rsid w:val="00E102EA"/>
    <w:rsid w:val="00E13671"/>
    <w:rsid w:val="00E1410E"/>
    <w:rsid w:val="00E364F7"/>
    <w:rsid w:val="00E43115"/>
    <w:rsid w:val="00E46B27"/>
    <w:rsid w:val="00E46C0B"/>
    <w:rsid w:val="00E6557D"/>
    <w:rsid w:val="00E6659A"/>
    <w:rsid w:val="00E70730"/>
    <w:rsid w:val="00E77F5A"/>
    <w:rsid w:val="00E83EA4"/>
    <w:rsid w:val="00E85CBC"/>
    <w:rsid w:val="00E933A8"/>
    <w:rsid w:val="00E968F6"/>
    <w:rsid w:val="00EA4A67"/>
    <w:rsid w:val="00EA64D2"/>
    <w:rsid w:val="00EB1335"/>
    <w:rsid w:val="00EB2191"/>
    <w:rsid w:val="00EB22D2"/>
    <w:rsid w:val="00ED0534"/>
    <w:rsid w:val="00ED5DCE"/>
    <w:rsid w:val="00EE6FB8"/>
    <w:rsid w:val="00EE7A1F"/>
    <w:rsid w:val="00EF2EA9"/>
    <w:rsid w:val="00EF31DC"/>
    <w:rsid w:val="00EF6364"/>
    <w:rsid w:val="00EF6479"/>
    <w:rsid w:val="00F0186F"/>
    <w:rsid w:val="00F12E59"/>
    <w:rsid w:val="00F23528"/>
    <w:rsid w:val="00F26143"/>
    <w:rsid w:val="00F3499D"/>
    <w:rsid w:val="00F427CB"/>
    <w:rsid w:val="00F4622B"/>
    <w:rsid w:val="00F64E40"/>
    <w:rsid w:val="00F64F48"/>
    <w:rsid w:val="00F66C65"/>
    <w:rsid w:val="00F73280"/>
    <w:rsid w:val="00F735F2"/>
    <w:rsid w:val="00F757FD"/>
    <w:rsid w:val="00F8560F"/>
    <w:rsid w:val="00F91386"/>
    <w:rsid w:val="00F9541C"/>
    <w:rsid w:val="00FA39A7"/>
    <w:rsid w:val="00FA522E"/>
    <w:rsid w:val="00FB5F2F"/>
    <w:rsid w:val="00FB6046"/>
    <w:rsid w:val="00FC04D6"/>
    <w:rsid w:val="00FC3F20"/>
    <w:rsid w:val="00FC752E"/>
    <w:rsid w:val="00FD7693"/>
    <w:rsid w:val="00FE7318"/>
    <w:rsid w:val="00FF02DA"/>
    <w:rsid w:val="00FF2F6E"/>
    <w:rsid w:val="00FF5347"/>
    <w:rsid w:val="00FF7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09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F6E"/>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aliases w:val="Summary box"/>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2210FF"/>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normaltextrun">
    <w:name w:val="normaltextrun"/>
    <w:basedOn w:val="DefaultParagraphFont"/>
    <w:rsid w:val="00632F68"/>
  </w:style>
  <w:style w:type="paragraph" w:customStyle="1" w:styleId="highlight-title">
    <w:name w:val="highlight-title"/>
    <w:basedOn w:val="Normal"/>
    <w:rsid w:val="00004853"/>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basedOn w:val="DefaultParagraphFont"/>
    <w:uiPriority w:val="22"/>
    <w:qFormat/>
    <w:rsid w:val="00004853"/>
    <w:rPr>
      <w:b/>
      <w:bCs/>
    </w:rPr>
  </w:style>
  <w:style w:type="paragraph" w:customStyle="1" w:styleId="highlight-text">
    <w:name w:val="highlight-text"/>
    <w:basedOn w:val="Normal"/>
    <w:rsid w:val="0000485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EndNoteBibliographyTitle">
    <w:name w:val="EndNote Bibliography Title"/>
    <w:basedOn w:val="Normal"/>
    <w:link w:val="EndNoteBibliographyTitleChar"/>
    <w:rsid w:val="00D914E5"/>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D914E5"/>
    <w:rPr>
      <w:rFonts w:ascii="Calibri" w:eastAsia="Calibri" w:hAnsi="Calibri" w:cs="Calibri"/>
      <w:noProof/>
      <w:sz w:val="22"/>
      <w:lang w:val="en-US"/>
    </w:rPr>
  </w:style>
  <w:style w:type="paragraph" w:customStyle="1" w:styleId="EndNoteBibliography">
    <w:name w:val="EndNote Bibliography"/>
    <w:basedOn w:val="Normal"/>
    <w:link w:val="EndNoteBibliographyChar"/>
    <w:rsid w:val="00D914E5"/>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D914E5"/>
    <w:rPr>
      <w:rFonts w:ascii="Calibri" w:eastAsia="Calibri" w:hAnsi="Calibri" w:cs="Calibri"/>
      <w:noProof/>
      <w:sz w:val="22"/>
      <w:lang w:val="en-US"/>
    </w:rPr>
  </w:style>
  <w:style w:type="character" w:styleId="IntenseEmphasis">
    <w:name w:val="Intense Emphasis"/>
    <w:basedOn w:val="DefaultParagraphFont"/>
    <w:uiPriority w:val="21"/>
    <w:qFormat/>
    <w:rsid w:val="00D34E84"/>
    <w:rPr>
      <w:i/>
      <w:iCs/>
      <w:color w:val="4F81BD" w:themeColor="accent1"/>
    </w:rPr>
  </w:style>
  <w:style w:type="paragraph" w:styleId="NoSpacing">
    <w:name w:val="No Spacing"/>
    <w:uiPriority w:val="1"/>
    <w:qFormat/>
    <w:rsid w:val="00A9467F"/>
    <w:pPr>
      <w:spacing w:after="0" w:line="240" w:lineRule="auto"/>
    </w:pPr>
    <w:rPr>
      <w:rFonts w:ascii="Calibri" w:eastAsia="Calibri" w:hAnsi="Calibri" w:cs="Times New Roman"/>
      <w:sz w:val="22"/>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C076F1"/>
    <w:rPr>
      <w:rFonts w:ascii="Calibri" w:eastAsia="Calibri" w:hAnsi="Calibri" w:cs="Times New Roman"/>
      <w:sz w:val="22"/>
    </w:rPr>
  </w:style>
  <w:style w:type="character" w:customStyle="1" w:styleId="UnresolvedMention1">
    <w:name w:val="Unresolved Mention1"/>
    <w:basedOn w:val="DefaultParagraphFont"/>
    <w:uiPriority w:val="99"/>
    <w:semiHidden/>
    <w:unhideWhenUsed/>
    <w:rsid w:val="00884CCC"/>
    <w:rPr>
      <w:color w:val="605E5C"/>
      <w:shd w:val="clear" w:color="auto" w:fill="E1DFDD"/>
    </w:rPr>
  </w:style>
  <w:style w:type="paragraph" w:styleId="FootnoteText">
    <w:name w:val="footnote text"/>
    <w:basedOn w:val="Normal"/>
    <w:link w:val="FootnoteTextChar"/>
    <w:uiPriority w:val="99"/>
    <w:semiHidden/>
    <w:unhideWhenUsed/>
    <w:rsid w:val="00CE55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559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E559E"/>
    <w:rPr>
      <w:vertAlign w:val="superscript"/>
    </w:rPr>
  </w:style>
  <w:style w:type="table" w:customStyle="1" w:styleId="TableGrid2">
    <w:name w:val="Table Grid2"/>
    <w:basedOn w:val="TableNormal"/>
    <w:next w:val="TableGrid"/>
    <w:uiPriority w:val="59"/>
    <w:rsid w:val="00360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571739553">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21248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msac.gov.au/internet/msac/publishing.nsf/Content/5F3B6BD9007ED966CA25801000123BC2/$File/1319FinalPSD-IGRT-Accessibl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hw.gov.au/reports/cancer/radiotherapy-in-australia-2017-18/contents/radiotherapy-waiting-ti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53B7A25-39AD-4CA0-8799-E99745924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5733</Words>
  <Characters>32680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2020-06-26T02:27:00Z</dcterms:created>
  <dcterms:modified xsi:type="dcterms:W3CDTF">2020-06-30T00:50:00Z</dcterms:modified>
</cp:coreProperties>
</file>