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2A428D">
        <w:rPr>
          <w:rFonts w:ascii="Arial" w:hAnsi="Arial" w:cs="Arial"/>
          <w:b/>
          <w:sz w:val="52"/>
          <w:szCs w:val="52"/>
        </w:rPr>
        <w:t xml:space="preserve">1526 - </w:t>
      </w:r>
      <w:r w:rsidR="002A428D" w:rsidRPr="002A428D">
        <w:rPr>
          <w:rFonts w:ascii="Arial" w:hAnsi="Arial" w:cs="Arial"/>
          <w:b/>
          <w:sz w:val="52"/>
          <w:szCs w:val="52"/>
        </w:rPr>
        <w:t>Somatic tumour gene testing for the diagnosis of Diffuse Large B Cell Lymphoma, Multiple Myeloma and Non-Hodgkin Lymphoma Subtypes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  <w:bookmarkStart w:id="0" w:name="_GoBack"/>
      <w:bookmarkEnd w:id="0"/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A428D">
        <w:rPr>
          <w:b w:val="0"/>
        </w:rPr>
      </w:r>
      <w:r w:rsidR="002A428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A4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A428D" w:rsidRPr="002A428D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A428D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2018-01-31T04:49:00Z</dcterms:created>
  <dcterms:modified xsi:type="dcterms:W3CDTF">2018-01-31T04:49:00Z</dcterms:modified>
</cp:coreProperties>
</file>