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2964F" w14:textId="77777777" w:rsidR="00E44B80" w:rsidRPr="00F637B3" w:rsidRDefault="00E44B80" w:rsidP="00E44B80">
      <w:pPr>
        <w:jc w:val="center"/>
        <w:rPr>
          <w:b/>
          <w:szCs w:val="20"/>
        </w:rPr>
      </w:pPr>
      <w:r w:rsidRPr="00F637B3">
        <w:rPr>
          <w:b/>
          <w:noProof/>
          <w:szCs w:val="20"/>
          <w:lang w:eastAsia="en-AU"/>
        </w:rPr>
        <w:drawing>
          <wp:inline distT="0" distB="0" distL="0" distR="0" wp14:anchorId="5B207FE2" wp14:editId="08D6D879">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28BD34D5" w14:textId="77777777" w:rsidR="008B2610" w:rsidRPr="006F20CF" w:rsidRDefault="008B2610" w:rsidP="00F971CC">
      <w:pPr>
        <w:pStyle w:val="Title"/>
        <w:spacing w:before="2600"/>
      </w:pPr>
      <w:r w:rsidRPr="001906CD">
        <w:t>Application Form</w:t>
      </w:r>
    </w:p>
    <w:p w14:paraId="7DA0AAF0" w14:textId="77777777" w:rsidR="001906CD" w:rsidRPr="00D73646" w:rsidRDefault="00E44B80" w:rsidP="00D73646">
      <w:pPr>
        <w:pStyle w:val="Title"/>
        <w:spacing w:before="240"/>
        <w:rPr>
          <w:sz w:val="28"/>
          <w:szCs w:val="28"/>
        </w:rPr>
      </w:pPr>
      <w:r w:rsidRPr="00D73646">
        <w:rPr>
          <w:sz w:val="28"/>
          <w:szCs w:val="28"/>
        </w:rPr>
        <w:t>(</w:t>
      </w:r>
      <w:r w:rsidR="001906CD" w:rsidRPr="00D73646">
        <w:rPr>
          <w:sz w:val="28"/>
          <w:szCs w:val="28"/>
        </w:rPr>
        <w:t>New and Amended</w:t>
      </w:r>
    </w:p>
    <w:p w14:paraId="17CAB80B" w14:textId="77777777" w:rsidR="00E44B80" w:rsidRPr="00D73646" w:rsidRDefault="003433D1" w:rsidP="00D73646">
      <w:pPr>
        <w:pStyle w:val="Title"/>
        <w:spacing w:before="240"/>
        <w:rPr>
          <w:sz w:val="28"/>
          <w:szCs w:val="28"/>
        </w:rPr>
      </w:pPr>
      <w:r w:rsidRPr="00D73646">
        <w:rPr>
          <w:sz w:val="28"/>
          <w:szCs w:val="28"/>
        </w:rPr>
        <w:t>Requests for Public Funding</w:t>
      </w:r>
      <w:r w:rsidR="008B2610" w:rsidRPr="00D73646">
        <w:rPr>
          <w:sz w:val="28"/>
          <w:szCs w:val="28"/>
        </w:rPr>
        <w:t>)</w:t>
      </w:r>
    </w:p>
    <w:p w14:paraId="57034567" w14:textId="77777777" w:rsidR="003013A9" w:rsidRPr="00D73646" w:rsidRDefault="003013A9" w:rsidP="00F971CC">
      <w:pPr>
        <w:pStyle w:val="Title"/>
        <w:spacing w:before="240" w:after="2600"/>
        <w:rPr>
          <w:sz w:val="28"/>
          <w:szCs w:val="28"/>
        </w:rPr>
      </w:pPr>
      <w:r w:rsidRPr="00D73646">
        <w:rPr>
          <w:sz w:val="28"/>
          <w:szCs w:val="28"/>
        </w:rPr>
        <w:t xml:space="preserve">(Version </w:t>
      </w:r>
      <w:r w:rsidR="0005089D">
        <w:rPr>
          <w:sz w:val="28"/>
          <w:szCs w:val="28"/>
        </w:rPr>
        <w:t>2.4</w:t>
      </w:r>
      <w:r w:rsidRPr="00D73646">
        <w:rPr>
          <w:sz w:val="28"/>
          <w:szCs w:val="28"/>
        </w:rPr>
        <w:t>)</w:t>
      </w:r>
    </w:p>
    <w:p w14:paraId="338A5E3B"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5E4DC0CB"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67EA10E6"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199729A3" w14:textId="77777777" w:rsidR="008B2610" w:rsidRPr="00154B00" w:rsidRDefault="009F5758" w:rsidP="003F7CB9">
      <w:pPr>
        <w:spacing w:before="0" w:after="0"/>
      </w:pPr>
      <w:r w:rsidRPr="00154B00">
        <w:t>Phone:  +61 2 6289 7550</w:t>
      </w:r>
    </w:p>
    <w:p w14:paraId="57252323" w14:textId="77777777" w:rsidR="009F5758" w:rsidRPr="00154B00" w:rsidRDefault="009F5758" w:rsidP="003F7CB9">
      <w:pPr>
        <w:spacing w:before="0" w:after="0"/>
      </w:pPr>
      <w:r w:rsidRPr="00154B00">
        <w:t>Fax:  +61 2 6289 5540</w:t>
      </w:r>
    </w:p>
    <w:p w14:paraId="46C1D626" w14:textId="77777777" w:rsidR="009F5758" w:rsidRPr="00154B00" w:rsidRDefault="009F5758" w:rsidP="003F7CB9">
      <w:pPr>
        <w:spacing w:before="0" w:after="0"/>
      </w:pPr>
      <w:r w:rsidRPr="00154B00">
        <w:t xml:space="preserve">Email:  </w:t>
      </w:r>
      <w:hyperlink r:id="rId10" w:tooltip="click here to email the Department of Health HTA Team" w:history="1">
        <w:r w:rsidRPr="00154B00">
          <w:rPr>
            <w:rStyle w:val="Hyperlink"/>
            <w:szCs w:val="20"/>
          </w:rPr>
          <w:t>hta@health.gov.au</w:t>
        </w:r>
      </w:hyperlink>
    </w:p>
    <w:p w14:paraId="154140E1" w14:textId="77777777" w:rsidR="009F5758" w:rsidRPr="00154B00" w:rsidRDefault="009F5758" w:rsidP="003F7CB9">
      <w:pPr>
        <w:spacing w:before="0" w:after="0"/>
      </w:pPr>
      <w:r w:rsidRPr="00154B00">
        <w:t xml:space="preserve">Website:  </w:t>
      </w:r>
      <w:hyperlink r:id="rId11"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0362BFC0" w14:textId="77777777" w:rsidR="00E04FB3" w:rsidRPr="00C776B1" w:rsidRDefault="00D73646" w:rsidP="00415C74">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7E62CB37"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2F1AEC1A"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p>
    <w:p w14:paraId="36E0634F"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31399F">
        <w:fldChar w:fldCharType="begin">
          <w:ffData>
            <w:name w:val=""/>
            <w:enabled/>
            <w:calcOnExit w:val="0"/>
            <w:textInput>
              <w:default w:val="The Royal College of Pathologists of Australasia (RCPA)"/>
            </w:textInput>
          </w:ffData>
        </w:fldChar>
      </w:r>
      <w:r w:rsidR="0031399F">
        <w:instrText xml:space="preserve"> FORMTEXT </w:instrText>
      </w:r>
      <w:r w:rsidR="0031399F">
        <w:fldChar w:fldCharType="separate"/>
      </w:r>
      <w:r w:rsidR="0031399F">
        <w:rPr>
          <w:noProof/>
        </w:rPr>
        <w:t>The Royal College of Pathologists of Australasia (RCPA)</w:t>
      </w:r>
      <w:r w:rsidR="0031399F">
        <w:fldChar w:fldCharType="end"/>
      </w:r>
    </w:p>
    <w:p w14:paraId="594E9A93"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31399F">
        <w:fldChar w:fldCharType="begin">
          <w:ffData>
            <w:name w:val=""/>
            <w:enabled/>
            <w:calcOnExit w:val="0"/>
            <w:textInput>
              <w:default w:val="Redacted"/>
            </w:textInput>
          </w:ffData>
        </w:fldChar>
      </w:r>
      <w:r w:rsidR="0031399F">
        <w:instrText xml:space="preserve"> FORMTEXT </w:instrText>
      </w:r>
      <w:r w:rsidR="0031399F">
        <w:fldChar w:fldCharType="separate"/>
      </w:r>
      <w:r w:rsidR="0031399F">
        <w:rPr>
          <w:noProof/>
        </w:rPr>
        <w:t>Redacted</w:t>
      </w:r>
      <w:r w:rsidR="0031399F">
        <w:fldChar w:fldCharType="end"/>
      </w:r>
    </w:p>
    <w:p w14:paraId="378CE12E"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31399F">
        <w:fldChar w:fldCharType="begin">
          <w:ffData>
            <w:name w:val=""/>
            <w:enabled/>
            <w:calcOnExit w:val="0"/>
            <w:textInput>
              <w:default w:val="Redacted"/>
            </w:textInput>
          </w:ffData>
        </w:fldChar>
      </w:r>
      <w:r w:rsidR="0031399F">
        <w:instrText xml:space="preserve"> FORMTEXT </w:instrText>
      </w:r>
      <w:r w:rsidR="0031399F">
        <w:fldChar w:fldCharType="separate"/>
      </w:r>
      <w:r w:rsidR="0031399F">
        <w:rPr>
          <w:noProof/>
        </w:rPr>
        <w:t>Redacted</w:t>
      </w:r>
      <w:r w:rsidR="0031399F">
        <w:fldChar w:fldCharType="end"/>
      </w:r>
    </w:p>
    <w:p w14:paraId="32A76B24" w14:textId="77777777" w:rsidR="00C171FB" w:rsidRPr="00C171FB" w:rsidRDefault="00C171FB" w:rsidP="00C171FB"/>
    <w:p w14:paraId="5BC61E37" w14:textId="77777777" w:rsidR="00C171FB" w:rsidRPr="00C171FB" w:rsidRDefault="00C171FB" w:rsidP="00C171FB">
      <w:pPr>
        <w:rPr>
          <w:b/>
        </w:rPr>
      </w:pPr>
      <w:r>
        <w:rPr>
          <w:b/>
        </w:rPr>
        <w:t xml:space="preserve">Primary contact name: </w:t>
      </w:r>
      <w:r w:rsidR="0031399F">
        <w:fldChar w:fldCharType="begin">
          <w:ffData>
            <w:name w:val=""/>
            <w:enabled/>
            <w:calcOnExit w:val="0"/>
            <w:textInput>
              <w:default w:val="Redacted"/>
            </w:textInput>
          </w:ffData>
        </w:fldChar>
      </w:r>
      <w:r w:rsidR="0031399F">
        <w:instrText xml:space="preserve"> FORMTEXT </w:instrText>
      </w:r>
      <w:r w:rsidR="0031399F">
        <w:fldChar w:fldCharType="separate"/>
      </w:r>
      <w:r w:rsidR="0031399F">
        <w:rPr>
          <w:noProof/>
        </w:rPr>
        <w:t>Redacted</w:t>
      </w:r>
      <w:r w:rsidR="0031399F">
        <w:fldChar w:fldCharType="end"/>
      </w:r>
    </w:p>
    <w:p w14:paraId="5A821186"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4AE730F3"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31399F">
        <w:fldChar w:fldCharType="begin">
          <w:ffData>
            <w:name w:val=""/>
            <w:enabled/>
            <w:calcOnExit w:val="0"/>
            <w:textInput>
              <w:default w:val="Redacted"/>
            </w:textInput>
          </w:ffData>
        </w:fldChar>
      </w:r>
      <w:r w:rsidR="0031399F">
        <w:instrText xml:space="preserve"> FORMTEXT </w:instrText>
      </w:r>
      <w:r w:rsidR="0031399F">
        <w:fldChar w:fldCharType="separate"/>
      </w:r>
      <w:r w:rsidR="0031399F">
        <w:rPr>
          <w:noProof/>
        </w:rPr>
        <w:t>Redacted</w:t>
      </w:r>
      <w:r w:rsidR="0031399F">
        <w:fldChar w:fldCharType="end"/>
      </w:r>
    </w:p>
    <w:p w14:paraId="224DAA01" w14:textId="77777777"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31399F">
        <w:fldChar w:fldCharType="begin">
          <w:ffData>
            <w:name w:val=""/>
            <w:enabled/>
            <w:calcOnExit w:val="0"/>
            <w:textInput>
              <w:default w:val="Redacted"/>
            </w:textInput>
          </w:ffData>
        </w:fldChar>
      </w:r>
      <w:r w:rsidR="0031399F">
        <w:instrText xml:space="preserve"> FORMTEXT </w:instrText>
      </w:r>
      <w:r w:rsidR="0031399F">
        <w:fldChar w:fldCharType="separate"/>
      </w:r>
      <w:r w:rsidR="0031399F">
        <w:rPr>
          <w:noProof/>
        </w:rPr>
        <w:t>Redacted</w:t>
      </w:r>
      <w:r w:rsidR="0031399F">
        <w:fldChar w:fldCharType="end"/>
      </w:r>
    </w:p>
    <w:p w14:paraId="187FA608"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31399F">
        <w:fldChar w:fldCharType="begin">
          <w:ffData>
            <w:name w:val=""/>
            <w:enabled/>
            <w:calcOnExit w:val="0"/>
            <w:textInput>
              <w:default w:val="Redacted"/>
            </w:textInput>
          </w:ffData>
        </w:fldChar>
      </w:r>
      <w:r w:rsidR="0031399F">
        <w:instrText xml:space="preserve"> FORMTEXT </w:instrText>
      </w:r>
      <w:r w:rsidR="0031399F">
        <w:fldChar w:fldCharType="separate"/>
      </w:r>
      <w:r w:rsidR="0031399F">
        <w:rPr>
          <w:noProof/>
        </w:rPr>
        <w:t>Redacted</w:t>
      </w:r>
      <w:r w:rsidR="0031399F">
        <w:fldChar w:fldCharType="end"/>
      </w:r>
    </w:p>
    <w:p w14:paraId="74114730" w14:textId="77777777" w:rsidR="00C171FB" w:rsidRDefault="00C171FB" w:rsidP="00C171FB">
      <w:pPr>
        <w:rPr>
          <w:b/>
        </w:rPr>
      </w:pPr>
    </w:p>
    <w:p w14:paraId="55E4E4D0" w14:textId="77777777" w:rsidR="00C171FB" w:rsidRPr="00C171FB" w:rsidRDefault="00C171FB" w:rsidP="00C171FB">
      <w:pPr>
        <w:rPr>
          <w:b/>
        </w:rPr>
      </w:pPr>
      <w:r>
        <w:rPr>
          <w:b/>
        </w:rPr>
        <w:t xml:space="preserve">Alternative contact name: </w:t>
      </w:r>
      <w:r w:rsidR="0031399F">
        <w:fldChar w:fldCharType="begin">
          <w:ffData>
            <w:name w:val=""/>
            <w:enabled/>
            <w:calcOnExit w:val="0"/>
            <w:textInput>
              <w:default w:val="Redacted"/>
            </w:textInput>
          </w:ffData>
        </w:fldChar>
      </w:r>
      <w:r w:rsidR="0031399F">
        <w:instrText xml:space="preserve"> FORMTEXT </w:instrText>
      </w:r>
      <w:r w:rsidR="0031399F">
        <w:fldChar w:fldCharType="separate"/>
      </w:r>
      <w:r w:rsidR="0031399F">
        <w:rPr>
          <w:noProof/>
        </w:rPr>
        <w:t>Redacted</w:t>
      </w:r>
      <w:r w:rsidR="0031399F">
        <w:fldChar w:fldCharType="end"/>
      </w:r>
    </w:p>
    <w:p w14:paraId="492ADA73"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0C0B5448"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31399F">
        <w:fldChar w:fldCharType="begin">
          <w:ffData>
            <w:name w:val=""/>
            <w:enabled/>
            <w:calcOnExit w:val="0"/>
            <w:textInput>
              <w:default w:val="Redacted"/>
            </w:textInput>
          </w:ffData>
        </w:fldChar>
      </w:r>
      <w:r w:rsidR="0031399F">
        <w:instrText xml:space="preserve"> FORMTEXT </w:instrText>
      </w:r>
      <w:r w:rsidR="0031399F">
        <w:fldChar w:fldCharType="separate"/>
      </w:r>
      <w:r w:rsidR="0031399F">
        <w:rPr>
          <w:noProof/>
        </w:rPr>
        <w:t>Redacted</w:t>
      </w:r>
      <w:r w:rsidR="0031399F">
        <w:fldChar w:fldCharType="end"/>
      </w:r>
    </w:p>
    <w:p w14:paraId="29AD1437"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31399F">
        <w:fldChar w:fldCharType="begin">
          <w:ffData>
            <w:name w:val=""/>
            <w:enabled/>
            <w:calcOnExit w:val="0"/>
            <w:textInput>
              <w:default w:val="Redacted"/>
            </w:textInput>
          </w:ffData>
        </w:fldChar>
      </w:r>
      <w:r w:rsidR="0031399F">
        <w:instrText xml:space="preserve"> FORMTEXT </w:instrText>
      </w:r>
      <w:r w:rsidR="0031399F">
        <w:fldChar w:fldCharType="separate"/>
      </w:r>
      <w:r w:rsidR="0031399F">
        <w:rPr>
          <w:noProof/>
        </w:rPr>
        <w:t>Redacted</w:t>
      </w:r>
      <w:r w:rsidR="0031399F">
        <w:fldChar w:fldCharType="end"/>
      </w:r>
    </w:p>
    <w:p w14:paraId="6FED5573"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31399F">
        <w:fldChar w:fldCharType="begin">
          <w:ffData>
            <w:name w:val=""/>
            <w:enabled/>
            <w:calcOnExit w:val="0"/>
            <w:textInput>
              <w:default w:val="Redacted"/>
            </w:textInput>
          </w:ffData>
        </w:fldChar>
      </w:r>
      <w:r w:rsidR="0031399F">
        <w:instrText xml:space="preserve"> FORMTEXT </w:instrText>
      </w:r>
      <w:r w:rsidR="0031399F">
        <w:fldChar w:fldCharType="separate"/>
      </w:r>
      <w:r w:rsidR="0031399F">
        <w:rPr>
          <w:noProof/>
        </w:rPr>
        <w:t>Redacted</w:t>
      </w:r>
      <w:r w:rsidR="0031399F">
        <w:fldChar w:fldCharType="end"/>
      </w:r>
    </w:p>
    <w:p w14:paraId="7EF403F3" w14:textId="77777777" w:rsidR="00C171FB" w:rsidRPr="00C171FB" w:rsidRDefault="00C171FB" w:rsidP="00C171FB"/>
    <w:p w14:paraId="7248861F" w14:textId="77777777" w:rsidR="00534C5F" w:rsidRPr="00154B00" w:rsidRDefault="00494011" w:rsidP="004A0BF4">
      <w:pPr>
        <w:pStyle w:val="Heading2"/>
      </w:pPr>
      <w:r>
        <w:t xml:space="preserve">(a) </w:t>
      </w:r>
      <w:r w:rsidR="00534C5F">
        <w:t>Are you a lobbyist acting on behalf of an Applicant?</w:t>
      </w:r>
    </w:p>
    <w:p w14:paraId="634E5569"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746A08">
        <w:rPr>
          <w:szCs w:val="20"/>
        </w:rPr>
      </w:r>
      <w:r w:rsidR="00746A08">
        <w:rPr>
          <w:szCs w:val="20"/>
        </w:rPr>
        <w:fldChar w:fldCharType="separate"/>
      </w:r>
      <w:r w:rsidRPr="00753C44">
        <w:rPr>
          <w:szCs w:val="20"/>
        </w:rPr>
        <w:fldChar w:fldCharType="end"/>
      </w:r>
      <w:r>
        <w:rPr>
          <w:szCs w:val="20"/>
        </w:rPr>
        <w:t xml:space="preserve"> Yes</w:t>
      </w:r>
    </w:p>
    <w:p w14:paraId="4F2F8A9D" w14:textId="77777777" w:rsidR="00A6491A" w:rsidRPr="00753C44" w:rsidRDefault="0031399F" w:rsidP="00A6491A">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746A08">
        <w:rPr>
          <w:szCs w:val="20"/>
        </w:rPr>
      </w:r>
      <w:r w:rsidR="00746A08">
        <w:rPr>
          <w:szCs w:val="20"/>
        </w:rPr>
        <w:fldChar w:fldCharType="separate"/>
      </w:r>
      <w:r>
        <w:rPr>
          <w:szCs w:val="20"/>
        </w:rPr>
        <w:fldChar w:fldCharType="end"/>
      </w:r>
      <w:bookmarkEnd w:id="1"/>
      <w:r w:rsidR="00A6491A">
        <w:rPr>
          <w:szCs w:val="20"/>
        </w:rPr>
        <w:t xml:space="preserve"> No</w:t>
      </w:r>
      <w:r w:rsidR="00A6491A" w:rsidRPr="00753C44">
        <w:rPr>
          <w:szCs w:val="20"/>
        </w:rPr>
        <w:t xml:space="preserve">  </w:t>
      </w:r>
    </w:p>
    <w:p w14:paraId="6DE59155"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1B056417"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746A08">
        <w:rPr>
          <w:szCs w:val="20"/>
        </w:rPr>
      </w:r>
      <w:r w:rsidR="00746A08">
        <w:rPr>
          <w:szCs w:val="20"/>
        </w:rPr>
        <w:fldChar w:fldCharType="separate"/>
      </w:r>
      <w:r w:rsidRPr="00753C44">
        <w:rPr>
          <w:szCs w:val="20"/>
        </w:rPr>
        <w:fldChar w:fldCharType="end"/>
      </w:r>
      <w:r>
        <w:rPr>
          <w:szCs w:val="20"/>
        </w:rPr>
        <w:t xml:space="preserve"> Yes</w:t>
      </w:r>
    </w:p>
    <w:p w14:paraId="38DD83B9" w14:textId="77777777" w:rsidR="00A6491A" w:rsidRPr="00753C44" w:rsidRDefault="0031399F"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46A08">
        <w:rPr>
          <w:szCs w:val="20"/>
        </w:rPr>
      </w:r>
      <w:r w:rsidR="00746A08">
        <w:rPr>
          <w:szCs w:val="20"/>
        </w:rPr>
        <w:fldChar w:fldCharType="separate"/>
      </w:r>
      <w:r>
        <w:rPr>
          <w:szCs w:val="20"/>
        </w:rPr>
        <w:fldChar w:fldCharType="end"/>
      </w:r>
      <w:r w:rsidR="00A6491A">
        <w:rPr>
          <w:szCs w:val="20"/>
        </w:rPr>
        <w:t xml:space="preserve"> No</w:t>
      </w:r>
      <w:r w:rsidR="00A6491A" w:rsidRPr="00753C44">
        <w:rPr>
          <w:szCs w:val="20"/>
        </w:rPr>
        <w:t xml:space="preserve">  </w:t>
      </w:r>
    </w:p>
    <w:p w14:paraId="251320FB" w14:textId="77777777" w:rsidR="00E04FB3" w:rsidRDefault="00E04FB3" w:rsidP="005C333E">
      <w:pPr>
        <w:spacing w:before="0" w:after="0"/>
        <w:ind w:left="426"/>
        <w:rPr>
          <w:b/>
          <w:szCs w:val="20"/>
        </w:rPr>
      </w:pPr>
      <w:r w:rsidRPr="00154B00">
        <w:rPr>
          <w:b/>
          <w:szCs w:val="20"/>
        </w:rPr>
        <w:br w:type="page"/>
      </w:r>
    </w:p>
    <w:p w14:paraId="69E50FAD"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13975F87" w14:textId="77777777" w:rsidR="000B3CD0" w:rsidRDefault="000B3CD0" w:rsidP="00730C04">
      <w:pPr>
        <w:pStyle w:val="Heading2"/>
      </w:pPr>
      <w:r w:rsidRPr="00154B00">
        <w:t>Application title</w:t>
      </w:r>
      <w:r w:rsidR="00A8732C">
        <w:t xml:space="preserve"> </w:t>
      </w:r>
    </w:p>
    <w:p w14:paraId="3138854D" w14:textId="77777777" w:rsidR="009056C5" w:rsidRPr="009056C5" w:rsidRDefault="00B33629" w:rsidP="00A6491A">
      <w:pPr>
        <w:ind w:left="284"/>
      </w:pPr>
      <w:r>
        <w:fldChar w:fldCharType="begin">
          <w:ffData>
            <w:name w:val="Text2"/>
            <w:enabled/>
            <w:calcOnExit w:val="0"/>
            <w:textInput>
              <w:default w:val="Somatic tumour gene testing for the diagnosis of Diffuse Large B Cell Lymphoma, Multiple Myeloma and Non-Hodgkin Lymphoma Subtypes"/>
            </w:textInput>
          </w:ffData>
        </w:fldChar>
      </w:r>
      <w:bookmarkStart w:id="2" w:name="Text2"/>
      <w:r>
        <w:instrText xml:space="preserve"> FORMTEXT </w:instrText>
      </w:r>
      <w:r>
        <w:fldChar w:fldCharType="separate"/>
      </w:r>
      <w:r>
        <w:rPr>
          <w:noProof/>
        </w:rPr>
        <w:t>Somatic tumour gene testing for the diagnosis of Diffuse Large B Cell Lymphoma, Multiple Myeloma and Non-Hodgkin Lymphoma Subtypes</w:t>
      </w:r>
      <w:r>
        <w:fldChar w:fldCharType="end"/>
      </w:r>
      <w:bookmarkEnd w:id="2"/>
    </w:p>
    <w:p w14:paraId="605EAAD8"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2ACD1270" w14:textId="77777777" w:rsidR="0031399F" w:rsidRDefault="0031399F" w:rsidP="00A6491A">
      <w:pPr>
        <w:ind w:left="284"/>
      </w:pPr>
      <w:r w:rsidRPr="0031399F">
        <w:t xml:space="preserve">Diffuse large B cell lymphoma; copy number </w:t>
      </w:r>
      <w:proofErr w:type="spellStart"/>
      <w:r w:rsidRPr="0031399F">
        <w:t>abberations</w:t>
      </w:r>
      <w:proofErr w:type="spellEnd"/>
      <w:r w:rsidRPr="0031399F">
        <w:t xml:space="preserve"> and / or mutations </w:t>
      </w:r>
      <w:proofErr w:type="spellStart"/>
      <w:proofErr w:type="gramStart"/>
      <w:r w:rsidRPr="0031399F">
        <w:t>fo</w:t>
      </w:r>
      <w:proofErr w:type="spellEnd"/>
      <w:proofErr w:type="gramEnd"/>
      <w:r w:rsidRPr="0031399F">
        <w:t xml:space="preserve"> the diagnosis and classification of plasma cell myeloma; and rare sub-types of non-</w:t>
      </w:r>
      <w:proofErr w:type="spellStart"/>
      <w:r w:rsidRPr="0031399F">
        <w:t>hodgkin</w:t>
      </w:r>
      <w:proofErr w:type="spellEnd"/>
      <w:r w:rsidRPr="0031399F">
        <w:t xml:space="preserve"> lymphoma that respond poorly to conventional chemotherapy</w:t>
      </w:r>
      <w:r>
        <w:t>.</w:t>
      </w:r>
    </w:p>
    <w:p w14:paraId="184910BB"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461398B2" w14:textId="77777777" w:rsidR="0031399F" w:rsidRDefault="0031399F" w:rsidP="00A6491A">
      <w:pPr>
        <w:ind w:left="284"/>
      </w:pPr>
      <w:r w:rsidRPr="0031399F">
        <w:t>The characterisation of:  rearrangements in BCL2, BC16, MYC genes for detection of cases of 'double-hit' diffuse large B cell lymphoma, which require more intensive chemotherapy in view of the more aggressive nature of the lymphoma; copy number changes or mutations for the diagnosis and classification of neoplasms or the detection of minimal residual disease of patients with plasma cell myeloma; and histological diagnosis and classification for rare subtypes of non-</w:t>
      </w:r>
      <w:proofErr w:type="spellStart"/>
      <w:r w:rsidRPr="0031399F">
        <w:t>hodgkin</w:t>
      </w:r>
      <w:proofErr w:type="spellEnd"/>
      <w:r w:rsidRPr="0031399F">
        <w:t xml:space="preserve"> lymphoma</w:t>
      </w:r>
      <w:r>
        <w:t>.</w:t>
      </w:r>
    </w:p>
    <w:p w14:paraId="78D5B86E"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3A115703" w14:textId="77777777" w:rsidR="00753C44" w:rsidRDefault="006B6390" w:rsidP="00A6491A">
      <w:pPr>
        <w:spacing w:before="0" w:after="0"/>
        <w:ind w:left="284"/>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746A08">
        <w:rPr>
          <w:szCs w:val="20"/>
        </w:rPr>
      </w:r>
      <w:r w:rsidR="00746A08">
        <w:rPr>
          <w:szCs w:val="20"/>
        </w:rPr>
        <w:fldChar w:fldCharType="separate"/>
      </w:r>
      <w:r w:rsidRPr="00753C44">
        <w:rPr>
          <w:szCs w:val="20"/>
        </w:rPr>
        <w:fldChar w:fldCharType="end"/>
      </w:r>
      <w:r>
        <w:rPr>
          <w:szCs w:val="20"/>
        </w:rPr>
        <w:t xml:space="preserve"> Yes</w:t>
      </w:r>
    </w:p>
    <w:p w14:paraId="4643DC17" w14:textId="77777777" w:rsidR="00753C44" w:rsidRPr="00753C44" w:rsidRDefault="002C4D03"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46A08">
        <w:rPr>
          <w:szCs w:val="20"/>
        </w:rPr>
      </w:r>
      <w:r w:rsidR="00746A08">
        <w:rPr>
          <w:szCs w:val="20"/>
        </w:rPr>
        <w:fldChar w:fldCharType="separate"/>
      </w:r>
      <w:r>
        <w:rPr>
          <w:szCs w:val="20"/>
        </w:rPr>
        <w:fldChar w:fldCharType="end"/>
      </w:r>
      <w:r w:rsidR="006B6390">
        <w:rPr>
          <w:szCs w:val="20"/>
        </w:rPr>
        <w:t xml:space="preserve"> No</w:t>
      </w:r>
      <w:r w:rsidR="00753C44" w:rsidRPr="00753C44">
        <w:rPr>
          <w:szCs w:val="20"/>
        </w:rPr>
        <w:t xml:space="preserve">  </w:t>
      </w:r>
    </w:p>
    <w:p w14:paraId="345F3B91"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447D0204"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746A08">
        <w:rPr>
          <w:szCs w:val="20"/>
        </w:rPr>
      </w:r>
      <w:r w:rsidR="00746A08">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0AC33337" w14:textId="77777777" w:rsidR="00753C44" w:rsidRPr="00753C44" w:rsidRDefault="002C4D03"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46A08">
        <w:rPr>
          <w:szCs w:val="20"/>
        </w:rPr>
      </w:r>
      <w:r w:rsidR="00746A08">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7D907DB3" w14:textId="77777777" w:rsidR="002C4D03" w:rsidRDefault="000B3CD0" w:rsidP="002C4D03">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2B332920" w14:textId="77777777" w:rsidR="002C4D03" w:rsidRPr="002C4D03" w:rsidRDefault="002C4D03" w:rsidP="002C4D03">
      <w:r>
        <w:tab/>
        <w:t>Not applicable</w:t>
      </w:r>
    </w:p>
    <w:p w14:paraId="64BD7615" w14:textId="77777777" w:rsidR="006C0843"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5367EC14" w14:textId="77777777" w:rsidR="00AD4B19" w:rsidRPr="00AD4B19" w:rsidRDefault="00AD4B19" w:rsidP="00AD4B19">
      <w:r>
        <w:tab/>
      </w:r>
      <w:r w:rsidRPr="00AD4B19">
        <w:t>Not applicable</w:t>
      </w:r>
    </w:p>
    <w:p w14:paraId="54D89D0C"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746A08">
        <w:rPr>
          <w:b/>
          <w:szCs w:val="20"/>
        </w:rPr>
      </w:r>
      <w:r w:rsidR="00746A0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150DB0C6"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746A08">
        <w:rPr>
          <w:b/>
          <w:szCs w:val="20"/>
        </w:rPr>
      </w:r>
      <w:r w:rsidR="00746A0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4943667C"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746A08">
        <w:rPr>
          <w:b/>
          <w:szCs w:val="20"/>
        </w:rPr>
      </w:r>
      <w:r w:rsidR="00746A0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39BF729F"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746A08">
        <w:rPr>
          <w:b/>
          <w:szCs w:val="20"/>
        </w:rPr>
      </w:r>
      <w:r w:rsidR="00746A0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009D13DC"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746A08">
        <w:rPr>
          <w:b/>
          <w:szCs w:val="20"/>
        </w:rPr>
      </w:r>
      <w:r w:rsidR="00746A08">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250F8716"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746A08">
        <w:rPr>
          <w:b/>
          <w:szCs w:val="20"/>
        </w:rPr>
      </w:r>
      <w:r w:rsidR="00746A08">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5FBE1841"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746A08">
        <w:rPr>
          <w:b/>
          <w:szCs w:val="20"/>
        </w:rPr>
      </w:r>
      <w:r w:rsidR="00746A0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1AB562F9"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746A08">
        <w:rPr>
          <w:b/>
          <w:szCs w:val="20"/>
        </w:rPr>
      </w:r>
      <w:r w:rsidR="00746A0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3BA2B516"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746A08">
        <w:rPr>
          <w:b/>
          <w:szCs w:val="20"/>
        </w:rPr>
      </w:r>
      <w:r w:rsidR="00746A08">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6C09E388" w14:textId="77777777" w:rsidR="002A270B" w:rsidRPr="00CB12EC" w:rsidRDefault="00A6594E" w:rsidP="00A6491A">
      <w:pPr>
        <w:ind w:left="284"/>
      </w:pPr>
      <w:r>
        <w:fldChar w:fldCharType="begin">
          <w:ffData>
            <w:name w:val=""/>
            <w:enabled/>
            <w:calcOnExit w:val="0"/>
            <w:textInput>
              <w:default w:val="Insert description of 'other' amendment here"/>
            </w:textInput>
          </w:ffData>
        </w:fldChar>
      </w:r>
      <w:r>
        <w:instrText xml:space="preserve"> FORMTEXT </w:instrText>
      </w:r>
      <w:r>
        <w:fldChar w:fldCharType="separate"/>
      </w:r>
      <w:r>
        <w:rPr>
          <w:noProof/>
        </w:rPr>
        <w:t>Insert description of 'other' amendment here</w:t>
      </w:r>
      <w:r>
        <w:fldChar w:fldCharType="end"/>
      </w:r>
    </w:p>
    <w:p w14:paraId="526AD0BE"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66D6D812"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746A08">
        <w:rPr>
          <w:b/>
          <w:szCs w:val="20"/>
        </w:rPr>
      </w:r>
      <w:r w:rsidR="00746A08">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5B2C1C94" w14:textId="77777777" w:rsidR="006B6390" w:rsidRPr="00AA2CFE" w:rsidRDefault="00AD4B19"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746A08">
        <w:rPr>
          <w:b/>
          <w:szCs w:val="20"/>
        </w:rPr>
      </w:r>
      <w:r w:rsidR="00746A08">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46514523"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746A08">
        <w:rPr>
          <w:b/>
          <w:szCs w:val="20"/>
        </w:rPr>
      </w:r>
      <w:r w:rsidR="00746A08">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36D634B8"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746A08">
        <w:rPr>
          <w:b/>
          <w:szCs w:val="20"/>
        </w:rPr>
      </w:r>
      <w:r w:rsidR="00746A08">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52B14AFD"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lastRenderedPageBreak/>
        <w:t>Is the proposed service seeking public funding other than the MBS?</w:t>
      </w:r>
    </w:p>
    <w:p w14:paraId="7696A512"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46A08">
        <w:rPr>
          <w:szCs w:val="20"/>
        </w:rPr>
      </w:r>
      <w:r w:rsidR="00746A08">
        <w:rPr>
          <w:szCs w:val="20"/>
        </w:rPr>
        <w:fldChar w:fldCharType="separate"/>
      </w:r>
      <w:r w:rsidRPr="000A5B32">
        <w:rPr>
          <w:szCs w:val="20"/>
        </w:rPr>
        <w:fldChar w:fldCharType="end"/>
      </w:r>
      <w:r w:rsidRPr="000A5B32">
        <w:rPr>
          <w:szCs w:val="20"/>
        </w:rPr>
        <w:t xml:space="preserve"> Yes</w:t>
      </w:r>
    </w:p>
    <w:p w14:paraId="0C47A997" w14:textId="77777777" w:rsidR="00626365" w:rsidRDefault="00AD4B19"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46A08">
        <w:rPr>
          <w:szCs w:val="20"/>
        </w:rPr>
      </w:r>
      <w:r w:rsidR="00746A08">
        <w:rPr>
          <w:szCs w:val="20"/>
        </w:rPr>
        <w:fldChar w:fldCharType="separate"/>
      </w:r>
      <w:r>
        <w:rPr>
          <w:szCs w:val="20"/>
        </w:rPr>
        <w:fldChar w:fldCharType="end"/>
      </w:r>
      <w:r w:rsidR="000A5B32" w:rsidRPr="000A5B32">
        <w:rPr>
          <w:szCs w:val="20"/>
        </w:rPr>
        <w:t xml:space="preserve"> No</w:t>
      </w:r>
    </w:p>
    <w:p w14:paraId="3441B7AF" w14:textId="77777777" w:rsidR="00626365" w:rsidRDefault="00626365" w:rsidP="00626365">
      <w:pPr>
        <w:spacing w:before="0" w:after="0"/>
        <w:ind w:left="284"/>
        <w:rPr>
          <w:szCs w:val="20"/>
        </w:rPr>
      </w:pPr>
      <w:r>
        <w:rPr>
          <w:szCs w:val="20"/>
        </w:rPr>
        <w:br w:type="page"/>
      </w:r>
    </w:p>
    <w:p w14:paraId="58308665" w14:textId="77777777" w:rsidR="00626365" w:rsidRPr="00626365" w:rsidRDefault="00626365" w:rsidP="00626365">
      <w:pPr>
        <w:spacing w:before="0" w:after="0"/>
        <w:ind w:left="284"/>
        <w:rPr>
          <w:rStyle w:val="Strong"/>
          <w:rFonts w:asciiTheme="minorHAnsi" w:eastAsiaTheme="minorHAnsi" w:hAnsiTheme="minorHAnsi" w:cstheme="minorBidi"/>
          <w:b w:val="0"/>
          <w:szCs w:val="20"/>
        </w:rPr>
      </w:pPr>
    </w:p>
    <w:p w14:paraId="58A0B804"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28C05DCD" w14:textId="77777777" w:rsidR="000A5B32" w:rsidRPr="00855944" w:rsidRDefault="00AD4B19" w:rsidP="00A6491A">
      <w:pPr>
        <w:ind w:left="284"/>
        <w:rPr>
          <w:rStyle w:val="Strong"/>
        </w:rPr>
      </w:pPr>
      <w:r>
        <w:fldChar w:fldCharType="begin">
          <w:ffData>
            <w:name w:val=""/>
            <w:enabled/>
            <w:calcOnExit w:val="0"/>
            <w:textInput>
              <w:default w:val="Not applicable"/>
            </w:textInput>
          </w:ffData>
        </w:fldChar>
      </w:r>
      <w:r>
        <w:instrText xml:space="preserve"> FORMTEXT </w:instrText>
      </w:r>
      <w:r>
        <w:fldChar w:fldCharType="separate"/>
      </w:r>
      <w:r>
        <w:rPr>
          <w:noProof/>
        </w:rPr>
        <w:t>Not applicable</w:t>
      </w:r>
      <w:r>
        <w:fldChar w:fldCharType="end"/>
      </w:r>
    </w:p>
    <w:p w14:paraId="76DB4DF9" w14:textId="77777777" w:rsidR="000B3CD0" w:rsidRDefault="000B3CD0" w:rsidP="00730C04">
      <w:pPr>
        <w:pStyle w:val="Heading2"/>
      </w:pPr>
      <w:r w:rsidRPr="00154B00">
        <w:t xml:space="preserve">What is the type of </w:t>
      </w:r>
      <w:proofErr w:type="gramStart"/>
      <w:r w:rsidRPr="00154B00">
        <w:t>service:</w:t>
      </w:r>
      <w:proofErr w:type="gramEnd"/>
    </w:p>
    <w:p w14:paraId="564B34C1"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46A08">
        <w:rPr>
          <w:b/>
          <w:szCs w:val="20"/>
        </w:rPr>
      </w:r>
      <w:r w:rsidR="00746A08">
        <w:rPr>
          <w:b/>
          <w:szCs w:val="20"/>
        </w:rPr>
        <w:fldChar w:fldCharType="separate"/>
      </w:r>
      <w:r w:rsidRPr="0027105F">
        <w:rPr>
          <w:b/>
          <w:szCs w:val="20"/>
        </w:rPr>
        <w:fldChar w:fldCharType="end"/>
      </w:r>
      <w:r w:rsidRPr="0027105F">
        <w:rPr>
          <w:b/>
          <w:szCs w:val="20"/>
        </w:rPr>
        <w:t xml:space="preserve"> </w:t>
      </w:r>
      <w:r>
        <w:t>Therapeutic medical service</w:t>
      </w:r>
    </w:p>
    <w:p w14:paraId="1E33AE27" w14:textId="77777777" w:rsidR="00A6594E" w:rsidRDefault="00AD4B19"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746A08">
        <w:rPr>
          <w:b/>
          <w:szCs w:val="20"/>
        </w:rPr>
      </w:r>
      <w:r w:rsidR="00746A08">
        <w:rPr>
          <w:b/>
          <w:szCs w:val="20"/>
        </w:rPr>
        <w:fldChar w:fldCharType="separate"/>
      </w:r>
      <w:r>
        <w:rPr>
          <w:b/>
          <w:szCs w:val="20"/>
        </w:rPr>
        <w:fldChar w:fldCharType="end"/>
      </w:r>
      <w:r w:rsidR="00A6594E" w:rsidRPr="0027105F">
        <w:rPr>
          <w:b/>
          <w:szCs w:val="20"/>
        </w:rPr>
        <w:t xml:space="preserve"> </w:t>
      </w:r>
      <w:r w:rsidR="00A6594E">
        <w:t>Investigative medical service</w:t>
      </w:r>
    </w:p>
    <w:p w14:paraId="3FACC012"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46A08">
        <w:rPr>
          <w:b/>
          <w:szCs w:val="20"/>
        </w:rPr>
      </w:r>
      <w:r w:rsidR="00746A08">
        <w:rPr>
          <w:b/>
          <w:szCs w:val="20"/>
        </w:rPr>
        <w:fldChar w:fldCharType="separate"/>
      </w:r>
      <w:r w:rsidRPr="0027105F">
        <w:rPr>
          <w:b/>
          <w:szCs w:val="20"/>
        </w:rPr>
        <w:fldChar w:fldCharType="end"/>
      </w:r>
      <w:r w:rsidRPr="0027105F">
        <w:rPr>
          <w:b/>
          <w:szCs w:val="20"/>
        </w:rPr>
        <w:t xml:space="preserve"> </w:t>
      </w:r>
      <w:r>
        <w:t>Single consultation medical service</w:t>
      </w:r>
    </w:p>
    <w:p w14:paraId="61514B54"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46A08">
        <w:rPr>
          <w:b/>
          <w:szCs w:val="20"/>
        </w:rPr>
      </w:r>
      <w:r w:rsidR="00746A08">
        <w:rPr>
          <w:b/>
          <w:szCs w:val="20"/>
        </w:rPr>
        <w:fldChar w:fldCharType="separate"/>
      </w:r>
      <w:r w:rsidRPr="0027105F">
        <w:rPr>
          <w:b/>
          <w:szCs w:val="20"/>
        </w:rPr>
        <w:fldChar w:fldCharType="end"/>
      </w:r>
      <w:r w:rsidRPr="0027105F">
        <w:rPr>
          <w:b/>
          <w:szCs w:val="20"/>
        </w:rPr>
        <w:t xml:space="preserve"> </w:t>
      </w:r>
      <w:r>
        <w:t>Global consultation medical service</w:t>
      </w:r>
    </w:p>
    <w:p w14:paraId="06C3B8B9"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46A08">
        <w:rPr>
          <w:b/>
          <w:szCs w:val="20"/>
        </w:rPr>
      </w:r>
      <w:r w:rsidR="00746A08">
        <w:rPr>
          <w:b/>
          <w:szCs w:val="20"/>
        </w:rPr>
        <w:fldChar w:fldCharType="separate"/>
      </w:r>
      <w:r w:rsidRPr="0027105F">
        <w:rPr>
          <w:b/>
          <w:szCs w:val="20"/>
        </w:rPr>
        <w:fldChar w:fldCharType="end"/>
      </w:r>
      <w:r w:rsidRPr="0027105F">
        <w:rPr>
          <w:b/>
          <w:szCs w:val="20"/>
        </w:rPr>
        <w:t xml:space="preserve"> </w:t>
      </w:r>
      <w:r>
        <w:t>Allied health service</w:t>
      </w:r>
    </w:p>
    <w:p w14:paraId="1D925791"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46A08">
        <w:rPr>
          <w:b/>
          <w:szCs w:val="20"/>
        </w:rPr>
      </w:r>
      <w:r w:rsidR="00746A08">
        <w:rPr>
          <w:b/>
          <w:szCs w:val="20"/>
        </w:rPr>
        <w:fldChar w:fldCharType="separate"/>
      </w:r>
      <w:r w:rsidRPr="0027105F">
        <w:rPr>
          <w:b/>
          <w:szCs w:val="20"/>
        </w:rPr>
        <w:fldChar w:fldCharType="end"/>
      </w:r>
      <w:r w:rsidRPr="0027105F">
        <w:rPr>
          <w:b/>
          <w:szCs w:val="20"/>
        </w:rPr>
        <w:t xml:space="preserve"> </w:t>
      </w:r>
      <w:r>
        <w:t>Co-dependent technology</w:t>
      </w:r>
    </w:p>
    <w:p w14:paraId="12361EA9"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46A08">
        <w:rPr>
          <w:b/>
          <w:szCs w:val="20"/>
        </w:rPr>
      </w:r>
      <w:r w:rsidR="00746A08">
        <w:rPr>
          <w:b/>
          <w:szCs w:val="20"/>
        </w:rPr>
        <w:fldChar w:fldCharType="separate"/>
      </w:r>
      <w:r w:rsidRPr="0027105F">
        <w:rPr>
          <w:b/>
          <w:szCs w:val="20"/>
        </w:rPr>
        <w:fldChar w:fldCharType="end"/>
      </w:r>
      <w:r w:rsidRPr="0027105F">
        <w:rPr>
          <w:b/>
          <w:szCs w:val="20"/>
        </w:rPr>
        <w:t xml:space="preserve"> </w:t>
      </w:r>
      <w:r>
        <w:t>Hybrid health technology</w:t>
      </w:r>
    </w:p>
    <w:p w14:paraId="4142E9B9"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3F0D3E1E"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746A08">
        <w:rPr>
          <w:b/>
          <w:szCs w:val="20"/>
        </w:rPr>
      </w:r>
      <w:r w:rsidR="00746A08">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7A14CB8D" w14:textId="77777777" w:rsidR="00A6594E" w:rsidRDefault="00AD4B19"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746A08">
        <w:rPr>
          <w:b/>
          <w:szCs w:val="20"/>
        </w:rPr>
      </w:r>
      <w:r w:rsidR="00746A08">
        <w:rPr>
          <w:b/>
          <w:szCs w:val="20"/>
        </w:rPr>
        <w:fldChar w:fldCharType="separate"/>
      </w:r>
      <w:r>
        <w:rPr>
          <w:b/>
          <w:szCs w:val="20"/>
        </w:rPr>
        <w:fldChar w:fldCharType="end"/>
      </w:r>
      <w:r w:rsidR="00A6594E" w:rsidRPr="00AF4466">
        <w:rPr>
          <w:b/>
          <w:szCs w:val="20"/>
        </w:rPr>
        <w:t xml:space="preserve"> </w:t>
      </w:r>
      <w:r w:rsidR="00A6594E">
        <w:t>Assists in establishing a diagnosis in symptomatic patients</w:t>
      </w:r>
    </w:p>
    <w:p w14:paraId="0AD1EB71" w14:textId="77777777" w:rsidR="00A6594E" w:rsidRDefault="00AD4B19"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746A08">
        <w:rPr>
          <w:b/>
          <w:szCs w:val="20"/>
        </w:rPr>
      </w:r>
      <w:r w:rsidR="00746A08">
        <w:rPr>
          <w:b/>
          <w:szCs w:val="20"/>
        </w:rPr>
        <w:fldChar w:fldCharType="separate"/>
      </w:r>
      <w:r>
        <w:rPr>
          <w:b/>
          <w:szCs w:val="20"/>
        </w:rPr>
        <w:fldChar w:fldCharType="end"/>
      </w:r>
      <w:r w:rsidR="00A6594E" w:rsidRPr="00AF4466">
        <w:rPr>
          <w:b/>
          <w:szCs w:val="20"/>
        </w:rPr>
        <w:t xml:space="preserve"> </w:t>
      </w:r>
      <w:r w:rsidR="00A6594E">
        <w:t>Provides information about prognosis</w:t>
      </w:r>
    </w:p>
    <w:p w14:paraId="32421469" w14:textId="77777777" w:rsidR="00A6594E" w:rsidRDefault="00AD4B19"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746A08">
        <w:rPr>
          <w:b/>
          <w:szCs w:val="20"/>
        </w:rPr>
      </w:r>
      <w:r w:rsidR="00746A08">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2C15C920" w14:textId="77777777" w:rsidR="00A6594E" w:rsidRPr="00A6594E" w:rsidRDefault="00AD4B19"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746A08">
        <w:rPr>
          <w:b/>
          <w:szCs w:val="20"/>
        </w:rPr>
      </w:r>
      <w:r w:rsidR="00746A08">
        <w:rPr>
          <w:b/>
          <w:szCs w:val="20"/>
        </w:rPr>
        <w:fldChar w:fldCharType="separate"/>
      </w:r>
      <w:r>
        <w:rPr>
          <w:b/>
          <w:szCs w:val="20"/>
        </w:rPr>
        <w:fldChar w:fldCharType="end"/>
      </w:r>
      <w:r w:rsidR="00A6594E" w:rsidRPr="00AF4466">
        <w:rPr>
          <w:b/>
          <w:szCs w:val="20"/>
        </w:rPr>
        <w:t xml:space="preserve"> </w:t>
      </w:r>
      <w:r w:rsidR="00A6594E">
        <w:t>Monitors a patient over time to assess treatment response and guide subsequent treatment decisions</w:t>
      </w:r>
    </w:p>
    <w:p w14:paraId="5AD1A751"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380CAE56"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46A08">
        <w:rPr>
          <w:b/>
          <w:szCs w:val="20"/>
        </w:rPr>
      </w:r>
      <w:r w:rsidR="00746A08">
        <w:rPr>
          <w:b/>
          <w:szCs w:val="20"/>
        </w:rPr>
        <w:fldChar w:fldCharType="separate"/>
      </w:r>
      <w:r w:rsidRPr="0027105F">
        <w:rPr>
          <w:b/>
          <w:szCs w:val="20"/>
        </w:rPr>
        <w:fldChar w:fldCharType="end"/>
      </w:r>
      <w:r w:rsidRPr="0027105F">
        <w:rPr>
          <w:b/>
          <w:szCs w:val="20"/>
        </w:rPr>
        <w:t xml:space="preserve"> </w:t>
      </w:r>
      <w:r>
        <w:t>Pharmaceutical / Biological</w:t>
      </w:r>
    </w:p>
    <w:p w14:paraId="5988DFE6"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46A08">
        <w:rPr>
          <w:b/>
          <w:szCs w:val="20"/>
        </w:rPr>
      </w:r>
      <w:r w:rsidR="00746A08">
        <w:rPr>
          <w:b/>
          <w:szCs w:val="20"/>
        </w:rPr>
        <w:fldChar w:fldCharType="separate"/>
      </w:r>
      <w:r w:rsidRPr="0027105F">
        <w:rPr>
          <w:b/>
          <w:szCs w:val="20"/>
        </w:rPr>
        <w:fldChar w:fldCharType="end"/>
      </w:r>
      <w:r w:rsidRPr="0027105F">
        <w:rPr>
          <w:b/>
          <w:szCs w:val="20"/>
        </w:rPr>
        <w:t xml:space="preserve"> </w:t>
      </w:r>
      <w:r>
        <w:t>Prosthesis or device</w:t>
      </w:r>
    </w:p>
    <w:p w14:paraId="73025F68" w14:textId="77777777" w:rsidR="00FE16C1" w:rsidRPr="00FE16C1" w:rsidRDefault="00AD4B19"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746A08">
        <w:rPr>
          <w:b/>
          <w:szCs w:val="20"/>
        </w:rPr>
      </w:r>
      <w:r w:rsidR="00746A08">
        <w:rPr>
          <w:b/>
          <w:szCs w:val="20"/>
        </w:rPr>
        <w:fldChar w:fldCharType="separate"/>
      </w:r>
      <w:r>
        <w:rPr>
          <w:b/>
          <w:szCs w:val="20"/>
        </w:rPr>
        <w:fldChar w:fldCharType="end"/>
      </w:r>
      <w:r w:rsidR="00FE16C1" w:rsidRPr="0027105F">
        <w:rPr>
          <w:b/>
          <w:szCs w:val="20"/>
        </w:rPr>
        <w:t xml:space="preserve"> </w:t>
      </w:r>
      <w:r w:rsidR="00FE16C1">
        <w:t>No</w:t>
      </w:r>
    </w:p>
    <w:p w14:paraId="3D13055A" w14:textId="77777777" w:rsidR="000E5439"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1DC12F2E" w14:textId="77777777" w:rsidR="00AD4B19" w:rsidRPr="00AD4B19" w:rsidRDefault="00AD4B19" w:rsidP="00AD4B19">
      <w:r>
        <w:tab/>
      </w:r>
      <w:r w:rsidRPr="00AD4B19">
        <w:t>Not applicable</w:t>
      </w:r>
    </w:p>
    <w:p w14:paraId="173BB741"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46A08">
        <w:rPr>
          <w:szCs w:val="20"/>
        </w:rPr>
      </w:r>
      <w:r w:rsidR="00746A08">
        <w:rPr>
          <w:szCs w:val="20"/>
        </w:rPr>
        <w:fldChar w:fldCharType="separate"/>
      </w:r>
      <w:r w:rsidRPr="000A5B32">
        <w:rPr>
          <w:szCs w:val="20"/>
        </w:rPr>
        <w:fldChar w:fldCharType="end"/>
      </w:r>
      <w:r w:rsidRPr="000A5B32">
        <w:rPr>
          <w:szCs w:val="20"/>
        </w:rPr>
        <w:t xml:space="preserve"> Yes</w:t>
      </w:r>
    </w:p>
    <w:p w14:paraId="68F1ED49" w14:textId="77777777" w:rsidR="00FE16C1" w:rsidRPr="00FE16C1" w:rsidRDefault="00FE16C1"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746A08">
        <w:rPr>
          <w:szCs w:val="20"/>
        </w:rPr>
      </w:r>
      <w:r w:rsidR="00746A08">
        <w:rPr>
          <w:szCs w:val="20"/>
        </w:rPr>
        <w:fldChar w:fldCharType="separate"/>
      </w:r>
      <w:r w:rsidRPr="000A5B32">
        <w:rPr>
          <w:szCs w:val="20"/>
        </w:rPr>
        <w:fldChar w:fldCharType="end"/>
      </w:r>
      <w:r>
        <w:rPr>
          <w:szCs w:val="20"/>
        </w:rPr>
        <w:t xml:space="preserve"> No  </w:t>
      </w:r>
    </w:p>
    <w:p w14:paraId="2428FDF6"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53A3842F" w14:textId="77777777" w:rsidR="007E39E4" w:rsidRPr="007E39E4" w:rsidRDefault="00AD4B19" w:rsidP="00A6491A">
      <w:pPr>
        <w:ind w:left="284"/>
        <w:rPr>
          <w:b/>
          <w:szCs w:val="20"/>
        </w:rPr>
      </w:pPr>
      <w:r>
        <w:fldChar w:fldCharType="begin">
          <w:ffData>
            <w:name w:val=""/>
            <w:enabled/>
            <w:calcOnExit w:val="0"/>
            <w:textInput>
              <w:default w:val="Not applicable"/>
            </w:textInput>
          </w:ffData>
        </w:fldChar>
      </w:r>
      <w:r>
        <w:instrText xml:space="preserve"> FORMTEXT </w:instrText>
      </w:r>
      <w:r>
        <w:fldChar w:fldCharType="separate"/>
      </w:r>
      <w:r>
        <w:rPr>
          <w:noProof/>
        </w:rPr>
        <w:t>Not applicable</w:t>
      </w:r>
      <w:r>
        <w:fldChar w:fldCharType="end"/>
      </w:r>
    </w:p>
    <w:p w14:paraId="4312D34B" w14:textId="77777777" w:rsidR="00411735"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4440C461" w14:textId="77777777" w:rsidR="00AD4B19" w:rsidRPr="00AD4B19" w:rsidRDefault="00AD4B19" w:rsidP="00AD4B19">
      <w:r>
        <w:tab/>
      </w:r>
      <w:r w:rsidRPr="00AD4B19">
        <w:t>Not applicable</w:t>
      </w:r>
    </w:p>
    <w:p w14:paraId="03BA98CE"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46A08">
        <w:rPr>
          <w:szCs w:val="20"/>
        </w:rPr>
      </w:r>
      <w:r w:rsidR="00746A08">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2884C8F7" w14:textId="77777777" w:rsidR="001E6919" w:rsidRDefault="007E39E4" w:rsidP="001E691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746A08">
        <w:rPr>
          <w:szCs w:val="20"/>
        </w:rPr>
      </w:r>
      <w:r w:rsidR="00746A08">
        <w:rPr>
          <w:szCs w:val="20"/>
        </w:rPr>
        <w:fldChar w:fldCharType="separate"/>
      </w:r>
      <w:r w:rsidRPr="000A5B32">
        <w:rPr>
          <w:szCs w:val="20"/>
        </w:rPr>
        <w:fldChar w:fldCharType="end"/>
      </w:r>
      <w:r w:rsidR="001E6919">
        <w:rPr>
          <w:szCs w:val="20"/>
        </w:rPr>
        <w:t xml:space="preserve"> No</w:t>
      </w:r>
    </w:p>
    <w:p w14:paraId="091E7311" w14:textId="77777777" w:rsidR="001E6919" w:rsidRPr="007E39E4" w:rsidRDefault="001E6919" w:rsidP="00A6491A">
      <w:pPr>
        <w:spacing w:before="0" w:after="0"/>
        <w:ind w:left="284"/>
        <w:rPr>
          <w:szCs w:val="20"/>
        </w:rPr>
      </w:pPr>
      <w:r>
        <w:fldChar w:fldCharType="begin">
          <w:ffData>
            <w:name w:val=""/>
            <w:enabled/>
            <w:calcOnExit w:val="0"/>
            <w:textInput>
              <w:default w:val="Insert PBAC submission item number here"/>
            </w:textInput>
          </w:ffData>
        </w:fldChar>
      </w:r>
      <w:r>
        <w:instrText xml:space="preserve"> FORMTEXT </w:instrText>
      </w:r>
      <w:r>
        <w:fldChar w:fldCharType="separate"/>
      </w:r>
      <w:r>
        <w:rPr>
          <w:noProof/>
        </w:rPr>
        <w:t>Insert PBAC submission item number here</w:t>
      </w:r>
      <w:r>
        <w:fldChar w:fldCharType="end"/>
      </w:r>
    </w:p>
    <w:p w14:paraId="703103A7"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23660B84" w14:textId="77777777" w:rsidR="00AD4B19" w:rsidRDefault="00AD4B19" w:rsidP="00AD4B19">
      <w:r>
        <w:tab/>
      </w:r>
      <w:r w:rsidRPr="00AD4B19">
        <w:t>Not applicable</w:t>
      </w:r>
    </w:p>
    <w:p w14:paraId="1CD48585" w14:textId="77777777" w:rsidR="00B75965" w:rsidRDefault="00AD4B19" w:rsidP="00530204">
      <w:pPr>
        <w:pStyle w:val="Heading2"/>
      </w:pPr>
      <w:r>
        <w:t xml:space="preserve"> </w:t>
      </w:r>
      <w:r w:rsidR="00530204">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proofErr w:type="gramStart"/>
      <w:r w:rsidR="00C05A45">
        <w:t>a prosthesis</w:t>
      </w:r>
      <w:proofErr w:type="gramEnd"/>
      <w:r w:rsidR="00CD4E44">
        <w:t>,</w:t>
      </w:r>
      <w:r w:rsidR="00C05A45">
        <w:t xml:space="preserve"> </w:t>
      </w:r>
      <w:r w:rsidR="00B75965" w:rsidRPr="00154B00">
        <w:t>is it already included on the Prosthes</w:t>
      </w:r>
      <w:r w:rsidR="00BB003A">
        <w:t>e</w:t>
      </w:r>
      <w:r w:rsidR="00B75965" w:rsidRPr="00154B00">
        <w:t>s List?</w:t>
      </w:r>
    </w:p>
    <w:p w14:paraId="20130C7F" w14:textId="77777777" w:rsidR="00AD4B19" w:rsidRPr="00AD4B19" w:rsidRDefault="00AD4B19" w:rsidP="00AD4B19">
      <w:r>
        <w:tab/>
      </w:r>
      <w:r w:rsidRPr="00AD4B19">
        <w:t>Not applicable</w:t>
      </w:r>
    </w:p>
    <w:p w14:paraId="15D31B10"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46A08">
        <w:rPr>
          <w:szCs w:val="20"/>
        </w:rPr>
      </w:r>
      <w:r w:rsidR="00746A08">
        <w:rPr>
          <w:szCs w:val="20"/>
        </w:rPr>
        <w:fldChar w:fldCharType="separate"/>
      </w:r>
      <w:r w:rsidRPr="000A5B32">
        <w:rPr>
          <w:szCs w:val="20"/>
        </w:rPr>
        <w:fldChar w:fldCharType="end"/>
      </w:r>
      <w:r w:rsidRPr="000A5B32">
        <w:rPr>
          <w:szCs w:val="20"/>
        </w:rPr>
        <w:t xml:space="preserve"> Yes</w:t>
      </w:r>
    </w:p>
    <w:p w14:paraId="5EC1EDC2" w14:textId="77777777" w:rsidR="001E6958" w:rsidRDefault="001E6958"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746A08">
        <w:rPr>
          <w:szCs w:val="20"/>
        </w:rPr>
      </w:r>
      <w:r w:rsidR="00746A08">
        <w:rPr>
          <w:szCs w:val="20"/>
        </w:rPr>
        <w:fldChar w:fldCharType="separate"/>
      </w:r>
      <w:r w:rsidRPr="000A5B32">
        <w:rPr>
          <w:szCs w:val="20"/>
        </w:rPr>
        <w:fldChar w:fldCharType="end"/>
      </w:r>
      <w:r>
        <w:rPr>
          <w:szCs w:val="20"/>
        </w:rPr>
        <w:t xml:space="preserve"> No  </w:t>
      </w:r>
    </w:p>
    <w:p w14:paraId="50CB071D" w14:textId="77777777" w:rsidR="001E6919" w:rsidRDefault="001E6919" w:rsidP="00A6491A">
      <w:pPr>
        <w:spacing w:before="0" w:after="0"/>
        <w:ind w:left="284"/>
        <w:rPr>
          <w:szCs w:val="20"/>
        </w:rPr>
      </w:pPr>
      <w:r>
        <w:rPr>
          <w:szCs w:val="20"/>
        </w:rPr>
        <w:br w:type="page"/>
      </w:r>
    </w:p>
    <w:p w14:paraId="17DCC2FF" w14:textId="77777777" w:rsidR="001E6919" w:rsidRPr="001E6958" w:rsidRDefault="001E6919" w:rsidP="00A6491A">
      <w:pPr>
        <w:spacing w:before="0" w:after="0"/>
        <w:ind w:left="284"/>
        <w:rPr>
          <w:szCs w:val="20"/>
        </w:rPr>
      </w:pPr>
    </w:p>
    <w:p w14:paraId="0B3173DA"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0336230D" w14:textId="77777777" w:rsidR="00AD4B19" w:rsidRPr="00AD4B19" w:rsidRDefault="00AD4B19" w:rsidP="00AD4B19">
      <w:r>
        <w:tab/>
      </w:r>
      <w:r w:rsidRPr="00AD4B19">
        <w:t>Not applicable</w:t>
      </w:r>
    </w:p>
    <w:p w14:paraId="4EEB6DAF"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38DBA2C0" w14:textId="77777777" w:rsidR="00AD4B19" w:rsidRPr="00AD4B19" w:rsidRDefault="00AD4B19" w:rsidP="00AD4B19">
      <w:r>
        <w:tab/>
      </w:r>
      <w:r w:rsidRPr="00AD4B19">
        <w:t>Not applicable</w:t>
      </w:r>
    </w:p>
    <w:p w14:paraId="5CFF77DD"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46A08">
        <w:rPr>
          <w:szCs w:val="20"/>
        </w:rPr>
      </w:r>
      <w:r w:rsidR="00746A08">
        <w:rPr>
          <w:szCs w:val="20"/>
        </w:rPr>
        <w:fldChar w:fldCharType="separate"/>
      </w:r>
      <w:r w:rsidRPr="000A5B32">
        <w:rPr>
          <w:szCs w:val="20"/>
        </w:rPr>
        <w:fldChar w:fldCharType="end"/>
      </w:r>
      <w:r w:rsidRPr="000A5B32">
        <w:rPr>
          <w:szCs w:val="20"/>
        </w:rPr>
        <w:t xml:space="preserve"> Yes</w:t>
      </w:r>
    </w:p>
    <w:p w14:paraId="4FA64A80" w14:textId="77777777" w:rsidR="001E6958" w:rsidRP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746A08">
        <w:rPr>
          <w:szCs w:val="20"/>
        </w:rPr>
      </w:r>
      <w:r w:rsidR="00746A08">
        <w:rPr>
          <w:szCs w:val="20"/>
        </w:rPr>
        <w:fldChar w:fldCharType="separate"/>
      </w:r>
      <w:r w:rsidRPr="000A5B32">
        <w:rPr>
          <w:szCs w:val="20"/>
        </w:rPr>
        <w:fldChar w:fldCharType="end"/>
      </w:r>
      <w:r>
        <w:rPr>
          <w:szCs w:val="20"/>
        </w:rPr>
        <w:t xml:space="preserve"> No  </w:t>
      </w:r>
    </w:p>
    <w:p w14:paraId="3984FBF3" w14:textId="77777777" w:rsidR="00016B6E"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3DC25EE3" w14:textId="77777777" w:rsidR="00AD4B19" w:rsidRPr="00AD4B19" w:rsidRDefault="00AD4B19" w:rsidP="00AD4B19">
      <w:r>
        <w:tab/>
      </w:r>
      <w:r w:rsidRPr="00AD4B19">
        <w:t>Not applicable</w:t>
      </w:r>
    </w:p>
    <w:p w14:paraId="64BEFA7D"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46A08">
        <w:rPr>
          <w:szCs w:val="20"/>
        </w:rPr>
      </w:r>
      <w:r w:rsidR="00746A08">
        <w:rPr>
          <w:szCs w:val="20"/>
        </w:rPr>
        <w:fldChar w:fldCharType="separate"/>
      </w:r>
      <w:r w:rsidRPr="000A5B32">
        <w:rPr>
          <w:szCs w:val="20"/>
        </w:rPr>
        <w:fldChar w:fldCharType="end"/>
      </w:r>
      <w:r w:rsidRPr="000A5B32">
        <w:rPr>
          <w:szCs w:val="20"/>
        </w:rPr>
        <w:t xml:space="preserve"> Yes</w:t>
      </w:r>
    </w:p>
    <w:p w14:paraId="0D9C66F4" w14:textId="77777777" w:rsidR="009939DC" w:rsidRP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746A08">
        <w:rPr>
          <w:szCs w:val="20"/>
        </w:rPr>
      </w:r>
      <w:r w:rsidR="00746A08">
        <w:rPr>
          <w:szCs w:val="20"/>
        </w:rPr>
        <w:fldChar w:fldCharType="separate"/>
      </w:r>
      <w:r w:rsidRPr="000A5B32">
        <w:rPr>
          <w:szCs w:val="20"/>
        </w:rPr>
        <w:fldChar w:fldCharType="end"/>
      </w:r>
      <w:r>
        <w:rPr>
          <w:szCs w:val="20"/>
        </w:rPr>
        <w:t xml:space="preserve"> No  </w:t>
      </w:r>
    </w:p>
    <w:p w14:paraId="44265470"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0D823691" w14:textId="77777777" w:rsidR="00016B6E" w:rsidRPr="009939DC" w:rsidRDefault="00AD4B19" w:rsidP="00A6491A">
      <w:pPr>
        <w:ind w:left="284"/>
      </w:pPr>
      <w:r>
        <w:fldChar w:fldCharType="begin">
          <w:ffData>
            <w:name w:val=""/>
            <w:enabled/>
            <w:calcOnExit w:val="0"/>
            <w:textInput>
              <w:default w:val="Not applicable"/>
            </w:textInput>
          </w:ffData>
        </w:fldChar>
      </w:r>
      <w:r>
        <w:instrText xml:space="preserve"> FORMTEXT </w:instrText>
      </w:r>
      <w:r>
        <w:fldChar w:fldCharType="separate"/>
      </w:r>
      <w:r>
        <w:rPr>
          <w:noProof/>
        </w:rPr>
        <w:t>Not applicable</w:t>
      </w:r>
      <w:r>
        <w:fldChar w:fldCharType="end"/>
      </w:r>
    </w:p>
    <w:p w14:paraId="5773FF0A"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180BFC79" w14:textId="77777777" w:rsidR="00941C8C" w:rsidRDefault="009939DC" w:rsidP="00A6491A">
      <w:pPr>
        <w:spacing w:before="0" w:after="0"/>
        <w:ind w:left="284"/>
      </w:pPr>
      <w:r>
        <w:t xml:space="preserve">Single use consumables: </w:t>
      </w:r>
    </w:p>
    <w:p w14:paraId="1EE17FA2" w14:textId="77777777" w:rsidR="00941C8C" w:rsidRDefault="00941C8C" w:rsidP="00A6491A">
      <w:pPr>
        <w:spacing w:before="0" w:after="0"/>
        <w:ind w:left="284"/>
      </w:pPr>
    </w:p>
    <w:p w14:paraId="4BEA1CE1" w14:textId="77777777" w:rsidR="00CB4D28" w:rsidRPr="00CB4D28" w:rsidRDefault="00CB4D28" w:rsidP="00A6491A">
      <w:pPr>
        <w:spacing w:before="0" w:after="0"/>
        <w:ind w:left="284"/>
        <w:rPr>
          <w:b/>
        </w:rPr>
      </w:pPr>
      <w:r w:rsidRPr="00CB4D28">
        <w:rPr>
          <w:b/>
          <w:szCs w:val="20"/>
        </w:rPr>
        <w:t xml:space="preserve">Diffuse Large B </w:t>
      </w:r>
      <w:proofErr w:type="gramStart"/>
      <w:r w:rsidRPr="00CB4D28">
        <w:rPr>
          <w:b/>
          <w:szCs w:val="20"/>
        </w:rPr>
        <w:t>Cell</w:t>
      </w:r>
      <w:proofErr w:type="gramEnd"/>
      <w:r w:rsidRPr="00CB4D28">
        <w:rPr>
          <w:b/>
          <w:szCs w:val="20"/>
        </w:rPr>
        <w:t xml:space="preserve"> Lymphoma</w:t>
      </w:r>
    </w:p>
    <w:p w14:paraId="6F62B1F6" w14:textId="77777777" w:rsidR="00941C8C" w:rsidRDefault="00CB4D28" w:rsidP="00A6491A">
      <w:pPr>
        <w:spacing w:before="0" w:after="0"/>
        <w:ind w:left="284"/>
      </w:pPr>
      <w:r w:rsidRPr="00CB4D28">
        <w:t>A number different assays that all require the use of consumables can be used to detect the genetic changes described above including fluorescent in situ hybridisation (FISH), polymerase chain reaction (PCR), Sanger sequencing, and next generation sequencing (NGS). FISH is the most commonly employed assay.</w:t>
      </w:r>
    </w:p>
    <w:p w14:paraId="38521C7C" w14:textId="77777777" w:rsidR="00941C8C" w:rsidRDefault="00941C8C" w:rsidP="00A6491A">
      <w:pPr>
        <w:spacing w:before="0" w:after="0"/>
        <w:ind w:left="284"/>
      </w:pPr>
    </w:p>
    <w:p w14:paraId="411B8D19" w14:textId="77777777" w:rsidR="00CB4D28" w:rsidRPr="00CB4D28" w:rsidRDefault="00CB4D28" w:rsidP="00A6491A">
      <w:pPr>
        <w:spacing w:before="0" w:after="0"/>
        <w:ind w:left="284"/>
        <w:rPr>
          <w:b/>
        </w:rPr>
      </w:pPr>
      <w:r w:rsidRPr="00CB4D28">
        <w:rPr>
          <w:b/>
        </w:rPr>
        <w:t>Multiple Myeloma</w:t>
      </w:r>
    </w:p>
    <w:p w14:paraId="5900DFEE" w14:textId="77777777" w:rsidR="00941C8C" w:rsidRPr="00CB4D28" w:rsidRDefault="00CB4D28" w:rsidP="00A6491A">
      <w:pPr>
        <w:spacing w:before="0" w:after="0"/>
        <w:ind w:left="284"/>
        <w:rPr>
          <w:b/>
        </w:rPr>
      </w:pPr>
      <w:r w:rsidRPr="00CB4D28">
        <w:rPr>
          <w:b/>
        </w:rPr>
        <w:t>Non-Hodgkin Lymphoma</w:t>
      </w:r>
    </w:p>
    <w:p w14:paraId="119BA43A" w14:textId="77777777" w:rsidR="00CB4D28" w:rsidRDefault="00CB4D28" w:rsidP="00CB4D28">
      <w:pPr>
        <w:spacing w:before="0" w:after="0"/>
        <w:ind w:left="284"/>
      </w:pPr>
      <w:r>
        <w:t>A wide number of assays and techniques can be used to detect the genetic changes described above including polymerase chain reaction (PCR), Sanger sequencing, next generation sequencing (NGS) and fluorescent in situ hybridisation (FISH).</w:t>
      </w:r>
    </w:p>
    <w:p w14:paraId="1AF7F4BA" w14:textId="77777777" w:rsidR="00CB4D28" w:rsidRDefault="00CB4D28" w:rsidP="00CB4D28">
      <w:pPr>
        <w:spacing w:before="0" w:after="0"/>
        <w:ind w:left="284"/>
      </w:pPr>
      <w:r>
        <w:t>An exhaustive listing is beyond the scope of this application given the multiple assays/ techniques that can be used. These will continue to evolve as new diagnostic changes are reported across tumour types.</w:t>
      </w:r>
    </w:p>
    <w:p w14:paraId="35744B21" w14:textId="77777777" w:rsidR="00CB4D28" w:rsidRDefault="00CB4D28" w:rsidP="00CB4D28">
      <w:pPr>
        <w:spacing w:before="0" w:after="0"/>
        <w:ind w:left="284"/>
      </w:pPr>
    </w:p>
    <w:p w14:paraId="4972F65F" w14:textId="77777777" w:rsidR="00F301F1" w:rsidRPr="00855944" w:rsidRDefault="00CB4D28" w:rsidP="00CB4D28">
      <w:pPr>
        <w:spacing w:before="0" w:after="0"/>
        <w:ind w:left="284"/>
      </w:pPr>
      <w:r>
        <w:t>Further information can be provided if required.</w:t>
      </w:r>
      <w:r w:rsidR="00F301F1" w:rsidRPr="00855944">
        <w:br w:type="page"/>
      </w:r>
    </w:p>
    <w:p w14:paraId="5A627BFE"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0F3BA52E"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7E3C8A62" w14:textId="77777777"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CB4D28" w:rsidRPr="00CB4D28">
        <w:t>In-vitro diagnostic test</w:t>
      </w:r>
    </w:p>
    <w:p w14:paraId="7395C60A" w14:textId="77777777" w:rsidR="00A26343" w:rsidRPr="00A26343" w:rsidRDefault="00A26343" w:rsidP="00A6491A">
      <w:pPr>
        <w:spacing w:before="0" w:after="0"/>
        <w:ind w:left="284"/>
        <w:rPr>
          <w:szCs w:val="20"/>
        </w:rPr>
      </w:pPr>
      <w:r w:rsidRPr="00A26343">
        <w:rPr>
          <w:szCs w:val="20"/>
        </w:rPr>
        <w:t>Manufacturer’s name</w:t>
      </w:r>
      <w:r>
        <w:rPr>
          <w:szCs w:val="20"/>
        </w:rPr>
        <w:t xml:space="preserve">: </w:t>
      </w:r>
      <w:r w:rsidR="00CB4D28" w:rsidRPr="00CB4D28">
        <w:t>Various</w:t>
      </w:r>
    </w:p>
    <w:p w14:paraId="53DB51F6" w14:textId="77777777" w:rsidR="00A26343" w:rsidRPr="00A26343" w:rsidRDefault="00A26343" w:rsidP="00A6491A">
      <w:pPr>
        <w:spacing w:before="0" w:after="0"/>
        <w:ind w:left="284"/>
        <w:rPr>
          <w:szCs w:val="20"/>
        </w:rPr>
      </w:pPr>
      <w:r w:rsidRPr="00A26343">
        <w:rPr>
          <w:szCs w:val="20"/>
        </w:rPr>
        <w:t>Sponsor’s name</w:t>
      </w:r>
      <w:r>
        <w:rPr>
          <w:szCs w:val="20"/>
        </w:rPr>
        <w:t xml:space="preserve">: </w:t>
      </w:r>
      <w:r w:rsidR="00CB4D28" w:rsidRPr="00CB4D28">
        <w:t>Not applicable</w:t>
      </w:r>
    </w:p>
    <w:p w14:paraId="1FE42C9A"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0F8FC872" w14:textId="77777777" w:rsidR="00615F42" w:rsidRPr="00615F42" w:rsidRDefault="00CB4D28" w:rsidP="00A6491A">
      <w:pPr>
        <w:spacing w:before="0" w:after="0"/>
        <w:ind w:left="284"/>
        <w:rPr>
          <w:szCs w:val="20"/>
        </w:rPr>
      </w:pPr>
      <w:r>
        <w:rPr>
          <w:szCs w:val="20"/>
        </w:rPr>
        <w:fldChar w:fldCharType="begin">
          <w:ffData>
            <w:name w:val="Check1"/>
            <w:enabled/>
            <w:calcOnExit w:val="0"/>
            <w:checkBox>
              <w:sizeAuto/>
              <w:default w:val="1"/>
            </w:checkBox>
          </w:ffData>
        </w:fldChar>
      </w:r>
      <w:bookmarkStart w:id="3" w:name="Check1"/>
      <w:r>
        <w:rPr>
          <w:szCs w:val="20"/>
        </w:rPr>
        <w:instrText xml:space="preserve"> FORMCHECKBOX </w:instrText>
      </w:r>
      <w:r w:rsidR="00746A08">
        <w:rPr>
          <w:szCs w:val="20"/>
        </w:rPr>
      </w:r>
      <w:r w:rsidR="00746A08">
        <w:rPr>
          <w:szCs w:val="20"/>
        </w:rPr>
        <w:fldChar w:fldCharType="separate"/>
      </w:r>
      <w:r>
        <w:rPr>
          <w:szCs w:val="20"/>
        </w:rPr>
        <w:fldChar w:fldCharType="end"/>
      </w:r>
      <w:bookmarkEnd w:id="3"/>
      <w:r w:rsidR="00615F42" w:rsidRPr="000A5B32">
        <w:rPr>
          <w:szCs w:val="20"/>
        </w:rPr>
        <w:t xml:space="preserve"> </w:t>
      </w:r>
      <w:r w:rsidR="00615F42" w:rsidRPr="00615F42">
        <w:rPr>
          <w:szCs w:val="20"/>
        </w:rPr>
        <w:t>Class III</w:t>
      </w:r>
    </w:p>
    <w:p w14:paraId="1A096F3E"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46A08">
        <w:rPr>
          <w:szCs w:val="20"/>
        </w:rPr>
      </w:r>
      <w:r w:rsidR="00746A08">
        <w:rPr>
          <w:szCs w:val="20"/>
        </w:rPr>
        <w:fldChar w:fldCharType="separate"/>
      </w:r>
      <w:r w:rsidRPr="000A5B32">
        <w:rPr>
          <w:szCs w:val="20"/>
        </w:rPr>
        <w:fldChar w:fldCharType="end"/>
      </w:r>
      <w:r w:rsidRPr="000A5B32">
        <w:rPr>
          <w:szCs w:val="20"/>
        </w:rPr>
        <w:t xml:space="preserve"> </w:t>
      </w:r>
      <w:r w:rsidRPr="00615F42">
        <w:rPr>
          <w:szCs w:val="20"/>
        </w:rPr>
        <w:t>AIMD</w:t>
      </w:r>
    </w:p>
    <w:p w14:paraId="76FD6F58" w14:textId="77777777" w:rsidR="005E2CE3" w:rsidRPr="00154B00"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46A08">
        <w:rPr>
          <w:szCs w:val="20"/>
        </w:rPr>
      </w:r>
      <w:r w:rsidR="00746A08">
        <w:rPr>
          <w:szCs w:val="20"/>
        </w:rPr>
        <w:fldChar w:fldCharType="separate"/>
      </w:r>
      <w:r w:rsidRPr="000A5B32">
        <w:rPr>
          <w:szCs w:val="20"/>
        </w:rPr>
        <w:fldChar w:fldCharType="end"/>
      </w:r>
      <w:r w:rsidRPr="000A5B32">
        <w:rPr>
          <w:szCs w:val="20"/>
        </w:rPr>
        <w:t xml:space="preserve"> </w:t>
      </w:r>
      <w:r w:rsidRPr="00615F42">
        <w:rPr>
          <w:szCs w:val="20"/>
        </w:rPr>
        <w:t>N/A</w:t>
      </w:r>
    </w:p>
    <w:p w14:paraId="73A56A4B"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2BEBABAB"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46A08">
        <w:rPr>
          <w:szCs w:val="20"/>
        </w:rPr>
      </w:r>
      <w:r w:rsidR="00746A08">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0B2592AB" w14:textId="77777777" w:rsidR="003421AE" w:rsidRPr="00615F42" w:rsidRDefault="00B72E40"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46A08">
        <w:rPr>
          <w:szCs w:val="20"/>
        </w:rPr>
      </w:r>
      <w:r w:rsidR="00746A08">
        <w:rPr>
          <w:szCs w:val="20"/>
        </w:rPr>
        <w:fldChar w:fldCharType="separate"/>
      </w:r>
      <w:r>
        <w:rPr>
          <w:szCs w:val="20"/>
        </w:rPr>
        <w:fldChar w:fldCharType="end"/>
      </w:r>
      <w:r w:rsidR="00615F42">
        <w:rPr>
          <w:szCs w:val="20"/>
        </w:rPr>
        <w:t xml:space="preserve"> No</w:t>
      </w:r>
    </w:p>
    <w:p w14:paraId="3B7871E7"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16B68536" w14:textId="77777777" w:rsidR="0043654D" w:rsidRDefault="00B72E40"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46A08">
        <w:rPr>
          <w:szCs w:val="20"/>
        </w:rPr>
      </w:r>
      <w:r w:rsidR="00746A08">
        <w:rPr>
          <w:szCs w:val="20"/>
        </w:rPr>
        <w:fldChar w:fldCharType="separate"/>
      </w:r>
      <w:r>
        <w:rPr>
          <w:szCs w:val="20"/>
        </w:rPr>
        <w:fldChar w:fldCharType="end"/>
      </w:r>
      <w:r w:rsidR="0043654D">
        <w:rPr>
          <w:szCs w:val="20"/>
        </w:rPr>
        <w:t xml:space="preserve"> Yes (if yes, please provide details below)</w:t>
      </w:r>
    </w:p>
    <w:p w14:paraId="7321175F"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46A08">
        <w:rPr>
          <w:szCs w:val="20"/>
        </w:rPr>
      </w:r>
      <w:r w:rsidR="00746A08">
        <w:rPr>
          <w:szCs w:val="20"/>
        </w:rPr>
        <w:fldChar w:fldCharType="separate"/>
      </w:r>
      <w:r w:rsidRPr="000A5B32">
        <w:rPr>
          <w:szCs w:val="20"/>
        </w:rPr>
        <w:fldChar w:fldCharType="end"/>
      </w:r>
      <w:r>
        <w:rPr>
          <w:szCs w:val="20"/>
        </w:rPr>
        <w:t xml:space="preserve"> No</w:t>
      </w:r>
    </w:p>
    <w:p w14:paraId="578A7E89" w14:textId="77777777" w:rsidR="0043654D" w:rsidRDefault="0043654D" w:rsidP="0043654D">
      <w:pPr>
        <w:spacing w:before="0" w:after="0"/>
        <w:ind w:left="284"/>
        <w:rPr>
          <w:b/>
          <w:szCs w:val="20"/>
        </w:rPr>
      </w:pPr>
    </w:p>
    <w:tbl>
      <w:tblPr>
        <w:tblStyle w:val="TableGrid2"/>
        <w:tblW w:w="864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RTG licence numbers "/>
        <w:tblDescription w:val="ARTG licence numbers "/>
      </w:tblPr>
      <w:tblGrid>
        <w:gridCol w:w="4536"/>
        <w:gridCol w:w="4110"/>
      </w:tblGrid>
      <w:tr w:rsidR="00B72E40" w:rsidRPr="00B72E40" w14:paraId="79BCBFA0" w14:textId="77777777" w:rsidTr="00746A08">
        <w:trPr>
          <w:tblHeader/>
        </w:trPr>
        <w:tc>
          <w:tcPr>
            <w:tcW w:w="4536" w:type="dxa"/>
            <w:tcBorders>
              <w:right w:val="single" w:sz="4" w:space="0" w:color="auto"/>
            </w:tcBorders>
          </w:tcPr>
          <w:p w14:paraId="772544AD" w14:textId="77777777" w:rsidR="00B72E40" w:rsidRPr="00B72E40" w:rsidRDefault="00B72E40" w:rsidP="00B72E40">
            <w:pPr>
              <w:spacing w:before="100" w:beforeAutospacing="1" w:after="100" w:afterAutospacing="1"/>
              <w:ind w:left="-108"/>
              <w:rPr>
                <w:szCs w:val="20"/>
              </w:rPr>
            </w:pPr>
            <w:r w:rsidRPr="00B72E40">
              <w:rPr>
                <w:szCs w:val="20"/>
              </w:rPr>
              <w:t>ARTG listing, registration or inclusion number:</w:t>
            </w:r>
          </w:p>
        </w:tc>
        <w:tc>
          <w:tcPr>
            <w:tcW w:w="4110" w:type="dxa"/>
            <w:tcBorders>
              <w:top w:val="single" w:sz="4" w:space="0" w:color="auto"/>
              <w:left w:val="single" w:sz="4" w:space="0" w:color="auto"/>
              <w:bottom w:val="single" w:sz="4" w:space="0" w:color="auto"/>
              <w:right w:val="single" w:sz="4" w:space="0" w:color="auto"/>
            </w:tcBorders>
          </w:tcPr>
          <w:p w14:paraId="6BC8AB2A" w14:textId="77777777" w:rsidR="00B72E40" w:rsidRPr="00B72E40" w:rsidRDefault="00B72E40" w:rsidP="00B72E40">
            <w:pPr>
              <w:pBdr>
                <w:bottom w:val="single" w:sz="4" w:space="1" w:color="auto"/>
              </w:pBdr>
              <w:spacing w:before="0" w:after="0"/>
              <w:rPr>
                <w:szCs w:val="20"/>
              </w:rPr>
            </w:pPr>
            <w:r w:rsidRPr="00B72E40">
              <w:rPr>
                <w:szCs w:val="20"/>
              </w:rPr>
              <w:t xml:space="preserve">ARTG licence numbers for Acquired genetic alteration IVDs including but not limited to: </w:t>
            </w:r>
          </w:p>
          <w:p w14:paraId="0C5B5017" w14:textId="77777777" w:rsidR="00B72E40" w:rsidRPr="00B72E40" w:rsidRDefault="00B72E40" w:rsidP="00B72E40">
            <w:pPr>
              <w:spacing w:before="0" w:after="0"/>
              <w:rPr>
                <w:sz w:val="18"/>
                <w:szCs w:val="18"/>
              </w:rPr>
            </w:pPr>
          </w:p>
          <w:p w14:paraId="261C3023" w14:textId="77777777" w:rsidR="00B72E40" w:rsidRPr="00B72E40" w:rsidRDefault="00B72E40" w:rsidP="00B72E40">
            <w:pPr>
              <w:spacing w:before="0" w:after="0"/>
              <w:rPr>
                <w:sz w:val="18"/>
                <w:szCs w:val="18"/>
              </w:rPr>
            </w:pPr>
            <w:r w:rsidRPr="00B72E40">
              <w:rPr>
                <w:sz w:val="18"/>
                <w:szCs w:val="18"/>
              </w:rPr>
              <w:t xml:space="preserve">AA-Med Pty Ltd 214482 </w:t>
            </w:r>
          </w:p>
          <w:p w14:paraId="226F87E2" w14:textId="77777777" w:rsidR="00B72E40" w:rsidRPr="00B72E40" w:rsidRDefault="00B72E40" w:rsidP="00B72E40">
            <w:pPr>
              <w:spacing w:before="0" w:after="0"/>
              <w:rPr>
                <w:sz w:val="18"/>
                <w:szCs w:val="18"/>
              </w:rPr>
            </w:pPr>
            <w:r w:rsidRPr="00B72E40">
              <w:rPr>
                <w:sz w:val="18"/>
                <w:szCs w:val="18"/>
              </w:rPr>
              <w:t xml:space="preserve">Abacus ALS Pty Ltd 255352 256572 262298 </w:t>
            </w:r>
          </w:p>
          <w:p w14:paraId="2BBCA26C" w14:textId="77777777" w:rsidR="00B72E40" w:rsidRPr="00B72E40" w:rsidRDefault="00B72E40" w:rsidP="00B72E40">
            <w:pPr>
              <w:spacing w:before="0" w:after="0"/>
              <w:rPr>
                <w:sz w:val="18"/>
                <w:szCs w:val="18"/>
              </w:rPr>
            </w:pPr>
            <w:r w:rsidRPr="00B72E40">
              <w:rPr>
                <w:sz w:val="18"/>
                <w:szCs w:val="18"/>
              </w:rPr>
              <w:t xml:space="preserve">Abbott Australasia Pty Ltd Molecular Division 196286 </w:t>
            </w:r>
          </w:p>
          <w:p w14:paraId="7EAFE159" w14:textId="77777777" w:rsidR="00B72E40" w:rsidRPr="00B72E40" w:rsidRDefault="00B72E40" w:rsidP="00B72E40">
            <w:pPr>
              <w:spacing w:before="0" w:after="0"/>
              <w:rPr>
                <w:sz w:val="18"/>
                <w:szCs w:val="18"/>
              </w:rPr>
            </w:pPr>
            <w:proofErr w:type="spellStart"/>
            <w:r w:rsidRPr="00B72E40">
              <w:rPr>
                <w:sz w:val="18"/>
                <w:szCs w:val="18"/>
              </w:rPr>
              <w:t>Biomerieux</w:t>
            </w:r>
            <w:proofErr w:type="spellEnd"/>
            <w:r w:rsidRPr="00B72E40">
              <w:rPr>
                <w:sz w:val="18"/>
                <w:szCs w:val="18"/>
              </w:rPr>
              <w:t xml:space="preserve"> Australia Pty Ltd 217781 </w:t>
            </w:r>
          </w:p>
          <w:p w14:paraId="3C65048D" w14:textId="77777777" w:rsidR="00B72E40" w:rsidRPr="00B72E40" w:rsidRDefault="00B72E40" w:rsidP="00B72E40">
            <w:pPr>
              <w:spacing w:before="0" w:after="0"/>
              <w:rPr>
                <w:sz w:val="18"/>
                <w:szCs w:val="18"/>
              </w:rPr>
            </w:pPr>
            <w:r w:rsidRPr="00B72E40">
              <w:rPr>
                <w:sz w:val="18"/>
                <w:szCs w:val="18"/>
              </w:rPr>
              <w:t xml:space="preserve">Bio-Strategy Pty Ltd 226487 </w:t>
            </w:r>
          </w:p>
          <w:p w14:paraId="0A6C5A63" w14:textId="77777777" w:rsidR="00B72E40" w:rsidRPr="00B72E40" w:rsidRDefault="00B72E40" w:rsidP="00B72E40">
            <w:pPr>
              <w:spacing w:before="0" w:after="0"/>
              <w:rPr>
                <w:sz w:val="18"/>
                <w:szCs w:val="18"/>
              </w:rPr>
            </w:pPr>
            <w:r w:rsidRPr="00B72E40">
              <w:rPr>
                <w:sz w:val="18"/>
                <w:szCs w:val="18"/>
              </w:rPr>
              <w:t xml:space="preserve">Carl Zeiss Pty Ltd 266568 </w:t>
            </w:r>
          </w:p>
          <w:p w14:paraId="79D42E2D" w14:textId="77777777" w:rsidR="00B72E40" w:rsidRPr="00B72E40" w:rsidRDefault="00B72E40" w:rsidP="00B72E40">
            <w:pPr>
              <w:spacing w:before="0" w:after="0"/>
              <w:rPr>
                <w:sz w:val="18"/>
                <w:szCs w:val="18"/>
              </w:rPr>
            </w:pPr>
            <w:r w:rsidRPr="00B72E40">
              <w:rPr>
                <w:sz w:val="18"/>
                <w:szCs w:val="18"/>
              </w:rPr>
              <w:t xml:space="preserve">Cepheid Holdings Pty Ltd 226631 </w:t>
            </w:r>
          </w:p>
          <w:p w14:paraId="5BFC669D" w14:textId="77777777" w:rsidR="00B72E40" w:rsidRPr="00B72E40" w:rsidRDefault="00B72E40" w:rsidP="00B72E40">
            <w:pPr>
              <w:spacing w:before="0" w:after="0"/>
              <w:rPr>
                <w:sz w:val="18"/>
                <w:szCs w:val="18"/>
              </w:rPr>
            </w:pPr>
            <w:proofErr w:type="spellStart"/>
            <w:r w:rsidRPr="00B72E40">
              <w:rPr>
                <w:sz w:val="18"/>
                <w:szCs w:val="18"/>
              </w:rPr>
              <w:t>Dako</w:t>
            </w:r>
            <w:proofErr w:type="spellEnd"/>
            <w:r w:rsidRPr="00B72E40">
              <w:rPr>
                <w:sz w:val="18"/>
                <w:szCs w:val="18"/>
              </w:rPr>
              <w:t xml:space="preserve"> Australia Pty Ltd 199420 264573 </w:t>
            </w:r>
          </w:p>
          <w:p w14:paraId="7CF96F05" w14:textId="77777777" w:rsidR="00B72E40" w:rsidRPr="00B72E40" w:rsidRDefault="00B72E40" w:rsidP="00B72E40">
            <w:pPr>
              <w:spacing w:before="0" w:after="0"/>
              <w:rPr>
                <w:sz w:val="18"/>
                <w:szCs w:val="18"/>
              </w:rPr>
            </w:pPr>
            <w:r w:rsidRPr="00B72E40">
              <w:rPr>
                <w:sz w:val="18"/>
                <w:szCs w:val="18"/>
              </w:rPr>
              <w:t xml:space="preserve">In Vitro Technologies Pty Ltd 225995 </w:t>
            </w:r>
          </w:p>
          <w:p w14:paraId="082518CB" w14:textId="77777777" w:rsidR="00B72E40" w:rsidRPr="00B72E40" w:rsidRDefault="00B72E40" w:rsidP="00B72E40">
            <w:pPr>
              <w:spacing w:before="0" w:after="0"/>
              <w:rPr>
                <w:sz w:val="18"/>
                <w:szCs w:val="18"/>
              </w:rPr>
            </w:pPr>
            <w:r w:rsidRPr="00B72E40">
              <w:rPr>
                <w:sz w:val="18"/>
                <w:szCs w:val="18"/>
              </w:rPr>
              <w:t xml:space="preserve">Key Diagnostics Pty Ltd 270292 </w:t>
            </w:r>
          </w:p>
          <w:p w14:paraId="1234CE89" w14:textId="77777777" w:rsidR="00B72E40" w:rsidRPr="00B72E40" w:rsidRDefault="00B72E40" w:rsidP="00B72E40">
            <w:pPr>
              <w:spacing w:before="0" w:after="0"/>
              <w:rPr>
                <w:sz w:val="18"/>
                <w:szCs w:val="18"/>
              </w:rPr>
            </w:pPr>
            <w:r w:rsidRPr="00B72E40">
              <w:rPr>
                <w:sz w:val="18"/>
                <w:szCs w:val="18"/>
              </w:rPr>
              <w:t xml:space="preserve">Leica Microsystems Pty Ltd 191254 </w:t>
            </w:r>
          </w:p>
          <w:p w14:paraId="0EE40662" w14:textId="77777777" w:rsidR="00B72E40" w:rsidRPr="00B72E40" w:rsidRDefault="00B72E40" w:rsidP="00B72E40">
            <w:pPr>
              <w:spacing w:before="0" w:after="0"/>
              <w:rPr>
                <w:sz w:val="18"/>
                <w:szCs w:val="18"/>
              </w:rPr>
            </w:pPr>
            <w:proofErr w:type="spellStart"/>
            <w:r w:rsidRPr="00B72E40">
              <w:rPr>
                <w:sz w:val="18"/>
                <w:szCs w:val="18"/>
              </w:rPr>
              <w:t>Qiagen</w:t>
            </w:r>
            <w:proofErr w:type="spellEnd"/>
            <w:r w:rsidRPr="00B72E40">
              <w:rPr>
                <w:sz w:val="18"/>
                <w:szCs w:val="18"/>
              </w:rPr>
              <w:t xml:space="preserve"> Pty Ltd 214994 226453 238792 </w:t>
            </w:r>
          </w:p>
          <w:p w14:paraId="5CD5A24F" w14:textId="77777777" w:rsidR="00B72E40" w:rsidRPr="00B72E40" w:rsidRDefault="00B72E40" w:rsidP="00B72E40">
            <w:pPr>
              <w:spacing w:before="0" w:after="0"/>
              <w:rPr>
                <w:sz w:val="18"/>
                <w:szCs w:val="18"/>
              </w:rPr>
            </w:pPr>
            <w:r w:rsidRPr="00B72E40">
              <w:rPr>
                <w:sz w:val="18"/>
                <w:szCs w:val="18"/>
              </w:rPr>
              <w:t xml:space="preserve">Roche Diagnostics Australia Pty Limited 180933 192394 192395 194319 196363 </w:t>
            </w:r>
            <w:proofErr w:type="spellStart"/>
            <w:r w:rsidRPr="00B72E40">
              <w:rPr>
                <w:sz w:val="18"/>
                <w:szCs w:val="18"/>
              </w:rPr>
              <w:t>Thermo</w:t>
            </w:r>
            <w:proofErr w:type="spellEnd"/>
            <w:r w:rsidRPr="00B72E40">
              <w:rPr>
                <w:sz w:val="18"/>
                <w:szCs w:val="18"/>
              </w:rPr>
              <w:t xml:space="preserve"> Fisher Scientific Australia Pty Ltd 227503 256113 </w:t>
            </w:r>
          </w:p>
          <w:p w14:paraId="0AC0A032" w14:textId="77777777" w:rsidR="00B72E40" w:rsidRPr="00B72E40" w:rsidRDefault="00B72E40" w:rsidP="00B72E40">
            <w:pPr>
              <w:spacing w:before="0" w:after="0"/>
              <w:rPr>
                <w:sz w:val="18"/>
                <w:szCs w:val="18"/>
              </w:rPr>
            </w:pPr>
            <w:r w:rsidRPr="00B72E40">
              <w:rPr>
                <w:sz w:val="18"/>
                <w:szCs w:val="18"/>
              </w:rPr>
              <w:t>Vela Diagnostics Australia Pty Ltd 228024 235394</w:t>
            </w:r>
          </w:p>
          <w:p w14:paraId="1ACE5C6F" w14:textId="77777777" w:rsidR="00B72E40" w:rsidRPr="00B72E40" w:rsidRDefault="00B72E40" w:rsidP="00B72E40">
            <w:pPr>
              <w:spacing w:before="0" w:after="0"/>
              <w:rPr>
                <w:szCs w:val="20"/>
              </w:rPr>
            </w:pPr>
          </w:p>
        </w:tc>
      </w:tr>
    </w:tbl>
    <w:p w14:paraId="59104AE5" w14:textId="77777777" w:rsidR="00B72E40" w:rsidRDefault="00B72E40" w:rsidP="0043654D">
      <w:pPr>
        <w:spacing w:before="0" w:after="0"/>
        <w:ind w:left="284"/>
        <w:rPr>
          <w:b/>
          <w:szCs w:val="20"/>
        </w:rPr>
      </w:pPr>
    </w:p>
    <w:p w14:paraId="61161113" w14:textId="77777777" w:rsidR="00C0796F" w:rsidRDefault="00C0796F" w:rsidP="00530204">
      <w:pPr>
        <w:pStyle w:val="Heading2"/>
      </w:pPr>
      <w:r w:rsidRPr="0043654D">
        <w:t>If the therapeutic good has not been listed, registered or included in the ARTG, is the therapeutic good in the process of being considered for inclusion by the TGA?</w:t>
      </w:r>
    </w:p>
    <w:p w14:paraId="2699F699" w14:textId="77777777" w:rsidR="00B72E40" w:rsidRPr="00B72E40" w:rsidRDefault="00B72E40" w:rsidP="00B72E40">
      <w:r>
        <w:tab/>
        <w:t>Not applicable</w:t>
      </w:r>
    </w:p>
    <w:p w14:paraId="7B96063F"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46A08">
        <w:rPr>
          <w:szCs w:val="20"/>
        </w:rPr>
      </w:r>
      <w:r w:rsidR="00746A08">
        <w:rPr>
          <w:szCs w:val="20"/>
        </w:rPr>
        <w:fldChar w:fldCharType="separate"/>
      </w:r>
      <w:r w:rsidRPr="000A5B32">
        <w:rPr>
          <w:szCs w:val="20"/>
        </w:rPr>
        <w:fldChar w:fldCharType="end"/>
      </w:r>
      <w:r>
        <w:rPr>
          <w:szCs w:val="20"/>
        </w:rPr>
        <w:t xml:space="preserve"> Yes (please provide details below)</w:t>
      </w:r>
    </w:p>
    <w:p w14:paraId="457AA7B5"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46A08">
        <w:rPr>
          <w:szCs w:val="20"/>
        </w:rPr>
      </w:r>
      <w:r w:rsidR="00746A08">
        <w:rPr>
          <w:szCs w:val="20"/>
        </w:rPr>
        <w:fldChar w:fldCharType="separate"/>
      </w:r>
      <w:r w:rsidRPr="000A5B32">
        <w:rPr>
          <w:szCs w:val="20"/>
        </w:rPr>
        <w:fldChar w:fldCharType="end"/>
      </w:r>
      <w:r>
        <w:rPr>
          <w:szCs w:val="20"/>
        </w:rPr>
        <w:t xml:space="preserve"> No</w:t>
      </w:r>
    </w:p>
    <w:p w14:paraId="0D80984F" w14:textId="77777777" w:rsidR="0047581D" w:rsidRDefault="0047581D" w:rsidP="0047581D">
      <w:pPr>
        <w:spacing w:before="0" w:after="0"/>
        <w:rPr>
          <w:b/>
          <w:szCs w:val="20"/>
        </w:rPr>
      </w:pPr>
    </w:p>
    <w:p w14:paraId="195FC21A" w14:textId="77777777" w:rsidR="0047581D" w:rsidRPr="0047581D" w:rsidRDefault="0047581D" w:rsidP="0047581D">
      <w:pPr>
        <w:spacing w:before="0" w:after="0"/>
        <w:rPr>
          <w:szCs w:val="20"/>
        </w:rPr>
      </w:pPr>
      <w:r w:rsidRPr="0047581D">
        <w:rPr>
          <w:szCs w:val="20"/>
        </w:rPr>
        <w:t xml:space="preserve">Date of submission to TGA: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09A62A27" w14:textId="77777777" w:rsidR="0047581D" w:rsidRPr="0047581D" w:rsidRDefault="0047581D" w:rsidP="0047581D">
      <w:pPr>
        <w:spacing w:before="0" w:after="0"/>
        <w:rPr>
          <w:szCs w:val="20"/>
        </w:rPr>
      </w:pPr>
      <w:r w:rsidRPr="0047581D">
        <w:rPr>
          <w:szCs w:val="20"/>
        </w:rPr>
        <w:lastRenderedPageBreak/>
        <w:t>Estimated date by which TGA approval can be expected</w:t>
      </w:r>
      <w:r>
        <w:rPr>
          <w:szCs w:val="20"/>
        </w:rPr>
        <w:t xml:space="preserve">:  </w:t>
      </w:r>
      <w:r>
        <w:fldChar w:fldCharType="begin">
          <w:ffData>
            <w:name w:val=""/>
            <w:enabled/>
            <w:calcOnExit w:val="0"/>
            <w:textInput>
              <w:default w:val="Insert estimated date here"/>
            </w:textInput>
          </w:ffData>
        </w:fldChar>
      </w:r>
      <w:r>
        <w:instrText xml:space="preserve"> FORMTEXT </w:instrText>
      </w:r>
      <w:r>
        <w:fldChar w:fldCharType="separate"/>
      </w:r>
      <w:r>
        <w:rPr>
          <w:noProof/>
        </w:rPr>
        <w:t>Insert estimated date here</w:t>
      </w:r>
      <w:r>
        <w:fldChar w:fldCharType="end"/>
      </w:r>
    </w:p>
    <w:p w14:paraId="46ABD151" w14:textId="77777777" w:rsidR="0047581D" w:rsidRPr="0047581D" w:rsidRDefault="0047581D" w:rsidP="0047581D">
      <w:pPr>
        <w:spacing w:before="0" w:after="0"/>
        <w:rPr>
          <w:szCs w:val="20"/>
        </w:rPr>
      </w:pPr>
      <w:r w:rsidRPr="0047581D">
        <w:rPr>
          <w:szCs w:val="20"/>
        </w:rPr>
        <w:t>TGA Application ID</w:t>
      </w:r>
      <w:r>
        <w:rPr>
          <w:szCs w:val="20"/>
        </w:rPr>
        <w:t xml:space="preserve">:  </w:t>
      </w:r>
      <w:r>
        <w:fldChar w:fldCharType="begin">
          <w:ffData>
            <w:name w:val=""/>
            <w:enabled/>
            <w:calcOnExit w:val="0"/>
            <w:textInput>
              <w:default w:val="Insert TGA Application ID here"/>
            </w:textInput>
          </w:ffData>
        </w:fldChar>
      </w:r>
      <w:r>
        <w:instrText xml:space="preserve"> FORMTEXT </w:instrText>
      </w:r>
      <w:r>
        <w:fldChar w:fldCharType="separate"/>
      </w:r>
      <w:r>
        <w:rPr>
          <w:noProof/>
        </w:rPr>
        <w:t>Insert TGA Application ID here</w:t>
      </w:r>
      <w:r>
        <w:fldChar w:fldCharType="end"/>
      </w:r>
    </w:p>
    <w:p w14:paraId="4889DE47" w14:textId="77777777" w:rsidR="0047581D" w:rsidRPr="0047581D" w:rsidRDefault="0047581D" w:rsidP="0047581D">
      <w:pPr>
        <w:spacing w:before="0" w:after="0"/>
        <w:rPr>
          <w:szCs w:val="20"/>
        </w:rPr>
      </w:pPr>
      <w:r w:rsidRPr="0047581D">
        <w:rPr>
          <w:szCs w:val="20"/>
        </w:rPr>
        <w:t>TGA approved indication(s), if applicable</w:t>
      </w:r>
      <w:r>
        <w:rPr>
          <w:szCs w:val="20"/>
        </w:rPr>
        <w:t xml:space="preserve">:  </w:t>
      </w:r>
      <w:r w:rsidR="00971EDB">
        <w:fldChar w:fldCharType="begin">
          <w:ffData>
            <w:name w:val=""/>
            <w:enabled/>
            <w:calcOnExit w:val="0"/>
            <w:textInput>
              <w:default w:val="If applicable, insert description of TGA approved indication(s) here"/>
            </w:textInput>
          </w:ffData>
        </w:fldChar>
      </w:r>
      <w:r w:rsidR="00971EDB">
        <w:instrText xml:space="preserve"> FORMTEXT </w:instrText>
      </w:r>
      <w:r w:rsidR="00971EDB">
        <w:fldChar w:fldCharType="separate"/>
      </w:r>
      <w:r w:rsidR="00971EDB">
        <w:rPr>
          <w:noProof/>
        </w:rPr>
        <w:t>If applicable, insert description of TGA approved indication(s) here</w:t>
      </w:r>
      <w:r w:rsidR="00971EDB">
        <w:fldChar w:fldCharType="end"/>
      </w:r>
    </w:p>
    <w:p w14:paraId="6C211911" w14:textId="77777777" w:rsidR="003433D1" w:rsidRPr="0047581D" w:rsidRDefault="0047581D" w:rsidP="0047581D">
      <w:pPr>
        <w:spacing w:before="0" w:after="0"/>
        <w:rPr>
          <w:szCs w:val="20"/>
        </w:rPr>
      </w:pPr>
      <w:r w:rsidRPr="0047581D">
        <w:rPr>
          <w:szCs w:val="20"/>
        </w:rPr>
        <w:t>TGA approved purpose(s), if applicable</w:t>
      </w:r>
      <w:r>
        <w:rPr>
          <w:szCs w:val="20"/>
        </w:rPr>
        <w:t xml:space="preserve">:  </w:t>
      </w:r>
      <w:r w:rsidR="00971EDB">
        <w:fldChar w:fldCharType="begin">
          <w:ffData>
            <w:name w:val=""/>
            <w:enabled/>
            <w:calcOnExit w:val="0"/>
            <w:textInput>
              <w:default w:val="If applicable, insert description of TGA approved purpose(s) here"/>
            </w:textInput>
          </w:ffData>
        </w:fldChar>
      </w:r>
      <w:r w:rsidR="00971EDB">
        <w:instrText xml:space="preserve"> FORMTEXT </w:instrText>
      </w:r>
      <w:r w:rsidR="00971EDB">
        <w:fldChar w:fldCharType="separate"/>
      </w:r>
      <w:r w:rsidR="00971EDB">
        <w:rPr>
          <w:noProof/>
        </w:rPr>
        <w:t>If applicable, insert description of TGA approved purpose(s) here</w:t>
      </w:r>
      <w:r w:rsidR="00971EDB">
        <w:fldChar w:fldCharType="end"/>
      </w:r>
    </w:p>
    <w:p w14:paraId="4CCB81C2" w14:textId="77777777" w:rsidR="00C0796F"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363DCE90" w14:textId="77777777" w:rsidR="00B72E40" w:rsidRDefault="00B72E40" w:rsidP="00B72E40">
      <w:r>
        <w:tab/>
        <w:t>Not applicable</w:t>
      </w:r>
    </w:p>
    <w:p w14:paraId="7C2A310B"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46A08">
        <w:rPr>
          <w:szCs w:val="20"/>
        </w:rPr>
      </w:r>
      <w:r w:rsidR="00746A08">
        <w:rPr>
          <w:szCs w:val="20"/>
        </w:rPr>
        <w:fldChar w:fldCharType="separate"/>
      </w:r>
      <w:r w:rsidRPr="000A5B32">
        <w:rPr>
          <w:szCs w:val="20"/>
        </w:rPr>
        <w:fldChar w:fldCharType="end"/>
      </w:r>
      <w:r>
        <w:rPr>
          <w:szCs w:val="20"/>
        </w:rPr>
        <w:t xml:space="preserve"> Yes (please provide details below)</w:t>
      </w:r>
    </w:p>
    <w:p w14:paraId="79A85ED1"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46A08">
        <w:rPr>
          <w:szCs w:val="20"/>
        </w:rPr>
      </w:r>
      <w:r w:rsidR="00746A08">
        <w:rPr>
          <w:szCs w:val="20"/>
        </w:rPr>
        <w:fldChar w:fldCharType="separate"/>
      </w:r>
      <w:r w:rsidRPr="000A5B32">
        <w:rPr>
          <w:szCs w:val="20"/>
        </w:rPr>
        <w:fldChar w:fldCharType="end"/>
      </w:r>
      <w:r>
        <w:rPr>
          <w:szCs w:val="20"/>
        </w:rPr>
        <w:t xml:space="preserve"> No</w:t>
      </w:r>
    </w:p>
    <w:p w14:paraId="4B4A6073" w14:textId="77777777" w:rsidR="000A110D" w:rsidRDefault="000A110D" w:rsidP="00971EDB">
      <w:pPr>
        <w:spacing w:before="0" w:after="0"/>
        <w:rPr>
          <w:szCs w:val="20"/>
        </w:rPr>
      </w:pPr>
    </w:p>
    <w:p w14:paraId="7F630499" w14:textId="77777777" w:rsidR="00971EDB" w:rsidRPr="00971EDB" w:rsidRDefault="00971EDB" w:rsidP="00971EDB">
      <w:pPr>
        <w:spacing w:before="0" w:after="0"/>
        <w:rPr>
          <w:szCs w:val="20"/>
        </w:rPr>
      </w:pPr>
      <w:r w:rsidRPr="00971EDB">
        <w:rPr>
          <w:szCs w:val="20"/>
        </w:rPr>
        <w:t>Estimated date of submission to TGA</w:t>
      </w:r>
      <w:r>
        <w:rPr>
          <w:szCs w:val="20"/>
        </w:rPr>
        <w:t xml:space="preserve">: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14B46635" w14:textId="77777777" w:rsidR="00971EDB" w:rsidRPr="00971EDB" w:rsidRDefault="00971EDB" w:rsidP="00971EDB">
      <w:pPr>
        <w:spacing w:before="0" w:after="0"/>
        <w:rPr>
          <w:szCs w:val="20"/>
        </w:rPr>
      </w:pPr>
      <w:r w:rsidRPr="00971EDB">
        <w:rPr>
          <w:szCs w:val="20"/>
        </w:rPr>
        <w:t>Proposed indication(s), if applicable</w:t>
      </w:r>
      <w:r>
        <w:rPr>
          <w:szCs w:val="20"/>
        </w:rPr>
        <w:t xml:space="preserve">:  </w:t>
      </w:r>
      <w:r>
        <w:fldChar w:fldCharType="begin">
          <w:ffData>
            <w:name w:val=""/>
            <w:enabled/>
            <w:calcOnExit w:val="0"/>
            <w:textInput>
              <w:default w:val="If applicable, insert description of proposed indication(s)"/>
            </w:textInput>
          </w:ffData>
        </w:fldChar>
      </w:r>
      <w:r>
        <w:instrText xml:space="preserve"> FORMTEXT </w:instrText>
      </w:r>
      <w:r>
        <w:fldChar w:fldCharType="separate"/>
      </w:r>
      <w:r>
        <w:rPr>
          <w:noProof/>
        </w:rPr>
        <w:t>If applicable, insert description of proposed indication(s)</w:t>
      </w:r>
      <w:r>
        <w:fldChar w:fldCharType="end"/>
      </w:r>
    </w:p>
    <w:p w14:paraId="67C1C635" w14:textId="77777777" w:rsidR="00971EDB" w:rsidRPr="00971EDB" w:rsidRDefault="00971EDB" w:rsidP="00971EDB">
      <w:pPr>
        <w:spacing w:before="0" w:after="0"/>
        <w:rPr>
          <w:szCs w:val="20"/>
        </w:rPr>
      </w:pPr>
      <w:r w:rsidRPr="00971EDB">
        <w:rPr>
          <w:szCs w:val="20"/>
        </w:rPr>
        <w:t>Proposed purpose(s), if applicable</w:t>
      </w:r>
      <w:r>
        <w:rPr>
          <w:szCs w:val="20"/>
        </w:rPr>
        <w:t xml:space="preserve">:  </w:t>
      </w:r>
      <w:r>
        <w:fldChar w:fldCharType="begin">
          <w:ffData>
            <w:name w:val=""/>
            <w:enabled/>
            <w:calcOnExit w:val="0"/>
            <w:textInput>
              <w:default w:val="If applicable, insert description of proposed purpose(s) here"/>
            </w:textInput>
          </w:ffData>
        </w:fldChar>
      </w:r>
      <w:r>
        <w:instrText xml:space="preserve"> FORMTEXT </w:instrText>
      </w:r>
      <w:r>
        <w:fldChar w:fldCharType="separate"/>
      </w:r>
      <w:r>
        <w:rPr>
          <w:noProof/>
        </w:rPr>
        <w:t>If applicable, insert description of proposed purpose(s) here</w:t>
      </w:r>
      <w:r>
        <w:fldChar w:fldCharType="end"/>
      </w:r>
    </w:p>
    <w:p w14:paraId="0FDDDFFC" w14:textId="77777777" w:rsidR="00F83A9D" w:rsidRPr="00154B00" w:rsidRDefault="00F83A9D" w:rsidP="00F83A9D">
      <w:pPr>
        <w:rPr>
          <w:szCs w:val="20"/>
        </w:rPr>
      </w:pPr>
    </w:p>
    <w:p w14:paraId="4DE67C45" w14:textId="77777777" w:rsidR="00DD308E" w:rsidRDefault="00DD308E">
      <w:pPr>
        <w:rPr>
          <w:b/>
          <w:sz w:val="32"/>
          <w:szCs w:val="32"/>
        </w:rPr>
        <w:sectPr w:rsidR="00DD308E" w:rsidSect="00991EE4">
          <w:footerReference w:type="default" r:id="rId12"/>
          <w:pgSz w:w="11906" w:h="16838"/>
          <w:pgMar w:top="1440" w:right="1440" w:bottom="1440" w:left="1440" w:header="708" w:footer="708" w:gutter="0"/>
          <w:pgNumType w:start="0"/>
          <w:cols w:space="708"/>
          <w:titlePg/>
          <w:docGrid w:linePitch="360"/>
        </w:sectPr>
      </w:pPr>
    </w:p>
    <w:p w14:paraId="1E3A45F9"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3C9B324E" w14:textId="77777777" w:rsidR="00DD308E"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p>
    <w:p w14:paraId="28E5B3CD" w14:textId="7B1FAF2B" w:rsidR="007E58CB" w:rsidRDefault="007E58CB" w:rsidP="007E58CB">
      <w:pPr>
        <w:spacing w:before="0" w:after="0"/>
        <w:ind w:left="284"/>
        <w:rPr>
          <w:b/>
          <w:szCs w:val="20"/>
        </w:rPr>
      </w:pPr>
      <w:r w:rsidRPr="00CB4D28">
        <w:rPr>
          <w:b/>
          <w:szCs w:val="20"/>
        </w:rPr>
        <w:t xml:space="preserve">Diffuse Large B </w:t>
      </w:r>
      <w:proofErr w:type="gramStart"/>
      <w:r w:rsidRPr="00CB4D28">
        <w:rPr>
          <w:b/>
          <w:szCs w:val="20"/>
        </w:rPr>
        <w:t>Cell</w:t>
      </w:r>
      <w:proofErr w:type="gramEnd"/>
      <w:r w:rsidRPr="00CB4D28">
        <w:rPr>
          <w:b/>
          <w:szCs w:val="20"/>
        </w:rPr>
        <w:t xml:space="preserve"> Lymphoma</w:t>
      </w:r>
    </w:p>
    <w:p w14:paraId="098FFF48" w14:textId="77777777" w:rsidR="00F97C41" w:rsidRPr="00CB4D28" w:rsidRDefault="00F97C41" w:rsidP="007E58CB">
      <w:pPr>
        <w:spacing w:before="0" w:after="0"/>
        <w:ind w:left="284"/>
        <w:rPr>
          <w:b/>
        </w:rPr>
      </w:pPr>
    </w:p>
    <w:tbl>
      <w:tblPr>
        <w:tblStyle w:val="TableGrid3"/>
        <w:tblW w:w="8708" w:type="dxa"/>
        <w:tblInd w:w="534" w:type="dxa"/>
        <w:tblLayout w:type="fixed"/>
        <w:tblLook w:val="04A0" w:firstRow="1" w:lastRow="0" w:firstColumn="1" w:lastColumn="0" w:noHBand="0" w:noVBand="1"/>
        <w:tblCaption w:val="Summary of Evidence"/>
        <w:tblDescription w:val="Summary of Evidence"/>
      </w:tblPr>
      <w:tblGrid>
        <w:gridCol w:w="567"/>
        <w:gridCol w:w="1417"/>
        <w:gridCol w:w="2155"/>
        <w:gridCol w:w="1814"/>
        <w:gridCol w:w="1757"/>
        <w:gridCol w:w="998"/>
      </w:tblGrid>
      <w:tr w:rsidR="007E58CB" w:rsidRPr="007E58CB" w14:paraId="6B93777B" w14:textId="77777777" w:rsidTr="00746A08">
        <w:trPr>
          <w:tblHeader/>
        </w:trPr>
        <w:tc>
          <w:tcPr>
            <w:tcW w:w="567" w:type="dxa"/>
          </w:tcPr>
          <w:p w14:paraId="0F2F94AB" w14:textId="77777777" w:rsidR="007E58CB" w:rsidRPr="007E58CB" w:rsidRDefault="007E58CB" w:rsidP="007E58CB">
            <w:pPr>
              <w:spacing w:before="0" w:after="0"/>
              <w:rPr>
                <w:b/>
                <w:szCs w:val="20"/>
              </w:rPr>
            </w:pPr>
          </w:p>
        </w:tc>
        <w:tc>
          <w:tcPr>
            <w:tcW w:w="1417" w:type="dxa"/>
          </w:tcPr>
          <w:p w14:paraId="2F672BC1" w14:textId="77777777" w:rsidR="007E58CB" w:rsidRPr="007E58CB" w:rsidRDefault="007E58CB" w:rsidP="007E58CB">
            <w:pPr>
              <w:spacing w:before="0" w:after="0"/>
              <w:rPr>
                <w:b/>
                <w:szCs w:val="20"/>
              </w:rPr>
            </w:pPr>
            <w:r w:rsidRPr="007E58CB">
              <w:rPr>
                <w:b/>
                <w:szCs w:val="20"/>
              </w:rPr>
              <w:t>Type of study design*</w:t>
            </w:r>
          </w:p>
        </w:tc>
        <w:tc>
          <w:tcPr>
            <w:tcW w:w="2155" w:type="dxa"/>
          </w:tcPr>
          <w:p w14:paraId="24065778" w14:textId="77777777" w:rsidR="007E58CB" w:rsidRPr="007E58CB" w:rsidRDefault="007E58CB" w:rsidP="007E58CB">
            <w:pPr>
              <w:spacing w:before="0" w:after="0"/>
              <w:rPr>
                <w:b/>
                <w:szCs w:val="20"/>
              </w:rPr>
            </w:pPr>
            <w:r w:rsidRPr="007E58CB">
              <w:rPr>
                <w:b/>
                <w:szCs w:val="20"/>
              </w:rPr>
              <w:t>Title of journal article  or research project (including any trial identifier or study lead if relevant)</w:t>
            </w:r>
          </w:p>
        </w:tc>
        <w:tc>
          <w:tcPr>
            <w:tcW w:w="1814" w:type="dxa"/>
          </w:tcPr>
          <w:p w14:paraId="22564D98" w14:textId="77777777" w:rsidR="007E58CB" w:rsidRPr="007E58CB" w:rsidRDefault="007E58CB" w:rsidP="007E58CB">
            <w:pPr>
              <w:spacing w:before="0" w:after="0"/>
              <w:rPr>
                <w:b/>
                <w:szCs w:val="20"/>
              </w:rPr>
            </w:pPr>
            <w:r w:rsidRPr="007E58CB">
              <w:rPr>
                <w:b/>
                <w:szCs w:val="20"/>
              </w:rPr>
              <w:t>Short description of research  (max 50 words)**</w:t>
            </w:r>
          </w:p>
        </w:tc>
        <w:tc>
          <w:tcPr>
            <w:tcW w:w="1757" w:type="dxa"/>
          </w:tcPr>
          <w:p w14:paraId="63EB8021" w14:textId="77777777" w:rsidR="007E58CB" w:rsidRPr="007E58CB" w:rsidRDefault="007E58CB" w:rsidP="007E58CB">
            <w:pPr>
              <w:spacing w:before="0" w:after="0"/>
              <w:rPr>
                <w:b/>
                <w:szCs w:val="20"/>
              </w:rPr>
            </w:pPr>
            <w:r w:rsidRPr="007E58CB">
              <w:rPr>
                <w:b/>
                <w:szCs w:val="20"/>
              </w:rPr>
              <w:t>Website link to journal article or research (if available)</w:t>
            </w:r>
          </w:p>
        </w:tc>
        <w:tc>
          <w:tcPr>
            <w:tcW w:w="998" w:type="dxa"/>
          </w:tcPr>
          <w:p w14:paraId="5C9F6FDE" w14:textId="77777777" w:rsidR="007E58CB" w:rsidRPr="007E58CB" w:rsidRDefault="007E58CB" w:rsidP="007E58CB">
            <w:pPr>
              <w:spacing w:before="0" w:after="0"/>
              <w:rPr>
                <w:b/>
                <w:szCs w:val="20"/>
              </w:rPr>
            </w:pPr>
            <w:r w:rsidRPr="007E58CB">
              <w:rPr>
                <w:b/>
                <w:szCs w:val="20"/>
              </w:rPr>
              <w:t>Date of publication***</w:t>
            </w:r>
          </w:p>
        </w:tc>
      </w:tr>
      <w:tr w:rsidR="007E58CB" w:rsidRPr="007E58CB" w14:paraId="76409F51" w14:textId="77777777" w:rsidTr="000B18F9">
        <w:tc>
          <w:tcPr>
            <w:tcW w:w="567" w:type="dxa"/>
          </w:tcPr>
          <w:p w14:paraId="135B8FBD" w14:textId="77777777" w:rsidR="007E58CB" w:rsidRPr="007E58CB" w:rsidRDefault="007E58CB" w:rsidP="007E58CB">
            <w:pPr>
              <w:spacing w:before="0" w:after="0"/>
              <w:rPr>
                <w:szCs w:val="20"/>
              </w:rPr>
            </w:pPr>
            <w:r w:rsidRPr="007E58CB">
              <w:rPr>
                <w:szCs w:val="20"/>
              </w:rPr>
              <w:t>1.</w:t>
            </w:r>
          </w:p>
        </w:tc>
        <w:tc>
          <w:tcPr>
            <w:tcW w:w="1417" w:type="dxa"/>
          </w:tcPr>
          <w:p w14:paraId="3AA6086C" w14:textId="77777777" w:rsidR="007E58CB" w:rsidRPr="007E58CB" w:rsidRDefault="007E58CB" w:rsidP="007E58CB">
            <w:pPr>
              <w:spacing w:before="0" w:after="0"/>
              <w:rPr>
                <w:szCs w:val="20"/>
              </w:rPr>
            </w:pPr>
            <w:r w:rsidRPr="007E58CB">
              <w:rPr>
                <w:szCs w:val="20"/>
              </w:rPr>
              <w:t>Clinical practice guidelines</w:t>
            </w:r>
          </w:p>
        </w:tc>
        <w:tc>
          <w:tcPr>
            <w:tcW w:w="2155" w:type="dxa"/>
          </w:tcPr>
          <w:p w14:paraId="0E9DEB02" w14:textId="77777777" w:rsidR="007E58CB" w:rsidRPr="007E58CB" w:rsidRDefault="007E58CB" w:rsidP="007E58CB">
            <w:pPr>
              <w:spacing w:before="0" w:after="0"/>
              <w:rPr>
                <w:szCs w:val="20"/>
              </w:rPr>
            </w:pPr>
            <w:r w:rsidRPr="007E58CB">
              <w:rPr>
                <w:szCs w:val="20"/>
              </w:rPr>
              <w:t>Australian Cancer Network Diagnosis and Management of Lymphoma Guidelines Working Party: Clinical Practice Guidelines or the Diagnosis and Management of Lymphoma. The Cancer Council Australia and Australian Cancer Network. Sydney 2005</w:t>
            </w:r>
          </w:p>
        </w:tc>
        <w:tc>
          <w:tcPr>
            <w:tcW w:w="1814" w:type="dxa"/>
          </w:tcPr>
          <w:p w14:paraId="5B4D620C" w14:textId="77777777" w:rsidR="007E58CB" w:rsidRPr="007E58CB" w:rsidRDefault="007E58CB" w:rsidP="007E58CB">
            <w:pPr>
              <w:spacing w:before="0" w:after="0"/>
              <w:rPr>
                <w:szCs w:val="20"/>
              </w:rPr>
            </w:pPr>
            <w:r w:rsidRPr="007E58CB">
              <w:rPr>
                <w:szCs w:val="20"/>
              </w:rPr>
              <w:t>NHMRC clinical practice guidelines providing levels of evidence for the recommendations.</w:t>
            </w:r>
          </w:p>
        </w:tc>
        <w:tc>
          <w:tcPr>
            <w:tcW w:w="1757" w:type="dxa"/>
          </w:tcPr>
          <w:p w14:paraId="42B75AA6" w14:textId="2F0AB7AE" w:rsidR="007E58CB" w:rsidRPr="007E58CB" w:rsidRDefault="00746A08" w:rsidP="007E58CB">
            <w:pPr>
              <w:spacing w:before="0" w:after="0"/>
              <w:rPr>
                <w:szCs w:val="20"/>
              </w:rPr>
            </w:pPr>
            <w:hyperlink r:id="rId13" w:history="1">
              <w:r w:rsidR="0079379E">
                <w:rPr>
                  <w:color w:val="0000FF" w:themeColor="hyperlink"/>
                  <w:szCs w:val="20"/>
                  <w:u w:val="single"/>
                </w:rPr>
                <w:t>Clinical Practice Guidelines for the Diagnosis and Management of Lymphoma</w:t>
              </w:r>
            </w:hyperlink>
            <w:r w:rsidR="007E58CB" w:rsidRPr="007E58CB">
              <w:rPr>
                <w:szCs w:val="20"/>
              </w:rPr>
              <w:t xml:space="preserve"> </w:t>
            </w:r>
          </w:p>
        </w:tc>
        <w:tc>
          <w:tcPr>
            <w:tcW w:w="998" w:type="dxa"/>
          </w:tcPr>
          <w:p w14:paraId="0F1D688D" w14:textId="77777777" w:rsidR="007E58CB" w:rsidRPr="007E58CB" w:rsidRDefault="007E58CB" w:rsidP="007E58CB">
            <w:pPr>
              <w:spacing w:before="0" w:after="0"/>
              <w:rPr>
                <w:szCs w:val="20"/>
              </w:rPr>
            </w:pPr>
            <w:r w:rsidRPr="007E58CB">
              <w:rPr>
                <w:szCs w:val="20"/>
              </w:rPr>
              <w:t>8 Dec 2005</w:t>
            </w:r>
          </w:p>
        </w:tc>
      </w:tr>
      <w:tr w:rsidR="007E58CB" w:rsidRPr="007E58CB" w14:paraId="0DA32C4F" w14:textId="77777777" w:rsidTr="000B18F9">
        <w:tc>
          <w:tcPr>
            <w:tcW w:w="567" w:type="dxa"/>
          </w:tcPr>
          <w:p w14:paraId="282CEC2D" w14:textId="77777777" w:rsidR="007E58CB" w:rsidRPr="007E58CB" w:rsidRDefault="007E58CB" w:rsidP="007E58CB">
            <w:pPr>
              <w:spacing w:before="0" w:after="0"/>
              <w:rPr>
                <w:szCs w:val="20"/>
              </w:rPr>
            </w:pPr>
            <w:r w:rsidRPr="007E58CB">
              <w:rPr>
                <w:szCs w:val="20"/>
              </w:rPr>
              <w:t>2.</w:t>
            </w:r>
          </w:p>
        </w:tc>
        <w:tc>
          <w:tcPr>
            <w:tcW w:w="1417" w:type="dxa"/>
          </w:tcPr>
          <w:p w14:paraId="5E6D36AA" w14:textId="77777777" w:rsidR="007E58CB" w:rsidRPr="007E58CB" w:rsidRDefault="007E58CB" w:rsidP="007E58CB">
            <w:pPr>
              <w:spacing w:before="0" w:after="0"/>
              <w:rPr>
                <w:szCs w:val="20"/>
              </w:rPr>
            </w:pPr>
            <w:r w:rsidRPr="007E58CB">
              <w:rPr>
                <w:szCs w:val="20"/>
              </w:rPr>
              <w:t>Clinical practice guidelines</w:t>
            </w:r>
          </w:p>
        </w:tc>
        <w:tc>
          <w:tcPr>
            <w:tcW w:w="2155" w:type="dxa"/>
          </w:tcPr>
          <w:p w14:paraId="1ED6FA11" w14:textId="77777777" w:rsidR="007E58CB" w:rsidRPr="007E58CB" w:rsidRDefault="007E58CB" w:rsidP="007E58CB">
            <w:pPr>
              <w:spacing w:before="0" w:after="0"/>
              <w:rPr>
                <w:szCs w:val="20"/>
              </w:rPr>
            </w:pPr>
            <w:proofErr w:type="spellStart"/>
            <w:r w:rsidRPr="007E58CB">
              <w:rPr>
                <w:szCs w:val="20"/>
              </w:rPr>
              <w:t>Swerdlow</w:t>
            </w:r>
            <w:proofErr w:type="spellEnd"/>
            <w:r w:rsidRPr="007E58CB">
              <w:rPr>
                <w:szCs w:val="20"/>
              </w:rPr>
              <w:t xml:space="preserve"> SC, E. Lee Harris</w:t>
            </w:r>
            <w:proofErr w:type="gramStart"/>
            <w:r w:rsidRPr="007E58CB">
              <w:rPr>
                <w:szCs w:val="20"/>
              </w:rPr>
              <w:t>,  N</w:t>
            </w:r>
            <w:proofErr w:type="gramEnd"/>
            <w:r w:rsidRPr="007E58CB">
              <w:rPr>
                <w:szCs w:val="20"/>
              </w:rPr>
              <w:t xml:space="preserve">. Jaffe,  E.S. </w:t>
            </w:r>
            <w:proofErr w:type="spellStart"/>
            <w:r w:rsidRPr="007E58CB">
              <w:rPr>
                <w:szCs w:val="20"/>
              </w:rPr>
              <w:t>Pileri</w:t>
            </w:r>
            <w:proofErr w:type="spellEnd"/>
            <w:r w:rsidRPr="007E58CB">
              <w:rPr>
                <w:szCs w:val="20"/>
              </w:rPr>
              <w:t xml:space="preserve">,  S.A. Stein, H. Thiele,  J. </w:t>
            </w:r>
            <w:proofErr w:type="spellStart"/>
            <w:r w:rsidRPr="007E58CB">
              <w:rPr>
                <w:szCs w:val="20"/>
              </w:rPr>
              <w:t>Vardiman</w:t>
            </w:r>
            <w:proofErr w:type="spellEnd"/>
            <w:r w:rsidRPr="007E58CB">
              <w:rPr>
                <w:szCs w:val="20"/>
              </w:rPr>
              <w:t>, J.W.: WHO Classification of Tumours of Haematopoietic and Lymphoid Tissue. Lyon, France, IARC Press, 2008</w:t>
            </w:r>
          </w:p>
        </w:tc>
        <w:tc>
          <w:tcPr>
            <w:tcW w:w="1814" w:type="dxa"/>
          </w:tcPr>
          <w:p w14:paraId="38441DA4" w14:textId="77777777" w:rsidR="007E58CB" w:rsidRPr="007E58CB" w:rsidRDefault="007E58CB" w:rsidP="007E58CB">
            <w:pPr>
              <w:spacing w:before="0" w:after="0"/>
              <w:rPr>
                <w:szCs w:val="20"/>
              </w:rPr>
            </w:pPr>
            <w:r w:rsidRPr="007E58CB">
              <w:rPr>
                <w:szCs w:val="20"/>
              </w:rPr>
              <w:t>World Health Organization clinical practice guidelines on the classification of tumours providing levels of evidence for the recommendations.</w:t>
            </w:r>
          </w:p>
        </w:tc>
        <w:tc>
          <w:tcPr>
            <w:tcW w:w="1757" w:type="dxa"/>
          </w:tcPr>
          <w:p w14:paraId="2831F0A6" w14:textId="77777777" w:rsidR="007E58CB" w:rsidRPr="007E58CB" w:rsidRDefault="007E58CB" w:rsidP="007E58CB">
            <w:pPr>
              <w:spacing w:before="0" w:after="0"/>
              <w:rPr>
                <w:szCs w:val="20"/>
              </w:rPr>
            </w:pPr>
            <w:r w:rsidRPr="007E58CB">
              <w:rPr>
                <w:szCs w:val="20"/>
              </w:rPr>
              <w:t>Book –no URL available</w:t>
            </w:r>
          </w:p>
        </w:tc>
        <w:tc>
          <w:tcPr>
            <w:tcW w:w="998" w:type="dxa"/>
          </w:tcPr>
          <w:p w14:paraId="1EE9E281" w14:textId="77777777" w:rsidR="007E58CB" w:rsidRPr="007E58CB" w:rsidRDefault="007E58CB" w:rsidP="007E58CB">
            <w:pPr>
              <w:spacing w:before="0" w:after="0"/>
              <w:rPr>
                <w:szCs w:val="20"/>
              </w:rPr>
            </w:pPr>
            <w:r w:rsidRPr="007E58CB">
              <w:rPr>
                <w:szCs w:val="20"/>
              </w:rPr>
              <w:t>2008</w:t>
            </w:r>
          </w:p>
        </w:tc>
      </w:tr>
      <w:tr w:rsidR="007E58CB" w:rsidRPr="007E58CB" w14:paraId="69928E2F" w14:textId="77777777" w:rsidTr="000B18F9">
        <w:tc>
          <w:tcPr>
            <w:tcW w:w="567" w:type="dxa"/>
          </w:tcPr>
          <w:p w14:paraId="47E78414" w14:textId="77777777" w:rsidR="007E58CB" w:rsidRPr="007E58CB" w:rsidRDefault="007E58CB" w:rsidP="007E58CB">
            <w:pPr>
              <w:spacing w:before="0" w:after="0"/>
              <w:rPr>
                <w:szCs w:val="20"/>
              </w:rPr>
            </w:pPr>
            <w:r w:rsidRPr="007E58CB">
              <w:rPr>
                <w:szCs w:val="20"/>
              </w:rPr>
              <w:t>3.</w:t>
            </w:r>
          </w:p>
        </w:tc>
        <w:tc>
          <w:tcPr>
            <w:tcW w:w="1417" w:type="dxa"/>
          </w:tcPr>
          <w:p w14:paraId="17C2C1A5" w14:textId="77777777" w:rsidR="007E58CB" w:rsidRPr="007E58CB" w:rsidRDefault="007E58CB" w:rsidP="007E58CB">
            <w:pPr>
              <w:spacing w:before="0" w:after="0"/>
              <w:rPr>
                <w:szCs w:val="20"/>
              </w:rPr>
            </w:pPr>
            <w:r w:rsidRPr="007E58CB">
              <w:rPr>
                <w:szCs w:val="20"/>
              </w:rPr>
              <w:t>Clinical practice guidelines</w:t>
            </w:r>
          </w:p>
        </w:tc>
        <w:tc>
          <w:tcPr>
            <w:tcW w:w="2155" w:type="dxa"/>
          </w:tcPr>
          <w:p w14:paraId="258B8A45" w14:textId="77777777" w:rsidR="007E58CB" w:rsidRPr="007E58CB" w:rsidRDefault="007E58CB" w:rsidP="007E58CB">
            <w:pPr>
              <w:spacing w:before="0" w:after="0"/>
              <w:rPr>
                <w:szCs w:val="20"/>
              </w:rPr>
            </w:pPr>
            <w:r w:rsidRPr="007E58CB">
              <w:rPr>
                <w:szCs w:val="20"/>
              </w:rPr>
              <w:t>Parker A, Bain B, Devereux S, et al: British Committee for Standards in Haematology. Best Practice in Lymphoma Diagnosis and Reporting. Royal College of Pathologists, London, 2010</w:t>
            </w:r>
          </w:p>
        </w:tc>
        <w:tc>
          <w:tcPr>
            <w:tcW w:w="1814" w:type="dxa"/>
          </w:tcPr>
          <w:p w14:paraId="75443CCC" w14:textId="77777777" w:rsidR="007E58CB" w:rsidRPr="007E58CB" w:rsidRDefault="007E58CB" w:rsidP="007E58CB">
            <w:pPr>
              <w:spacing w:before="0" w:after="0"/>
              <w:rPr>
                <w:szCs w:val="20"/>
              </w:rPr>
            </w:pPr>
            <w:r w:rsidRPr="007E58CB">
              <w:rPr>
                <w:szCs w:val="20"/>
              </w:rPr>
              <w:t>UK clinical practice guidelines on the classification of haematological malignancies providing levels of evidence for the recommendations.</w:t>
            </w:r>
          </w:p>
        </w:tc>
        <w:tc>
          <w:tcPr>
            <w:tcW w:w="1757" w:type="dxa"/>
          </w:tcPr>
          <w:p w14:paraId="2579836C" w14:textId="32990CE9" w:rsidR="0079379E" w:rsidRDefault="00746A08" w:rsidP="007E58CB">
            <w:pPr>
              <w:spacing w:before="0" w:after="0"/>
              <w:rPr>
                <w:szCs w:val="20"/>
              </w:rPr>
            </w:pPr>
            <w:hyperlink r:id="rId14" w:history="1">
              <w:r w:rsidR="0079379E">
                <w:rPr>
                  <w:rStyle w:val="Hyperlink"/>
                  <w:szCs w:val="20"/>
                </w:rPr>
                <w:t>Best Practice in Lymphoma Diagnosis and Reporting</w:t>
              </w:r>
            </w:hyperlink>
          </w:p>
          <w:p w14:paraId="55DD661A" w14:textId="439E2836" w:rsidR="0079379E" w:rsidRPr="007E58CB" w:rsidRDefault="0079379E" w:rsidP="007E58CB">
            <w:pPr>
              <w:spacing w:before="0" w:after="0"/>
              <w:rPr>
                <w:szCs w:val="20"/>
              </w:rPr>
            </w:pPr>
          </w:p>
        </w:tc>
        <w:tc>
          <w:tcPr>
            <w:tcW w:w="998" w:type="dxa"/>
          </w:tcPr>
          <w:p w14:paraId="29A2E75C" w14:textId="77777777" w:rsidR="007E58CB" w:rsidRPr="007E58CB" w:rsidRDefault="007E58CB" w:rsidP="007E58CB">
            <w:pPr>
              <w:spacing w:before="0" w:after="0"/>
              <w:rPr>
                <w:szCs w:val="20"/>
              </w:rPr>
            </w:pPr>
            <w:r w:rsidRPr="007E58CB">
              <w:rPr>
                <w:szCs w:val="20"/>
              </w:rPr>
              <w:t>2010</w:t>
            </w:r>
          </w:p>
        </w:tc>
      </w:tr>
      <w:tr w:rsidR="007E58CB" w:rsidRPr="007E58CB" w14:paraId="519EE8EC" w14:textId="77777777" w:rsidTr="000B18F9">
        <w:tc>
          <w:tcPr>
            <w:tcW w:w="567" w:type="dxa"/>
          </w:tcPr>
          <w:p w14:paraId="36659224" w14:textId="77777777" w:rsidR="007E58CB" w:rsidRPr="007E58CB" w:rsidRDefault="007E58CB" w:rsidP="007E58CB">
            <w:pPr>
              <w:spacing w:before="0" w:after="0"/>
              <w:rPr>
                <w:szCs w:val="20"/>
              </w:rPr>
            </w:pPr>
            <w:r w:rsidRPr="007E58CB">
              <w:rPr>
                <w:szCs w:val="20"/>
              </w:rPr>
              <w:t>4.</w:t>
            </w:r>
          </w:p>
        </w:tc>
        <w:tc>
          <w:tcPr>
            <w:tcW w:w="1417" w:type="dxa"/>
          </w:tcPr>
          <w:p w14:paraId="71A44C96" w14:textId="77777777" w:rsidR="007E58CB" w:rsidRPr="007E58CB" w:rsidRDefault="007E58CB" w:rsidP="007E58CB">
            <w:pPr>
              <w:spacing w:before="0" w:after="0"/>
              <w:rPr>
                <w:szCs w:val="20"/>
              </w:rPr>
            </w:pPr>
            <w:r w:rsidRPr="007E58CB">
              <w:rPr>
                <w:szCs w:val="20"/>
              </w:rPr>
              <w:t>Educational publication</w:t>
            </w:r>
          </w:p>
        </w:tc>
        <w:tc>
          <w:tcPr>
            <w:tcW w:w="2155" w:type="dxa"/>
          </w:tcPr>
          <w:p w14:paraId="471B0AB5" w14:textId="77777777" w:rsidR="007E58CB" w:rsidRPr="007E58CB" w:rsidRDefault="007E58CB" w:rsidP="007E58CB">
            <w:pPr>
              <w:spacing w:before="0" w:after="0"/>
              <w:rPr>
                <w:szCs w:val="20"/>
              </w:rPr>
            </w:pPr>
            <w:r w:rsidRPr="007E58CB">
              <w:rPr>
                <w:rFonts w:ascii="Segoe UI" w:hAnsi="Segoe UI" w:cs="Segoe UI"/>
                <w:sz w:val="18"/>
                <w:szCs w:val="18"/>
              </w:rPr>
              <w:t>Sarkozy C, Traverse-</w:t>
            </w:r>
            <w:proofErr w:type="spellStart"/>
            <w:r w:rsidRPr="007E58CB">
              <w:rPr>
                <w:rFonts w:ascii="Segoe UI" w:hAnsi="Segoe UI" w:cs="Segoe UI"/>
                <w:sz w:val="18"/>
                <w:szCs w:val="18"/>
              </w:rPr>
              <w:t>Glehen</w:t>
            </w:r>
            <w:proofErr w:type="spellEnd"/>
            <w:r w:rsidRPr="007E58CB">
              <w:rPr>
                <w:rFonts w:ascii="Segoe UI" w:hAnsi="Segoe UI" w:cs="Segoe UI"/>
                <w:sz w:val="18"/>
                <w:szCs w:val="18"/>
              </w:rPr>
              <w:t xml:space="preserve"> A, </w:t>
            </w:r>
            <w:proofErr w:type="spellStart"/>
            <w:r w:rsidRPr="007E58CB">
              <w:rPr>
                <w:rFonts w:ascii="Segoe UI" w:hAnsi="Segoe UI" w:cs="Segoe UI"/>
                <w:sz w:val="18"/>
                <w:szCs w:val="18"/>
              </w:rPr>
              <w:t>Coiffier</w:t>
            </w:r>
            <w:proofErr w:type="spellEnd"/>
            <w:r w:rsidRPr="007E58CB">
              <w:rPr>
                <w:rFonts w:ascii="Segoe UI" w:hAnsi="Segoe UI" w:cs="Segoe UI"/>
                <w:sz w:val="18"/>
                <w:szCs w:val="18"/>
              </w:rPr>
              <w:t xml:space="preserve"> B. Double-hit and double-protein-expression lymphomas: aggressive and refractory lymphomas. Lancet </w:t>
            </w:r>
            <w:proofErr w:type="spellStart"/>
            <w:r w:rsidRPr="007E58CB">
              <w:rPr>
                <w:rFonts w:ascii="Segoe UI" w:hAnsi="Segoe UI" w:cs="Segoe UI"/>
                <w:sz w:val="18"/>
                <w:szCs w:val="18"/>
              </w:rPr>
              <w:t>Oncol</w:t>
            </w:r>
            <w:proofErr w:type="spellEnd"/>
            <w:r w:rsidRPr="007E58CB">
              <w:rPr>
                <w:rFonts w:ascii="Segoe UI" w:hAnsi="Segoe UI" w:cs="Segoe UI"/>
                <w:sz w:val="18"/>
                <w:szCs w:val="18"/>
              </w:rPr>
              <w:t>.</w:t>
            </w:r>
          </w:p>
        </w:tc>
        <w:tc>
          <w:tcPr>
            <w:tcW w:w="1814" w:type="dxa"/>
          </w:tcPr>
          <w:p w14:paraId="7376911A" w14:textId="77777777" w:rsidR="007E58CB" w:rsidRPr="007E58CB" w:rsidRDefault="007E58CB" w:rsidP="007E58CB">
            <w:pPr>
              <w:spacing w:before="0" w:after="0"/>
              <w:rPr>
                <w:szCs w:val="20"/>
              </w:rPr>
            </w:pPr>
            <w:r w:rsidRPr="007E58CB">
              <w:rPr>
                <w:szCs w:val="20"/>
              </w:rPr>
              <w:t>Review of clinical implications of gene rearrangements in double hit lymphomas.</w:t>
            </w:r>
          </w:p>
        </w:tc>
        <w:tc>
          <w:tcPr>
            <w:tcW w:w="1757" w:type="dxa"/>
          </w:tcPr>
          <w:p w14:paraId="26A97A00" w14:textId="23C539E6" w:rsidR="007E58CB" w:rsidRPr="007E58CB" w:rsidRDefault="00746A08" w:rsidP="007E58CB">
            <w:pPr>
              <w:spacing w:before="0" w:after="0"/>
              <w:rPr>
                <w:sz w:val="22"/>
              </w:rPr>
            </w:pPr>
            <w:hyperlink r:id="rId15" w:history="1">
              <w:r w:rsidR="003F0E81">
                <w:rPr>
                  <w:rFonts w:ascii="Segoe UI" w:hAnsi="Segoe UI" w:cs="Segoe UI"/>
                  <w:color w:val="0000FF" w:themeColor="hyperlink"/>
                  <w:sz w:val="18"/>
                  <w:szCs w:val="18"/>
                  <w:u w:val="single"/>
                </w:rPr>
                <w:t>Double-hit and double-protein-expression lymphomas: aggressive and refractory lymphomas</w:t>
              </w:r>
            </w:hyperlink>
            <w:r w:rsidR="007E58CB" w:rsidRPr="007E58CB">
              <w:rPr>
                <w:rFonts w:ascii="Segoe UI" w:hAnsi="Segoe UI" w:cs="Segoe UI"/>
                <w:sz w:val="18"/>
                <w:szCs w:val="18"/>
              </w:rPr>
              <w:t xml:space="preserve"> </w:t>
            </w:r>
          </w:p>
        </w:tc>
        <w:tc>
          <w:tcPr>
            <w:tcW w:w="998" w:type="dxa"/>
          </w:tcPr>
          <w:p w14:paraId="4EBA06AD" w14:textId="77777777" w:rsidR="007E58CB" w:rsidRPr="007E58CB" w:rsidRDefault="007E58CB" w:rsidP="007E58CB">
            <w:pPr>
              <w:spacing w:before="0" w:after="0"/>
              <w:rPr>
                <w:szCs w:val="20"/>
              </w:rPr>
            </w:pPr>
            <w:r w:rsidRPr="007E58CB">
              <w:rPr>
                <w:szCs w:val="20"/>
              </w:rPr>
              <w:t>2015</w:t>
            </w:r>
          </w:p>
        </w:tc>
      </w:tr>
      <w:tr w:rsidR="007E58CB" w:rsidRPr="007E58CB" w14:paraId="18DF82EB" w14:textId="77777777" w:rsidTr="000B18F9">
        <w:tc>
          <w:tcPr>
            <w:tcW w:w="567" w:type="dxa"/>
          </w:tcPr>
          <w:p w14:paraId="585A89EA" w14:textId="77777777" w:rsidR="007E58CB" w:rsidRPr="007E58CB" w:rsidRDefault="007E58CB" w:rsidP="007E58CB">
            <w:pPr>
              <w:spacing w:before="0" w:after="0"/>
              <w:rPr>
                <w:szCs w:val="20"/>
              </w:rPr>
            </w:pPr>
            <w:r w:rsidRPr="007E58CB">
              <w:rPr>
                <w:szCs w:val="20"/>
              </w:rPr>
              <w:t>5.</w:t>
            </w:r>
          </w:p>
        </w:tc>
        <w:tc>
          <w:tcPr>
            <w:tcW w:w="1417" w:type="dxa"/>
          </w:tcPr>
          <w:p w14:paraId="2469AA3B" w14:textId="77777777" w:rsidR="007E58CB" w:rsidRPr="007E58CB" w:rsidRDefault="007E58CB" w:rsidP="007E58CB">
            <w:pPr>
              <w:spacing w:before="0" w:after="0"/>
              <w:rPr>
                <w:szCs w:val="20"/>
              </w:rPr>
            </w:pPr>
            <w:r w:rsidRPr="007E58CB">
              <w:rPr>
                <w:szCs w:val="20"/>
              </w:rPr>
              <w:t>Clinical trial</w:t>
            </w:r>
          </w:p>
        </w:tc>
        <w:tc>
          <w:tcPr>
            <w:tcW w:w="2155" w:type="dxa"/>
          </w:tcPr>
          <w:p w14:paraId="04B45335" w14:textId="77777777" w:rsidR="007E58CB" w:rsidRPr="007E58CB" w:rsidRDefault="007E58CB" w:rsidP="007E58CB">
            <w:pPr>
              <w:spacing w:before="0" w:after="0"/>
              <w:rPr>
                <w:rFonts w:ascii="Segoe UI" w:hAnsi="Segoe UI" w:cs="Segoe UI"/>
                <w:sz w:val="18"/>
                <w:szCs w:val="18"/>
              </w:rPr>
            </w:pPr>
            <w:r w:rsidRPr="007E58CB">
              <w:rPr>
                <w:rFonts w:ascii="Segoe UI" w:hAnsi="Segoe UI" w:cs="Segoe UI"/>
                <w:sz w:val="18"/>
                <w:szCs w:val="18"/>
              </w:rPr>
              <w:t xml:space="preserve">Horn H, </w:t>
            </w:r>
            <w:proofErr w:type="spellStart"/>
            <w:r w:rsidRPr="007E58CB">
              <w:rPr>
                <w:rFonts w:ascii="Segoe UI" w:hAnsi="Segoe UI" w:cs="Segoe UI"/>
                <w:sz w:val="18"/>
                <w:szCs w:val="18"/>
              </w:rPr>
              <w:t>Ziepert</w:t>
            </w:r>
            <w:proofErr w:type="spellEnd"/>
            <w:r w:rsidRPr="007E58CB">
              <w:rPr>
                <w:rFonts w:ascii="Segoe UI" w:hAnsi="Segoe UI" w:cs="Segoe UI"/>
                <w:sz w:val="18"/>
                <w:szCs w:val="18"/>
              </w:rPr>
              <w:t xml:space="preserve"> M, Becher C, et al. MYC </w:t>
            </w:r>
            <w:r w:rsidRPr="007E58CB">
              <w:rPr>
                <w:rFonts w:ascii="Segoe UI" w:hAnsi="Segoe UI" w:cs="Segoe UI"/>
                <w:sz w:val="18"/>
                <w:szCs w:val="18"/>
              </w:rPr>
              <w:lastRenderedPageBreak/>
              <w:t>status in concert with BCL2 and BCL6 expression predicts outcome in diffuse large B-cell lymphoma. Blood. 2013</w:t>
            </w:r>
            <w:proofErr w:type="gramStart"/>
            <w:r w:rsidRPr="007E58CB">
              <w:rPr>
                <w:rFonts w:ascii="Segoe UI" w:hAnsi="Segoe UI" w:cs="Segoe UI"/>
                <w:sz w:val="18"/>
                <w:szCs w:val="18"/>
              </w:rPr>
              <w:t>;121</w:t>
            </w:r>
            <w:proofErr w:type="gramEnd"/>
            <w:r w:rsidRPr="007E58CB">
              <w:rPr>
                <w:rFonts w:ascii="Segoe UI" w:hAnsi="Segoe UI" w:cs="Segoe UI"/>
                <w:sz w:val="18"/>
                <w:szCs w:val="18"/>
              </w:rPr>
              <w:t>(12):2253-63.</w:t>
            </w:r>
          </w:p>
        </w:tc>
        <w:tc>
          <w:tcPr>
            <w:tcW w:w="1814" w:type="dxa"/>
          </w:tcPr>
          <w:p w14:paraId="14E8CD75" w14:textId="77777777" w:rsidR="007E58CB" w:rsidRPr="007E58CB" w:rsidRDefault="007E58CB" w:rsidP="007E58CB">
            <w:pPr>
              <w:spacing w:before="0" w:after="0"/>
              <w:rPr>
                <w:szCs w:val="20"/>
              </w:rPr>
            </w:pPr>
            <w:r w:rsidRPr="007E58CB">
              <w:rPr>
                <w:szCs w:val="20"/>
              </w:rPr>
              <w:lastRenderedPageBreak/>
              <w:t xml:space="preserve">Results from the RICOVER clinical </w:t>
            </w:r>
            <w:r w:rsidRPr="007E58CB">
              <w:rPr>
                <w:szCs w:val="20"/>
              </w:rPr>
              <w:lastRenderedPageBreak/>
              <w:t>trial demonstrating poorer outcomes for DLBCL with MYC, BCL2 and BCL6 rearrangements following treatment with R-CHOP</w:t>
            </w:r>
          </w:p>
        </w:tc>
        <w:tc>
          <w:tcPr>
            <w:tcW w:w="1757" w:type="dxa"/>
          </w:tcPr>
          <w:p w14:paraId="421EB3A2" w14:textId="760CF5EA" w:rsidR="007E58CB" w:rsidRPr="007E58CB" w:rsidRDefault="00746A08" w:rsidP="007E58CB">
            <w:pPr>
              <w:spacing w:before="0" w:after="0"/>
              <w:rPr>
                <w:rFonts w:ascii="Segoe UI" w:hAnsi="Segoe UI" w:cs="Segoe UI"/>
                <w:sz w:val="18"/>
                <w:szCs w:val="18"/>
              </w:rPr>
            </w:pPr>
            <w:hyperlink r:id="rId16" w:history="1">
              <w:r w:rsidR="003F0E81">
                <w:rPr>
                  <w:rFonts w:ascii="Segoe UI" w:hAnsi="Segoe UI" w:cs="Segoe UI"/>
                  <w:color w:val="0000FF" w:themeColor="hyperlink"/>
                  <w:sz w:val="18"/>
                  <w:szCs w:val="18"/>
                  <w:u w:val="single"/>
                </w:rPr>
                <w:t xml:space="preserve">MYC status in concert with BCL2 </w:t>
              </w:r>
              <w:r w:rsidR="003F0E81">
                <w:rPr>
                  <w:rFonts w:ascii="Segoe UI" w:hAnsi="Segoe UI" w:cs="Segoe UI"/>
                  <w:color w:val="0000FF" w:themeColor="hyperlink"/>
                  <w:sz w:val="18"/>
                  <w:szCs w:val="18"/>
                  <w:u w:val="single"/>
                </w:rPr>
                <w:lastRenderedPageBreak/>
                <w:t>and BCL6 expression predicts outcome in diffuse large B-cell lymphoma</w:t>
              </w:r>
            </w:hyperlink>
            <w:r w:rsidR="007E58CB" w:rsidRPr="007E58CB">
              <w:rPr>
                <w:rFonts w:ascii="Segoe UI" w:hAnsi="Segoe UI" w:cs="Segoe UI"/>
                <w:sz w:val="18"/>
                <w:szCs w:val="18"/>
              </w:rPr>
              <w:t xml:space="preserve"> </w:t>
            </w:r>
          </w:p>
        </w:tc>
        <w:tc>
          <w:tcPr>
            <w:tcW w:w="998" w:type="dxa"/>
          </w:tcPr>
          <w:p w14:paraId="2EDE152F" w14:textId="77777777" w:rsidR="007E58CB" w:rsidRPr="007E58CB" w:rsidRDefault="007E58CB" w:rsidP="007E58CB">
            <w:pPr>
              <w:spacing w:before="0" w:after="0"/>
              <w:rPr>
                <w:szCs w:val="20"/>
              </w:rPr>
            </w:pPr>
            <w:r w:rsidRPr="007E58CB">
              <w:rPr>
                <w:szCs w:val="20"/>
              </w:rPr>
              <w:lastRenderedPageBreak/>
              <w:t>2013</w:t>
            </w:r>
          </w:p>
        </w:tc>
      </w:tr>
      <w:tr w:rsidR="007E58CB" w:rsidRPr="007E58CB" w14:paraId="132C1A6C" w14:textId="77777777" w:rsidTr="000B18F9">
        <w:tc>
          <w:tcPr>
            <w:tcW w:w="567" w:type="dxa"/>
          </w:tcPr>
          <w:p w14:paraId="51AE38DA" w14:textId="77777777" w:rsidR="007E58CB" w:rsidRPr="007E58CB" w:rsidRDefault="007E58CB" w:rsidP="007E58CB">
            <w:pPr>
              <w:spacing w:before="0" w:after="0"/>
              <w:rPr>
                <w:szCs w:val="20"/>
              </w:rPr>
            </w:pPr>
            <w:r w:rsidRPr="007E58CB">
              <w:rPr>
                <w:szCs w:val="20"/>
              </w:rPr>
              <w:lastRenderedPageBreak/>
              <w:t>6.</w:t>
            </w:r>
          </w:p>
        </w:tc>
        <w:tc>
          <w:tcPr>
            <w:tcW w:w="1417" w:type="dxa"/>
          </w:tcPr>
          <w:p w14:paraId="23C7E7FA" w14:textId="77777777" w:rsidR="007E58CB" w:rsidRPr="007E58CB" w:rsidRDefault="007E58CB" w:rsidP="007E58CB">
            <w:pPr>
              <w:spacing w:before="0" w:after="0"/>
              <w:rPr>
                <w:szCs w:val="20"/>
              </w:rPr>
            </w:pPr>
            <w:r w:rsidRPr="007E58CB">
              <w:rPr>
                <w:szCs w:val="20"/>
              </w:rPr>
              <w:t>Observational study</w:t>
            </w:r>
          </w:p>
        </w:tc>
        <w:tc>
          <w:tcPr>
            <w:tcW w:w="2155" w:type="dxa"/>
          </w:tcPr>
          <w:p w14:paraId="471B210F" w14:textId="77777777" w:rsidR="007E58CB" w:rsidRPr="007E58CB" w:rsidRDefault="007E58CB" w:rsidP="007E58CB">
            <w:pPr>
              <w:spacing w:before="0" w:after="0"/>
              <w:rPr>
                <w:rFonts w:ascii="Segoe UI" w:hAnsi="Segoe UI" w:cs="Segoe UI"/>
                <w:sz w:val="18"/>
                <w:szCs w:val="18"/>
              </w:rPr>
            </w:pPr>
            <w:r w:rsidRPr="007E58CB">
              <w:rPr>
                <w:rFonts w:ascii="Segoe UI" w:eastAsia="Times New Roman" w:hAnsi="Segoe UI" w:cs="Segoe UI"/>
                <w:sz w:val="18"/>
                <w:szCs w:val="18"/>
              </w:rPr>
              <w:t xml:space="preserve">Agarwal R, Lade S, </w:t>
            </w:r>
            <w:proofErr w:type="spellStart"/>
            <w:r w:rsidRPr="007E58CB">
              <w:rPr>
                <w:rFonts w:ascii="Segoe UI" w:eastAsia="Times New Roman" w:hAnsi="Segoe UI" w:cs="Segoe UI"/>
                <w:sz w:val="18"/>
                <w:szCs w:val="18"/>
              </w:rPr>
              <w:t>Liew</w:t>
            </w:r>
            <w:proofErr w:type="spellEnd"/>
            <w:r w:rsidRPr="007E58CB">
              <w:rPr>
                <w:rFonts w:ascii="Segoe UI" w:eastAsia="Times New Roman" w:hAnsi="Segoe UI" w:cs="Segoe UI"/>
                <w:sz w:val="18"/>
                <w:szCs w:val="18"/>
              </w:rPr>
              <w:t xml:space="preserve"> D, et al. Role of immunohistochemistry in the era of genetic testing in MYC-positive aggressive B-cell lymphomas: a study of 209 cases. J </w:t>
            </w:r>
            <w:proofErr w:type="spellStart"/>
            <w:r w:rsidRPr="007E58CB">
              <w:rPr>
                <w:rFonts w:ascii="Segoe UI" w:eastAsia="Times New Roman" w:hAnsi="Segoe UI" w:cs="Segoe UI"/>
                <w:sz w:val="18"/>
                <w:szCs w:val="18"/>
              </w:rPr>
              <w:t>Clin</w:t>
            </w:r>
            <w:proofErr w:type="spellEnd"/>
            <w:r w:rsidRPr="007E58CB">
              <w:rPr>
                <w:rFonts w:ascii="Segoe UI" w:eastAsia="Times New Roman" w:hAnsi="Segoe UI" w:cs="Segoe UI"/>
                <w:sz w:val="18"/>
                <w:szCs w:val="18"/>
              </w:rPr>
              <w:t xml:space="preserve"> </w:t>
            </w:r>
            <w:proofErr w:type="spellStart"/>
            <w:r w:rsidRPr="007E58CB">
              <w:rPr>
                <w:rFonts w:ascii="Segoe UI" w:eastAsia="Times New Roman" w:hAnsi="Segoe UI" w:cs="Segoe UI"/>
                <w:sz w:val="18"/>
                <w:szCs w:val="18"/>
              </w:rPr>
              <w:t>Pathol</w:t>
            </w:r>
            <w:proofErr w:type="spellEnd"/>
            <w:r w:rsidRPr="007E58CB">
              <w:rPr>
                <w:rFonts w:ascii="Segoe UI" w:eastAsia="Times New Roman" w:hAnsi="Segoe UI" w:cs="Segoe UI"/>
                <w:sz w:val="18"/>
                <w:szCs w:val="18"/>
              </w:rPr>
              <w:t>. 2015</w:t>
            </w:r>
          </w:p>
        </w:tc>
        <w:tc>
          <w:tcPr>
            <w:tcW w:w="1814" w:type="dxa"/>
          </w:tcPr>
          <w:p w14:paraId="76D021F9" w14:textId="77777777" w:rsidR="007E58CB" w:rsidRPr="007E58CB" w:rsidRDefault="007E58CB" w:rsidP="007E58CB">
            <w:pPr>
              <w:spacing w:before="0" w:after="0"/>
              <w:rPr>
                <w:szCs w:val="20"/>
              </w:rPr>
            </w:pPr>
            <w:r w:rsidRPr="007E58CB">
              <w:rPr>
                <w:szCs w:val="20"/>
              </w:rPr>
              <w:t>Victorian study of the utility of immunohistochemistry for MYC-positive B-cell lymphomas</w:t>
            </w:r>
          </w:p>
        </w:tc>
        <w:tc>
          <w:tcPr>
            <w:tcW w:w="1757" w:type="dxa"/>
          </w:tcPr>
          <w:p w14:paraId="29B45262" w14:textId="74A48C98" w:rsidR="007E58CB" w:rsidRPr="007E58CB" w:rsidRDefault="00746A08" w:rsidP="007E58CB">
            <w:pPr>
              <w:spacing w:before="0" w:after="0"/>
              <w:rPr>
                <w:rFonts w:ascii="Segoe UI" w:hAnsi="Segoe UI" w:cs="Segoe UI"/>
                <w:sz w:val="18"/>
                <w:szCs w:val="18"/>
              </w:rPr>
            </w:pPr>
            <w:hyperlink r:id="rId17" w:history="1">
              <w:r w:rsidR="003F0E81">
                <w:rPr>
                  <w:rFonts w:ascii="Segoe UI" w:eastAsia="Times New Roman" w:hAnsi="Segoe UI" w:cs="Segoe UI"/>
                  <w:color w:val="0000FF" w:themeColor="hyperlink"/>
                  <w:sz w:val="18"/>
                  <w:szCs w:val="18"/>
                  <w:u w:val="single"/>
                </w:rPr>
                <w:t xml:space="preserve">Role of immunohistochemistry in the era of genetic testing in MYC-positive aggressive B-cell lymphomas: a study of 209 cases </w:t>
              </w:r>
            </w:hyperlink>
          </w:p>
        </w:tc>
        <w:tc>
          <w:tcPr>
            <w:tcW w:w="998" w:type="dxa"/>
          </w:tcPr>
          <w:p w14:paraId="05C93613" w14:textId="77777777" w:rsidR="007E58CB" w:rsidRPr="007E58CB" w:rsidRDefault="007E58CB" w:rsidP="007E58CB">
            <w:pPr>
              <w:spacing w:before="0" w:after="0"/>
              <w:rPr>
                <w:szCs w:val="20"/>
              </w:rPr>
            </w:pPr>
            <w:r w:rsidRPr="007E58CB">
              <w:rPr>
                <w:szCs w:val="20"/>
              </w:rPr>
              <w:t>2017</w:t>
            </w:r>
          </w:p>
        </w:tc>
      </w:tr>
    </w:tbl>
    <w:p w14:paraId="1DFE5875" w14:textId="77777777" w:rsidR="007E58CB" w:rsidRDefault="007E58CB" w:rsidP="007E58CB">
      <w:pPr>
        <w:spacing w:before="0" w:after="0"/>
        <w:ind w:left="284"/>
        <w:rPr>
          <w:b/>
        </w:rPr>
      </w:pPr>
    </w:p>
    <w:p w14:paraId="41945553" w14:textId="77777777" w:rsidR="007E58CB" w:rsidRPr="00CB4D28" w:rsidRDefault="007E58CB" w:rsidP="007E58CB">
      <w:pPr>
        <w:spacing w:before="0" w:after="0"/>
        <w:ind w:left="284"/>
        <w:rPr>
          <w:b/>
        </w:rPr>
      </w:pPr>
      <w:r w:rsidRPr="00CB4D28">
        <w:rPr>
          <w:b/>
        </w:rPr>
        <w:t>Multiple Myeloma</w:t>
      </w:r>
    </w:p>
    <w:p w14:paraId="729A1C4D" w14:textId="77777777" w:rsidR="007E58CB" w:rsidRPr="00CB4D28" w:rsidRDefault="007E58CB" w:rsidP="007E58CB">
      <w:pPr>
        <w:spacing w:before="0" w:after="0"/>
        <w:ind w:left="284"/>
        <w:rPr>
          <w:b/>
        </w:rPr>
      </w:pPr>
    </w:p>
    <w:tbl>
      <w:tblPr>
        <w:tblStyle w:val="TableGrid4"/>
        <w:tblW w:w="0" w:type="auto"/>
        <w:tblInd w:w="534" w:type="dxa"/>
        <w:tblLayout w:type="fixed"/>
        <w:tblLook w:val="04A0" w:firstRow="1" w:lastRow="0" w:firstColumn="1" w:lastColumn="0" w:noHBand="0" w:noVBand="1"/>
        <w:tblCaption w:val="Summary of Evidence"/>
        <w:tblDescription w:val="Summary of Evidence"/>
      </w:tblPr>
      <w:tblGrid>
        <w:gridCol w:w="567"/>
        <w:gridCol w:w="1417"/>
        <w:gridCol w:w="1843"/>
        <w:gridCol w:w="2126"/>
        <w:gridCol w:w="1757"/>
        <w:gridCol w:w="998"/>
      </w:tblGrid>
      <w:tr w:rsidR="007E58CB" w:rsidRPr="007E58CB" w14:paraId="19A63734" w14:textId="77777777" w:rsidTr="00746A08">
        <w:trPr>
          <w:tblHeader/>
        </w:trPr>
        <w:tc>
          <w:tcPr>
            <w:tcW w:w="567" w:type="dxa"/>
          </w:tcPr>
          <w:p w14:paraId="1D3CBD4C" w14:textId="77777777" w:rsidR="007E58CB" w:rsidRPr="007E58CB" w:rsidRDefault="007E58CB" w:rsidP="007E58CB">
            <w:pPr>
              <w:spacing w:before="0" w:after="0"/>
              <w:rPr>
                <w:b/>
                <w:szCs w:val="20"/>
              </w:rPr>
            </w:pPr>
          </w:p>
        </w:tc>
        <w:tc>
          <w:tcPr>
            <w:tcW w:w="1417" w:type="dxa"/>
          </w:tcPr>
          <w:p w14:paraId="3E36C1E2" w14:textId="77777777" w:rsidR="007E58CB" w:rsidRPr="007E58CB" w:rsidRDefault="007E58CB" w:rsidP="007E58CB">
            <w:pPr>
              <w:spacing w:before="0" w:after="0"/>
              <w:rPr>
                <w:b/>
                <w:szCs w:val="20"/>
              </w:rPr>
            </w:pPr>
            <w:r w:rsidRPr="007E58CB">
              <w:rPr>
                <w:b/>
                <w:szCs w:val="20"/>
              </w:rPr>
              <w:t>Type of study design*</w:t>
            </w:r>
          </w:p>
        </w:tc>
        <w:tc>
          <w:tcPr>
            <w:tcW w:w="1843" w:type="dxa"/>
          </w:tcPr>
          <w:p w14:paraId="55B8DA8F" w14:textId="77777777" w:rsidR="007E58CB" w:rsidRPr="007E58CB" w:rsidRDefault="007E58CB" w:rsidP="007E58CB">
            <w:pPr>
              <w:spacing w:before="0" w:after="0"/>
              <w:rPr>
                <w:b/>
                <w:szCs w:val="20"/>
              </w:rPr>
            </w:pPr>
            <w:r w:rsidRPr="007E58CB">
              <w:rPr>
                <w:b/>
                <w:szCs w:val="20"/>
              </w:rPr>
              <w:t>Title of journal article  or research project (including any trial identifier or study lead if relevant)</w:t>
            </w:r>
          </w:p>
        </w:tc>
        <w:tc>
          <w:tcPr>
            <w:tcW w:w="2126" w:type="dxa"/>
          </w:tcPr>
          <w:p w14:paraId="2FA58986" w14:textId="77777777" w:rsidR="007E58CB" w:rsidRPr="007E58CB" w:rsidRDefault="007E58CB" w:rsidP="007E58CB">
            <w:pPr>
              <w:spacing w:before="0" w:after="0"/>
              <w:rPr>
                <w:b/>
                <w:szCs w:val="20"/>
              </w:rPr>
            </w:pPr>
            <w:r w:rsidRPr="007E58CB">
              <w:rPr>
                <w:b/>
                <w:szCs w:val="20"/>
              </w:rPr>
              <w:t>Short description of research  (max 50 words)**</w:t>
            </w:r>
          </w:p>
        </w:tc>
        <w:tc>
          <w:tcPr>
            <w:tcW w:w="1757" w:type="dxa"/>
          </w:tcPr>
          <w:p w14:paraId="7C99B0E5" w14:textId="77777777" w:rsidR="007E58CB" w:rsidRPr="007E58CB" w:rsidRDefault="007E58CB" w:rsidP="007E58CB">
            <w:pPr>
              <w:spacing w:before="0" w:after="0"/>
              <w:rPr>
                <w:b/>
                <w:szCs w:val="20"/>
              </w:rPr>
            </w:pPr>
            <w:r w:rsidRPr="007E58CB">
              <w:rPr>
                <w:b/>
                <w:szCs w:val="20"/>
              </w:rPr>
              <w:t>Website link to journal article or research (if available)</w:t>
            </w:r>
          </w:p>
        </w:tc>
        <w:tc>
          <w:tcPr>
            <w:tcW w:w="998" w:type="dxa"/>
          </w:tcPr>
          <w:p w14:paraId="2F242B84" w14:textId="77777777" w:rsidR="007E58CB" w:rsidRPr="007E58CB" w:rsidRDefault="007E58CB" w:rsidP="007E58CB">
            <w:pPr>
              <w:spacing w:before="0" w:after="0"/>
              <w:rPr>
                <w:b/>
                <w:szCs w:val="20"/>
              </w:rPr>
            </w:pPr>
            <w:r w:rsidRPr="007E58CB">
              <w:rPr>
                <w:b/>
                <w:szCs w:val="20"/>
              </w:rPr>
              <w:t>Date of publication***</w:t>
            </w:r>
          </w:p>
        </w:tc>
      </w:tr>
      <w:tr w:rsidR="007E58CB" w:rsidRPr="007E58CB" w14:paraId="118216CB" w14:textId="77777777" w:rsidTr="000B18F9">
        <w:tc>
          <w:tcPr>
            <w:tcW w:w="567" w:type="dxa"/>
          </w:tcPr>
          <w:p w14:paraId="18A08DF9" w14:textId="77777777" w:rsidR="007E58CB" w:rsidRPr="007E58CB" w:rsidRDefault="007E58CB" w:rsidP="007E58CB">
            <w:pPr>
              <w:spacing w:before="0" w:after="0"/>
              <w:rPr>
                <w:szCs w:val="20"/>
              </w:rPr>
            </w:pPr>
            <w:r w:rsidRPr="007E58CB">
              <w:rPr>
                <w:szCs w:val="20"/>
              </w:rPr>
              <w:t>1.</w:t>
            </w:r>
          </w:p>
        </w:tc>
        <w:tc>
          <w:tcPr>
            <w:tcW w:w="1417" w:type="dxa"/>
          </w:tcPr>
          <w:p w14:paraId="62735941" w14:textId="77777777" w:rsidR="007E58CB" w:rsidRPr="007E58CB" w:rsidRDefault="007E58CB" w:rsidP="007E58CB">
            <w:pPr>
              <w:spacing w:before="0" w:after="0"/>
              <w:rPr>
                <w:szCs w:val="20"/>
              </w:rPr>
            </w:pPr>
            <w:r w:rsidRPr="007E58CB">
              <w:rPr>
                <w:szCs w:val="20"/>
              </w:rPr>
              <w:t>Clinical practice guidelines</w:t>
            </w:r>
          </w:p>
        </w:tc>
        <w:tc>
          <w:tcPr>
            <w:tcW w:w="1843" w:type="dxa"/>
          </w:tcPr>
          <w:p w14:paraId="7E33FD9B" w14:textId="77777777" w:rsidR="007E58CB" w:rsidRPr="007E58CB" w:rsidRDefault="007E58CB" w:rsidP="007E58CB">
            <w:pPr>
              <w:spacing w:before="0" w:after="0"/>
              <w:rPr>
                <w:szCs w:val="20"/>
              </w:rPr>
            </w:pPr>
            <w:proofErr w:type="spellStart"/>
            <w:r w:rsidRPr="007E58CB">
              <w:rPr>
                <w:szCs w:val="20"/>
              </w:rPr>
              <w:t>Swerdlow</w:t>
            </w:r>
            <w:proofErr w:type="spellEnd"/>
            <w:r w:rsidRPr="007E58CB">
              <w:rPr>
                <w:szCs w:val="20"/>
              </w:rPr>
              <w:t xml:space="preserve"> SC, E. Lee Harris</w:t>
            </w:r>
            <w:proofErr w:type="gramStart"/>
            <w:r w:rsidRPr="007E58CB">
              <w:rPr>
                <w:szCs w:val="20"/>
              </w:rPr>
              <w:t>,  N</w:t>
            </w:r>
            <w:proofErr w:type="gramEnd"/>
            <w:r w:rsidRPr="007E58CB">
              <w:rPr>
                <w:szCs w:val="20"/>
              </w:rPr>
              <w:t xml:space="preserve">. Jaffe,  E.S. </w:t>
            </w:r>
            <w:proofErr w:type="spellStart"/>
            <w:r w:rsidRPr="007E58CB">
              <w:rPr>
                <w:szCs w:val="20"/>
              </w:rPr>
              <w:t>Pileri</w:t>
            </w:r>
            <w:proofErr w:type="spellEnd"/>
            <w:r w:rsidRPr="007E58CB">
              <w:rPr>
                <w:szCs w:val="20"/>
              </w:rPr>
              <w:t xml:space="preserve">,  S.A. Stein, H. Thiele,  J. </w:t>
            </w:r>
            <w:proofErr w:type="spellStart"/>
            <w:r w:rsidRPr="007E58CB">
              <w:rPr>
                <w:szCs w:val="20"/>
              </w:rPr>
              <w:t>Vardiman</w:t>
            </w:r>
            <w:proofErr w:type="spellEnd"/>
            <w:r w:rsidRPr="007E58CB">
              <w:rPr>
                <w:szCs w:val="20"/>
              </w:rPr>
              <w:t>, J.W.: WHO Classification of Tumours of Haematopoietic and Lymphoid Tissue. Lyon, France, IARC Press, 2008</w:t>
            </w:r>
          </w:p>
        </w:tc>
        <w:tc>
          <w:tcPr>
            <w:tcW w:w="2126" w:type="dxa"/>
          </w:tcPr>
          <w:p w14:paraId="2B953233" w14:textId="77777777" w:rsidR="007E58CB" w:rsidRPr="007E58CB" w:rsidRDefault="007E58CB" w:rsidP="007E58CB">
            <w:pPr>
              <w:spacing w:before="0" w:after="0"/>
              <w:rPr>
                <w:szCs w:val="20"/>
              </w:rPr>
            </w:pPr>
            <w:r w:rsidRPr="007E58CB">
              <w:rPr>
                <w:szCs w:val="20"/>
              </w:rPr>
              <w:t>World Health Organization clinical practice guidelines on the classification of tumours providing levels of evidence for the recommendations</w:t>
            </w:r>
          </w:p>
        </w:tc>
        <w:tc>
          <w:tcPr>
            <w:tcW w:w="1757" w:type="dxa"/>
          </w:tcPr>
          <w:p w14:paraId="15B390FE" w14:textId="77777777" w:rsidR="007E58CB" w:rsidRPr="007E58CB" w:rsidRDefault="007E58CB" w:rsidP="007E58CB">
            <w:pPr>
              <w:spacing w:before="0" w:after="0"/>
              <w:rPr>
                <w:szCs w:val="20"/>
              </w:rPr>
            </w:pPr>
            <w:r w:rsidRPr="007E58CB">
              <w:rPr>
                <w:szCs w:val="20"/>
              </w:rPr>
              <w:t>Book –no URL available</w:t>
            </w:r>
          </w:p>
        </w:tc>
        <w:tc>
          <w:tcPr>
            <w:tcW w:w="998" w:type="dxa"/>
          </w:tcPr>
          <w:p w14:paraId="24CE182C" w14:textId="77777777" w:rsidR="007E58CB" w:rsidRPr="007E58CB" w:rsidRDefault="007E58CB" w:rsidP="007E58CB">
            <w:pPr>
              <w:spacing w:before="0" w:after="0"/>
              <w:rPr>
                <w:szCs w:val="20"/>
              </w:rPr>
            </w:pPr>
            <w:r w:rsidRPr="007E58CB">
              <w:rPr>
                <w:szCs w:val="20"/>
              </w:rPr>
              <w:t>2008</w:t>
            </w:r>
          </w:p>
        </w:tc>
      </w:tr>
      <w:tr w:rsidR="007E58CB" w:rsidRPr="007E58CB" w14:paraId="32AC69AE" w14:textId="77777777" w:rsidTr="000B18F9">
        <w:tc>
          <w:tcPr>
            <w:tcW w:w="567" w:type="dxa"/>
          </w:tcPr>
          <w:p w14:paraId="46B1362C" w14:textId="77777777" w:rsidR="007E58CB" w:rsidRPr="007E58CB" w:rsidRDefault="007E58CB" w:rsidP="007E58CB">
            <w:pPr>
              <w:spacing w:before="0" w:after="0"/>
              <w:rPr>
                <w:szCs w:val="20"/>
              </w:rPr>
            </w:pPr>
            <w:r w:rsidRPr="007E58CB">
              <w:rPr>
                <w:szCs w:val="20"/>
              </w:rPr>
              <w:t>2.</w:t>
            </w:r>
          </w:p>
        </w:tc>
        <w:tc>
          <w:tcPr>
            <w:tcW w:w="1417" w:type="dxa"/>
          </w:tcPr>
          <w:p w14:paraId="17781A51" w14:textId="77777777" w:rsidR="007E58CB" w:rsidRPr="007E58CB" w:rsidRDefault="007E58CB" w:rsidP="007E58CB">
            <w:pPr>
              <w:spacing w:before="0" w:after="0"/>
              <w:rPr>
                <w:szCs w:val="20"/>
              </w:rPr>
            </w:pPr>
            <w:r w:rsidRPr="007E58CB">
              <w:rPr>
                <w:szCs w:val="20"/>
              </w:rPr>
              <w:t>Clinical practice guidelines</w:t>
            </w:r>
          </w:p>
        </w:tc>
        <w:bookmarkStart w:id="4" w:name="_Hlk495998636"/>
        <w:tc>
          <w:tcPr>
            <w:tcW w:w="1843" w:type="dxa"/>
          </w:tcPr>
          <w:p w14:paraId="75965137" w14:textId="77777777" w:rsidR="007E58CB" w:rsidRPr="007E58CB" w:rsidRDefault="007E58CB" w:rsidP="007E58CB">
            <w:pPr>
              <w:widowControl w:val="0"/>
              <w:autoSpaceDE w:val="0"/>
              <w:autoSpaceDN w:val="0"/>
              <w:adjustRightInd w:val="0"/>
              <w:spacing w:before="0" w:after="0"/>
              <w:rPr>
                <w:rFonts w:ascii="Calibri" w:hAnsi="Calibri" w:cs="Arial"/>
                <w:szCs w:val="20"/>
                <w:lang w:val="en-US"/>
              </w:rPr>
            </w:pPr>
            <w:r w:rsidRPr="007E58CB">
              <w:rPr>
                <w:sz w:val="22"/>
              </w:rPr>
              <w:fldChar w:fldCharType="begin"/>
            </w:r>
            <w:r w:rsidRPr="007E58CB">
              <w:rPr>
                <w:sz w:val="22"/>
              </w:rPr>
              <w:instrText xml:space="preserve"> HYPERLINK "http://www.ncbi.nlm.nih.gov/pubmed/?term=Quach%20H%5BAuthor%5D&amp;cauthor=true&amp;cauthor_uid=25582938" </w:instrText>
            </w:r>
            <w:r w:rsidRPr="007E58CB">
              <w:rPr>
                <w:sz w:val="22"/>
              </w:rPr>
              <w:fldChar w:fldCharType="separate"/>
            </w:r>
            <w:r w:rsidRPr="007E58CB">
              <w:rPr>
                <w:rFonts w:ascii="Calibri" w:hAnsi="Calibri" w:cs="Arial"/>
                <w:color w:val="262626"/>
                <w:szCs w:val="20"/>
                <w:lang w:val="en-US"/>
              </w:rPr>
              <w:t>Quach H</w:t>
            </w:r>
            <w:r w:rsidRPr="007E58CB">
              <w:rPr>
                <w:rFonts w:ascii="Calibri" w:hAnsi="Calibri" w:cs="Arial"/>
                <w:color w:val="262626"/>
                <w:szCs w:val="20"/>
                <w:lang w:val="en-US"/>
              </w:rPr>
              <w:fldChar w:fldCharType="end"/>
            </w:r>
            <w:r w:rsidRPr="007E58CB">
              <w:rPr>
                <w:rFonts w:ascii="Calibri" w:hAnsi="Calibri" w:cs="Arial"/>
                <w:szCs w:val="20"/>
                <w:lang w:val="en-US"/>
              </w:rPr>
              <w:t xml:space="preserve">, </w:t>
            </w:r>
            <w:hyperlink r:id="rId18" w:history="1">
              <w:r w:rsidRPr="007E58CB">
                <w:rPr>
                  <w:rFonts w:ascii="Calibri" w:hAnsi="Calibri" w:cs="Arial"/>
                  <w:color w:val="262626"/>
                  <w:szCs w:val="20"/>
                  <w:lang w:val="en-US"/>
                </w:rPr>
                <w:t>Joshua D</w:t>
              </w:r>
            </w:hyperlink>
            <w:r w:rsidRPr="007E58CB">
              <w:rPr>
                <w:rFonts w:ascii="Calibri" w:hAnsi="Calibri" w:cs="Arial"/>
                <w:szCs w:val="20"/>
                <w:lang w:val="en-US"/>
              </w:rPr>
              <w:t>, et al:</w:t>
            </w:r>
            <w:r w:rsidRPr="007E58CB">
              <w:rPr>
                <w:rFonts w:ascii="Calibri" w:hAnsi="Calibri" w:cs="Arial"/>
                <w:bCs/>
                <w:szCs w:val="20"/>
                <w:lang w:val="en-US"/>
              </w:rPr>
              <w:t xml:space="preserve"> Treatment of patients with multiple myeloma who are eligible for stem cell transplantation: position statement of the Myeloma Foundation of Australia Medical and Scientific Advisory Group. </w:t>
            </w:r>
            <w:r w:rsidRPr="007E58CB">
              <w:rPr>
                <w:rFonts w:ascii="Calibri" w:hAnsi="Calibri" w:cs="Arial"/>
                <w:color w:val="262626"/>
                <w:szCs w:val="20"/>
                <w:lang w:val="en-US"/>
              </w:rPr>
              <w:lastRenderedPageBreak/>
              <w:t xml:space="preserve">Intern Med J </w:t>
            </w:r>
            <w:r w:rsidRPr="007E58CB">
              <w:rPr>
                <w:rFonts w:ascii="Calibri" w:hAnsi="Calibri" w:cs="Arial"/>
                <w:szCs w:val="20"/>
                <w:lang w:val="en-US"/>
              </w:rPr>
              <w:t>45(1):94-105, 2015</w:t>
            </w:r>
          </w:p>
          <w:bookmarkEnd w:id="4"/>
          <w:p w14:paraId="22B6A93D" w14:textId="77777777" w:rsidR="007E58CB" w:rsidRPr="007E58CB" w:rsidRDefault="007E58CB" w:rsidP="007E58CB">
            <w:pPr>
              <w:spacing w:before="0" w:after="0"/>
              <w:rPr>
                <w:szCs w:val="20"/>
              </w:rPr>
            </w:pPr>
          </w:p>
        </w:tc>
        <w:tc>
          <w:tcPr>
            <w:tcW w:w="2126" w:type="dxa"/>
          </w:tcPr>
          <w:p w14:paraId="54873F2F" w14:textId="77777777" w:rsidR="007E58CB" w:rsidRPr="007E58CB" w:rsidRDefault="007E58CB" w:rsidP="007E58CB">
            <w:pPr>
              <w:spacing w:before="0" w:after="0"/>
              <w:rPr>
                <w:szCs w:val="20"/>
              </w:rPr>
            </w:pPr>
            <w:r w:rsidRPr="007E58CB">
              <w:rPr>
                <w:szCs w:val="20"/>
              </w:rPr>
              <w:lastRenderedPageBreak/>
              <w:t>Position statement of the Myeloma Foundation of Australia Medical and Scientific Advisory Group providing levels of evidence for recommendations</w:t>
            </w:r>
          </w:p>
        </w:tc>
        <w:tc>
          <w:tcPr>
            <w:tcW w:w="1757" w:type="dxa"/>
          </w:tcPr>
          <w:p w14:paraId="6AF6881E" w14:textId="3C5AB1C0" w:rsidR="007E58CB" w:rsidRDefault="00746A08" w:rsidP="007E58CB">
            <w:pPr>
              <w:spacing w:before="0" w:after="0"/>
              <w:rPr>
                <w:szCs w:val="20"/>
              </w:rPr>
            </w:pPr>
            <w:hyperlink r:id="rId19" w:history="1">
              <w:r w:rsidR="003F0E81">
                <w:rPr>
                  <w:rStyle w:val="Hyperlink"/>
                  <w:szCs w:val="20"/>
                </w:rPr>
                <w:t xml:space="preserve">Treatment of patients with multiple myeloma who are not eligible for stem cell transplantation: position statement of the myeloma foundation of Australia Medical and Scientific </w:t>
              </w:r>
              <w:r w:rsidR="003F0E81">
                <w:rPr>
                  <w:rStyle w:val="Hyperlink"/>
                  <w:szCs w:val="20"/>
                </w:rPr>
                <w:lastRenderedPageBreak/>
                <w:t>Advisory Group</w:t>
              </w:r>
            </w:hyperlink>
          </w:p>
          <w:p w14:paraId="638FC67D" w14:textId="01B3D4C7" w:rsidR="003F0E81" w:rsidRPr="007E58CB" w:rsidRDefault="003F0E81" w:rsidP="007E58CB">
            <w:pPr>
              <w:spacing w:before="0" w:after="0"/>
              <w:rPr>
                <w:szCs w:val="20"/>
              </w:rPr>
            </w:pPr>
          </w:p>
        </w:tc>
        <w:tc>
          <w:tcPr>
            <w:tcW w:w="998" w:type="dxa"/>
          </w:tcPr>
          <w:p w14:paraId="1DBE9024" w14:textId="77777777" w:rsidR="007E58CB" w:rsidRPr="007E58CB" w:rsidRDefault="007E58CB" w:rsidP="007E58CB">
            <w:pPr>
              <w:spacing w:before="0" w:after="0"/>
              <w:rPr>
                <w:szCs w:val="20"/>
              </w:rPr>
            </w:pPr>
            <w:r w:rsidRPr="007E58CB">
              <w:rPr>
                <w:szCs w:val="20"/>
              </w:rPr>
              <w:lastRenderedPageBreak/>
              <w:t>2015</w:t>
            </w:r>
          </w:p>
        </w:tc>
      </w:tr>
      <w:tr w:rsidR="007E58CB" w:rsidRPr="007E58CB" w14:paraId="6ADCAD24" w14:textId="77777777" w:rsidTr="000B18F9">
        <w:tc>
          <w:tcPr>
            <w:tcW w:w="567" w:type="dxa"/>
          </w:tcPr>
          <w:p w14:paraId="1B5EFF52" w14:textId="77777777" w:rsidR="007E58CB" w:rsidRPr="007E58CB" w:rsidRDefault="007E58CB" w:rsidP="007E58CB">
            <w:pPr>
              <w:spacing w:before="0" w:after="0"/>
              <w:rPr>
                <w:szCs w:val="20"/>
              </w:rPr>
            </w:pPr>
            <w:r w:rsidRPr="007E58CB">
              <w:rPr>
                <w:szCs w:val="20"/>
              </w:rPr>
              <w:lastRenderedPageBreak/>
              <w:t>3.</w:t>
            </w:r>
          </w:p>
        </w:tc>
        <w:tc>
          <w:tcPr>
            <w:tcW w:w="1417" w:type="dxa"/>
          </w:tcPr>
          <w:p w14:paraId="2675AEBA" w14:textId="77777777" w:rsidR="007E58CB" w:rsidRPr="007E58CB" w:rsidRDefault="007E58CB" w:rsidP="007E58CB">
            <w:pPr>
              <w:spacing w:before="0" w:after="0"/>
              <w:rPr>
                <w:szCs w:val="20"/>
              </w:rPr>
            </w:pPr>
            <w:r w:rsidRPr="007E58CB">
              <w:rPr>
                <w:szCs w:val="20"/>
              </w:rPr>
              <w:t>Literature review</w:t>
            </w:r>
          </w:p>
        </w:tc>
        <w:tc>
          <w:tcPr>
            <w:tcW w:w="1843" w:type="dxa"/>
          </w:tcPr>
          <w:p w14:paraId="0BBCE96B" w14:textId="77777777" w:rsidR="007E58CB" w:rsidRPr="007E58CB" w:rsidRDefault="007E58CB" w:rsidP="007E58CB">
            <w:pPr>
              <w:spacing w:before="0" w:after="0"/>
              <w:rPr>
                <w:szCs w:val="20"/>
              </w:rPr>
            </w:pPr>
            <w:bookmarkStart w:id="5" w:name="_Hlk495998749"/>
            <w:proofErr w:type="spellStart"/>
            <w:r w:rsidRPr="007E58CB">
              <w:rPr>
                <w:szCs w:val="20"/>
              </w:rPr>
              <w:t>Paiva</w:t>
            </w:r>
            <w:proofErr w:type="spellEnd"/>
            <w:r w:rsidRPr="007E58CB">
              <w:rPr>
                <w:szCs w:val="20"/>
              </w:rPr>
              <w:t xml:space="preserve"> B, van </w:t>
            </w:r>
            <w:proofErr w:type="spellStart"/>
            <w:r w:rsidRPr="007E58CB">
              <w:rPr>
                <w:szCs w:val="20"/>
              </w:rPr>
              <w:t>Dongen</w:t>
            </w:r>
            <w:proofErr w:type="spellEnd"/>
            <w:r w:rsidRPr="007E58CB">
              <w:rPr>
                <w:szCs w:val="20"/>
              </w:rPr>
              <w:t xml:space="preserve"> JJM, </w:t>
            </w:r>
            <w:proofErr w:type="spellStart"/>
            <w:r w:rsidRPr="007E58CB">
              <w:rPr>
                <w:szCs w:val="20"/>
              </w:rPr>
              <w:t>Orfao</w:t>
            </w:r>
            <w:proofErr w:type="spellEnd"/>
            <w:r w:rsidRPr="007E58CB">
              <w:rPr>
                <w:szCs w:val="20"/>
              </w:rPr>
              <w:t xml:space="preserve"> A: New criteria for response assessment: role of minimal residual disease in multiple myeloma. Blood 125:3059-3068, 2015</w:t>
            </w:r>
            <w:bookmarkEnd w:id="5"/>
          </w:p>
        </w:tc>
        <w:tc>
          <w:tcPr>
            <w:tcW w:w="2126" w:type="dxa"/>
          </w:tcPr>
          <w:p w14:paraId="69536B29" w14:textId="77777777" w:rsidR="007E58CB" w:rsidRPr="007E58CB" w:rsidRDefault="007E58CB" w:rsidP="007E58CB">
            <w:pPr>
              <w:spacing w:before="0" w:after="0"/>
              <w:rPr>
                <w:szCs w:val="20"/>
              </w:rPr>
            </w:pPr>
            <w:r w:rsidRPr="007E58CB">
              <w:rPr>
                <w:szCs w:val="20"/>
              </w:rPr>
              <w:t xml:space="preserve">Summary of data </w:t>
            </w:r>
          </w:p>
          <w:p w14:paraId="4042F410" w14:textId="77777777" w:rsidR="007E58CB" w:rsidRPr="007E58CB" w:rsidRDefault="007E58CB" w:rsidP="007E58CB">
            <w:pPr>
              <w:spacing w:before="0" w:after="0"/>
              <w:rPr>
                <w:szCs w:val="20"/>
              </w:rPr>
            </w:pPr>
            <w:proofErr w:type="gramStart"/>
            <w:r w:rsidRPr="007E58CB">
              <w:rPr>
                <w:szCs w:val="20"/>
              </w:rPr>
              <w:t>indicating</w:t>
            </w:r>
            <w:proofErr w:type="gramEnd"/>
            <w:r w:rsidRPr="007E58CB">
              <w:rPr>
                <w:szCs w:val="20"/>
              </w:rPr>
              <w:t xml:space="preserve"> that minimal residual disease information can be used as biomarker to evaluate the efficacy of different treatment strategies, help on treatment decisions, and act as surrogate predictor for overall survival.</w:t>
            </w:r>
          </w:p>
          <w:p w14:paraId="6399E06E" w14:textId="77777777" w:rsidR="007E58CB" w:rsidRPr="007E58CB" w:rsidRDefault="007E58CB" w:rsidP="007E58CB">
            <w:pPr>
              <w:spacing w:before="0" w:after="0"/>
              <w:rPr>
                <w:szCs w:val="20"/>
              </w:rPr>
            </w:pPr>
          </w:p>
        </w:tc>
        <w:bookmarkStart w:id="6" w:name="_Hlk495998769"/>
        <w:tc>
          <w:tcPr>
            <w:tcW w:w="1757" w:type="dxa"/>
          </w:tcPr>
          <w:p w14:paraId="2143B4E7" w14:textId="4EF20B37" w:rsidR="007E58CB" w:rsidRPr="007E58CB" w:rsidRDefault="007E58CB" w:rsidP="007E58CB">
            <w:pPr>
              <w:spacing w:before="0" w:after="0"/>
              <w:rPr>
                <w:szCs w:val="20"/>
              </w:rPr>
            </w:pPr>
            <w:r w:rsidRPr="007E58CB">
              <w:rPr>
                <w:sz w:val="22"/>
              </w:rPr>
              <w:fldChar w:fldCharType="begin"/>
            </w:r>
            <w:r w:rsidR="003F0E81">
              <w:rPr>
                <w:sz w:val="22"/>
              </w:rPr>
              <w:instrText>HYPERLINK "http://www.bloodjournal.org/content/bloodjournal/125/20/3059.full.pdf"</w:instrText>
            </w:r>
            <w:r w:rsidRPr="007E58CB">
              <w:rPr>
                <w:sz w:val="22"/>
              </w:rPr>
              <w:fldChar w:fldCharType="separate"/>
            </w:r>
            <w:r w:rsidR="003F0E81">
              <w:rPr>
                <w:color w:val="0000FF" w:themeColor="hyperlink"/>
                <w:szCs w:val="20"/>
                <w:u w:val="single"/>
              </w:rPr>
              <w:t>New criteria for response assessment: role of minimal residual disease in multiple myeloma</w:t>
            </w:r>
            <w:r w:rsidRPr="007E58CB">
              <w:rPr>
                <w:color w:val="0000FF" w:themeColor="hyperlink"/>
                <w:szCs w:val="20"/>
                <w:u w:val="single"/>
              </w:rPr>
              <w:fldChar w:fldCharType="end"/>
            </w:r>
            <w:r w:rsidRPr="007E58CB">
              <w:rPr>
                <w:szCs w:val="20"/>
              </w:rPr>
              <w:t xml:space="preserve"> </w:t>
            </w:r>
            <w:bookmarkEnd w:id="6"/>
          </w:p>
        </w:tc>
        <w:tc>
          <w:tcPr>
            <w:tcW w:w="998" w:type="dxa"/>
          </w:tcPr>
          <w:p w14:paraId="3D7FCCB2" w14:textId="77777777" w:rsidR="007E58CB" w:rsidRPr="007E58CB" w:rsidRDefault="007E58CB" w:rsidP="007E58CB">
            <w:pPr>
              <w:spacing w:before="0" w:after="0"/>
              <w:rPr>
                <w:szCs w:val="20"/>
              </w:rPr>
            </w:pPr>
            <w:r w:rsidRPr="007E58CB">
              <w:rPr>
                <w:szCs w:val="20"/>
              </w:rPr>
              <w:t>14 May 2005</w:t>
            </w:r>
          </w:p>
        </w:tc>
      </w:tr>
      <w:tr w:rsidR="007E58CB" w:rsidRPr="007E58CB" w14:paraId="40613C12" w14:textId="77777777" w:rsidTr="000B18F9">
        <w:tc>
          <w:tcPr>
            <w:tcW w:w="567" w:type="dxa"/>
          </w:tcPr>
          <w:p w14:paraId="2EEB2E2C" w14:textId="77777777" w:rsidR="007E58CB" w:rsidRPr="007E58CB" w:rsidRDefault="007E58CB" w:rsidP="007E58CB">
            <w:pPr>
              <w:spacing w:before="0" w:after="0"/>
              <w:rPr>
                <w:szCs w:val="20"/>
              </w:rPr>
            </w:pPr>
            <w:r w:rsidRPr="007E58CB">
              <w:rPr>
                <w:szCs w:val="20"/>
              </w:rPr>
              <w:t>4.</w:t>
            </w:r>
          </w:p>
        </w:tc>
        <w:tc>
          <w:tcPr>
            <w:tcW w:w="1417" w:type="dxa"/>
          </w:tcPr>
          <w:p w14:paraId="0F571DA3" w14:textId="77777777" w:rsidR="007E58CB" w:rsidRPr="007E58CB" w:rsidRDefault="007E58CB" w:rsidP="007E58CB">
            <w:pPr>
              <w:spacing w:before="0" w:after="0"/>
              <w:rPr>
                <w:szCs w:val="20"/>
              </w:rPr>
            </w:pPr>
            <w:r w:rsidRPr="007E58CB">
              <w:rPr>
                <w:szCs w:val="20"/>
              </w:rPr>
              <w:t>Observational study</w:t>
            </w:r>
          </w:p>
        </w:tc>
        <w:tc>
          <w:tcPr>
            <w:tcW w:w="1843" w:type="dxa"/>
          </w:tcPr>
          <w:p w14:paraId="1C18ACEA" w14:textId="77777777" w:rsidR="007E58CB" w:rsidRPr="007E58CB" w:rsidRDefault="007E58CB" w:rsidP="007E58CB">
            <w:pPr>
              <w:spacing w:before="0" w:after="0"/>
              <w:rPr>
                <w:szCs w:val="20"/>
              </w:rPr>
            </w:pPr>
            <w:r w:rsidRPr="007E58CB">
              <w:rPr>
                <w:szCs w:val="20"/>
              </w:rPr>
              <w:t>Rare Cancers Australia: Just a Little More Time Rare Cancers Update Report. 2016</w:t>
            </w:r>
          </w:p>
        </w:tc>
        <w:tc>
          <w:tcPr>
            <w:tcW w:w="2126" w:type="dxa"/>
          </w:tcPr>
          <w:p w14:paraId="79AE5769" w14:textId="77777777" w:rsidR="007E58CB" w:rsidRPr="007E58CB" w:rsidRDefault="007E58CB" w:rsidP="007E58CB">
            <w:pPr>
              <w:spacing w:before="0" w:after="0"/>
              <w:rPr>
                <w:szCs w:val="20"/>
              </w:rPr>
            </w:pPr>
            <w:r w:rsidRPr="007E58CB">
              <w:rPr>
                <w:szCs w:val="20"/>
              </w:rPr>
              <w:t>A review of available cancer data investigating the disparities existing for incidence, mortality and survival across the cancer spectrum. The study provided a definition for rare cancers, and the burden of disease that rare and less common cancers pose across all ages in Australia</w:t>
            </w:r>
          </w:p>
        </w:tc>
        <w:tc>
          <w:tcPr>
            <w:tcW w:w="1757" w:type="dxa"/>
          </w:tcPr>
          <w:p w14:paraId="305C3F25" w14:textId="6418065E" w:rsidR="007E58CB" w:rsidRPr="007E58CB" w:rsidRDefault="00746A08" w:rsidP="007E58CB">
            <w:pPr>
              <w:spacing w:before="0" w:after="0"/>
              <w:rPr>
                <w:sz w:val="22"/>
              </w:rPr>
            </w:pPr>
            <w:hyperlink r:id="rId20" w:history="1">
              <w:r w:rsidR="003F0E81">
                <w:rPr>
                  <w:color w:val="0000FF" w:themeColor="hyperlink"/>
                  <w:szCs w:val="20"/>
                  <w:u w:val="single"/>
                </w:rPr>
                <w:t>Just a Little More Time – Rare Cancers Baseline Report.</w:t>
              </w:r>
            </w:hyperlink>
            <w:r w:rsidR="007E58CB" w:rsidRPr="007E58CB">
              <w:rPr>
                <w:szCs w:val="20"/>
              </w:rPr>
              <w:t xml:space="preserve"> </w:t>
            </w:r>
          </w:p>
        </w:tc>
        <w:tc>
          <w:tcPr>
            <w:tcW w:w="998" w:type="dxa"/>
          </w:tcPr>
          <w:p w14:paraId="5DEF4CC6" w14:textId="77777777" w:rsidR="007E58CB" w:rsidRPr="007E58CB" w:rsidRDefault="007E58CB" w:rsidP="007E58CB">
            <w:pPr>
              <w:spacing w:before="0" w:after="0"/>
              <w:rPr>
                <w:szCs w:val="20"/>
              </w:rPr>
            </w:pPr>
            <w:r w:rsidRPr="007E58CB">
              <w:rPr>
                <w:szCs w:val="20"/>
              </w:rPr>
              <w:t>2016</w:t>
            </w:r>
          </w:p>
        </w:tc>
      </w:tr>
      <w:tr w:rsidR="007E58CB" w:rsidRPr="007E58CB" w14:paraId="1B797504" w14:textId="77777777" w:rsidTr="000B18F9">
        <w:tc>
          <w:tcPr>
            <w:tcW w:w="567" w:type="dxa"/>
          </w:tcPr>
          <w:p w14:paraId="6D4A46D8" w14:textId="77777777" w:rsidR="007E58CB" w:rsidRPr="007E58CB" w:rsidRDefault="007E58CB" w:rsidP="007E58CB">
            <w:pPr>
              <w:spacing w:before="0" w:after="0"/>
              <w:rPr>
                <w:szCs w:val="20"/>
              </w:rPr>
            </w:pPr>
            <w:r w:rsidRPr="007E58CB">
              <w:rPr>
                <w:szCs w:val="20"/>
              </w:rPr>
              <w:t>5.</w:t>
            </w:r>
          </w:p>
        </w:tc>
        <w:tc>
          <w:tcPr>
            <w:tcW w:w="1417" w:type="dxa"/>
          </w:tcPr>
          <w:p w14:paraId="558CB12C" w14:textId="77777777" w:rsidR="007E58CB" w:rsidRPr="007E58CB" w:rsidRDefault="007E58CB" w:rsidP="007E58CB">
            <w:pPr>
              <w:spacing w:before="0" w:after="0"/>
              <w:rPr>
                <w:szCs w:val="20"/>
              </w:rPr>
            </w:pPr>
            <w:r w:rsidRPr="007E58CB">
              <w:rPr>
                <w:szCs w:val="20"/>
              </w:rPr>
              <w:t>Health economics study</w:t>
            </w:r>
          </w:p>
        </w:tc>
        <w:tc>
          <w:tcPr>
            <w:tcW w:w="1843" w:type="dxa"/>
          </w:tcPr>
          <w:p w14:paraId="1175C39F" w14:textId="77777777" w:rsidR="007E58CB" w:rsidRPr="007E58CB" w:rsidRDefault="007E58CB" w:rsidP="007E58CB">
            <w:pPr>
              <w:widowControl w:val="0"/>
              <w:autoSpaceDE w:val="0"/>
              <w:autoSpaceDN w:val="0"/>
              <w:adjustRightInd w:val="0"/>
              <w:spacing w:before="0" w:after="0"/>
              <w:rPr>
                <w:rFonts w:ascii="Calibri" w:hAnsi="Calibri" w:cs="Arial"/>
                <w:bCs/>
                <w:szCs w:val="20"/>
                <w:lang w:val="en-US"/>
              </w:rPr>
            </w:pPr>
            <w:r w:rsidRPr="007E58CB">
              <w:rPr>
                <w:szCs w:val="20"/>
              </w:rPr>
              <w:t xml:space="preserve">Sabatini LM, Mathews C, </w:t>
            </w:r>
            <w:proofErr w:type="spellStart"/>
            <w:r w:rsidRPr="007E58CB">
              <w:rPr>
                <w:szCs w:val="20"/>
              </w:rPr>
              <w:t>Ptak</w:t>
            </w:r>
            <w:proofErr w:type="spellEnd"/>
            <w:r w:rsidRPr="007E58CB">
              <w:rPr>
                <w:szCs w:val="20"/>
              </w:rPr>
              <w:t xml:space="preserve"> D, et al: Genomic Sequencing Procedure </w:t>
            </w:r>
            <w:proofErr w:type="spellStart"/>
            <w:r w:rsidRPr="007E58CB">
              <w:rPr>
                <w:szCs w:val="20"/>
              </w:rPr>
              <w:t>Microcosting</w:t>
            </w:r>
            <w:proofErr w:type="spellEnd"/>
            <w:r w:rsidRPr="007E58CB">
              <w:rPr>
                <w:szCs w:val="20"/>
              </w:rPr>
              <w:t xml:space="preserve"> Analysis and Health Economic Cost-Impact Analysis: A Report of the Association for Molecular Pathology. J of </w:t>
            </w:r>
            <w:proofErr w:type="spellStart"/>
            <w:r w:rsidRPr="007E58CB">
              <w:rPr>
                <w:szCs w:val="20"/>
              </w:rPr>
              <w:t>Mol</w:t>
            </w:r>
            <w:proofErr w:type="spellEnd"/>
            <w:r w:rsidRPr="007E58CB">
              <w:rPr>
                <w:szCs w:val="20"/>
              </w:rPr>
              <w:t xml:space="preserve"> </w:t>
            </w:r>
            <w:proofErr w:type="spellStart"/>
            <w:r w:rsidRPr="007E58CB">
              <w:rPr>
                <w:szCs w:val="20"/>
              </w:rPr>
              <w:t>Diagn</w:t>
            </w:r>
            <w:proofErr w:type="spellEnd"/>
            <w:r w:rsidRPr="007E58CB">
              <w:rPr>
                <w:szCs w:val="20"/>
              </w:rPr>
              <w:t xml:space="preserve"> 18:319-328, </w:t>
            </w:r>
          </w:p>
        </w:tc>
        <w:tc>
          <w:tcPr>
            <w:tcW w:w="2126" w:type="dxa"/>
          </w:tcPr>
          <w:p w14:paraId="6DDE6E0B" w14:textId="77777777" w:rsidR="007E58CB" w:rsidRPr="007E58CB" w:rsidRDefault="007E58CB" w:rsidP="007E58CB">
            <w:pPr>
              <w:spacing w:before="0" w:after="0"/>
              <w:rPr>
                <w:szCs w:val="20"/>
              </w:rPr>
            </w:pPr>
            <w:r w:rsidRPr="007E58CB">
              <w:rPr>
                <w:szCs w:val="20"/>
              </w:rPr>
              <w:t xml:space="preserve">US Study by Association for Molecular Pathology on cost and value analysis of specific genomic sequencing procedures (GSPs) gathered from representative laboratories’ data. Cost-impact models for three clinical scenarios were generated -advanced non–small-cell lung cancer sensorineural hearing loss, and paediatric neurodevelopmental disorders of unknown genetic aetiology. </w:t>
            </w:r>
          </w:p>
        </w:tc>
        <w:tc>
          <w:tcPr>
            <w:tcW w:w="1757" w:type="dxa"/>
          </w:tcPr>
          <w:p w14:paraId="0930A08C" w14:textId="01FA0DFA" w:rsidR="007E58CB" w:rsidRPr="007E58CB" w:rsidRDefault="00746A08" w:rsidP="007E58CB">
            <w:pPr>
              <w:spacing w:before="0" w:after="0"/>
              <w:rPr>
                <w:szCs w:val="20"/>
              </w:rPr>
            </w:pPr>
            <w:hyperlink r:id="rId21" w:history="1">
              <w:r w:rsidR="009A4F3E">
                <w:rPr>
                  <w:color w:val="0000FF" w:themeColor="hyperlink"/>
                  <w:szCs w:val="20"/>
                  <w:u w:val="single"/>
                </w:rPr>
                <w:t xml:space="preserve">Genomic Sequencing Procedure </w:t>
              </w:r>
              <w:proofErr w:type="spellStart"/>
              <w:r w:rsidR="009A4F3E">
                <w:rPr>
                  <w:color w:val="0000FF" w:themeColor="hyperlink"/>
                  <w:szCs w:val="20"/>
                  <w:u w:val="single"/>
                </w:rPr>
                <w:t>Microcosting</w:t>
              </w:r>
              <w:proofErr w:type="spellEnd"/>
              <w:r w:rsidR="009A4F3E">
                <w:rPr>
                  <w:color w:val="0000FF" w:themeColor="hyperlink"/>
                  <w:szCs w:val="20"/>
                  <w:u w:val="single"/>
                </w:rPr>
                <w:t xml:space="preserve"> Analysis and Health Economic Cost-Impact Analysis: A Report of the Association for Molecular Pathology</w:t>
              </w:r>
            </w:hyperlink>
            <w:r w:rsidR="007E58CB" w:rsidRPr="007E58CB">
              <w:rPr>
                <w:szCs w:val="20"/>
              </w:rPr>
              <w:t xml:space="preserve"> </w:t>
            </w:r>
          </w:p>
          <w:p w14:paraId="298BDAC6" w14:textId="77777777" w:rsidR="007E58CB" w:rsidRPr="007E58CB" w:rsidRDefault="007E58CB" w:rsidP="007E58CB">
            <w:pPr>
              <w:spacing w:before="0" w:after="0"/>
              <w:rPr>
                <w:szCs w:val="20"/>
              </w:rPr>
            </w:pPr>
          </w:p>
          <w:p w14:paraId="7554B571" w14:textId="77777777" w:rsidR="007E58CB" w:rsidRPr="007E58CB" w:rsidRDefault="007E58CB" w:rsidP="007E58CB">
            <w:pPr>
              <w:spacing w:before="0" w:after="0"/>
              <w:rPr>
                <w:sz w:val="22"/>
              </w:rPr>
            </w:pPr>
          </w:p>
        </w:tc>
        <w:tc>
          <w:tcPr>
            <w:tcW w:w="998" w:type="dxa"/>
          </w:tcPr>
          <w:p w14:paraId="4DC1B63F" w14:textId="77777777" w:rsidR="007E58CB" w:rsidRPr="007E58CB" w:rsidRDefault="007E58CB" w:rsidP="007E58CB">
            <w:pPr>
              <w:spacing w:before="0" w:after="0"/>
              <w:rPr>
                <w:szCs w:val="20"/>
              </w:rPr>
            </w:pPr>
            <w:r w:rsidRPr="007E58CB">
              <w:rPr>
                <w:szCs w:val="20"/>
              </w:rPr>
              <w:t>2014</w:t>
            </w:r>
          </w:p>
        </w:tc>
      </w:tr>
    </w:tbl>
    <w:p w14:paraId="1D8AE409" w14:textId="77777777" w:rsidR="007E58CB" w:rsidRDefault="007E58CB" w:rsidP="007E58CB">
      <w:pPr>
        <w:rPr>
          <w:b/>
        </w:rPr>
      </w:pPr>
      <w:r w:rsidRPr="00CB4D28">
        <w:rPr>
          <w:b/>
        </w:rPr>
        <w:lastRenderedPageBreak/>
        <w:t>Non-Hodgkin Lymphoma</w:t>
      </w:r>
    </w:p>
    <w:tbl>
      <w:tblPr>
        <w:tblStyle w:val="TableGrid5"/>
        <w:tblW w:w="0" w:type="auto"/>
        <w:tblInd w:w="421" w:type="dxa"/>
        <w:tblLayout w:type="fixed"/>
        <w:tblLook w:val="04A0" w:firstRow="1" w:lastRow="0" w:firstColumn="1" w:lastColumn="0" w:noHBand="0" w:noVBand="1"/>
        <w:tblCaption w:val="Summary of Evidence"/>
        <w:tblDescription w:val="Summary of Evidence"/>
      </w:tblPr>
      <w:tblGrid>
        <w:gridCol w:w="567"/>
        <w:gridCol w:w="1417"/>
        <w:gridCol w:w="1843"/>
        <w:gridCol w:w="2126"/>
        <w:gridCol w:w="1757"/>
        <w:gridCol w:w="998"/>
      </w:tblGrid>
      <w:tr w:rsidR="007E58CB" w14:paraId="212CD223" w14:textId="77777777" w:rsidTr="00746A08">
        <w:trPr>
          <w:tblHeader/>
        </w:trPr>
        <w:tc>
          <w:tcPr>
            <w:tcW w:w="567" w:type="dxa"/>
          </w:tcPr>
          <w:p w14:paraId="745AEEFB" w14:textId="77777777" w:rsidR="007E58CB" w:rsidRDefault="007E58CB" w:rsidP="000B18F9">
            <w:pPr>
              <w:rPr>
                <w:b/>
                <w:szCs w:val="20"/>
              </w:rPr>
            </w:pPr>
          </w:p>
          <w:p w14:paraId="5F8EF87C" w14:textId="77777777" w:rsidR="007E58CB" w:rsidRDefault="007E58CB" w:rsidP="000B18F9">
            <w:pPr>
              <w:rPr>
                <w:szCs w:val="20"/>
              </w:rPr>
            </w:pPr>
          </w:p>
          <w:p w14:paraId="0ADF9D11" w14:textId="77777777" w:rsidR="007E58CB" w:rsidRPr="00404EB8" w:rsidRDefault="007E58CB" w:rsidP="000B18F9">
            <w:pPr>
              <w:rPr>
                <w:szCs w:val="20"/>
              </w:rPr>
            </w:pPr>
          </w:p>
        </w:tc>
        <w:tc>
          <w:tcPr>
            <w:tcW w:w="1417" w:type="dxa"/>
          </w:tcPr>
          <w:p w14:paraId="3F995DDB" w14:textId="77777777" w:rsidR="007E58CB" w:rsidRDefault="007E58CB" w:rsidP="000B18F9">
            <w:pPr>
              <w:rPr>
                <w:b/>
                <w:szCs w:val="20"/>
              </w:rPr>
            </w:pPr>
            <w:r>
              <w:rPr>
                <w:b/>
                <w:szCs w:val="20"/>
              </w:rPr>
              <w:t>Type of study design*</w:t>
            </w:r>
          </w:p>
        </w:tc>
        <w:tc>
          <w:tcPr>
            <w:tcW w:w="1843" w:type="dxa"/>
          </w:tcPr>
          <w:p w14:paraId="79B27BBD" w14:textId="77777777" w:rsidR="007E58CB" w:rsidRDefault="007E58CB" w:rsidP="000B18F9">
            <w:pPr>
              <w:rPr>
                <w:b/>
                <w:szCs w:val="20"/>
              </w:rPr>
            </w:pPr>
            <w:r>
              <w:rPr>
                <w:b/>
                <w:szCs w:val="20"/>
              </w:rPr>
              <w:t>Title of journal article  or research project (including any trial identifier or study lead if relevant)</w:t>
            </w:r>
          </w:p>
        </w:tc>
        <w:tc>
          <w:tcPr>
            <w:tcW w:w="2126" w:type="dxa"/>
          </w:tcPr>
          <w:p w14:paraId="4F41F20D" w14:textId="77777777" w:rsidR="007E58CB" w:rsidRDefault="007E58CB" w:rsidP="000B18F9">
            <w:pPr>
              <w:rPr>
                <w:b/>
                <w:szCs w:val="20"/>
              </w:rPr>
            </w:pPr>
            <w:r>
              <w:rPr>
                <w:b/>
                <w:szCs w:val="20"/>
              </w:rPr>
              <w:t>Short description of research  (max 50 words)**</w:t>
            </w:r>
          </w:p>
        </w:tc>
        <w:tc>
          <w:tcPr>
            <w:tcW w:w="1757" w:type="dxa"/>
          </w:tcPr>
          <w:p w14:paraId="2FEFC83F" w14:textId="77777777" w:rsidR="007E58CB" w:rsidRDefault="007E58CB" w:rsidP="000B18F9">
            <w:pPr>
              <w:rPr>
                <w:b/>
                <w:szCs w:val="20"/>
              </w:rPr>
            </w:pPr>
            <w:r w:rsidRPr="00E82F54">
              <w:rPr>
                <w:b/>
                <w:szCs w:val="20"/>
              </w:rPr>
              <w:t xml:space="preserve">Website link to </w:t>
            </w:r>
            <w:r>
              <w:rPr>
                <w:b/>
                <w:szCs w:val="20"/>
              </w:rPr>
              <w:t>journal article or research (if available)</w:t>
            </w:r>
          </w:p>
        </w:tc>
        <w:tc>
          <w:tcPr>
            <w:tcW w:w="998" w:type="dxa"/>
          </w:tcPr>
          <w:p w14:paraId="1CE1E577" w14:textId="77777777" w:rsidR="007E58CB" w:rsidRDefault="007E58CB" w:rsidP="000B18F9">
            <w:pPr>
              <w:rPr>
                <w:b/>
                <w:szCs w:val="20"/>
              </w:rPr>
            </w:pPr>
            <w:r w:rsidRPr="00E82F54">
              <w:rPr>
                <w:b/>
                <w:szCs w:val="20"/>
              </w:rPr>
              <w:t>Date</w:t>
            </w:r>
            <w:r>
              <w:rPr>
                <w:b/>
                <w:szCs w:val="20"/>
              </w:rPr>
              <w:t xml:space="preserve"> of publication</w:t>
            </w:r>
            <w:r w:rsidRPr="00E82F54">
              <w:rPr>
                <w:b/>
                <w:szCs w:val="20"/>
              </w:rPr>
              <w:t>*</w:t>
            </w:r>
            <w:r>
              <w:rPr>
                <w:b/>
                <w:szCs w:val="20"/>
              </w:rPr>
              <w:t>**</w:t>
            </w:r>
          </w:p>
        </w:tc>
      </w:tr>
      <w:tr w:rsidR="007E58CB" w14:paraId="53F91997" w14:textId="77777777" w:rsidTr="007E58CB">
        <w:tc>
          <w:tcPr>
            <w:tcW w:w="567" w:type="dxa"/>
          </w:tcPr>
          <w:p w14:paraId="4F863C44" w14:textId="77777777" w:rsidR="007E58CB" w:rsidRPr="00965B6B" w:rsidRDefault="007E58CB" w:rsidP="000B18F9">
            <w:pPr>
              <w:rPr>
                <w:szCs w:val="20"/>
              </w:rPr>
            </w:pPr>
            <w:r>
              <w:rPr>
                <w:szCs w:val="20"/>
              </w:rPr>
              <w:t>1.</w:t>
            </w:r>
          </w:p>
        </w:tc>
        <w:tc>
          <w:tcPr>
            <w:tcW w:w="1417" w:type="dxa"/>
          </w:tcPr>
          <w:p w14:paraId="6BC2D557" w14:textId="77777777" w:rsidR="007E58CB" w:rsidRPr="007E7408" w:rsidRDefault="007E58CB" w:rsidP="000B18F9">
            <w:pPr>
              <w:rPr>
                <w:szCs w:val="20"/>
              </w:rPr>
            </w:pPr>
            <w:r w:rsidRPr="007E7408">
              <w:rPr>
                <w:szCs w:val="20"/>
              </w:rPr>
              <w:t>Clinical practice guidelines</w:t>
            </w:r>
          </w:p>
        </w:tc>
        <w:tc>
          <w:tcPr>
            <w:tcW w:w="1843" w:type="dxa"/>
          </w:tcPr>
          <w:p w14:paraId="2C7F663D" w14:textId="77777777" w:rsidR="007E58CB" w:rsidRPr="007E7408" w:rsidRDefault="007E58CB" w:rsidP="000B18F9">
            <w:pPr>
              <w:rPr>
                <w:szCs w:val="20"/>
              </w:rPr>
            </w:pPr>
            <w:r w:rsidRPr="007E7408">
              <w:rPr>
                <w:szCs w:val="20"/>
              </w:rPr>
              <w:t>Australian Cancer Network Diagnosis and Management of Lymphoma Guidelines Working Party: Clinical Practice Guidelines or the Diagnosis and Management of Lymphoma. The Cancer Council Australia and Australian Cancer Network. Sydney 2005</w:t>
            </w:r>
          </w:p>
        </w:tc>
        <w:tc>
          <w:tcPr>
            <w:tcW w:w="2126" w:type="dxa"/>
          </w:tcPr>
          <w:p w14:paraId="2E8200E9" w14:textId="77777777" w:rsidR="007E58CB" w:rsidRPr="007E7408" w:rsidRDefault="007E58CB" w:rsidP="000B18F9">
            <w:pPr>
              <w:rPr>
                <w:szCs w:val="20"/>
              </w:rPr>
            </w:pPr>
            <w:r w:rsidRPr="007E7408">
              <w:rPr>
                <w:szCs w:val="20"/>
              </w:rPr>
              <w:t>NHMRC clinical practice guidelines providing levels of evidence for the recommendations</w:t>
            </w:r>
          </w:p>
        </w:tc>
        <w:tc>
          <w:tcPr>
            <w:tcW w:w="1757" w:type="dxa"/>
          </w:tcPr>
          <w:p w14:paraId="4C69C0D0" w14:textId="3C39E2A3" w:rsidR="007E58CB" w:rsidRPr="007E7408" w:rsidRDefault="00746A08" w:rsidP="000B18F9">
            <w:pPr>
              <w:rPr>
                <w:szCs w:val="20"/>
              </w:rPr>
            </w:pPr>
            <w:hyperlink r:id="rId22" w:history="1">
              <w:r w:rsidR="009A4F3E">
                <w:rPr>
                  <w:rStyle w:val="Hyperlink"/>
                  <w:szCs w:val="20"/>
                </w:rPr>
                <w:t>Clinical Practice Guidelines or the Diagnosis and Management of Lymphoma</w:t>
              </w:r>
            </w:hyperlink>
            <w:r w:rsidR="007E58CB" w:rsidRPr="007E7408">
              <w:rPr>
                <w:szCs w:val="20"/>
              </w:rPr>
              <w:t xml:space="preserve"> </w:t>
            </w:r>
          </w:p>
        </w:tc>
        <w:tc>
          <w:tcPr>
            <w:tcW w:w="998" w:type="dxa"/>
          </w:tcPr>
          <w:p w14:paraId="1016C10F" w14:textId="77777777" w:rsidR="007E58CB" w:rsidRPr="007E7408" w:rsidRDefault="007E58CB" w:rsidP="000B18F9">
            <w:pPr>
              <w:rPr>
                <w:szCs w:val="20"/>
              </w:rPr>
            </w:pPr>
            <w:r w:rsidRPr="007E7408">
              <w:rPr>
                <w:szCs w:val="20"/>
              </w:rPr>
              <w:t>8 Dec 2005</w:t>
            </w:r>
          </w:p>
        </w:tc>
      </w:tr>
      <w:tr w:rsidR="007E58CB" w14:paraId="57AEC214" w14:textId="77777777" w:rsidTr="007E58CB">
        <w:tc>
          <w:tcPr>
            <w:tcW w:w="567" w:type="dxa"/>
          </w:tcPr>
          <w:p w14:paraId="16579817" w14:textId="77777777" w:rsidR="007E58CB" w:rsidRPr="00965B6B" w:rsidRDefault="007E58CB" w:rsidP="000B18F9">
            <w:pPr>
              <w:rPr>
                <w:szCs w:val="20"/>
              </w:rPr>
            </w:pPr>
            <w:r>
              <w:rPr>
                <w:szCs w:val="20"/>
              </w:rPr>
              <w:t>2.</w:t>
            </w:r>
          </w:p>
        </w:tc>
        <w:tc>
          <w:tcPr>
            <w:tcW w:w="1417" w:type="dxa"/>
          </w:tcPr>
          <w:p w14:paraId="397262DA" w14:textId="77777777" w:rsidR="007E58CB" w:rsidRPr="007E7408" w:rsidRDefault="007E58CB" w:rsidP="000B18F9">
            <w:pPr>
              <w:rPr>
                <w:szCs w:val="20"/>
              </w:rPr>
            </w:pPr>
            <w:r w:rsidRPr="007E7408">
              <w:rPr>
                <w:szCs w:val="20"/>
              </w:rPr>
              <w:t>Clinical practice guidelines</w:t>
            </w:r>
          </w:p>
        </w:tc>
        <w:tc>
          <w:tcPr>
            <w:tcW w:w="1843" w:type="dxa"/>
          </w:tcPr>
          <w:p w14:paraId="74471D62" w14:textId="77777777" w:rsidR="007E58CB" w:rsidRPr="007E7408" w:rsidRDefault="007E58CB" w:rsidP="000B18F9">
            <w:pPr>
              <w:rPr>
                <w:szCs w:val="20"/>
              </w:rPr>
            </w:pPr>
            <w:proofErr w:type="spellStart"/>
            <w:r w:rsidRPr="007E7408">
              <w:rPr>
                <w:szCs w:val="20"/>
              </w:rPr>
              <w:t>Swerdlow</w:t>
            </w:r>
            <w:proofErr w:type="spellEnd"/>
            <w:r w:rsidRPr="007E7408">
              <w:rPr>
                <w:szCs w:val="20"/>
              </w:rPr>
              <w:t xml:space="preserve"> SC, E. Lee Harris</w:t>
            </w:r>
            <w:proofErr w:type="gramStart"/>
            <w:r w:rsidRPr="007E7408">
              <w:rPr>
                <w:szCs w:val="20"/>
              </w:rPr>
              <w:t>,  N</w:t>
            </w:r>
            <w:proofErr w:type="gramEnd"/>
            <w:r w:rsidRPr="007E7408">
              <w:rPr>
                <w:szCs w:val="20"/>
              </w:rPr>
              <w:t xml:space="preserve">. Jaffe,  E.S. </w:t>
            </w:r>
            <w:proofErr w:type="spellStart"/>
            <w:r w:rsidRPr="007E7408">
              <w:rPr>
                <w:szCs w:val="20"/>
              </w:rPr>
              <w:t>Pileri</w:t>
            </w:r>
            <w:proofErr w:type="spellEnd"/>
            <w:r w:rsidRPr="007E7408">
              <w:rPr>
                <w:szCs w:val="20"/>
              </w:rPr>
              <w:t xml:space="preserve">,  S.A. Stein, H. Thiele,  J. </w:t>
            </w:r>
            <w:proofErr w:type="spellStart"/>
            <w:r w:rsidRPr="007E7408">
              <w:rPr>
                <w:szCs w:val="20"/>
              </w:rPr>
              <w:t>Vardiman</w:t>
            </w:r>
            <w:proofErr w:type="spellEnd"/>
            <w:r w:rsidRPr="007E7408">
              <w:rPr>
                <w:szCs w:val="20"/>
              </w:rPr>
              <w:t>, J.W.: WHO Classification of Tumours of Haematopoietic and Lymphoid Tissue. Lyon, France, IARC Press, 2008</w:t>
            </w:r>
          </w:p>
        </w:tc>
        <w:tc>
          <w:tcPr>
            <w:tcW w:w="2126" w:type="dxa"/>
          </w:tcPr>
          <w:p w14:paraId="673F30C9" w14:textId="77777777" w:rsidR="007E58CB" w:rsidRPr="007E7408" w:rsidRDefault="007E58CB" w:rsidP="000B18F9">
            <w:pPr>
              <w:rPr>
                <w:szCs w:val="20"/>
              </w:rPr>
            </w:pPr>
            <w:r w:rsidRPr="007E7408">
              <w:rPr>
                <w:szCs w:val="20"/>
              </w:rPr>
              <w:t>World Health Organization clinical practice guidelines on the classification of tumours providing levels of evidence for the recommendations</w:t>
            </w:r>
          </w:p>
        </w:tc>
        <w:tc>
          <w:tcPr>
            <w:tcW w:w="1757" w:type="dxa"/>
          </w:tcPr>
          <w:p w14:paraId="7E3F7658" w14:textId="77777777" w:rsidR="007E58CB" w:rsidRPr="007E7408" w:rsidRDefault="007E58CB" w:rsidP="000B18F9">
            <w:pPr>
              <w:rPr>
                <w:szCs w:val="20"/>
              </w:rPr>
            </w:pPr>
            <w:r w:rsidRPr="007E7408">
              <w:rPr>
                <w:szCs w:val="20"/>
              </w:rPr>
              <w:t>Book –no URL available</w:t>
            </w:r>
          </w:p>
        </w:tc>
        <w:tc>
          <w:tcPr>
            <w:tcW w:w="998" w:type="dxa"/>
          </w:tcPr>
          <w:p w14:paraId="63ABFA50" w14:textId="77777777" w:rsidR="007E58CB" w:rsidRPr="007E7408" w:rsidRDefault="007E58CB" w:rsidP="000B18F9">
            <w:pPr>
              <w:rPr>
                <w:szCs w:val="20"/>
              </w:rPr>
            </w:pPr>
            <w:r w:rsidRPr="007E7408">
              <w:rPr>
                <w:szCs w:val="20"/>
              </w:rPr>
              <w:t>2008</w:t>
            </w:r>
          </w:p>
        </w:tc>
      </w:tr>
      <w:tr w:rsidR="007E58CB" w14:paraId="68764784" w14:textId="77777777" w:rsidTr="007E58CB">
        <w:tc>
          <w:tcPr>
            <w:tcW w:w="567" w:type="dxa"/>
          </w:tcPr>
          <w:p w14:paraId="66584C22" w14:textId="77777777" w:rsidR="007E58CB" w:rsidRPr="00965B6B" w:rsidRDefault="007E58CB" w:rsidP="000B18F9">
            <w:pPr>
              <w:rPr>
                <w:szCs w:val="20"/>
              </w:rPr>
            </w:pPr>
            <w:r>
              <w:rPr>
                <w:szCs w:val="20"/>
              </w:rPr>
              <w:t>3.</w:t>
            </w:r>
          </w:p>
        </w:tc>
        <w:tc>
          <w:tcPr>
            <w:tcW w:w="1417" w:type="dxa"/>
          </w:tcPr>
          <w:p w14:paraId="646DB081" w14:textId="77777777" w:rsidR="007E58CB" w:rsidRPr="007E7408" w:rsidRDefault="007E58CB" w:rsidP="000B18F9">
            <w:pPr>
              <w:rPr>
                <w:szCs w:val="20"/>
              </w:rPr>
            </w:pPr>
            <w:r w:rsidRPr="007E7408">
              <w:rPr>
                <w:szCs w:val="20"/>
              </w:rPr>
              <w:t>Clinical practice guidelines</w:t>
            </w:r>
          </w:p>
        </w:tc>
        <w:tc>
          <w:tcPr>
            <w:tcW w:w="1843" w:type="dxa"/>
          </w:tcPr>
          <w:p w14:paraId="5F19443D" w14:textId="77777777" w:rsidR="007E58CB" w:rsidRPr="007E7408" w:rsidRDefault="007E58CB" w:rsidP="000B18F9">
            <w:pPr>
              <w:rPr>
                <w:szCs w:val="20"/>
              </w:rPr>
            </w:pPr>
            <w:r w:rsidRPr="007E7408">
              <w:rPr>
                <w:szCs w:val="20"/>
              </w:rPr>
              <w:t>Parker A, Bain B, Devereux S, et al: British Committee for Standards in Haematology. Best Practice in Lymphoma Diagnosis and Reporting. Royal College of Pathologists. London, 2010</w:t>
            </w:r>
          </w:p>
        </w:tc>
        <w:tc>
          <w:tcPr>
            <w:tcW w:w="2126" w:type="dxa"/>
          </w:tcPr>
          <w:p w14:paraId="675BD045" w14:textId="77777777" w:rsidR="007E58CB" w:rsidRPr="007E7408" w:rsidRDefault="007E58CB" w:rsidP="000B18F9">
            <w:pPr>
              <w:rPr>
                <w:szCs w:val="20"/>
              </w:rPr>
            </w:pPr>
            <w:r w:rsidRPr="007E7408">
              <w:rPr>
                <w:szCs w:val="20"/>
              </w:rPr>
              <w:t>UK clinical practice guidelines on the classification of haematological malignancies providing levels of evidence for the recommendations</w:t>
            </w:r>
          </w:p>
        </w:tc>
        <w:tc>
          <w:tcPr>
            <w:tcW w:w="1757" w:type="dxa"/>
          </w:tcPr>
          <w:p w14:paraId="046C8BF6" w14:textId="4D643CB0" w:rsidR="007E58CB" w:rsidRDefault="00746A08" w:rsidP="000B18F9">
            <w:hyperlink r:id="rId23" w:history="1">
              <w:r w:rsidR="00F349ED">
                <w:rPr>
                  <w:rStyle w:val="Hyperlink"/>
                </w:rPr>
                <w:t>Best Practice in Lymphoma Diagnosis and Reporting</w:t>
              </w:r>
            </w:hyperlink>
          </w:p>
          <w:p w14:paraId="4851C76D" w14:textId="19A25A3D" w:rsidR="00F349ED" w:rsidRPr="007E7408" w:rsidRDefault="00F349ED" w:rsidP="000B18F9">
            <w:pPr>
              <w:rPr>
                <w:szCs w:val="20"/>
              </w:rPr>
            </w:pPr>
          </w:p>
        </w:tc>
        <w:tc>
          <w:tcPr>
            <w:tcW w:w="998" w:type="dxa"/>
          </w:tcPr>
          <w:p w14:paraId="045C6AB5" w14:textId="77777777" w:rsidR="007E58CB" w:rsidRPr="007E7408" w:rsidRDefault="007E58CB" w:rsidP="000B18F9">
            <w:pPr>
              <w:rPr>
                <w:szCs w:val="20"/>
              </w:rPr>
            </w:pPr>
            <w:r w:rsidRPr="007E7408">
              <w:rPr>
                <w:szCs w:val="20"/>
              </w:rPr>
              <w:t>2010</w:t>
            </w:r>
          </w:p>
        </w:tc>
      </w:tr>
      <w:tr w:rsidR="007E58CB" w14:paraId="583DC351" w14:textId="77777777" w:rsidTr="007E58CB">
        <w:tc>
          <w:tcPr>
            <w:tcW w:w="567" w:type="dxa"/>
          </w:tcPr>
          <w:p w14:paraId="1CA281C6" w14:textId="77777777" w:rsidR="007E58CB" w:rsidRDefault="007E58CB" w:rsidP="000B18F9">
            <w:pPr>
              <w:rPr>
                <w:szCs w:val="20"/>
              </w:rPr>
            </w:pPr>
            <w:r>
              <w:rPr>
                <w:szCs w:val="20"/>
              </w:rPr>
              <w:t>4.</w:t>
            </w:r>
          </w:p>
        </w:tc>
        <w:tc>
          <w:tcPr>
            <w:tcW w:w="1417" w:type="dxa"/>
          </w:tcPr>
          <w:p w14:paraId="21595535" w14:textId="77777777" w:rsidR="007E58CB" w:rsidRPr="007E7408" w:rsidRDefault="007E58CB" w:rsidP="000B18F9">
            <w:pPr>
              <w:rPr>
                <w:szCs w:val="20"/>
              </w:rPr>
            </w:pPr>
            <w:r w:rsidRPr="007E7408">
              <w:rPr>
                <w:szCs w:val="20"/>
              </w:rPr>
              <w:t>Observational study</w:t>
            </w:r>
          </w:p>
        </w:tc>
        <w:tc>
          <w:tcPr>
            <w:tcW w:w="1843" w:type="dxa"/>
          </w:tcPr>
          <w:p w14:paraId="7B26A8A5" w14:textId="77777777" w:rsidR="007E58CB" w:rsidRPr="007E7408" w:rsidRDefault="007E58CB" w:rsidP="000B18F9">
            <w:pPr>
              <w:rPr>
                <w:szCs w:val="20"/>
              </w:rPr>
            </w:pPr>
            <w:proofErr w:type="spellStart"/>
            <w:r w:rsidRPr="007E7408">
              <w:rPr>
                <w:szCs w:val="20"/>
              </w:rPr>
              <w:t>Bouska</w:t>
            </w:r>
            <w:proofErr w:type="spellEnd"/>
            <w:r w:rsidRPr="007E7408">
              <w:rPr>
                <w:szCs w:val="20"/>
              </w:rPr>
              <w:t xml:space="preserve"> A, Bi C, Lone W, et al. Adult high-grade B-cell lymphoma with </w:t>
            </w:r>
            <w:proofErr w:type="spellStart"/>
            <w:r w:rsidRPr="007E7408">
              <w:rPr>
                <w:szCs w:val="20"/>
              </w:rPr>
              <w:t>Burkitt</w:t>
            </w:r>
            <w:proofErr w:type="spellEnd"/>
            <w:r w:rsidRPr="007E7408">
              <w:rPr>
                <w:szCs w:val="20"/>
              </w:rPr>
              <w:t xml:space="preserve"> lymphoma signature: genomic </w:t>
            </w:r>
            <w:r w:rsidRPr="007E7408">
              <w:rPr>
                <w:szCs w:val="20"/>
              </w:rPr>
              <w:lastRenderedPageBreak/>
              <w:t>features and potential therapeutic targets. Blood. 2017</w:t>
            </w:r>
            <w:proofErr w:type="gramStart"/>
            <w:r w:rsidRPr="007E7408">
              <w:rPr>
                <w:szCs w:val="20"/>
              </w:rPr>
              <w:t>;130</w:t>
            </w:r>
            <w:proofErr w:type="gramEnd"/>
            <w:r w:rsidRPr="007E7408">
              <w:rPr>
                <w:szCs w:val="20"/>
              </w:rPr>
              <w:t xml:space="preserve">(16):1819-31. </w:t>
            </w:r>
          </w:p>
        </w:tc>
        <w:tc>
          <w:tcPr>
            <w:tcW w:w="2126" w:type="dxa"/>
          </w:tcPr>
          <w:p w14:paraId="1520AC58" w14:textId="77777777" w:rsidR="007E58CB" w:rsidRPr="007E7408" w:rsidRDefault="007E58CB" w:rsidP="000B18F9">
            <w:pPr>
              <w:rPr>
                <w:szCs w:val="20"/>
              </w:rPr>
            </w:pPr>
            <w:r w:rsidRPr="007E7408">
              <w:rPr>
                <w:szCs w:val="20"/>
              </w:rPr>
              <w:lastRenderedPageBreak/>
              <w:t xml:space="preserve">Study of the molecular features of </w:t>
            </w:r>
            <w:proofErr w:type="spellStart"/>
            <w:r w:rsidRPr="007E7408">
              <w:rPr>
                <w:szCs w:val="20"/>
              </w:rPr>
              <w:t>Burkitt</w:t>
            </w:r>
            <w:proofErr w:type="spellEnd"/>
            <w:r w:rsidRPr="007E7408">
              <w:rPr>
                <w:szCs w:val="20"/>
              </w:rPr>
              <w:t xml:space="preserve"> lymphoma demonstrating the MYC-ARF-p53 axis as the primary </w:t>
            </w:r>
            <w:r w:rsidRPr="007E7408">
              <w:rPr>
                <w:szCs w:val="20"/>
              </w:rPr>
              <w:lastRenderedPageBreak/>
              <w:t xml:space="preserve">deregulated </w:t>
            </w:r>
            <w:proofErr w:type="spellStart"/>
            <w:r w:rsidRPr="007E7408">
              <w:rPr>
                <w:szCs w:val="20"/>
              </w:rPr>
              <w:t>pathoway</w:t>
            </w:r>
            <w:proofErr w:type="spellEnd"/>
            <w:r w:rsidRPr="007E7408">
              <w:rPr>
                <w:szCs w:val="20"/>
              </w:rPr>
              <w:t>.</w:t>
            </w:r>
          </w:p>
        </w:tc>
        <w:tc>
          <w:tcPr>
            <w:tcW w:w="1757" w:type="dxa"/>
          </w:tcPr>
          <w:p w14:paraId="21805CC0" w14:textId="45E6285A" w:rsidR="007E58CB" w:rsidRPr="007E7408" w:rsidRDefault="00746A08" w:rsidP="000B18F9">
            <w:pPr>
              <w:rPr>
                <w:szCs w:val="20"/>
              </w:rPr>
            </w:pPr>
            <w:hyperlink r:id="rId24" w:history="1">
              <w:r w:rsidR="00F349ED">
                <w:rPr>
                  <w:rStyle w:val="Hyperlink"/>
                  <w:szCs w:val="20"/>
                </w:rPr>
                <w:t xml:space="preserve">Adult high-grade B-cell lymphoma with </w:t>
              </w:r>
              <w:proofErr w:type="spellStart"/>
              <w:r w:rsidR="00F349ED">
                <w:rPr>
                  <w:rStyle w:val="Hyperlink"/>
                  <w:szCs w:val="20"/>
                </w:rPr>
                <w:t>Burkitt</w:t>
              </w:r>
              <w:proofErr w:type="spellEnd"/>
              <w:r w:rsidR="00F349ED">
                <w:rPr>
                  <w:rStyle w:val="Hyperlink"/>
                  <w:szCs w:val="20"/>
                </w:rPr>
                <w:t xml:space="preserve"> lymphoma signature: genomic features </w:t>
              </w:r>
              <w:r w:rsidR="00F349ED">
                <w:rPr>
                  <w:rStyle w:val="Hyperlink"/>
                  <w:szCs w:val="20"/>
                </w:rPr>
                <w:lastRenderedPageBreak/>
                <w:t>and potential therapeutic targets</w:t>
              </w:r>
            </w:hyperlink>
            <w:r w:rsidR="007E58CB" w:rsidRPr="007E7408">
              <w:rPr>
                <w:szCs w:val="20"/>
              </w:rPr>
              <w:t xml:space="preserve"> </w:t>
            </w:r>
          </w:p>
        </w:tc>
        <w:tc>
          <w:tcPr>
            <w:tcW w:w="998" w:type="dxa"/>
          </w:tcPr>
          <w:p w14:paraId="5472EEBE" w14:textId="77777777" w:rsidR="007E58CB" w:rsidRPr="007E7408" w:rsidRDefault="007E58CB" w:rsidP="000B18F9">
            <w:pPr>
              <w:rPr>
                <w:szCs w:val="20"/>
              </w:rPr>
            </w:pPr>
          </w:p>
        </w:tc>
      </w:tr>
      <w:tr w:rsidR="007E58CB" w14:paraId="48F5DE3A" w14:textId="77777777" w:rsidTr="007E58CB">
        <w:tc>
          <w:tcPr>
            <w:tcW w:w="567" w:type="dxa"/>
          </w:tcPr>
          <w:p w14:paraId="547AE187" w14:textId="77777777" w:rsidR="007E58CB" w:rsidRDefault="007E58CB" w:rsidP="000B18F9">
            <w:pPr>
              <w:rPr>
                <w:szCs w:val="20"/>
              </w:rPr>
            </w:pPr>
            <w:r>
              <w:rPr>
                <w:szCs w:val="20"/>
              </w:rPr>
              <w:lastRenderedPageBreak/>
              <w:t>5.</w:t>
            </w:r>
          </w:p>
        </w:tc>
        <w:tc>
          <w:tcPr>
            <w:tcW w:w="1417" w:type="dxa"/>
          </w:tcPr>
          <w:p w14:paraId="092ACF7D" w14:textId="77777777" w:rsidR="007E58CB" w:rsidRPr="007E7408" w:rsidRDefault="007E58CB" w:rsidP="000B18F9">
            <w:pPr>
              <w:rPr>
                <w:szCs w:val="20"/>
              </w:rPr>
            </w:pPr>
            <w:r w:rsidRPr="007E7408">
              <w:rPr>
                <w:szCs w:val="20"/>
              </w:rPr>
              <w:t>Educational publication</w:t>
            </w:r>
          </w:p>
        </w:tc>
        <w:tc>
          <w:tcPr>
            <w:tcW w:w="1843" w:type="dxa"/>
          </w:tcPr>
          <w:p w14:paraId="4A66A0E9" w14:textId="77777777" w:rsidR="007E58CB" w:rsidRPr="007E7408" w:rsidRDefault="007E58CB" w:rsidP="000B18F9">
            <w:pPr>
              <w:autoSpaceDE w:val="0"/>
              <w:autoSpaceDN w:val="0"/>
              <w:adjustRightInd w:val="0"/>
              <w:rPr>
                <w:rFonts w:cs="Segoe UI"/>
                <w:szCs w:val="20"/>
              </w:rPr>
            </w:pPr>
            <w:proofErr w:type="spellStart"/>
            <w:r w:rsidRPr="007E7408">
              <w:rPr>
                <w:szCs w:val="20"/>
              </w:rPr>
              <w:t>Sud</w:t>
            </w:r>
            <w:proofErr w:type="spellEnd"/>
            <w:r w:rsidRPr="007E7408">
              <w:rPr>
                <w:szCs w:val="20"/>
              </w:rPr>
              <w:t xml:space="preserve"> A, </w:t>
            </w:r>
            <w:proofErr w:type="spellStart"/>
            <w:r w:rsidRPr="007E7408">
              <w:rPr>
                <w:szCs w:val="20"/>
              </w:rPr>
              <w:t>Dearden</w:t>
            </w:r>
            <w:proofErr w:type="spellEnd"/>
            <w:r w:rsidRPr="007E7408">
              <w:rPr>
                <w:szCs w:val="20"/>
              </w:rPr>
              <w:t xml:space="preserve"> C. T-cell Prolymphocytic </w:t>
            </w:r>
            <w:proofErr w:type="spellStart"/>
            <w:r w:rsidRPr="007E7408">
              <w:rPr>
                <w:szCs w:val="20"/>
              </w:rPr>
              <w:t>Leukemia</w:t>
            </w:r>
            <w:proofErr w:type="spellEnd"/>
            <w:r w:rsidRPr="007E7408">
              <w:rPr>
                <w:szCs w:val="20"/>
              </w:rPr>
              <w:t xml:space="preserve">. </w:t>
            </w:r>
            <w:proofErr w:type="spellStart"/>
            <w:r w:rsidRPr="007E7408">
              <w:rPr>
                <w:szCs w:val="20"/>
              </w:rPr>
              <w:t>Hematol</w:t>
            </w:r>
            <w:proofErr w:type="spellEnd"/>
            <w:r w:rsidRPr="007E7408">
              <w:rPr>
                <w:szCs w:val="20"/>
              </w:rPr>
              <w:t xml:space="preserve"> </w:t>
            </w:r>
            <w:proofErr w:type="spellStart"/>
            <w:r w:rsidRPr="007E7408">
              <w:rPr>
                <w:szCs w:val="20"/>
              </w:rPr>
              <w:t>Oncol</w:t>
            </w:r>
            <w:proofErr w:type="spellEnd"/>
            <w:r w:rsidRPr="007E7408">
              <w:rPr>
                <w:szCs w:val="20"/>
              </w:rPr>
              <w:t xml:space="preserve"> </w:t>
            </w:r>
            <w:proofErr w:type="spellStart"/>
            <w:r w:rsidRPr="007E7408">
              <w:rPr>
                <w:szCs w:val="20"/>
              </w:rPr>
              <w:t>Clin</w:t>
            </w:r>
            <w:proofErr w:type="spellEnd"/>
            <w:r w:rsidRPr="007E7408">
              <w:rPr>
                <w:szCs w:val="20"/>
              </w:rPr>
              <w:t xml:space="preserve"> North Am. 2017</w:t>
            </w:r>
            <w:proofErr w:type="gramStart"/>
            <w:r w:rsidRPr="007E7408">
              <w:rPr>
                <w:szCs w:val="20"/>
              </w:rPr>
              <w:t>;31</w:t>
            </w:r>
            <w:proofErr w:type="gramEnd"/>
            <w:r w:rsidRPr="007E7408">
              <w:rPr>
                <w:szCs w:val="20"/>
              </w:rPr>
              <w:t>(2):273-83.</w:t>
            </w:r>
            <w:r w:rsidRPr="007E7408">
              <w:rPr>
                <w:rFonts w:cs="Segoe UI"/>
                <w:szCs w:val="20"/>
              </w:rPr>
              <w:t xml:space="preserve"> </w:t>
            </w:r>
          </w:p>
        </w:tc>
        <w:tc>
          <w:tcPr>
            <w:tcW w:w="2126" w:type="dxa"/>
          </w:tcPr>
          <w:p w14:paraId="5E37F4D1" w14:textId="77777777" w:rsidR="007E58CB" w:rsidRPr="007E7408" w:rsidRDefault="007E58CB" w:rsidP="000B18F9">
            <w:pPr>
              <w:autoSpaceDE w:val="0"/>
              <w:autoSpaceDN w:val="0"/>
              <w:adjustRightInd w:val="0"/>
              <w:rPr>
                <w:szCs w:val="20"/>
              </w:rPr>
            </w:pPr>
            <w:r w:rsidRPr="007E7408">
              <w:rPr>
                <w:szCs w:val="20"/>
              </w:rPr>
              <w:t xml:space="preserve">Diagnostic criteria of T-cell prolymphocytic </w:t>
            </w:r>
            <w:proofErr w:type="spellStart"/>
            <w:r w:rsidRPr="007E7408">
              <w:rPr>
                <w:szCs w:val="20"/>
              </w:rPr>
              <w:t>leukemia</w:t>
            </w:r>
            <w:proofErr w:type="spellEnd"/>
            <w:r w:rsidRPr="007E7408">
              <w:rPr>
                <w:szCs w:val="20"/>
              </w:rPr>
              <w:t xml:space="preserve"> including clinical features, morphology, </w:t>
            </w:r>
            <w:proofErr w:type="spellStart"/>
            <w:r w:rsidRPr="007E7408">
              <w:rPr>
                <w:szCs w:val="20"/>
              </w:rPr>
              <w:t>immunophenotyping</w:t>
            </w:r>
            <w:proofErr w:type="spellEnd"/>
            <w:r w:rsidRPr="007E7408">
              <w:rPr>
                <w:szCs w:val="20"/>
              </w:rPr>
              <w:t>, cytogenetics, and molecular features.</w:t>
            </w:r>
          </w:p>
        </w:tc>
        <w:tc>
          <w:tcPr>
            <w:tcW w:w="1757" w:type="dxa"/>
          </w:tcPr>
          <w:p w14:paraId="23B7DE87" w14:textId="47E23197" w:rsidR="007E58CB" w:rsidRPr="007E7408" w:rsidRDefault="00746A08" w:rsidP="000B18F9">
            <w:pPr>
              <w:autoSpaceDE w:val="0"/>
              <w:autoSpaceDN w:val="0"/>
              <w:adjustRightInd w:val="0"/>
              <w:rPr>
                <w:rFonts w:cs="Segoe UI"/>
                <w:szCs w:val="20"/>
              </w:rPr>
            </w:pPr>
            <w:hyperlink r:id="rId25" w:history="1">
              <w:r w:rsidR="00F349ED">
                <w:rPr>
                  <w:rStyle w:val="Hyperlink"/>
                  <w:rFonts w:cs="Segoe UI"/>
                  <w:szCs w:val="20"/>
                </w:rPr>
                <w:t xml:space="preserve">T-cell Prolymphocytic </w:t>
              </w:r>
              <w:proofErr w:type="spellStart"/>
              <w:r w:rsidR="00F349ED">
                <w:rPr>
                  <w:rStyle w:val="Hyperlink"/>
                  <w:rFonts w:cs="Segoe UI"/>
                  <w:szCs w:val="20"/>
                </w:rPr>
                <w:t>Leukemia</w:t>
              </w:r>
              <w:proofErr w:type="spellEnd"/>
            </w:hyperlink>
            <w:r w:rsidR="007E58CB" w:rsidRPr="007E7408">
              <w:rPr>
                <w:rFonts w:cs="Segoe UI"/>
                <w:szCs w:val="20"/>
              </w:rPr>
              <w:t xml:space="preserve">. </w:t>
            </w:r>
          </w:p>
        </w:tc>
        <w:tc>
          <w:tcPr>
            <w:tcW w:w="998" w:type="dxa"/>
          </w:tcPr>
          <w:p w14:paraId="5FE0AA65" w14:textId="77777777" w:rsidR="007E58CB" w:rsidRPr="007E7408" w:rsidRDefault="007E58CB" w:rsidP="000B18F9">
            <w:pPr>
              <w:rPr>
                <w:szCs w:val="20"/>
              </w:rPr>
            </w:pPr>
          </w:p>
        </w:tc>
      </w:tr>
      <w:tr w:rsidR="007E58CB" w14:paraId="3ECB8109" w14:textId="77777777" w:rsidTr="007E58CB">
        <w:tc>
          <w:tcPr>
            <w:tcW w:w="567" w:type="dxa"/>
          </w:tcPr>
          <w:p w14:paraId="1B5B2260" w14:textId="77777777" w:rsidR="007E58CB" w:rsidRPr="00965B6B" w:rsidRDefault="007E58CB" w:rsidP="000B18F9">
            <w:pPr>
              <w:rPr>
                <w:szCs w:val="20"/>
              </w:rPr>
            </w:pPr>
            <w:r>
              <w:rPr>
                <w:szCs w:val="20"/>
              </w:rPr>
              <w:t>6.</w:t>
            </w:r>
          </w:p>
        </w:tc>
        <w:tc>
          <w:tcPr>
            <w:tcW w:w="1417" w:type="dxa"/>
          </w:tcPr>
          <w:p w14:paraId="12428569" w14:textId="77777777" w:rsidR="007E58CB" w:rsidRPr="007E7408" w:rsidRDefault="007E58CB" w:rsidP="000B18F9">
            <w:pPr>
              <w:rPr>
                <w:szCs w:val="20"/>
              </w:rPr>
            </w:pPr>
            <w:r w:rsidRPr="007E7408">
              <w:rPr>
                <w:szCs w:val="20"/>
              </w:rPr>
              <w:t>Observational study</w:t>
            </w:r>
          </w:p>
        </w:tc>
        <w:tc>
          <w:tcPr>
            <w:tcW w:w="1843" w:type="dxa"/>
          </w:tcPr>
          <w:p w14:paraId="1D04BA07" w14:textId="77777777" w:rsidR="007E58CB" w:rsidRPr="007E7408" w:rsidRDefault="007E58CB" w:rsidP="000B18F9">
            <w:pPr>
              <w:autoSpaceDE w:val="0"/>
              <w:autoSpaceDN w:val="0"/>
              <w:adjustRightInd w:val="0"/>
              <w:rPr>
                <w:szCs w:val="20"/>
              </w:rPr>
            </w:pPr>
            <w:r w:rsidRPr="007E7408">
              <w:rPr>
                <w:rFonts w:cs="Segoe UI"/>
                <w:szCs w:val="20"/>
              </w:rPr>
              <w:t xml:space="preserve">Jain P, Aoki E, Keating M, et al. Characteristics, outcomes, prognostic factors and treatment of patients with T-cell prolymphocytic </w:t>
            </w:r>
            <w:proofErr w:type="spellStart"/>
            <w:r w:rsidRPr="007E7408">
              <w:rPr>
                <w:rFonts w:cs="Segoe UI"/>
                <w:szCs w:val="20"/>
              </w:rPr>
              <w:t>leukemia</w:t>
            </w:r>
            <w:proofErr w:type="spellEnd"/>
            <w:r w:rsidRPr="007E7408">
              <w:rPr>
                <w:rFonts w:cs="Segoe UI"/>
                <w:szCs w:val="20"/>
              </w:rPr>
              <w:t xml:space="preserve"> (T-PLL). Ann </w:t>
            </w:r>
            <w:proofErr w:type="spellStart"/>
            <w:r w:rsidRPr="007E7408">
              <w:rPr>
                <w:rFonts w:cs="Segoe UI"/>
                <w:szCs w:val="20"/>
              </w:rPr>
              <w:t>Oncol</w:t>
            </w:r>
            <w:proofErr w:type="spellEnd"/>
            <w:r w:rsidRPr="007E7408">
              <w:rPr>
                <w:rFonts w:cs="Segoe UI"/>
                <w:szCs w:val="20"/>
              </w:rPr>
              <w:t>. 2017</w:t>
            </w:r>
            <w:proofErr w:type="gramStart"/>
            <w:r w:rsidRPr="007E7408">
              <w:rPr>
                <w:rFonts w:cs="Segoe UI"/>
                <w:szCs w:val="20"/>
              </w:rPr>
              <w:t>;28</w:t>
            </w:r>
            <w:proofErr w:type="gramEnd"/>
            <w:r w:rsidRPr="007E7408">
              <w:rPr>
                <w:rFonts w:cs="Segoe UI"/>
                <w:szCs w:val="20"/>
              </w:rPr>
              <w:t xml:space="preserve">(7):1554-9. </w:t>
            </w:r>
          </w:p>
        </w:tc>
        <w:tc>
          <w:tcPr>
            <w:tcW w:w="2126" w:type="dxa"/>
          </w:tcPr>
          <w:p w14:paraId="596170D0" w14:textId="77777777" w:rsidR="007E58CB" w:rsidRPr="007E7408" w:rsidRDefault="007E58CB" w:rsidP="000B18F9">
            <w:pPr>
              <w:rPr>
                <w:szCs w:val="20"/>
              </w:rPr>
            </w:pPr>
            <w:r w:rsidRPr="007E7408">
              <w:rPr>
                <w:szCs w:val="20"/>
              </w:rPr>
              <w:t xml:space="preserve">Observational study of 119 patients with </w:t>
            </w:r>
            <w:r w:rsidRPr="007E7408">
              <w:rPr>
                <w:rFonts w:cs="Segoe UI"/>
                <w:szCs w:val="20"/>
              </w:rPr>
              <w:t xml:space="preserve">T-cell prolymphocytic </w:t>
            </w:r>
            <w:proofErr w:type="spellStart"/>
            <w:r w:rsidRPr="007E7408">
              <w:rPr>
                <w:rFonts w:cs="Segoe UI"/>
                <w:szCs w:val="20"/>
              </w:rPr>
              <w:t>leukemia</w:t>
            </w:r>
            <w:proofErr w:type="spellEnd"/>
            <w:r w:rsidRPr="007E7408">
              <w:rPr>
                <w:rFonts w:cs="Segoe UI"/>
                <w:szCs w:val="20"/>
              </w:rPr>
              <w:t>.</w:t>
            </w:r>
          </w:p>
        </w:tc>
        <w:tc>
          <w:tcPr>
            <w:tcW w:w="1757" w:type="dxa"/>
          </w:tcPr>
          <w:p w14:paraId="0A31C657" w14:textId="68947DBA" w:rsidR="007E58CB" w:rsidRPr="007E7408" w:rsidRDefault="00746A08" w:rsidP="000B18F9">
            <w:pPr>
              <w:autoSpaceDE w:val="0"/>
              <w:autoSpaceDN w:val="0"/>
              <w:adjustRightInd w:val="0"/>
              <w:rPr>
                <w:rFonts w:cs="Segoe UI"/>
                <w:szCs w:val="20"/>
              </w:rPr>
            </w:pPr>
            <w:hyperlink r:id="rId26" w:history="1">
              <w:r w:rsidR="00F349ED">
                <w:rPr>
                  <w:rStyle w:val="Hyperlink"/>
                  <w:rFonts w:cs="Segoe UI"/>
                  <w:szCs w:val="20"/>
                </w:rPr>
                <w:t xml:space="preserve">Characteristics, outcomes, prognostic factors and treatment of patients with T-cell prolymphocytic </w:t>
              </w:r>
              <w:proofErr w:type="spellStart"/>
              <w:r w:rsidR="00F349ED">
                <w:rPr>
                  <w:rStyle w:val="Hyperlink"/>
                  <w:rFonts w:cs="Segoe UI"/>
                  <w:szCs w:val="20"/>
                </w:rPr>
                <w:t>leukemia</w:t>
              </w:r>
              <w:proofErr w:type="spellEnd"/>
              <w:r w:rsidR="00F349ED">
                <w:rPr>
                  <w:rStyle w:val="Hyperlink"/>
                  <w:rFonts w:cs="Segoe UI"/>
                  <w:szCs w:val="20"/>
                </w:rPr>
                <w:t xml:space="preserve"> (T-PLL)</w:t>
              </w:r>
            </w:hyperlink>
            <w:r w:rsidR="007E58CB" w:rsidRPr="007E7408">
              <w:rPr>
                <w:rFonts w:cs="Segoe UI"/>
                <w:szCs w:val="20"/>
              </w:rPr>
              <w:t xml:space="preserve">. </w:t>
            </w:r>
          </w:p>
        </w:tc>
        <w:tc>
          <w:tcPr>
            <w:tcW w:w="998" w:type="dxa"/>
          </w:tcPr>
          <w:p w14:paraId="3292A4DD" w14:textId="77777777" w:rsidR="007E58CB" w:rsidRPr="007E7408" w:rsidRDefault="007E58CB" w:rsidP="000B18F9">
            <w:pPr>
              <w:rPr>
                <w:szCs w:val="20"/>
              </w:rPr>
            </w:pPr>
            <w:r w:rsidRPr="007E7408">
              <w:rPr>
                <w:szCs w:val="20"/>
              </w:rPr>
              <w:t>2008</w:t>
            </w:r>
          </w:p>
        </w:tc>
      </w:tr>
      <w:tr w:rsidR="007E58CB" w14:paraId="1BD0937D" w14:textId="77777777" w:rsidTr="007E58CB">
        <w:tc>
          <w:tcPr>
            <w:tcW w:w="567" w:type="dxa"/>
          </w:tcPr>
          <w:p w14:paraId="20220C70" w14:textId="77777777" w:rsidR="007E58CB" w:rsidRDefault="007E58CB" w:rsidP="000B18F9">
            <w:pPr>
              <w:rPr>
                <w:szCs w:val="20"/>
              </w:rPr>
            </w:pPr>
            <w:r>
              <w:rPr>
                <w:szCs w:val="20"/>
              </w:rPr>
              <w:t>7.</w:t>
            </w:r>
          </w:p>
        </w:tc>
        <w:tc>
          <w:tcPr>
            <w:tcW w:w="1417" w:type="dxa"/>
          </w:tcPr>
          <w:p w14:paraId="5543FA2E" w14:textId="77777777" w:rsidR="007E58CB" w:rsidRPr="007E7408" w:rsidRDefault="007E58CB" w:rsidP="000B18F9">
            <w:pPr>
              <w:rPr>
                <w:szCs w:val="20"/>
              </w:rPr>
            </w:pPr>
            <w:r w:rsidRPr="007E7408">
              <w:rPr>
                <w:szCs w:val="20"/>
              </w:rPr>
              <w:t>Observational study</w:t>
            </w:r>
          </w:p>
        </w:tc>
        <w:tc>
          <w:tcPr>
            <w:tcW w:w="1843" w:type="dxa"/>
          </w:tcPr>
          <w:p w14:paraId="2BE19A38" w14:textId="77777777" w:rsidR="007E58CB" w:rsidRPr="007E7408" w:rsidRDefault="007E58CB" w:rsidP="000B18F9">
            <w:pPr>
              <w:widowControl w:val="0"/>
              <w:autoSpaceDE w:val="0"/>
              <w:autoSpaceDN w:val="0"/>
              <w:adjustRightInd w:val="0"/>
              <w:rPr>
                <w:rFonts w:cs="Arial"/>
                <w:bCs/>
                <w:szCs w:val="20"/>
                <w:lang w:val="en-US"/>
              </w:rPr>
            </w:pPr>
            <w:r w:rsidRPr="007E7408">
              <w:rPr>
                <w:szCs w:val="20"/>
              </w:rPr>
              <w:t xml:space="preserve">Zeng Y, Feldman AL. Genetics of Anaplastic Large Cell Lymphoma. </w:t>
            </w:r>
            <w:proofErr w:type="spellStart"/>
            <w:r w:rsidRPr="007E7408">
              <w:rPr>
                <w:szCs w:val="20"/>
              </w:rPr>
              <w:t>Leukemia</w:t>
            </w:r>
            <w:proofErr w:type="spellEnd"/>
            <w:r w:rsidRPr="007E7408">
              <w:rPr>
                <w:szCs w:val="20"/>
              </w:rPr>
              <w:t xml:space="preserve"> &amp; lymphoma. 2016</w:t>
            </w:r>
            <w:proofErr w:type="gramStart"/>
            <w:r w:rsidRPr="007E7408">
              <w:rPr>
                <w:szCs w:val="20"/>
              </w:rPr>
              <w:t>;57</w:t>
            </w:r>
            <w:proofErr w:type="gramEnd"/>
            <w:r w:rsidRPr="007E7408">
              <w:rPr>
                <w:szCs w:val="20"/>
              </w:rPr>
              <w:t xml:space="preserve">(1):21-7. </w:t>
            </w:r>
          </w:p>
        </w:tc>
        <w:tc>
          <w:tcPr>
            <w:tcW w:w="2126" w:type="dxa"/>
          </w:tcPr>
          <w:p w14:paraId="08E61237" w14:textId="77777777" w:rsidR="007E58CB" w:rsidRPr="007E7408" w:rsidRDefault="007E58CB" w:rsidP="000B18F9">
            <w:pPr>
              <w:rPr>
                <w:szCs w:val="20"/>
              </w:rPr>
            </w:pPr>
            <w:r w:rsidRPr="007E7408">
              <w:rPr>
                <w:szCs w:val="20"/>
              </w:rPr>
              <w:t>Report on recent clinical, pathologic, and genetic data on the heterogeneity ALK-negative ALCLs.</w:t>
            </w:r>
          </w:p>
        </w:tc>
        <w:tc>
          <w:tcPr>
            <w:tcW w:w="1757" w:type="dxa"/>
          </w:tcPr>
          <w:p w14:paraId="7D558079" w14:textId="6ADF3B6F" w:rsidR="007E58CB" w:rsidRPr="007E7408" w:rsidRDefault="00746A08" w:rsidP="000B18F9">
            <w:pPr>
              <w:rPr>
                <w:szCs w:val="20"/>
              </w:rPr>
            </w:pPr>
            <w:hyperlink r:id="rId27" w:history="1">
              <w:r w:rsidR="00F349ED">
                <w:rPr>
                  <w:rStyle w:val="Hyperlink"/>
                  <w:szCs w:val="20"/>
                </w:rPr>
                <w:t>Genetics of Anaplastic Large Cell Lymphoma</w:t>
              </w:r>
            </w:hyperlink>
            <w:r w:rsidR="007E58CB" w:rsidRPr="007E7408">
              <w:rPr>
                <w:szCs w:val="20"/>
              </w:rPr>
              <w:t xml:space="preserve"> </w:t>
            </w:r>
          </w:p>
        </w:tc>
        <w:tc>
          <w:tcPr>
            <w:tcW w:w="998" w:type="dxa"/>
          </w:tcPr>
          <w:p w14:paraId="542EA083" w14:textId="77777777" w:rsidR="007E58CB" w:rsidRPr="007E7408" w:rsidRDefault="007E58CB" w:rsidP="000B18F9">
            <w:pPr>
              <w:rPr>
                <w:szCs w:val="20"/>
              </w:rPr>
            </w:pPr>
            <w:r w:rsidRPr="007E7408">
              <w:rPr>
                <w:szCs w:val="20"/>
              </w:rPr>
              <w:t>2016</w:t>
            </w:r>
          </w:p>
        </w:tc>
      </w:tr>
      <w:tr w:rsidR="007E58CB" w14:paraId="047ADEFF" w14:textId="77777777" w:rsidTr="007E58CB">
        <w:tc>
          <w:tcPr>
            <w:tcW w:w="567" w:type="dxa"/>
          </w:tcPr>
          <w:p w14:paraId="2BB6EA58" w14:textId="77777777" w:rsidR="007E58CB" w:rsidRDefault="007E58CB" w:rsidP="000B18F9">
            <w:pPr>
              <w:rPr>
                <w:szCs w:val="20"/>
              </w:rPr>
            </w:pPr>
            <w:r>
              <w:rPr>
                <w:szCs w:val="20"/>
              </w:rPr>
              <w:t>8.</w:t>
            </w:r>
          </w:p>
        </w:tc>
        <w:tc>
          <w:tcPr>
            <w:tcW w:w="1417" w:type="dxa"/>
          </w:tcPr>
          <w:p w14:paraId="2348F3D5" w14:textId="77777777" w:rsidR="007E58CB" w:rsidRPr="007E7408" w:rsidRDefault="007E58CB" w:rsidP="000B18F9">
            <w:pPr>
              <w:rPr>
                <w:szCs w:val="20"/>
              </w:rPr>
            </w:pPr>
            <w:r w:rsidRPr="007E7408">
              <w:rPr>
                <w:szCs w:val="20"/>
              </w:rPr>
              <w:t>Observational study</w:t>
            </w:r>
          </w:p>
        </w:tc>
        <w:tc>
          <w:tcPr>
            <w:tcW w:w="1843" w:type="dxa"/>
          </w:tcPr>
          <w:p w14:paraId="40BEFF41" w14:textId="77777777" w:rsidR="007E58CB" w:rsidRPr="007E7408" w:rsidRDefault="007E58CB" w:rsidP="000B18F9">
            <w:pPr>
              <w:rPr>
                <w:szCs w:val="20"/>
              </w:rPr>
            </w:pPr>
            <w:proofErr w:type="spellStart"/>
            <w:r w:rsidRPr="007E7408">
              <w:rPr>
                <w:szCs w:val="20"/>
              </w:rPr>
              <w:t>Seto</w:t>
            </w:r>
            <w:proofErr w:type="spellEnd"/>
            <w:r w:rsidRPr="007E7408">
              <w:rPr>
                <w:szCs w:val="20"/>
              </w:rPr>
              <w:t xml:space="preserve"> M. Cyclin D1-negative mantle cell lymphoma. Blood. 2013</w:t>
            </w:r>
            <w:proofErr w:type="gramStart"/>
            <w:r w:rsidRPr="007E7408">
              <w:rPr>
                <w:szCs w:val="20"/>
              </w:rPr>
              <w:t>;121</w:t>
            </w:r>
            <w:proofErr w:type="gramEnd"/>
            <w:r w:rsidRPr="007E7408">
              <w:rPr>
                <w:szCs w:val="20"/>
              </w:rPr>
              <w:t>(8):1249.</w:t>
            </w:r>
          </w:p>
        </w:tc>
        <w:tc>
          <w:tcPr>
            <w:tcW w:w="2126" w:type="dxa"/>
          </w:tcPr>
          <w:p w14:paraId="7A534863" w14:textId="77777777" w:rsidR="007E58CB" w:rsidRPr="007E7408" w:rsidRDefault="007E58CB" w:rsidP="000B18F9">
            <w:pPr>
              <w:rPr>
                <w:szCs w:val="20"/>
              </w:rPr>
            </w:pPr>
            <w:r w:rsidRPr="007E7408">
              <w:rPr>
                <w:szCs w:val="20"/>
              </w:rPr>
              <w:t>Report on prevalence of Cyclin D1-</w:t>
            </w:r>
          </w:p>
          <w:p w14:paraId="680CEDC1" w14:textId="77777777" w:rsidR="007E58CB" w:rsidRPr="007E7408" w:rsidRDefault="007E58CB" w:rsidP="000B18F9">
            <w:pPr>
              <w:rPr>
                <w:szCs w:val="20"/>
              </w:rPr>
            </w:pPr>
            <w:r w:rsidRPr="007E7408">
              <w:rPr>
                <w:szCs w:val="20"/>
              </w:rPr>
              <w:t>(CCND1) negative SOX11-positive mantle cell lymphoma (MCL) with CCND2</w:t>
            </w:r>
          </w:p>
          <w:p w14:paraId="530A059D" w14:textId="77777777" w:rsidR="007E58CB" w:rsidRPr="007E7408" w:rsidRDefault="007E58CB" w:rsidP="000B18F9">
            <w:pPr>
              <w:rPr>
                <w:szCs w:val="20"/>
              </w:rPr>
            </w:pPr>
            <w:proofErr w:type="gramStart"/>
            <w:r w:rsidRPr="007E7408">
              <w:rPr>
                <w:szCs w:val="20"/>
              </w:rPr>
              <w:t>gene</w:t>
            </w:r>
            <w:proofErr w:type="gramEnd"/>
            <w:r w:rsidRPr="007E7408">
              <w:rPr>
                <w:szCs w:val="20"/>
              </w:rPr>
              <w:t xml:space="preserve"> rearrangements predictive for disease prognosis and indicative of the need for intensive therapy.</w:t>
            </w:r>
          </w:p>
        </w:tc>
        <w:tc>
          <w:tcPr>
            <w:tcW w:w="1757" w:type="dxa"/>
          </w:tcPr>
          <w:p w14:paraId="42864595" w14:textId="4C78DD5D" w:rsidR="007E58CB" w:rsidRPr="007E7408" w:rsidRDefault="00746A08" w:rsidP="000B18F9">
            <w:pPr>
              <w:rPr>
                <w:szCs w:val="20"/>
              </w:rPr>
            </w:pPr>
            <w:hyperlink r:id="rId28" w:history="1">
              <w:r w:rsidR="00F349ED">
                <w:rPr>
                  <w:rStyle w:val="Hyperlink"/>
                  <w:szCs w:val="20"/>
                </w:rPr>
                <w:t>Cyclin D1-negative mantle cell lymphoma</w:t>
              </w:r>
            </w:hyperlink>
            <w:r w:rsidR="007E58CB" w:rsidRPr="007E7408">
              <w:rPr>
                <w:szCs w:val="20"/>
              </w:rPr>
              <w:t xml:space="preserve"> </w:t>
            </w:r>
          </w:p>
        </w:tc>
        <w:tc>
          <w:tcPr>
            <w:tcW w:w="998" w:type="dxa"/>
          </w:tcPr>
          <w:p w14:paraId="34282E09" w14:textId="77777777" w:rsidR="007E58CB" w:rsidRPr="007E7408" w:rsidRDefault="007E58CB" w:rsidP="000B18F9">
            <w:pPr>
              <w:rPr>
                <w:szCs w:val="20"/>
              </w:rPr>
            </w:pPr>
            <w:r w:rsidRPr="007E7408">
              <w:rPr>
                <w:szCs w:val="20"/>
              </w:rPr>
              <w:t>2013</w:t>
            </w:r>
          </w:p>
        </w:tc>
      </w:tr>
      <w:tr w:rsidR="007E58CB" w14:paraId="27F26ED3" w14:textId="77777777" w:rsidTr="007E58CB">
        <w:tc>
          <w:tcPr>
            <w:tcW w:w="567" w:type="dxa"/>
          </w:tcPr>
          <w:p w14:paraId="78C99A4D" w14:textId="77777777" w:rsidR="007E58CB" w:rsidRDefault="007E58CB" w:rsidP="000B18F9">
            <w:pPr>
              <w:rPr>
                <w:szCs w:val="20"/>
              </w:rPr>
            </w:pPr>
            <w:r>
              <w:rPr>
                <w:szCs w:val="20"/>
              </w:rPr>
              <w:lastRenderedPageBreak/>
              <w:t>9.</w:t>
            </w:r>
          </w:p>
        </w:tc>
        <w:tc>
          <w:tcPr>
            <w:tcW w:w="1417" w:type="dxa"/>
          </w:tcPr>
          <w:p w14:paraId="6931689E" w14:textId="77777777" w:rsidR="007E58CB" w:rsidRPr="007E7408" w:rsidRDefault="007E58CB" w:rsidP="000B18F9">
            <w:pPr>
              <w:rPr>
                <w:szCs w:val="20"/>
              </w:rPr>
            </w:pPr>
            <w:r w:rsidRPr="007E7408">
              <w:rPr>
                <w:szCs w:val="20"/>
              </w:rPr>
              <w:t>Clinical review</w:t>
            </w:r>
          </w:p>
        </w:tc>
        <w:tc>
          <w:tcPr>
            <w:tcW w:w="1843" w:type="dxa"/>
          </w:tcPr>
          <w:p w14:paraId="27875DED" w14:textId="77777777" w:rsidR="007E58CB" w:rsidRPr="007E7408" w:rsidRDefault="007E58CB" w:rsidP="000B18F9">
            <w:pPr>
              <w:rPr>
                <w:szCs w:val="20"/>
              </w:rPr>
            </w:pPr>
            <w:proofErr w:type="spellStart"/>
            <w:r w:rsidRPr="007E7408">
              <w:rPr>
                <w:rFonts w:cs="Segoe UI"/>
                <w:szCs w:val="20"/>
              </w:rPr>
              <w:t>Weidmann</w:t>
            </w:r>
            <w:proofErr w:type="spellEnd"/>
            <w:r w:rsidRPr="007E7408">
              <w:rPr>
                <w:rFonts w:cs="Segoe UI"/>
                <w:szCs w:val="20"/>
              </w:rPr>
              <w:t xml:space="preserve"> E. </w:t>
            </w:r>
            <w:proofErr w:type="spellStart"/>
            <w:r w:rsidRPr="007E7408">
              <w:rPr>
                <w:rFonts w:cs="Segoe UI"/>
                <w:szCs w:val="20"/>
              </w:rPr>
              <w:t>Hepatosplenic</w:t>
            </w:r>
            <w:proofErr w:type="spellEnd"/>
            <w:r w:rsidRPr="007E7408">
              <w:rPr>
                <w:rFonts w:cs="Segoe UI"/>
                <w:szCs w:val="20"/>
              </w:rPr>
              <w:t xml:space="preserve"> T cell lymphoma. A review on 45 cases since the first report describing the disease as a distinct lymphoma entity in 1990. </w:t>
            </w:r>
            <w:proofErr w:type="spellStart"/>
            <w:r w:rsidRPr="007E7408">
              <w:rPr>
                <w:rFonts w:cs="Segoe UI"/>
                <w:szCs w:val="20"/>
              </w:rPr>
              <w:t>Leukemia</w:t>
            </w:r>
            <w:proofErr w:type="spellEnd"/>
            <w:r w:rsidRPr="007E7408">
              <w:rPr>
                <w:rFonts w:cs="Segoe UI"/>
                <w:szCs w:val="20"/>
              </w:rPr>
              <w:t>. 2000</w:t>
            </w:r>
            <w:proofErr w:type="gramStart"/>
            <w:r w:rsidRPr="007E7408">
              <w:rPr>
                <w:rFonts w:cs="Segoe UI"/>
                <w:szCs w:val="20"/>
              </w:rPr>
              <w:t>;14</w:t>
            </w:r>
            <w:proofErr w:type="gramEnd"/>
            <w:r w:rsidRPr="007E7408">
              <w:rPr>
                <w:rFonts w:cs="Segoe UI"/>
                <w:szCs w:val="20"/>
              </w:rPr>
              <w:t>(6):991-7.</w:t>
            </w:r>
          </w:p>
        </w:tc>
        <w:tc>
          <w:tcPr>
            <w:tcW w:w="2126" w:type="dxa"/>
          </w:tcPr>
          <w:p w14:paraId="0F2B0F7D" w14:textId="77777777" w:rsidR="007E58CB" w:rsidRPr="007E7408" w:rsidRDefault="007E58CB" w:rsidP="000B18F9">
            <w:pPr>
              <w:rPr>
                <w:szCs w:val="20"/>
              </w:rPr>
            </w:pPr>
            <w:r w:rsidRPr="007E7408">
              <w:rPr>
                <w:szCs w:val="20"/>
              </w:rPr>
              <w:t xml:space="preserve">Review of </w:t>
            </w:r>
            <w:proofErr w:type="spellStart"/>
            <w:r w:rsidRPr="007E7408">
              <w:rPr>
                <w:szCs w:val="20"/>
              </w:rPr>
              <w:t>clinicopathological</w:t>
            </w:r>
            <w:proofErr w:type="spellEnd"/>
            <w:r w:rsidRPr="007E7408">
              <w:rPr>
                <w:szCs w:val="20"/>
              </w:rPr>
              <w:t xml:space="preserve">, </w:t>
            </w:r>
            <w:proofErr w:type="spellStart"/>
            <w:r w:rsidRPr="007E7408">
              <w:rPr>
                <w:szCs w:val="20"/>
              </w:rPr>
              <w:t>immunophenotypical</w:t>
            </w:r>
            <w:proofErr w:type="spellEnd"/>
            <w:r w:rsidRPr="007E7408">
              <w:rPr>
                <w:szCs w:val="20"/>
              </w:rPr>
              <w:t xml:space="preserve">, molecular biological, </w:t>
            </w:r>
            <w:proofErr w:type="spellStart"/>
            <w:r w:rsidRPr="007E7408">
              <w:rPr>
                <w:szCs w:val="20"/>
              </w:rPr>
              <w:t>cytogenetical</w:t>
            </w:r>
            <w:proofErr w:type="spellEnd"/>
            <w:r w:rsidRPr="007E7408">
              <w:rPr>
                <w:szCs w:val="20"/>
              </w:rPr>
              <w:t xml:space="preserve"> and biological findings, and diagnostic and therapeutic difficulties in </w:t>
            </w:r>
            <w:proofErr w:type="spellStart"/>
            <w:r w:rsidRPr="007E7408">
              <w:rPr>
                <w:szCs w:val="20"/>
              </w:rPr>
              <w:t>hepatosplenic</w:t>
            </w:r>
            <w:proofErr w:type="spellEnd"/>
            <w:r w:rsidRPr="007E7408">
              <w:rPr>
                <w:szCs w:val="20"/>
              </w:rPr>
              <w:t xml:space="preserve"> </w:t>
            </w:r>
            <w:proofErr w:type="spellStart"/>
            <w:r w:rsidRPr="007E7408">
              <w:rPr>
                <w:szCs w:val="20"/>
              </w:rPr>
              <w:t>gammadelta</w:t>
            </w:r>
            <w:proofErr w:type="spellEnd"/>
            <w:r w:rsidRPr="007E7408">
              <w:rPr>
                <w:szCs w:val="20"/>
              </w:rPr>
              <w:t xml:space="preserve"> T cell lymphoma.</w:t>
            </w:r>
          </w:p>
        </w:tc>
        <w:tc>
          <w:tcPr>
            <w:tcW w:w="1757" w:type="dxa"/>
          </w:tcPr>
          <w:p w14:paraId="01FDDF58" w14:textId="2019BCEE" w:rsidR="007E58CB" w:rsidRPr="007E7408" w:rsidRDefault="00746A08" w:rsidP="000B18F9">
            <w:pPr>
              <w:rPr>
                <w:szCs w:val="20"/>
              </w:rPr>
            </w:pPr>
            <w:hyperlink r:id="rId29" w:history="1">
              <w:proofErr w:type="spellStart"/>
              <w:r w:rsidR="00F349ED">
                <w:rPr>
                  <w:rStyle w:val="Hyperlink"/>
                  <w:rFonts w:cs="Segoe UI"/>
                  <w:szCs w:val="20"/>
                </w:rPr>
                <w:t>Hepatosplenic</w:t>
              </w:r>
              <w:proofErr w:type="spellEnd"/>
              <w:r w:rsidR="00F349ED">
                <w:rPr>
                  <w:rStyle w:val="Hyperlink"/>
                  <w:rFonts w:cs="Segoe UI"/>
                  <w:szCs w:val="20"/>
                </w:rPr>
                <w:t xml:space="preserve"> T cell lymphoma. A review on 45 cases since the first report describing the disease as a distinct lymphoma entity in 1990</w:t>
              </w:r>
            </w:hyperlink>
            <w:r w:rsidR="007E58CB" w:rsidRPr="007E7408">
              <w:rPr>
                <w:rFonts w:cs="Segoe UI"/>
                <w:szCs w:val="20"/>
              </w:rPr>
              <w:t xml:space="preserve"> </w:t>
            </w:r>
          </w:p>
        </w:tc>
        <w:tc>
          <w:tcPr>
            <w:tcW w:w="998" w:type="dxa"/>
          </w:tcPr>
          <w:p w14:paraId="036DD78A" w14:textId="77777777" w:rsidR="007E58CB" w:rsidRPr="007E7408" w:rsidRDefault="007E58CB" w:rsidP="000B18F9">
            <w:pPr>
              <w:rPr>
                <w:szCs w:val="20"/>
              </w:rPr>
            </w:pPr>
            <w:r w:rsidRPr="007E7408">
              <w:rPr>
                <w:szCs w:val="20"/>
              </w:rPr>
              <w:t>2000</w:t>
            </w:r>
          </w:p>
        </w:tc>
      </w:tr>
      <w:tr w:rsidR="007E58CB" w14:paraId="212BE3A7" w14:textId="77777777" w:rsidTr="007E58CB">
        <w:tc>
          <w:tcPr>
            <w:tcW w:w="567" w:type="dxa"/>
          </w:tcPr>
          <w:p w14:paraId="1A926D23" w14:textId="77777777" w:rsidR="007E58CB" w:rsidRPr="00965B6B" w:rsidRDefault="007E58CB" w:rsidP="000B18F9">
            <w:pPr>
              <w:rPr>
                <w:szCs w:val="20"/>
              </w:rPr>
            </w:pPr>
            <w:r>
              <w:rPr>
                <w:szCs w:val="20"/>
              </w:rPr>
              <w:t>4.</w:t>
            </w:r>
          </w:p>
        </w:tc>
        <w:tc>
          <w:tcPr>
            <w:tcW w:w="1417" w:type="dxa"/>
          </w:tcPr>
          <w:p w14:paraId="7E718FCC" w14:textId="77777777" w:rsidR="007E58CB" w:rsidRPr="007E7408" w:rsidRDefault="007E58CB" w:rsidP="000B18F9">
            <w:pPr>
              <w:rPr>
                <w:szCs w:val="20"/>
              </w:rPr>
            </w:pPr>
            <w:r w:rsidRPr="007E7408">
              <w:rPr>
                <w:szCs w:val="20"/>
              </w:rPr>
              <w:t>Health economics study</w:t>
            </w:r>
          </w:p>
        </w:tc>
        <w:tc>
          <w:tcPr>
            <w:tcW w:w="1843" w:type="dxa"/>
          </w:tcPr>
          <w:p w14:paraId="65A67084" w14:textId="77777777" w:rsidR="007E58CB" w:rsidRPr="007E7408" w:rsidRDefault="007E58CB" w:rsidP="000B18F9">
            <w:pPr>
              <w:rPr>
                <w:szCs w:val="20"/>
              </w:rPr>
            </w:pPr>
            <w:r w:rsidRPr="007E7408">
              <w:rPr>
                <w:szCs w:val="20"/>
              </w:rPr>
              <w:t xml:space="preserve">Sabatini LM, Mathews C, </w:t>
            </w:r>
            <w:proofErr w:type="spellStart"/>
            <w:r w:rsidRPr="007E7408">
              <w:rPr>
                <w:szCs w:val="20"/>
              </w:rPr>
              <w:t>Ptak</w:t>
            </w:r>
            <w:proofErr w:type="spellEnd"/>
            <w:r w:rsidRPr="007E7408">
              <w:rPr>
                <w:szCs w:val="20"/>
              </w:rPr>
              <w:t xml:space="preserve"> D, et al: Genomic Sequencing Procedure </w:t>
            </w:r>
            <w:proofErr w:type="spellStart"/>
            <w:r w:rsidRPr="007E7408">
              <w:rPr>
                <w:szCs w:val="20"/>
              </w:rPr>
              <w:t>Microcosting</w:t>
            </w:r>
            <w:proofErr w:type="spellEnd"/>
            <w:r w:rsidRPr="007E7408">
              <w:rPr>
                <w:szCs w:val="20"/>
              </w:rPr>
              <w:t xml:space="preserve"> Analysis and Health Economic Cost-Impact Analysis: A Report of the Association for Molecular Pathology. J of </w:t>
            </w:r>
            <w:proofErr w:type="spellStart"/>
            <w:r w:rsidRPr="007E7408">
              <w:rPr>
                <w:szCs w:val="20"/>
              </w:rPr>
              <w:t>Mol</w:t>
            </w:r>
            <w:proofErr w:type="spellEnd"/>
            <w:r w:rsidRPr="007E7408">
              <w:rPr>
                <w:szCs w:val="20"/>
              </w:rPr>
              <w:t xml:space="preserve"> </w:t>
            </w:r>
            <w:proofErr w:type="spellStart"/>
            <w:r w:rsidRPr="007E7408">
              <w:rPr>
                <w:szCs w:val="20"/>
              </w:rPr>
              <w:t>Diagn</w:t>
            </w:r>
            <w:proofErr w:type="spellEnd"/>
            <w:r w:rsidRPr="007E7408">
              <w:rPr>
                <w:szCs w:val="20"/>
              </w:rPr>
              <w:t xml:space="preserve"> 18:319-328, </w:t>
            </w:r>
          </w:p>
        </w:tc>
        <w:tc>
          <w:tcPr>
            <w:tcW w:w="2126" w:type="dxa"/>
          </w:tcPr>
          <w:p w14:paraId="3D3773A9" w14:textId="77777777" w:rsidR="007E58CB" w:rsidRPr="007E7408" w:rsidRDefault="007E58CB" w:rsidP="000B18F9">
            <w:pPr>
              <w:rPr>
                <w:szCs w:val="20"/>
              </w:rPr>
            </w:pPr>
            <w:r w:rsidRPr="007E7408">
              <w:rPr>
                <w:szCs w:val="20"/>
              </w:rPr>
              <w:t xml:space="preserve">US Study by Association for Molecular Pathology on cost and value analysis of specific genomic sequencing procedures (GSPs) gathered from representative laboratories’ data. Cost-impact models for three clinical scenarios were generated -advanced non–small-cell lung cancer sensorineural hearing loss, and paediatric neurodevelopmental disorders of unknown genetic aetiology. </w:t>
            </w:r>
          </w:p>
        </w:tc>
        <w:tc>
          <w:tcPr>
            <w:tcW w:w="1757" w:type="dxa"/>
          </w:tcPr>
          <w:p w14:paraId="135CEFF7" w14:textId="0A7FDFA0" w:rsidR="007E58CB" w:rsidRPr="007E7408" w:rsidRDefault="00746A08" w:rsidP="000B18F9">
            <w:pPr>
              <w:rPr>
                <w:szCs w:val="20"/>
              </w:rPr>
            </w:pPr>
            <w:hyperlink r:id="rId30" w:history="1">
              <w:r w:rsidR="00F349ED">
                <w:rPr>
                  <w:rStyle w:val="Hyperlink"/>
                  <w:szCs w:val="20"/>
                </w:rPr>
                <w:t xml:space="preserve">Genomic Sequencing Procedure </w:t>
              </w:r>
              <w:proofErr w:type="spellStart"/>
              <w:r w:rsidR="00F349ED">
                <w:rPr>
                  <w:rStyle w:val="Hyperlink"/>
                  <w:szCs w:val="20"/>
                </w:rPr>
                <w:t>Microcosting</w:t>
              </w:r>
              <w:proofErr w:type="spellEnd"/>
              <w:r w:rsidR="00F349ED">
                <w:rPr>
                  <w:rStyle w:val="Hyperlink"/>
                  <w:szCs w:val="20"/>
                </w:rPr>
                <w:t xml:space="preserve"> Analysis and Health Economic Cost-Impact Analysis: A Report of the Association for Molecular Pathology</w:t>
              </w:r>
            </w:hyperlink>
            <w:r w:rsidR="007E58CB" w:rsidRPr="007E7408">
              <w:rPr>
                <w:szCs w:val="20"/>
              </w:rPr>
              <w:t xml:space="preserve"> </w:t>
            </w:r>
          </w:p>
          <w:p w14:paraId="6F6E9AD6" w14:textId="77777777" w:rsidR="007E58CB" w:rsidRPr="007E7408" w:rsidRDefault="007E58CB" w:rsidP="000B18F9">
            <w:pPr>
              <w:rPr>
                <w:szCs w:val="20"/>
              </w:rPr>
            </w:pPr>
          </w:p>
          <w:p w14:paraId="01370838" w14:textId="77777777" w:rsidR="007E58CB" w:rsidRPr="007E7408" w:rsidRDefault="007E58CB" w:rsidP="000B18F9">
            <w:pPr>
              <w:rPr>
                <w:szCs w:val="20"/>
              </w:rPr>
            </w:pPr>
          </w:p>
        </w:tc>
        <w:tc>
          <w:tcPr>
            <w:tcW w:w="998" w:type="dxa"/>
          </w:tcPr>
          <w:p w14:paraId="37430537" w14:textId="77777777" w:rsidR="007E58CB" w:rsidRPr="007E7408" w:rsidRDefault="007E58CB" w:rsidP="000B18F9">
            <w:pPr>
              <w:rPr>
                <w:szCs w:val="20"/>
              </w:rPr>
            </w:pPr>
            <w:r w:rsidRPr="007E7408">
              <w:rPr>
                <w:szCs w:val="20"/>
              </w:rPr>
              <w:t>2014</w:t>
            </w:r>
          </w:p>
        </w:tc>
      </w:tr>
      <w:tr w:rsidR="007E58CB" w14:paraId="7E905091" w14:textId="77777777" w:rsidTr="007E58CB">
        <w:tc>
          <w:tcPr>
            <w:tcW w:w="567" w:type="dxa"/>
          </w:tcPr>
          <w:p w14:paraId="2BC9465A" w14:textId="77777777" w:rsidR="007E58CB" w:rsidRPr="00965B6B" w:rsidRDefault="007E58CB" w:rsidP="000B18F9">
            <w:pPr>
              <w:rPr>
                <w:szCs w:val="20"/>
              </w:rPr>
            </w:pPr>
            <w:r>
              <w:rPr>
                <w:szCs w:val="20"/>
              </w:rPr>
              <w:t>10.</w:t>
            </w:r>
          </w:p>
        </w:tc>
        <w:tc>
          <w:tcPr>
            <w:tcW w:w="1417" w:type="dxa"/>
          </w:tcPr>
          <w:p w14:paraId="639CA583" w14:textId="77777777" w:rsidR="007E58CB" w:rsidRPr="007E7408" w:rsidRDefault="007E58CB" w:rsidP="000B18F9">
            <w:pPr>
              <w:rPr>
                <w:szCs w:val="20"/>
              </w:rPr>
            </w:pPr>
            <w:r w:rsidRPr="007E7408">
              <w:rPr>
                <w:szCs w:val="20"/>
              </w:rPr>
              <w:t>Observational study</w:t>
            </w:r>
          </w:p>
        </w:tc>
        <w:tc>
          <w:tcPr>
            <w:tcW w:w="1843" w:type="dxa"/>
          </w:tcPr>
          <w:p w14:paraId="0B8682FC" w14:textId="77777777" w:rsidR="007E58CB" w:rsidRPr="007E7408" w:rsidRDefault="007E58CB" w:rsidP="000B18F9">
            <w:pPr>
              <w:rPr>
                <w:szCs w:val="20"/>
              </w:rPr>
            </w:pPr>
            <w:r w:rsidRPr="007E7408">
              <w:rPr>
                <w:szCs w:val="20"/>
              </w:rPr>
              <w:t>Rare Cancers Australia: Just a Little More Time Rare Cancers Update Report. 2016</w:t>
            </w:r>
          </w:p>
        </w:tc>
        <w:tc>
          <w:tcPr>
            <w:tcW w:w="2126" w:type="dxa"/>
          </w:tcPr>
          <w:p w14:paraId="425BC2B5" w14:textId="77777777" w:rsidR="007E58CB" w:rsidRPr="007E7408" w:rsidRDefault="007E58CB" w:rsidP="000B18F9">
            <w:pPr>
              <w:rPr>
                <w:szCs w:val="20"/>
              </w:rPr>
            </w:pPr>
            <w:r w:rsidRPr="007E7408">
              <w:rPr>
                <w:szCs w:val="20"/>
              </w:rPr>
              <w:t>A review of available cancer data investigating the disparities existing for incidence, mortality and survival across the cancer spectrum. The study provided a definition for rare cancers, and the burden of disease that rare and less common cancers pose across all ages in Australia</w:t>
            </w:r>
          </w:p>
        </w:tc>
        <w:tc>
          <w:tcPr>
            <w:tcW w:w="1757" w:type="dxa"/>
          </w:tcPr>
          <w:p w14:paraId="55496654" w14:textId="083BB08C" w:rsidR="007E58CB" w:rsidRPr="007E7408" w:rsidRDefault="00746A08" w:rsidP="000B18F9">
            <w:pPr>
              <w:rPr>
                <w:szCs w:val="20"/>
              </w:rPr>
            </w:pPr>
            <w:hyperlink r:id="rId31" w:history="1">
              <w:r w:rsidR="00F349ED">
                <w:rPr>
                  <w:rStyle w:val="Hyperlink"/>
                  <w:szCs w:val="20"/>
                </w:rPr>
                <w:t>Just a Little More Time – Rare Cancers Baseline Report.</w:t>
              </w:r>
            </w:hyperlink>
            <w:r w:rsidR="007E58CB" w:rsidRPr="007E7408">
              <w:rPr>
                <w:szCs w:val="20"/>
              </w:rPr>
              <w:t xml:space="preserve"> </w:t>
            </w:r>
          </w:p>
        </w:tc>
        <w:tc>
          <w:tcPr>
            <w:tcW w:w="998" w:type="dxa"/>
          </w:tcPr>
          <w:p w14:paraId="7BE796C7" w14:textId="77777777" w:rsidR="007E58CB" w:rsidRPr="007E7408" w:rsidRDefault="007E58CB" w:rsidP="000B18F9">
            <w:pPr>
              <w:rPr>
                <w:szCs w:val="20"/>
              </w:rPr>
            </w:pPr>
            <w:r w:rsidRPr="007E7408">
              <w:rPr>
                <w:szCs w:val="20"/>
              </w:rPr>
              <w:t>2016</w:t>
            </w:r>
          </w:p>
        </w:tc>
      </w:tr>
    </w:tbl>
    <w:p w14:paraId="016FC9AF" w14:textId="77777777" w:rsidR="000B18F9" w:rsidRDefault="000B18F9">
      <w:pPr>
        <w:rPr>
          <w:b/>
          <w:sz w:val="32"/>
          <w:szCs w:val="32"/>
        </w:rPr>
      </w:pPr>
    </w:p>
    <w:p w14:paraId="3898ED8E" w14:textId="77777777" w:rsidR="000B18F9" w:rsidRPr="000B18F9" w:rsidRDefault="000B18F9" w:rsidP="000B18F9">
      <w:pPr>
        <w:numPr>
          <w:ilvl w:val="0"/>
          <w:numId w:val="1"/>
        </w:numPr>
        <w:contextualSpacing/>
        <w:outlineLvl w:val="1"/>
        <w:rPr>
          <w:b/>
          <w:szCs w:val="20"/>
        </w:rPr>
      </w:pPr>
      <w:r w:rsidRPr="000B18F9">
        <w:rPr>
          <w:b/>
          <w:szCs w:val="20"/>
        </w:rPr>
        <w:t>Identify yet to be published research that may have results available in the near future that could be relevant in the consideration of your application by MSAC (limiting these to the English language only).</w:t>
      </w:r>
      <w:r w:rsidRPr="000B18F9">
        <w:rPr>
          <w:b/>
          <w:i/>
          <w:szCs w:val="20"/>
        </w:rPr>
        <w:t xml:space="preserve"> Please do not attach full text </w:t>
      </w:r>
      <w:proofErr w:type="gramStart"/>
      <w:r w:rsidRPr="000B18F9">
        <w:rPr>
          <w:b/>
          <w:i/>
          <w:szCs w:val="20"/>
        </w:rPr>
        <w:t>articles,</w:t>
      </w:r>
      <w:proofErr w:type="gramEnd"/>
      <w:r w:rsidRPr="000B18F9">
        <w:rPr>
          <w:b/>
          <w:i/>
          <w:szCs w:val="20"/>
        </w:rPr>
        <w:t xml:space="preserve"> this is just intended to be a summary.</w:t>
      </w:r>
    </w:p>
    <w:tbl>
      <w:tblPr>
        <w:tblStyle w:val="TableGrid6"/>
        <w:tblW w:w="5000" w:type="pct"/>
        <w:tblLook w:val="04A0" w:firstRow="1" w:lastRow="0" w:firstColumn="1" w:lastColumn="0" w:noHBand="0" w:noVBand="1"/>
        <w:tblCaption w:val="Summary of Evidence - Yet to be Published"/>
      </w:tblPr>
      <w:tblGrid>
        <w:gridCol w:w="563"/>
        <w:gridCol w:w="1614"/>
        <w:gridCol w:w="2039"/>
        <w:gridCol w:w="1594"/>
        <w:gridCol w:w="2264"/>
        <w:gridCol w:w="1168"/>
      </w:tblGrid>
      <w:tr w:rsidR="000B18F9" w:rsidRPr="000B18F9" w14:paraId="7A1F80C5" w14:textId="77777777" w:rsidTr="000B18F9">
        <w:trPr>
          <w:cantSplit/>
          <w:tblHeader/>
        </w:trPr>
        <w:tc>
          <w:tcPr>
            <w:tcW w:w="326" w:type="pct"/>
          </w:tcPr>
          <w:p w14:paraId="5DDE3627" w14:textId="77777777" w:rsidR="000B18F9" w:rsidRPr="000B18F9" w:rsidRDefault="000B18F9" w:rsidP="000B18F9">
            <w:pPr>
              <w:ind w:right="82"/>
              <w:rPr>
                <w:rFonts w:ascii="Calibri" w:hAnsi="Calibri" w:cs="Tahoma"/>
                <w:b/>
                <w:szCs w:val="20"/>
                <w:lang w:eastAsia="en-AU"/>
              </w:rPr>
            </w:pPr>
          </w:p>
        </w:tc>
        <w:tc>
          <w:tcPr>
            <w:tcW w:w="895" w:type="pct"/>
          </w:tcPr>
          <w:p w14:paraId="30D06C1B" w14:textId="77777777" w:rsidR="000B18F9" w:rsidRPr="000B18F9" w:rsidRDefault="000B18F9" w:rsidP="000B18F9">
            <w:pPr>
              <w:ind w:right="82"/>
              <w:rPr>
                <w:rFonts w:ascii="Calibri" w:hAnsi="Calibri" w:cs="Tahoma"/>
                <w:b/>
                <w:szCs w:val="20"/>
                <w:lang w:eastAsia="en-AU"/>
              </w:rPr>
            </w:pPr>
            <w:r w:rsidRPr="000B18F9">
              <w:rPr>
                <w:rFonts w:ascii="Calibri" w:hAnsi="Calibri" w:cs="Tahoma"/>
                <w:b/>
                <w:szCs w:val="20"/>
                <w:lang w:eastAsia="en-AU"/>
              </w:rPr>
              <w:t>Type of study design*</w:t>
            </w:r>
          </w:p>
        </w:tc>
        <w:tc>
          <w:tcPr>
            <w:tcW w:w="1125" w:type="pct"/>
          </w:tcPr>
          <w:p w14:paraId="46D01DE7" w14:textId="77777777" w:rsidR="000B18F9" w:rsidRPr="000B18F9" w:rsidRDefault="000B18F9" w:rsidP="000B18F9">
            <w:pPr>
              <w:ind w:right="82"/>
              <w:rPr>
                <w:rFonts w:ascii="Calibri" w:hAnsi="Calibri" w:cs="Tahoma"/>
                <w:b/>
                <w:szCs w:val="20"/>
                <w:lang w:eastAsia="en-AU"/>
              </w:rPr>
            </w:pPr>
            <w:r w:rsidRPr="000B18F9">
              <w:rPr>
                <w:rFonts w:ascii="Calibri" w:hAnsi="Calibri" w:cs="Tahoma"/>
                <w:b/>
                <w:szCs w:val="20"/>
                <w:lang w:eastAsia="en-AU"/>
              </w:rPr>
              <w:t>Title of research (including any trial identifier if relevant)</w:t>
            </w:r>
          </w:p>
        </w:tc>
        <w:tc>
          <w:tcPr>
            <w:tcW w:w="884" w:type="pct"/>
          </w:tcPr>
          <w:p w14:paraId="3917F572" w14:textId="77777777" w:rsidR="000B18F9" w:rsidRPr="000B18F9" w:rsidRDefault="000B18F9" w:rsidP="000B18F9">
            <w:pPr>
              <w:ind w:right="82"/>
              <w:rPr>
                <w:rFonts w:ascii="Calibri" w:hAnsi="Calibri" w:cs="Tahoma"/>
                <w:b/>
                <w:szCs w:val="20"/>
                <w:lang w:eastAsia="en-AU"/>
              </w:rPr>
            </w:pPr>
            <w:r w:rsidRPr="000B18F9">
              <w:rPr>
                <w:rFonts w:ascii="Calibri" w:hAnsi="Calibri" w:cs="Tahoma"/>
                <w:b/>
                <w:szCs w:val="20"/>
                <w:lang w:eastAsia="en-AU"/>
              </w:rPr>
              <w:t>Short description of research (max 50 words)**</w:t>
            </w:r>
          </w:p>
        </w:tc>
        <w:tc>
          <w:tcPr>
            <w:tcW w:w="1246" w:type="pct"/>
          </w:tcPr>
          <w:p w14:paraId="672FD7AD" w14:textId="77777777" w:rsidR="000B18F9" w:rsidRPr="000B18F9" w:rsidRDefault="000B18F9" w:rsidP="000B18F9">
            <w:pPr>
              <w:ind w:right="82"/>
              <w:rPr>
                <w:rFonts w:ascii="Calibri" w:hAnsi="Calibri" w:cs="Tahoma"/>
                <w:b/>
                <w:szCs w:val="20"/>
                <w:lang w:eastAsia="en-AU"/>
              </w:rPr>
            </w:pPr>
            <w:r w:rsidRPr="000B18F9">
              <w:rPr>
                <w:rFonts w:ascii="Calibri" w:hAnsi="Calibri" w:cs="Tahoma"/>
                <w:b/>
                <w:szCs w:val="20"/>
                <w:lang w:eastAsia="en-AU"/>
              </w:rPr>
              <w:t>Website link to research (if available)</w:t>
            </w:r>
          </w:p>
        </w:tc>
        <w:tc>
          <w:tcPr>
            <w:tcW w:w="524" w:type="pct"/>
          </w:tcPr>
          <w:p w14:paraId="3171E9B5" w14:textId="77777777" w:rsidR="000B18F9" w:rsidRPr="000B18F9" w:rsidRDefault="000B18F9" w:rsidP="000B18F9">
            <w:pPr>
              <w:ind w:right="82"/>
              <w:rPr>
                <w:rFonts w:ascii="Calibri" w:hAnsi="Calibri" w:cs="Tahoma"/>
                <w:b/>
                <w:szCs w:val="20"/>
                <w:lang w:eastAsia="en-AU"/>
              </w:rPr>
            </w:pPr>
            <w:r w:rsidRPr="000B18F9">
              <w:rPr>
                <w:rFonts w:ascii="Calibri" w:hAnsi="Calibri" w:cs="Tahoma"/>
                <w:b/>
                <w:szCs w:val="20"/>
                <w:lang w:eastAsia="en-AU"/>
              </w:rPr>
              <w:t>Date***</w:t>
            </w:r>
          </w:p>
        </w:tc>
      </w:tr>
      <w:tr w:rsidR="000B18F9" w:rsidRPr="000B18F9" w14:paraId="121A408F" w14:textId="77777777" w:rsidTr="000B18F9">
        <w:trPr>
          <w:cantSplit/>
        </w:trPr>
        <w:tc>
          <w:tcPr>
            <w:tcW w:w="326" w:type="pct"/>
          </w:tcPr>
          <w:p w14:paraId="259BF25D" w14:textId="77777777" w:rsidR="000B18F9" w:rsidRPr="000B18F9" w:rsidRDefault="000B18F9" w:rsidP="000B18F9">
            <w:pPr>
              <w:rPr>
                <w:szCs w:val="20"/>
              </w:rPr>
            </w:pPr>
            <w:r w:rsidRPr="000B18F9">
              <w:rPr>
                <w:szCs w:val="20"/>
              </w:rPr>
              <w:t>1.</w:t>
            </w:r>
          </w:p>
        </w:tc>
        <w:tc>
          <w:tcPr>
            <w:tcW w:w="895" w:type="pct"/>
          </w:tcPr>
          <w:p w14:paraId="6AADA9BB" w14:textId="77777777" w:rsidR="000B18F9" w:rsidRPr="000B18F9" w:rsidRDefault="000B18F9" w:rsidP="000B18F9">
            <w:pPr>
              <w:rPr>
                <w:b/>
                <w:szCs w:val="20"/>
              </w:rPr>
            </w:pPr>
            <w:r w:rsidRPr="000B18F9">
              <w:fldChar w:fldCharType="begin">
                <w:ffData>
                  <w:name w:val=""/>
                  <w:enabled/>
                  <w:calcOnExit w:val="0"/>
                  <w:textInput>
                    <w:default w:val="For yet to be published research that may have results relevant to your application, insert the type of study design in this column and columns below"/>
                  </w:textInput>
                </w:ffData>
              </w:fldChar>
            </w:r>
            <w:r w:rsidRPr="000B18F9">
              <w:instrText xml:space="preserve"> FORMTEXT </w:instrText>
            </w:r>
            <w:r w:rsidRPr="000B18F9">
              <w:fldChar w:fldCharType="separate"/>
            </w:r>
            <w:r w:rsidRPr="000B18F9">
              <w:rPr>
                <w:noProof/>
              </w:rPr>
              <w:t>For yet to be published research that may have results relevant to your application, insert the type of study design in this column and columns below</w:t>
            </w:r>
            <w:r w:rsidRPr="000B18F9">
              <w:fldChar w:fldCharType="end"/>
            </w:r>
          </w:p>
        </w:tc>
        <w:tc>
          <w:tcPr>
            <w:tcW w:w="1125" w:type="pct"/>
          </w:tcPr>
          <w:p w14:paraId="235563DF" w14:textId="77777777" w:rsidR="000B18F9" w:rsidRPr="000B18F9" w:rsidRDefault="000B18F9" w:rsidP="000B18F9">
            <w:pPr>
              <w:rPr>
                <w:b/>
                <w:szCs w:val="20"/>
              </w:rPr>
            </w:pPr>
            <w:r w:rsidRPr="000B18F9">
              <w:fldChar w:fldCharType="begin">
                <w:ffData>
                  <w:name w:val=""/>
                  <w:enabled/>
                  <w:calcOnExit w:val="0"/>
                  <w:textInput>
                    <w:default w:val="For yet to be published research that may have results relevant to your application, insert the title of research (including any trial identifier if relevant) in this column and columns below"/>
                  </w:textInput>
                </w:ffData>
              </w:fldChar>
            </w:r>
            <w:r w:rsidRPr="000B18F9">
              <w:instrText xml:space="preserve"> FORMTEXT </w:instrText>
            </w:r>
            <w:r w:rsidRPr="000B18F9">
              <w:fldChar w:fldCharType="separate"/>
            </w:r>
            <w:r w:rsidRPr="000B18F9">
              <w:rPr>
                <w:noProof/>
              </w:rPr>
              <w:t>For yet to be published research that may have results relevant to your application, insert the title of research (including any trial identifier if relevant) in this column and columns below</w:t>
            </w:r>
            <w:r w:rsidRPr="000B18F9">
              <w:fldChar w:fldCharType="end"/>
            </w:r>
          </w:p>
        </w:tc>
        <w:tc>
          <w:tcPr>
            <w:tcW w:w="884" w:type="pct"/>
          </w:tcPr>
          <w:p w14:paraId="1DE51BEF" w14:textId="77777777" w:rsidR="000B18F9" w:rsidRPr="000B18F9" w:rsidRDefault="000B18F9" w:rsidP="000B18F9">
            <w:pPr>
              <w:rPr>
                <w:b/>
                <w:szCs w:val="20"/>
              </w:rPr>
            </w:pPr>
            <w:r w:rsidRPr="000B18F9">
              <w:fldChar w:fldCharType="begin">
                <w:ffData>
                  <w:name w:val=""/>
                  <w:enabled/>
                  <w:calcOnExit w:val="0"/>
                  <w:textInput>
                    <w:default w:val="For yet to be published research that may have results relevant to your application, insert a short description of research (max 50 words) in this column and columns below"/>
                  </w:textInput>
                </w:ffData>
              </w:fldChar>
            </w:r>
            <w:r w:rsidRPr="000B18F9">
              <w:instrText xml:space="preserve"> FORMTEXT </w:instrText>
            </w:r>
            <w:r w:rsidRPr="000B18F9">
              <w:fldChar w:fldCharType="separate"/>
            </w:r>
            <w:r w:rsidRPr="000B18F9">
              <w:rPr>
                <w:noProof/>
              </w:rPr>
              <w:t>For yet to be published research that may have results relevant to your application, insert a short description of research (max 50 words) in this column and columns below</w:t>
            </w:r>
            <w:r w:rsidRPr="000B18F9">
              <w:fldChar w:fldCharType="end"/>
            </w:r>
          </w:p>
        </w:tc>
        <w:tc>
          <w:tcPr>
            <w:tcW w:w="1246" w:type="pct"/>
          </w:tcPr>
          <w:p w14:paraId="796D62F5" w14:textId="77777777" w:rsidR="000B18F9" w:rsidRPr="000B18F9" w:rsidRDefault="000B18F9" w:rsidP="000B18F9">
            <w:pPr>
              <w:rPr>
                <w:b/>
                <w:szCs w:val="20"/>
              </w:rPr>
            </w:pPr>
            <w:r w:rsidRPr="000B18F9">
              <w:fldChar w:fldCharType="begin">
                <w:ffData>
                  <w:name w:val=""/>
                  <w:enabled/>
                  <w:calcOnExit w:val="0"/>
                  <w:textInput>
                    <w:default w:val="For yet to be published research that may have results relevant to your application, insert a website link to this research (if available) in this column and columns below"/>
                  </w:textInput>
                </w:ffData>
              </w:fldChar>
            </w:r>
            <w:r w:rsidRPr="000B18F9">
              <w:instrText xml:space="preserve"> FORMTEXT </w:instrText>
            </w:r>
            <w:r w:rsidRPr="000B18F9">
              <w:fldChar w:fldCharType="separate"/>
            </w:r>
            <w:r w:rsidRPr="000B18F9">
              <w:rPr>
                <w:noProof/>
              </w:rPr>
              <w:t>For yet to be published research that may have results relevant to your application, insert a website link to this research (if available) in this column and columns below</w:t>
            </w:r>
            <w:r w:rsidRPr="000B18F9">
              <w:fldChar w:fldCharType="end"/>
            </w:r>
          </w:p>
        </w:tc>
        <w:tc>
          <w:tcPr>
            <w:tcW w:w="524" w:type="pct"/>
          </w:tcPr>
          <w:p w14:paraId="747A479D" w14:textId="77777777" w:rsidR="000B18F9" w:rsidRPr="000B18F9" w:rsidRDefault="000B18F9" w:rsidP="000B18F9">
            <w:pPr>
              <w:rPr>
                <w:b/>
                <w:szCs w:val="20"/>
              </w:rPr>
            </w:pPr>
            <w:r w:rsidRPr="000B18F9">
              <w:fldChar w:fldCharType="begin">
                <w:ffData>
                  <w:name w:val=""/>
                  <w:enabled/>
                  <w:calcOnExit w:val="0"/>
                  <w:textInput>
                    <w:default w:val="For yet to be published research that may have results relevant to your application, insert date in this column and columns below"/>
                  </w:textInput>
                </w:ffData>
              </w:fldChar>
            </w:r>
            <w:r w:rsidRPr="000B18F9">
              <w:instrText xml:space="preserve"> FORMTEXT </w:instrText>
            </w:r>
            <w:r w:rsidRPr="000B18F9">
              <w:fldChar w:fldCharType="separate"/>
            </w:r>
            <w:r w:rsidRPr="000B18F9">
              <w:rPr>
                <w:noProof/>
              </w:rPr>
              <w:t>For yet to be published research that may have results relevant to your application, insert date in this column and columns below</w:t>
            </w:r>
            <w:r w:rsidRPr="000B18F9">
              <w:fldChar w:fldCharType="end"/>
            </w:r>
          </w:p>
        </w:tc>
      </w:tr>
      <w:tr w:rsidR="000B18F9" w:rsidRPr="000B18F9" w14:paraId="219B15B7" w14:textId="77777777" w:rsidTr="000B18F9">
        <w:trPr>
          <w:cantSplit/>
        </w:trPr>
        <w:tc>
          <w:tcPr>
            <w:tcW w:w="326" w:type="pct"/>
          </w:tcPr>
          <w:p w14:paraId="142B5E6E" w14:textId="77777777" w:rsidR="000B18F9" w:rsidRPr="000B18F9" w:rsidRDefault="000B18F9" w:rsidP="000B18F9">
            <w:pPr>
              <w:rPr>
                <w:szCs w:val="20"/>
              </w:rPr>
            </w:pPr>
            <w:r w:rsidRPr="000B18F9">
              <w:rPr>
                <w:szCs w:val="20"/>
              </w:rPr>
              <w:t>2.</w:t>
            </w:r>
          </w:p>
        </w:tc>
        <w:tc>
          <w:tcPr>
            <w:tcW w:w="895" w:type="pct"/>
          </w:tcPr>
          <w:p w14:paraId="5ED26971" w14:textId="77777777" w:rsidR="000B18F9" w:rsidRPr="000B18F9" w:rsidRDefault="000B18F9" w:rsidP="000B18F9">
            <w:pPr>
              <w:rPr>
                <w:b/>
                <w:szCs w:val="20"/>
              </w:rPr>
            </w:pPr>
            <w:r w:rsidRPr="000B18F9">
              <w:fldChar w:fldCharType="begin">
                <w:ffData>
                  <w:name w:val=""/>
                  <w:enabled/>
                  <w:calcOnExit w:val="0"/>
                  <w:textInput>
                    <w:default w:val="Insert study design"/>
                  </w:textInput>
                </w:ffData>
              </w:fldChar>
            </w:r>
            <w:r w:rsidRPr="000B18F9">
              <w:instrText xml:space="preserve"> FORMTEXT </w:instrText>
            </w:r>
            <w:r w:rsidRPr="000B18F9">
              <w:fldChar w:fldCharType="separate"/>
            </w:r>
            <w:r w:rsidRPr="000B18F9">
              <w:rPr>
                <w:noProof/>
              </w:rPr>
              <w:t>Insert study design</w:t>
            </w:r>
            <w:r w:rsidRPr="000B18F9">
              <w:fldChar w:fldCharType="end"/>
            </w:r>
          </w:p>
        </w:tc>
        <w:tc>
          <w:tcPr>
            <w:tcW w:w="1125" w:type="pct"/>
          </w:tcPr>
          <w:p w14:paraId="4923F8D4" w14:textId="77777777" w:rsidR="000B18F9" w:rsidRPr="000B18F9" w:rsidRDefault="000B18F9" w:rsidP="000B18F9">
            <w:pPr>
              <w:rPr>
                <w:b/>
                <w:szCs w:val="20"/>
              </w:rPr>
            </w:pPr>
            <w:r w:rsidRPr="000B18F9">
              <w:fldChar w:fldCharType="begin">
                <w:ffData>
                  <w:name w:val=""/>
                  <w:enabled/>
                  <w:calcOnExit w:val="0"/>
                  <w:textInput>
                    <w:default w:val="Insert title of research"/>
                  </w:textInput>
                </w:ffData>
              </w:fldChar>
            </w:r>
            <w:r w:rsidRPr="000B18F9">
              <w:instrText xml:space="preserve"> FORMTEXT </w:instrText>
            </w:r>
            <w:r w:rsidRPr="000B18F9">
              <w:fldChar w:fldCharType="separate"/>
            </w:r>
            <w:r w:rsidRPr="000B18F9">
              <w:rPr>
                <w:noProof/>
              </w:rPr>
              <w:t>Insert title of research</w:t>
            </w:r>
            <w:r w:rsidRPr="000B18F9">
              <w:fldChar w:fldCharType="end"/>
            </w:r>
          </w:p>
        </w:tc>
        <w:tc>
          <w:tcPr>
            <w:tcW w:w="884" w:type="pct"/>
          </w:tcPr>
          <w:p w14:paraId="040DC29F" w14:textId="77777777" w:rsidR="000B18F9" w:rsidRPr="000B18F9" w:rsidRDefault="000B18F9" w:rsidP="000B18F9">
            <w:pPr>
              <w:rPr>
                <w:b/>
                <w:szCs w:val="20"/>
              </w:rPr>
            </w:pPr>
            <w:r w:rsidRPr="000B18F9">
              <w:fldChar w:fldCharType="begin">
                <w:ffData>
                  <w:name w:val=""/>
                  <w:enabled/>
                  <w:calcOnExit w:val="0"/>
                  <w:textInput>
                    <w:default w:val="Insert description "/>
                  </w:textInput>
                </w:ffData>
              </w:fldChar>
            </w:r>
            <w:r w:rsidRPr="000B18F9">
              <w:instrText xml:space="preserve"> FORMTEXT </w:instrText>
            </w:r>
            <w:r w:rsidRPr="000B18F9">
              <w:fldChar w:fldCharType="separate"/>
            </w:r>
            <w:r w:rsidRPr="000B18F9">
              <w:rPr>
                <w:noProof/>
              </w:rPr>
              <w:t xml:space="preserve">Insert description </w:t>
            </w:r>
            <w:r w:rsidRPr="000B18F9">
              <w:fldChar w:fldCharType="end"/>
            </w:r>
          </w:p>
        </w:tc>
        <w:tc>
          <w:tcPr>
            <w:tcW w:w="1246" w:type="pct"/>
          </w:tcPr>
          <w:p w14:paraId="1EF00CEE" w14:textId="77777777" w:rsidR="000B18F9" w:rsidRPr="000B18F9" w:rsidRDefault="000B18F9" w:rsidP="000B18F9">
            <w:pPr>
              <w:rPr>
                <w:b/>
                <w:szCs w:val="20"/>
              </w:rPr>
            </w:pPr>
            <w:r w:rsidRPr="000B18F9">
              <w:fldChar w:fldCharType="begin">
                <w:ffData>
                  <w:name w:val=""/>
                  <w:enabled/>
                  <w:calcOnExit w:val="0"/>
                  <w:textInput>
                    <w:default w:val="Insert website link"/>
                  </w:textInput>
                </w:ffData>
              </w:fldChar>
            </w:r>
            <w:r w:rsidRPr="000B18F9">
              <w:instrText xml:space="preserve"> FORMTEXT </w:instrText>
            </w:r>
            <w:r w:rsidRPr="000B18F9">
              <w:fldChar w:fldCharType="separate"/>
            </w:r>
            <w:r w:rsidRPr="000B18F9">
              <w:rPr>
                <w:noProof/>
              </w:rPr>
              <w:t>Insert website link</w:t>
            </w:r>
            <w:r w:rsidRPr="000B18F9">
              <w:fldChar w:fldCharType="end"/>
            </w:r>
          </w:p>
        </w:tc>
        <w:tc>
          <w:tcPr>
            <w:tcW w:w="524" w:type="pct"/>
          </w:tcPr>
          <w:p w14:paraId="7A2CBEA7" w14:textId="77777777" w:rsidR="000B18F9" w:rsidRPr="000B18F9" w:rsidRDefault="000B18F9" w:rsidP="000B18F9">
            <w:pPr>
              <w:rPr>
                <w:b/>
                <w:szCs w:val="20"/>
              </w:rPr>
            </w:pPr>
            <w:r w:rsidRPr="000B18F9">
              <w:fldChar w:fldCharType="begin">
                <w:ffData>
                  <w:name w:val=""/>
                  <w:enabled/>
                  <w:calcOnExit w:val="0"/>
                  <w:textInput>
                    <w:default w:val="Insert date"/>
                  </w:textInput>
                </w:ffData>
              </w:fldChar>
            </w:r>
            <w:r w:rsidRPr="000B18F9">
              <w:instrText xml:space="preserve"> FORMTEXT </w:instrText>
            </w:r>
            <w:r w:rsidRPr="000B18F9">
              <w:fldChar w:fldCharType="separate"/>
            </w:r>
            <w:r w:rsidRPr="000B18F9">
              <w:rPr>
                <w:noProof/>
              </w:rPr>
              <w:t>Insert date</w:t>
            </w:r>
            <w:r w:rsidRPr="000B18F9">
              <w:fldChar w:fldCharType="end"/>
            </w:r>
          </w:p>
        </w:tc>
      </w:tr>
      <w:tr w:rsidR="000B18F9" w:rsidRPr="000B18F9" w14:paraId="32C191BA" w14:textId="77777777" w:rsidTr="000B18F9">
        <w:trPr>
          <w:cantSplit/>
        </w:trPr>
        <w:tc>
          <w:tcPr>
            <w:tcW w:w="326" w:type="pct"/>
          </w:tcPr>
          <w:p w14:paraId="559CC97F" w14:textId="77777777" w:rsidR="000B18F9" w:rsidRPr="000B18F9" w:rsidRDefault="000B18F9" w:rsidP="000B18F9">
            <w:pPr>
              <w:rPr>
                <w:szCs w:val="20"/>
              </w:rPr>
            </w:pPr>
            <w:r w:rsidRPr="000B18F9">
              <w:rPr>
                <w:szCs w:val="20"/>
              </w:rPr>
              <w:t>3.</w:t>
            </w:r>
          </w:p>
        </w:tc>
        <w:tc>
          <w:tcPr>
            <w:tcW w:w="895" w:type="pct"/>
          </w:tcPr>
          <w:p w14:paraId="7AEAF9EE" w14:textId="77777777" w:rsidR="000B18F9" w:rsidRPr="000B18F9" w:rsidRDefault="000B18F9" w:rsidP="000B18F9">
            <w:pPr>
              <w:rPr>
                <w:b/>
                <w:szCs w:val="20"/>
              </w:rPr>
            </w:pPr>
            <w:r w:rsidRPr="000B18F9">
              <w:fldChar w:fldCharType="begin">
                <w:ffData>
                  <w:name w:val=""/>
                  <w:enabled/>
                  <w:calcOnExit w:val="0"/>
                  <w:textInput>
                    <w:default w:val="Insert study design"/>
                  </w:textInput>
                </w:ffData>
              </w:fldChar>
            </w:r>
            <w:r w:rsidRPr="000B18F9">
              <w:instrText xml:space="preserve"> FORMTEXT </w:instrText>
            </w:r>
            <w:r w:rsidRPr="000B18F9">
              <w:fldChar w:fldCharType="separate"/>
            </w:r>
            <w:r w:rsidRPr="000B18F9">
              <w:rPr>
                <w:noProof/>
              </w:rPr>
              <w:t>Insert study design</w:t>
            </w:r>
            <w:r w:rsidRPr="000B18F9">
              <w:fldChar w:fldCharType="end"/>
            </w:r>
          </w:p>
        </w:tc>
        <w:tc>
          <w:tcPr>
            <w:tcW w:w="1125" w:type="pct"/>
          </w:tcPr>
          <w:p w14:paraId="238315C6" w14:textId="77777777" w:rsidR="000B18F9" w:rsidRPr="000B18F9" w:rsidRDefault="000B18F9" w:rsidP="000B18F9">
            <w:pPr>
              <w:rPr>
                <w:b/>
                <w:szCs w:val="20"/>
              </w:rPr>
            </w:pPr>
            <w:r w:rsidRPr="000B18F9">
              <w:fldChar w:fldCharType="begin">
                <w:ffData>
                  <w:name w:val=""/>
                  <w:enabled/>
                  <w:calcOnExit w:val="0"/>
                  <w:textInput>
                    <w:default w:val="Insert title of research"/>
                  </w:textInput>
                </w:ffData>
              </w:fldChar>
            </w:r>
            <w:r w:rsidRPr="000B18F9">
              <w:instrText xml:space="preserve"> FORMTEXT </w:instrText>
            </w:r>
            <w:r w:rsidRPr="000B18F9">
              <w:fldChar w:fldCharType="separate"/>
            </w:r>
            <w:r w:rsidRPr="000B18F9">
              <w:rPr>
                <w:noProof/>
              </w:rPr>
              <w:t>Insert title of research</w:t>
            </w:r>
            <w:r w:rsidRPr="000B18F9">
              <w:fldChar w:fldCharType="end"/>
            </w:r>
          </w:p>
        </w:tc>
        <w:tc>
          <w:tcPr>
            <w:tcW w:w="884" w:type="pct"/>
          </w:tcPr>
          <w:p w14:paraId="76E71F93" w14:textId="77777777" w:rsidR="000B18F9" w:rsidRPr="000B18F9" w:rsidRDefault="000B18F9" w:rsidP="000B18F9">
            <w:pPr>
              <w:rPr>
                <w:b/>
                <w:szCs w:val="20"/>
              </w:rPr>
            </w:pPr>
            <w:r w:rsidRPr="000B18F9">
              <w:fldChar w:fldCharType="begin">
                <w:ffData>
                  <w:name w:val=""/>
                  <w:enabled/>
                  <w:calcOnExit w:val="0"/>
                  <w:textInput>
                    <w:default w:val="Insert description "/>
                  </w:textInput>
                </w:ffData>
              </w:fldChar>
            </w:r>
            <w:r w:rsidRPr="000B18F9">
              <w:instrText xml:space="preserve"> FORMTEXT </w:instrText>
            </w:r>
            <w:r w:rsidRPr="000B18F9">
              <w:fldChar w:fldCharType="separate"/>
            </w:r>
            <w:r w:rsidRPr="000B18F9">
              <w:rPr>
                <w:noProof/>
              </w:rPr>
              <w:t xml:space="preserve">Insert description </w:t>
            </w:r>
            <w:r w:rsidRPr="000B18F9">
              <w:fldChar w:fldCharType="end"/>
            </w:r>
          </w:p>
        </w:tc>
        <w:tc>
          <w:tcPr>
            <w:tcW w:w="1246" w:type="pct"/>
          </w:tcPr>
          <w:p w14:paraId="1BB331A8" w14:textId="77777777" w:rsidR="000B18F9" w:rsidRPr="000B18F9" w:rsidRDefault="000B18F9" w:rsidP="000B18F9">
            <w:pPr>
              <w:rPr>
                <w:b/>
                <w:szCs w:val="20"/>
              </w:rPr>
            </w:pPr>
            <w:r w:rsidRPr="000B18F9">
              <w:fldChar w:fldCharType="begin">
                <w:ffData>
                  <w:name w:val=""/>
                  <w:enabled/>
                  <w:calcOnExit w:val="0"/>
                  <w:textInput>
                    <w:default w:val="Insert website link"/>
                  </w:textInput>
                </w:ffData>
              </w:fldChar>
            </w:r>
            <w:r w:rsidRPr="000B18F9">
              <w:instrText xml:space="preserve"> FORMTEXT </w:instrText>
            </w:r>
            <w:r w:rsidRPr="000B18F9">
              <w:fldChar w:fldCharType="separate"/>
            </w:r>
            <w:r w:rsidRPr="000B18F9">
              <w:rPr>
                <w:noProof/>
              </w:rPr>
              <w:t>Insert website link</w:t>
            </w:r>
            <w:r w:rsidRPr="000B18F9">
              <w:fldChar w:fldCharType="end"/>
            </w:r>
          </w:p>
        </w:tc>
        <w:tc>
          <w:tcPr>
            <w:tcW w:w="524" w:type="pct"/>
          </w:tcPr>
          <w:p w14:paraId="4484B932" w14:textId="77777777" w:rsidR="000B18F9" w:rsidRPr="000B18F9" w:rsidRDefault="000B18F9" w:rsidP="000B18F9">
            <w:pPr>
              <w:rPr>
                <w:b/>
                <w:szCs w:val="20"/>
              </w:rPr>
            </w:pPr>
            <w:r w:rsidRPr="000B18F9">
              <w:fldChar w:fldCharType="begin">
                <w:ffData>
                  <w:name w:val=""/>
                  <w:enabled/>
                  <w:calcOnExit w:val="0"/>
                  <w:textInput>
                    <w:default w:val="Insert date"/>
                  </w:textInput>
                </w:ffData>
              </w:fldChar>
            </w:r>
            <w:r w:rsidRPr="000B18F9">
              <w:instrText xml:space="preserve"> FORMTEXT </w:instrText>
            </w:r>
            <w:r w:rsidRPr="000B18F9">
              <w:fldChar w:fldCharType="separate"/>
            </w:r>
            <w:r w:rsidRPr="000B18F9">
              <w:rPr>
                <w:noProof/>
              </w:rPr>
              <w:t>Insert date</w:t>
            </w:r>
            <w:r w:rsidRPr="000B18F9">
              <w:fldChar w:fldCharType="end"/>
            </w:r>
          </w:p>
        </w:tc>
      </w:tr>
      <w:tr w:rsidR="000B18F9" w:rsidRPr="000B18F9" w14:paraId="63FBEBD8" w14:textId="77777777" w:rsidTr="000B18F9">
        <w:trPr>
          <w:cantSplit/>
        </w:trPr>
        <w:tc>
          <w:tcPr>
            <w:tcW w:w="326" w:type="pct"/>
          </w:tcPr>
          <w:p w14:paraId="470048E3" w14:textId="77777777" w:rsidR="000B18F9" w:rsidRPr="000B18F9" w:rsidRDefault="000B18F9" w:rsidP="000B18F9">
            <w:pPr>
              <w:rPr>
                <w:szCs w:val="20"/>
              </w:rPr>
            </w:pPr>
            <w:r w:rsidRPr="000B18F9">
              <w:rPr>
                <w:szCs w:val="20"/>
              </w:rPr>
              <w:t>4.</w:t>
            </w:r>
          </w:p>
        </w:tc>
        <w:tc>
          <w:tcPr>
            <w:tcW w:w="895" w:type="pct"/>
          </w:tcPr>
          <w:p w14:paraId="70F90EC5" w14:textId="77777777" w:rsidR="000B18F9" w:rsidRPr="000B18F9" w:rsidRDefault="000B18F9" w:rsidP="000B18F9">
            <w:pPr>
              <w:rPr>
                <w:b/>
                <w:szCs w:val="20"/>
              </w:rPr>
            </w:pPr>
            <w:r w:rsidRPr="000B18F9">
              <w:fldChar w:fldCharType="begin">
                <w:ffData>
                  <w:name w:val=""/>
                  <w:enabled/>
                  <w:calcOnExit w:val="0"/>
                  <w:textInput>
                    <w:default w:val="Insert study design"/>
                  </w:textInput>
                </w:ffData>
              </w:fldChar>
            </w:r>
            <w:r w:rsidRPr="000B18F9">
              <w:instrText xml:space="preserve"> FORMTEXT </w:instrText>
            </w:r>
            <w:r w:rsidRPr="000B18F9">
              <w:fldChar w:fldCharType="separate"/>
            </w:r>
            <w:r w:rsidRPr="000B18F9">
              <w:rPr>
                <w:noProof/>
              </w:rPr>
              <w:t>Insert study design</w:t>
            </w:r>
            <w:r w:rsidRPr="000B18F9">
              <w:fldChar w:fldCharType="end"/>
            </w:r>
          </w:p>
        </w:tc>
        <w:tc>
          <w:tcPr>
            <w:tcW w:w="1125" w:type="pct"/>
          </w:tcPr>
          <w:p w14:paraId="1DB88165" w14:textId="77777777" w:rsidR="000B18F9" w:rsidRPr="000B18F9" w:rsidRDefault="000B18F9" w:rsidP="000B18F9">
            <w:pPr>
              <w:rPr>
                <w:b/>
                <w:szCs w:val="20"/>
              </w:rPr>
            </w:pPr>
            <w:r w:rsidRPr="000B18F9">
              <w:fldChar w:fldCharType="begin">
                <w:ffData>
                  <w:name w:val=""/>
                  <w:enabled/>
                  <w:calcOnExit w:val="0"/>
                  <w:textInput>
                    <w:default w:val="Insert title of research"/>
                  </w:textInput>
                </w:ffData>
              </w:fldChar>
            </w:r>
            <w:r w:rsidRPr="000B18F9">
              <w:instrText xml:space="preserve"> FORMTEXT </w:instrText>
            </w:r>
            <w:r w:rsidRPr="000B18F9">
              <w:fldChar w:fldCharType="separate"/>
            </w:r>
            <w:r w:rsidRPr="000B18F9">
              <w:rPr>
                <w:noProof/>
              </w:rPr>
              <w:t>Insert title of research</w:t>
            </w:r>
            <w:r w:rsidRPr="000B18F9">
              <w:fldChar w:fldCharType="end"/>
            </w:r>
          </w:p>
        </w:tc>
        <w:tc>
          <w:tcPr>
            <w:tcW w:w="884" w:type="pct"/>
          </w:tcPr>
          <w:p w14:paraId="4A48D3D6" w14:textId="77777777" w:rsidR="000B18F9" w:rsidRPr="000B18F9" w:rsidRDefault="000B18F9" w:rsidP="000B18F9">
            <w:pPr>
              <w:rPr>
                <w:b/>
                <w:szCs w:val="20"/>
              </w:rPr>
            </w:pPr>
            <w:r w:rsidRPr="000B18F9">
              <w:fldChar w:fldCharType="begin">
                <w:ffData>
                  <w:name w:val=""/>
                  <w:enabled/>
                  <w:calcOnExit w:val="0"/>
                  <w:textInput>
                    <w:default w:val="Insert description "/>
                  </w:textInput>
                </w:ffData>
              </w:fldChar>
            </w:r>
            <w:r w:rsidRPr="000B18F9">
              <w:instrText xml:space="preserve"> FORMTEXT </w:instrText>
            </w:r>
            <w:r w:rsidRPr="000B18F9">
              <w:fldChar w:fldCharType="separate"/>
            </w:r>
            <w:r w:rsidRPr="000B18F9">
              <w:rPr>
                <w:noProof/>
              </w:rPr>
              <w:t xml:space="preserve">Insert description </w:t>
            </w:r>
            <w:r w:rsidRPr="000B18F9">
              <w:fldChar w:fldCharType="end"/>
            </w:r>
          </w:p>
        </w:tc>
        <w:tc>
          <w:tcPr>
            <w:tcW w:w="1246" w:type="pct"/>
          </w:tcPr>
          <w:p w14:paraId="66F391E8" w14:textId="77777777" w:rsidR="000B18F9" w:rsidRPr="000B18F9" w:rsidRDefault="000B18F9" w:rsidP="000B18F9">
            <w:pPr>
              <w:rPr>
                <w:b/>
                <w:szCs w:val="20"/>
              </w:rPr>
            </w:pPr>
            <w:r w:rsidRPr="000B18F9">
              <w:fldChar w:fldCharType="begin">
                <w:ffData>
                  <w:name w:val=""/>
                  <w:enabled/>
                  <w:calcOnExit w:val="0"/>
                  <w:textInput>
                    <w:default w:val="Insert website link"/>
                  </w:textInput>
                </w:ffData>
              </w:fldChar>
            </w:r>
            <w:r w:rsidRPr="000B18F9">
              <w:instrText xml:space="preserve"> FORMTEXT </w:instrText>
            </w:r>
            <w:r w:rsidRPr="000B18F9">
              <w:fldChar w:fldCharType="separate"/>
            </w:r>
            <w:r w:rsidRPr="000B18F9">
              <w:rPr>
                <w:noProof/>
              </w:rPr>
              <w:t>Insert website link</w:t>
            </w:r>
            <w:r w:rsidRPr="000B18F9">
              <w:fldChar w:fldCharType="end"/>
            </w:r>
          </w:p>
        </w:tc>
        <w:tc>
          <w:tcPr>
            <w:tcW w:w="524" w:type="pct"/>
          </w:tcPr>
          <w:p w14:paraId="293150F7" w14:textId="77777777" w:rsidR="000B18F9" w:rsidRPr="000B18F9" w:rsidRDefault="000B18F9" w:rsidP="000B18F9">
            <w:pPr>
              <w:rPr>
                <w:b/>
                <w:szCs w:val="20"/>
              </w:rPr>
            </w:pPr>
            <w:r w:rsidRPr="000B18F9">
              <w:fldChar w:fldCharType="begin">
                <w:ffData>
                  <w:name w:val=""/>
                  <w:enabled/>
                  <w:calcOnExit w:val="0"/>
                  <w:textInput>
                    <w:default w:val="Insert date"/>
                  </w:textInput>
                </w:ffData>
              </w:fldChar>
            </w:r>
            <w:r w:rsidRPr="000B18F9">
              <w:instrText xml:space="preserve"> FORMTEXT </w:instrText>
            </w:r>
            <w:r w:rsidRPr="000B18F9">
              <w:fldChar w:fldCharType="separate"/>
            </w:r>
            <w:r w:rsidRPr="000B18F9">
              <w:rPr>
                <w:noProof/>
              </w:rPr>
              <w:t>Insert date</w:t>
            </w:r>
            <w:r w:rsidRPr="000B18F9">
              <w:fldChar w:fldCharType="end"/>
            </w:r>
          </w:p>
        </w:tc>
      </w:tr>
      <w:tr w:rsidR="000B18F9" w:rsidRPr="000B18F9" w14:paraId="38822F4D" w14:textId="77777777" w:rsidTr="000B18F9">
        <w:trPr>
          <w:cantSplit/>
        </w:trPr>
        <w:tc>
          <w:tcPr>
            <w:tcW w:w="326" w:type="pct"/>
          </w:tcPr>
          <w:p w14:paraId="5293AEAF" w14:textId="77777777" w:rsidR="000B18F9" w:rsidRPr="000B18F9" w:rsidRDefault="000B18F9" w:rsidP="000B18F9">
            <w:pPr>
              <w:rPr>
                <w:szCs w:val="20"/>
              </w:rPr>
            </w:pPr>
            <w:r w:rsidRPr="000B18F9">
              <w:rPr>
                <w:szCs w:val="20"/>
              </w:rPr>
              <w:t>5.</w:t>
            </w:r>
          </w:p>
        </w:tc>
        <w:tc>
          <w:tcPr>
            <w:tcW w:w="895" w:type="pct"/>
          </w:tcPr>
          <w:p w14:paraId="06A15B06" w14:textId="77777777" w:rsidR="000B18F9" w:rsidRPr="000B18F9" w:rsidRDefault="000B18F9" w:rsidP="000B18F9">
            <w:pPr>
              <w:rPr>
                <w:b/>
                <w:szCs w:val="20"/>
              </w:rPr>
            </w:pPr>
            <w:r w:rsidRPr="000B18F9">
              <w:fldChar w:fldCharType="begin">
                <w:ffData>
                  <w:name w:val=""/>
                  <w:enabled/>
                  <w:calcOnExit w:val="0"/>
                  <w:textInput>
                    <w:default w:val="Insert study design"/>
                  </w:textInput>
                </w:ffData>
              </w:fldChar>
            </w:r>
            <w:r w:rsidRPr="000B18F9">
              <w:instrText xml:space="preserve"> FORMTEXT </w:instrText>
            </w:r>
            <w:r w:rsidRPr="000B18F9">
              <w:fldChar w:fldCharType="separate"/>
            </w:r>
            <w:r w:rsidRPr="000B18F9">
              <w:rPr>
                <w:noProof/>
              </w:rPr>
              <w:t>Insert study design</w:t>
            </w:r>
            <w:r w:rsidRPr="000B18F9">
              <w:fldChar w:fldCharType="end"/>
            </w:r>
          </w:p>
        </w:tc>
        <w:tc>
          <w:tcPr>
            <w:tcW w:w="1125" w:type="pct"/>
          </w:tcPr>
          <w:p w14:paraId="772DBAC9" w14:textId="77777777" w:rsidR="000B18F9" w:rsidRPr="000B18F9" w:rsidRDefault="000B18F9" w:rsidP="000B18F9">
            <w:pPr>
              <w:rPr>
                <w:b/>
                <w:szCs w:val="20"/>
              </w:rPr>
            </w:pPr>
            <w:r w:rsidRPr="000B18F9">
              <w:fldChar w:fldCharType="begin">
                <w:ffData>
                  <w:name w:val=""/>
                  <w:enabled/>
                  <w:calcOnExit w:val="0"/>
                  <w:textInput>
                    <w:default w:val="Insert title of research"/>
                  </w:textInput>
                </w:ffData>
              </w:fldChar>
            </w:r>
            <w:r w:rsidRPr="000B18F9">
              <w:instrText xml:space="preserve"> FORMTEXT </w:instrText>
            </w:r>
            <w:r w:rsidRPr="000B18F9">
              <w:fldChar w:fldCharType="separate"/>
            </w:r>
            <w:r w:rsidRPr="000B18F9">
              <w:rPr>
                <w:noProof/>
              </w:rPr>
              <w:t>Insert title of research</w:t>
            </w:r>
            <w:r w:rsidRPr="000B18F9">
              <w:fldChar w:fldCharType="end"/>
            </w:r>
          </w:p>
        </w:tc>
        <w:tc>
          <w:tcPr>
            <w:tcW w:w="884" w:type="pct"/>
          </w:tcPr>
          <w:p w14:paraId="3063A768" w14:textId="77777777" w:rsidR="000B18F9" w:rsidRPr="000B18F9" w:rsidRDefault="000B18F9" w:rsidP="000B18F9">
            <w:pPr>
              <w:rPr>
                <w:b/>
                <w:szCs w:val="20"/>
              </w:rPr>
            </w:pPr>
            <w:r w:rsidRPr="000B18F9">
              <w:fldChar w:fldCharType="begin">
                <w:ffData>
                  <w:name w:val=""/>
                  <w:enabled/>
                  <w:calcOnExit w:val="0"/>
                  <w:textInput>
                    <w:default w:val="Insert description "/>
                  </w:textInput>
                </w:ffData>
              </w:fldChar>
            </w:r>
            <w:r w:rsidRPr="000B18F9">
              <w:instrText xml:space="preserve"> FORMTEXT </w:instrText>
            </w:r>
            <w:r w:rsidRPr="000B18F9">
              <w:fldChar w:fldCharType="separate"/>
            </w:r>
            <w:r w:rsidRPr="000B18F9">
              <w:rPr>
                <w:noProof/>
              </w:rPr>
              <w:t xml:space="preserve">Insert description </w:t>
            </w:r>
            <w:r w:rsidRPr="000B18F9">
              <w:fldChar w:fldCharType="end"/>
            </w:r>
          </w:p>
        </w:tc>
        <w:tc>
          <w:tcPr>
            <w:tcW w:w="1246" w:type="pct"/>
          </w:tcPr>
          <w:p w14:paraId="7A1A1A51" w14:textId="77777777" w:rsidR="000B18F9" w:rsidRPr="000B18F9" w:rsidRDefault="000B18F9" w:rsidP="000B18F9">
            <w:pPr>
              <w:rPr>
                <w:b/>
                <w:szCs w:val="20"/>
              </w:rPr>
            </w:pPr>
            <w:r w:rsidRPr="000B18F9">
              <w:fldChar w:fldCharType="begin">
                <w:ffData>
                  <w:name w:val=""/>
                  <w:enabled/>
                  <w:calcOnExit w:val="0"/>
                  <w:textInput>
                    <w:default w:val="Insert website link"/>
                  </w:textInput>
                </w:ffData>
              </w:fldChar>
            </w:r>
            <w:r w:rsidRPr="000B18F9">
              <w:instrText xml:space="preserve"> FORMTEXT </w:instrText>
            </w:r>
            <w:r w:rsidRPr="000B18F9">
              <w:fldChar w:fldCharType="separate"/>
            </w:r>
            <w:r w:rsidRPr="000B18F9">
              <w:rPr>
                <w:noProof/>
              </w:rPr>
              <w:t>Insert website link</w:t>
            </w:r>
            <w:r w:rsidRPr="000B18F9">
              <w:fldChar w:fldCharType="end"/>
            </w:r>
          </w:p>
        </w:tc>
        <w:tc>
          <w:tcPr>
            <w:tcW w:w="524" w:type="pct"/>
          </w:tcPr>
          <w:p w14:paraId="567097F3" w14:textId="77777777" w:rsidR="000B18F9" w:rsidRPr="000B18F9" w:rsidRDefault="000B18F9" w:rsidP="000B18F9">
            <w:pPr>
              <w:rPr>
                <w:b/>
                <w:szCs w:val="20"/>
              </w:rPr>
            </w:pPr>
            <w:r w:rsidRPr="000B18F9">
              <w:fldChar w:fldCharType="begin">
                <w:ffData>
                  <w:name w:val=""/>
                  <w:enabled/>
                  <w:calcOnExit w:val="0"/>
                  <w:textInput>
                    <w:default w:val="Insert date"/>
                  </w:textInput>
                </w:ffData>
              </w:fldChar>
            </w:r>
            <w:r w:rsidRPr="000B18F9">
              <w:instrText xml:space="preserve"> FORMTEXT </w:instrText>
            </w:r>
            <w:r w:rsidRPr="000B18F9">
              <w:fldChar w:fldCharType="separate"/>
            </w:r>
            <w:r w:rsidRPr="000B18F9">
              <w:rPr>
                <w:noProof/>
              </w:rPr>
              <w:t>Insert date</w:t>
            </w:r>
            <w:r w:rsidRPr="000B18F9">
              <w:fldChar w:fldCharType="end"/>
            </w:r>
          </w:p>
        </w:tc>
      </w:tr>
      <w:tr w:rsidR="000B18F9" w:rsidRPr="000B18F9" w14:paraId="5D149B7F" w14:textId="77777777" w:rsidTr="000B18F9">
        <w:trPr>
          <w:cantSplit/>
        </w:trPr>
        <w:tc>
          <w:tcPr>
            <w:tcW w:w="326" w:type="pct"/>
          </w:tcPr>
          <w:p w14:paraId="755D77A2" w14:textId="77777777" w:rsidR="000B18F9" w:rsidRPr="000B18F9" w:rsidRDefault="000B18F9" w:rsidP="000B18F9">
            <w:pPr>
              <w:rPr>
                <w:szCs w:val="20"/>
              </w:rPr>
            </w:pPr>
            <w:r w:rsidRPr="000B18F9">
              <w:rPr>
                <w:szCs w:val="20"/>
              </w:rPr>
              <w:t>6.</w:t>
            </w:r>
          </w:p>
        </w:tc>
        <w:tc>
          <w:tcPr>
            <w:tcW w:w="895" w:type="pct"/>
          </w:tcPr>
          <w:p w14:paraId="1DC379D0" w14:textId="77777777" w:rsidR="000B18F9" w:rsidRPr="000B18F9" w:rsidRDefault="000B18F9" w:rsidP="000B18F9">
            <w:pPr>
              <w:rPr>
                <w:b/>
                <w:szCs w:val="20"/>
              </w:rPr>
            </w:pPr>
            <w:r w:rsidRPr="000B18F9">
              <w:fldChar w:fldCharType="begin">
                <w:ffData>
                  <w:name w:val=""/>
                  <w:enabled/>
                  <w:calcOnExit w:val="0"/>
                  <w:textInput>
                    <w:default w:val="Insert study design"/>
                  </w:textInput>
                </w:ffData>
              </w:fldChar>
            </w:r>
            <w:r w:rsidRPr="000B18F9">
              <w:instrText xml:space="preserve"> FORMTEXT </w:instrText>
            </w:r>
            <w:r w:rsidRPr="000B18F9">
              <w:fldChar w:fldCharType="separate"/>
            </w:r>
            <w:r w:rsidRPr="000B18F9">
              <w:rPr>
                <w:noProof/>
              </w:rPr>
              <w:t>Insert study design</w:t>
            </w:r>
            <w:r w:rsidRPr="000B18F9">
              <w:fldChar w:fldCharType="end"/>
            </w:r>
          </w:p>
        </w:tc>
        <w:tc>
          <w:tcPr>
            <w:tcW w:w="1125" w:type="pct"/>
          </w:tcPr>
          <w:p w14:paraId="6F24F30E" w14:textId="77777777" w:rsidR="000B18F9" w:rsidRPr="000B18F9" w:rsidRDefault="000B18F9" w:rsidP="000B18F9">
            <w:pPr>
              <w:rPr>
                <w:b/>
                <w:szCs w:val="20"/>
              </w:rPr>
            </w:pPr>
            <w:r w:rsidRPr="000B18F9">
              <w:fldChar w:fldCharType="begin">
                <w:ffData>
                  <w:name w:val=""/>
                  <w:enabled/>
                  <w:calcOnExit w:val="0"/>
                  <w:textInput>
                    <w:default w:val="Insert title of research"/>
                  </w:textInput>
                </w:ffData>
              </w:fldChar>
            </w:r>
            <w:r w:rsidRPr="000B18F9">
              <w:instrText xml:space="preserve"> FORMTEXT </w:instrText>
            </w:r>
            <w:r w:rsidRPr="000B18F9">
              <w:fldChar w:fldCharType="separate"/>
            </w:r>
            <w:r w:rsidRPr="000B18F9">
              <w:rPr>
                <w:noProof/>
              </w:rPr>
              <w:t>Insert title of research</w:t>
            </w:r>
            <w:r w:rsidRPr="000B18F9">
              <w:fldChar w:fldCharType="end"/>
            </w:r>
          </w:p>
        </w:tc>
        <w:tc>
          <w:tcPr>
            <w:tcW w:w="884" w:type="pct"/>
          </w:tcPr>
          <w:p w14:paraId="778D5FC3" w14:textId="77777777" w:rsidR="000B18F9" w:rsidRPr="000B18F9" w:rsidRDefault="000B18F9" w:rsidP="000B18F9">
            <w:pPr>
              <w:rPr>
                <w:b/>
                <w:szCs w:val="20"/>
              </w:rPr>
            </w:pPr>
            <w:r w:rsidRPr="000B18F9">
              <w:fldChar w:fldCharType="begin">
                <w:ffData>
                  <w:name w:val=""/>
                  <w:enabled/>
                  <w:calcOnExit w:val="0"/>
                  <w:textInput>
                    <w:default w:val="Insert description "/>
                  </w:textInput>
                </w:ffData>
              </w:fldChar>
            </w:r>
            <w:r w:rsidRPr="000B18F9">
              <w:instrText xml:space="preserve"> FORMTEXT </w:instrText>
            </w:r>
            <w:r w:rsidRPr="000B18F9">
              <w:fldChar w:fldCharType="separate"/>
            </w:r>
            <w:r w:rsidRPr="000B18F9">
              <w:rPr>
                <w:noProof/>
              </w:rPr>
              <w:t xml:space="preserve">Insert description </w:t>
            </w:r>
            <w:r w:rsidRPr="000B18F9">
              <w:fldChar w:fldCharType="end"/>
            </w:r>
          </w:p>
        </w:tc>
        <w:tc>
          <w:tcPr>
            <w:tcW w:w="1246" w:type="pct"/>
          </w:tcPr>
          <w:p w14:paraId="059FA977" w14:textId="77777777" w:rsidR="000B18F9" w:rsidRPr="000B18F9" w:rsidRDefault="000B18F9" w:rsidP="000B18F9">
            <w:pPr>
              <w:rPr>
                <w:b/>
                <w:szCs w:val="20"/>
              </w:rPr>
            </w:pPr>
            <w:r w:rsidRPr="000B18F9">
              <w:fldChar w:fldCharType="begin">
                <w:ffData>
                  <w:name w:val=""/>
                  <w:enabled/>
                  <w:calcOnExit w:val="0"/>
                  <w:textInput>
                    <w:default w:val="Insert website link"/>
                  </w:textInput>
                </w:ffData>
              </w:fldChar>
            </w:r>
            <w:r w:rsidRPr="000B18F9">
              <w:instrText xml:space="preserve"> FORMTEXT </w:instrText>
            </w:r>
            <w:r w:rsidRPr="000B18F9">
              <w:fldChar w:fldCharType="separate"/>
            </w:r>
            <w:r w:rsidRPr="000B18F9">
              <w:rPr>
                <w:noProof/>
              </w:rPr>
              <w:t>Insert website link</w:t>
            </w:r>
            <w:r w:rsidRPr="000B18F9">
              <w:fldChar w:fldCharType="end"/>
            </w:r>
          </w:p>
        </w:tc>
        <w:tc>
          <w:tcPr>
            <w:tcW w:w="524" w:type="pct"/>
          </w:tcPr>
          <w:p w14:paraId="5934E3D1" w14:textId="77777777" w:rsidR="000B18F9" w:rsidRPr="000B18F9" w:rsidRDefault="000B18F9" w:rsidP="000B18F9">
            <w:pPr>
              <w:rPr>
                <w:b/>
                <w:szCs w:val="20"/>
              </w:rPr>
            </w:pPr>
            <w:r w:rsidRPr="000B18F9">
              <w:fldChar w:fldCharType="begin">
                <w:ffData>
                  <w:name w:val=""/>
                  <w:enabled/>
                  <w:calcOnExit w:val="0"/>
                  <w:textInput>
                    <w:default w:val="Insert date"/>
                  </w:textInput>
                </w:ffData>
              </w:fldChar>
            </w:r>
            <w:r w:rsidRPr="000B18F9">
              <w:instrText xml:space="preserve"> FORMTEXT </w:instrText>
            </w:r>
            <w:r w:rsidRPr="000B18F9">
              <w:fldChar w:fldCharType="separate"/>
            </w:r>
            <w:r w:rsidRPr="000B18F9">
              <w:rPr>
                <w:noProof/>
              </w:rPr>
              <w:t>Insert date</w:t>
            </w:r>
            <w:r w:rsidRPr="000B18F9">
              <w:fldChar w:fldCharType="end"/>
            </w:r>
          </w:p>
        </w:tc>
      </w:tr>
      <w:tr w:rsidR="000B18F9" w:rsidRPr="000B18F9" w14:paraId="2FEB94F2" w14:textId="77777777" w:rsidTr="000B18F9">
        <w:trPr>
          <w:cantSplit/>
        </w:trPr>
        <w:tc>
          <w:tcPr>
            <w:tcW w:w="326" w:type="pct"/>
          </w:tcPr>
          <w:p w14:paraId="7A9E376B" w14:textId="77777777" w:rsidR="000B18F9" w:rsidRPr="000B18F9" w:rsidRDefault="000B18F9" w:rsidP="000B18F9">
            <w:pPr>
              <w:rPr>
                <w:szCs w:val="20"/>
              </w:rPr>
            </w:pPr>
            <w:r w:rsidRPr="000B18F9">
              <w:rPr>
                <w:szCs w:val="20"/>
              </w:rPr>
              <w:t>7.</w:t>
            </w:r>
          </w:p>
        </w:tc>
        <w:tc>
          <w:tcPr>
            <w:tcW w:w="895" w:type="pct"/>
          </w:tcPr>
          <w:p w14:paraId="22C0ED5F" w14:textId="77777777" w:rsidR="000B18F9" w:rsidRPr="000B18F9" w:rsidRDefault="000B18F9" w:rsidP="000B18F9">
            <w:pPr>
              <w:rPr>
                <w:b/>
                <w:szCs w:val="20"/>
              </w:rPr>
            </w:pPr>
            <w:r w:rsidRPr="000B18F9">
              <w:fldChar w:fldCharType="begin">
                <w:ffData>
                  <w:name w:val=""/>
                  <w:enabled/>
                  <w:calcOnExit w:val="0"/>
                  <w:textInput>
                    <w:default w:val="Insert study design"/>
                  </w:textInput>
                </w:ffData>
              </w:fldChar>
            </w:r>
            <w:r w:rsidRPr="000B18F9">
              <w:instrText xml:space="preserve"> FORMTEXT </w:instrText>
            </w:r>
            <w:r w:rsidRPr="000B18F9">
              <w:fldChar w:fldCharType="separate"/>
            </w:r>
            <w:r w:rsidRPr="000B18F9">
              <w:rPr>
                <w:noProof/>
              </w:rPr>
              <w:t>Insert study design</w:t>
            </w:r>
            <w:r w:rsidRPr="000B18F9">
              <w:fldChar w:fldCharType="end"/>
            </w:r>
          </w:p>
        </w:tc>
        <w:tc>
          <w:tcPr>
            <w:tcW w:w="1125" w:type="pct"/>
          </w:tcPr>
          <w:p w14:paraId="5E5F25C2" w14:textId="77777777" w:rsidR="000B18F9" w:rsidRPr="000B18F9" w:rsidRDefault="000B18F9" w:rsidP="000B18F9">
            <w:pPr>
              <w:rPr>
                <w:b/>
                <w:szCs w:val="20"/>
              </w:rPr>
            </w:pPr>
            <w:r w:rsidRPr="000B18F9">
              <w:fldChar w:fldCharType="begin">
                <w:ffData>
                  <w:name w:val=""/>
                  <w:enabled/>
                  <w:calcOnExit w:val="0"/>
                  <w:textInput>
                    <w:default w:val="Insert title of research"/>
                  </w:textInput>
                </w:ffData>
              </w:fldChar>
            </w:r>
            <w:r w:rsidRPr="000B18F9">
              <w:instrText xml:space="preserve"> FORMTEXT </w:instrText>
            </w:r>
            <w:r w:rsidRPr="000B18F9">
              <w:fldChar w:fldCharType="separate"/>
            </w:r>
            <w:r w:rsidRPr="000B18F9">
              <w:rPr>
                <w:noProof/>
              </w:rPr>
              <w:t>Insert title of research</w:t>
            </w:r>
            <w:r w:rsidRPr="000B18F9">
              <w:fldChar w:fldCharType="end"/>
            </w:r>
          </w:p>
        </w:tc>
        <w:tc>
          <w:tcPr>
            <w:tcW w:w="884" w:type="pct"/>
          </w:tcPr>
          <w:p w14:paraId="033871ED" w14:textId="77777777" w:rsidR="000B18F9" w:rsidRPr="000B18F9" w:rsidRDefault="000B18F9" w:rsidP="000B18F9">
            <w:pPr>
              <w:rPr>
                <w:b/>
                <w:szCs w:val="20"/>
              </w:rPr>
            </w:pPr>
            <w:r w:rsidRPr="000B18F9">
              <w:fldChar w:fldCharType="begin">
                <w:ffData>
                  <w:name w:val=""/>
                  <w:enabled/>
                  <w:calcOnExit w:val="0"/>
                  <w:textInput>
                    <w:default w:val="Insert description "/>
                  </w:textInput>
                </w:ffData>
              </w:fldChar>
            </w:r>
            <w:r w:rsidRPr="000B18F9">
              <w:instrText xml:space="preserve"> FORMTEXT </w:instrText>
            </w:r>
            <w:r w:rsidRPr="000B18F9">
              <w:fldChar w:fldCharType="separate"/>
            </w:r>
            <w:r w:rsidRPr="000B18F9">
              <w:rPr>
                <w:noProof/>
              </w:rPr>
              <w:t xml:space="preserve">Insert description </w:t>
            </w:r>
            <w:r w:rsidRPr="000B18F9">
              <w:fldChar w:fldCharType="end"/>
            </w:r>
          </w:p>
        </w:tc>
        <w:tc>
          <w:tcPr>
            <w:tcW w:w="1246" w:type="pct"/>
          </w:tcPr>
          <w:p w14:paraId="27773A89" w14:textId="77777777" w:rsidR="000B18F9" w:rsidRPr="000B18F9" w:rsidRDefault="000B18F9" w:rsidP="000B18F9">
            <w:pPr>
              <w:rPr>
                <w:b/>
                <w:szCs w:val="20"/>
              </w:rPr>
            </w:pPr>
            <w:r w:rsidRPr="000B18F9">
              <w:fldChar w:fldCharType="begin">
                <w:ffData>
                  <w:name w:val=""/>
                  <w:enabled/>
                  <w:calcOnExit w:val="0"/>
                  <w:textInput>
                    <w:default w:val="Insert website link"/>
                  </w:textInput>
                </w:ffData>
              </w:fldChar>
            </w:r>
            <w:r w:rsidRPr="000B18F9">
              <w:instrText xml:space="preserve"> FORMTEXT </w:instrText>
            </w:r>
            <w:r w:rsidRPr="000B18F9">
              <w:fldChar w:fldCharType="separate"/>
            </w:r>
            <w:r w:rsidRPr="000B18F9">
              <w:rPr>
                <w:noProof/>
              </w:rPr>
              <w:t>Insert website link</w:t>
            </w:r>
            <w:r w:rsidRPr="000B18F9">
              <w:fldChar w:fldCharType="end"/>
            </w:r>
          </w:p>
        </w:tc>
        <w:tc>
          <w:tcPr>
            <w:tcW w:w="524" w:type="pct"/>
          </w:tcPr>
          <w:p w14:paraId="240D5E69" w14:textId="77777777" w:rsidR="000B18F9" w:rsidRPr="000B18F9" w:rsidRDefault="000B18F9" w:rsidP="000B18F9">
            <w:pPr>
              <w:rPr>
                <w:b/>
                <w:szCs w:val="20"/>
              </w:rPr>
            </w:pPr>
            <w:r w:rsidRPr="000B18F9">
              <w:fldChar w:fldCharType="begin">
                <w:ffData>
                  <w:name w:val=""/>
                  <w:enabled/>
                  <w:calcOnExit w:val="0"/>
                  <w:textInput>
                    <w:default w:val="Insert date"/>
                  </w:textInput>
                </w:ffData>
              </w:fldChar>
            </w:r>
            <w:r w:rsidRPr="000B18F9">
              <w:instrText xml:space="preserve"> FORMTEXT </w:instrText>
            </w:r>
            <w:r w:rsidRPr="000B18F9">
              <w:fldChar w:fldCharType="separate"/>
            </w:r>
            <w:r w:rsidRPr="000B18F9">
              <w:rPr>
                <w:noProof/>
              </w:rPr>
              <w:t>Insert date</w:t>
            </w:r>
            <w:r w:rsidRPr="000B18F9">
              <w:fldChar w:fldCharType="end"/>
            </w:r>
          </w:p>
        </w:tc>
      </w:tr>
      <w:tr w:rsidR="000B18F9" w:rsidRPr="000B18F9" w14:paraId="7AEF43EB" w14:textId="77777777" w:rsidTr="000B18F9">
        <w:trPr>
          <w:cantSplit/>
        </w:trPr>
        <w:tc>
          <w:tcPr>
            <w:tcW w:w="326" w:type="pct"/>
          </w:tcPr>
          <w:p w14:paraId="7BBDE798" w14:textId="77777777" w:rsidR="000B18F9" w:rsidRPr="000B18F9" w:rsidRDefault="000B18F9" w:rsidP="000B18F9">
            <w:pPr>
              <w:rPr>
                <w:szCs w:val="20"/>
              </w:rPr>
            </w:pPr>
            <w:r w:rsidRPr="000B18F9">
              <w:rPr>
                <w:szCs w:val="20"/>
              </w:rPr>
              <w:t>8.</w:t>
            </w:r>
          </w:p>
        </w:tc>
        <w:tc>
          <w:tcPr>
            <w:tcW w:w="895" w:type="pct"/>
          </w:tcPr>
          <w:p w14:paraId="3F6AB0B3" w14:textId="77777777" w:rsidR="000B18F9" w:rsidRPr="000B18F9" w:rsidRDefault="000B18F9" w:rsidP="000B18F9">
            <w:pPr>
              <w:rPr>
                <w:b/>
                <w:szCs w:val="20"/>
              </w:rPr>
            </w:pPr>
            <w:r w:rsidRPr="000B18F9">
              <w:fldChar w:fldCharType="begin">
                <w:ffData>
                  <w:name w:val=""/>
                  <w:enabled/>
                  <w:calcOnExit w:val="0"/>
                  <w:textInput>
                    <w:default w:val="Insert study design"/>
                  </w:textInput>
                </w:ffData>
              </w:fldChar>
            </w:r>
            <w:r w:rsidRPr="000B18F9">
              <w:instrText xml:space="preserve"> FORMTEXT </w:instrText>
            </w:r>
            <w:r w:rsidRPr="000B18F9">
              <w:fldChar w:fldCharType="separate"/>
            </w:r>
            <w:r w:rsidRPr="000B18F9">
              <w:rPr>
                <w:noProof/>
              </w:rPr>
              <w:t>Insert study design</w:t>
            </w:r>
            <w:r w:rsidRPr="000B18F9">
              <w:fldChar w:fldCharType="end"/>
            </w:r>
          </w:p>
        </w:tc>
        <w:tc>
          <w:tcPr>
            <w:tcW w:w="1125" w:type="pct"/>
          </w:tcPr>
          <w:p w14:paraId="7B098DE1" w14:textId="77777777" w:rsidR="000B18F9" w:rsidRPr="000B18F9" w:rsidRDefault="000B18F9" w:rsidP="000B18F9">
            <w:pPr>
              <w:rPr>
                <w:b/>
                <w:szCs w:val="20"/>
              </w:rPr>
            </w:pPr>
            <w:r w:rsidRPr="000B18F9">
              <w:fldChar w:fldCharType="begin">
                <w:ffData>
                  <w:name w:val=""/>
                  <w:enabled/>
                  <w:calcOnExit w:val="0"/>
                  <w:textInput>
                    <w:default w:val="Insert title of research"/>
                  </w:textInput>
                </w:ffData>
              </w:fldChar>
            </w:r>
            <w:r w:rsidRPr="000B18F9">
              <w:instrText xml:space="preserve"> FORMTEXT </w:instrText>
            </w:r>
            <w:r w:rsidRPr="000B18F9">
              <w:fldChar w:fldCharType="separate"/>
            </w:r>
            <w:r w:rsidRPr="000B18F9">
              <w:rPr>
                <w:noProof/>
              </w:rPr>
              <w:t>Insert title of research</w:t>
            </w:r>
            <w:r w:rsidRPr="000B18F9">
              <w:fldChar w:fldCharType="end"/>
            </w:r>
          </w:p>
        </w:tc>
        <w:tc>
          <w:tcPr>
            <w:tcW w:w="884" w:type="pct"/>
          </w:tcPr>
          <w:p w14:paraId="3894DC30" w14:textId="77777777" w:rsidR="000B18F9" w:rsidRPr="000B18F9" w:rsidRDefault="000B18F9" w:rsidP="000B18F9">
            <w:pPr>
              <w:rPr>
                <w:b/>
                <w:szCs w:val="20"/>
              </w:rPr>
            </w:pPr>
            <w:r w:rsidRPr="000B18F9">
              <w:fldChar w:fldCharType="begin">
                <w:ffData>
                  <w:name w:val=""/>
                  <w:enabled/>
                  <w:calcOnExit w:val="0"/>
                  <w:textInput>
                    <w:default w:val="Insert description "/>
                  </w:textInput>
                </w:ffData>
              </w:fldChar>
            </w:r>
            <w:r w:rsidRPr="000B18F9">
              <w:instrText xml:space="preserve"> FORMTEXT </w:instrText>
            </w:r>
            <w:r w:rsidRPr="000B18F9">
              <w:fldChar w:fldCharType="separate"/>
            </w:r>
            <w:r w:rsidRPr="000B18F9">
              <w:rPr>
                <w:noProof/>
              </w:rPr>
              <w:t xml:space="preserve">Insert description </w:t>
            </w:r>
            <w:r w:rsidRPr="000B18F9">
              <w:fldChar w:fldCharType="end"/>
            </w:r>
          </w:p>
        </w:tc>
        <w:tc>
          <w:tcPr>
            <w:tcW w:w="1246" w:type="pct"/>
          </w:tcPr>
          <w:p w14:paraId="41CFE332" w14:textId="77777777" w:rsidR="000B18F9" w:rsidRPr="000B18F9" w:rsidRDefault="000B18F9" w:rsidP="000B18F9">
            <w:pPr>
              <w:rPr>
                <w:b/>
                <w:szCs w:val="20"/>
              </w:rPr>
            </w:pPr>
            <w:r w:rsidRPr="000B18F9">
              <w:fldChar w:fldCharType="begin">
                <w:ffData>
                  <w:name w:val=""/>
                  <w:enabled/>
                  <w:calcOnExit w:val="0"/>
                  <w:textInput>
                    <w:default w:val="Insert website link"/>
                  </w:textInput>
                </w:ffData>
              </w:fldChar>
            </w:r>
            <w:r w:rsidRPr="000B18F9">
              <w:instrText xml:space="preserve"> FORMTEXT </w:instrText>
            </w:r>
            <w:r w:rsidRPr="000B18F9">
              <w:fldChar w:fldCharType="separate"/>
            </w:r>
            <w:r w:rsidRPr="000B18F9">
              <w:rPr>
                <w:noProof/>
              </w:rPr>
              <w:t>Insert website link</w:t>
            </w:r>
            <w:r w:rsidRPr="000B18F9">
              <w:fldChar w:fldCharType="end"/>
            </w:r>
          </w:p>
        </w:tc>
        <w:tc>
          <w:tcPr>
            <w:tcW w:w="524" w:type="pct"/>
          </w:tcPr>
          <w:p w14:paraId="5F4BD31F" w14:textId="77777777" w:rsidR="000B18F9" w:rsidRPr="000B18F9" w:rsidRDefault="000B18F9" w:rsidP="000B18F9">
            <w:pPr>
              <w:rPr>
                <w:b/>
                <w:szCs w:val="20"/>
              </w:rPr>
            </w:pPr>
            <w:r w:rsidRPr="000B18F9">
              <w:fldChar w:fldCharType="begin">
                <w:ffData>
                  <w:name w:val=""/>
                  <w:enabled/>
                  <w:calcOnExit w:val="0"/>
                  <w:textInput>
                    <w:default w:val="Insert date"/>
                  </w:textInput>
                </w:ffData>
              </w:fldChar>
            </w:r>
            <w:r w:rsidRPr="000B18F9">
              <w:instrText xml:space="preserve"> FORMTEXT </w:instrText>
            </w:r>
            <w:r w:rsidRPr="000B18F9">
              <w:fldChar w:fldCharType="separate"/>
            </w:r>
            <w:r w:rsidRPr="000B18F9">
              <w:rPr>
                <w:noProof/>
              </w:rPr>
              <w:t>Insert date</w:t>
            </w:r>
            <w:r w:rsidRPr="000B18F9">
              <w:fldChar w:fldCharType="end"/>
            </w:r>
          </w:p>
        </w:tc>
      </w:tr>
      <w:tr w:rsidR="000B18F9" w:rsidRPr="000B18F9" w14:paraId="25AF2AF0" w14:textId="77777777" w:rsidTr="000B18F9">
        <w:trPr>
          <w:cantSplit/>
        </w:trPr>
        <w:tc>
          <w:tcPr>
            <w:tcW w:w="326" w:type="pct"/>
          </w:tcPr>
          <w:p w14:paraId="480D91A5" w14:textId="77777777" w:rsidR="000B18F9" w:rsidRPr="000B18F9" w:rsidRDefault="000B18F9" w:rsidP="000B18F9">
            <w:pPr>
              <w:rPr>
                <w:szCs w:val="20"/>
              </w:rPr>
            </w:pPr>
            <w:r w:rsidRPr="000B18F9">
              <w:rPr>
                <w:szCs w:val="20"/>
              </w:rPr>
              <w:t>9.</w:t>
            </w:r>
          </w:p>
        </w:tc>
        <w:tc>
          <w:tcPr>
            <w:tcW w:w="895" w:type="pct"/>
          </w:tcPr>
          <w:p w14:paraId="4B9949C5" w14:textId="77777777" w:rsidR="000B18F9" w:rsidRPr="000B18F9" w:rsidRDefault="000B18F9" w:rsidP="000B18F9">
            <w:pPr>
              <w:rPr>
                <w:b/>
                <w:szCs w:val="20"/>
              </w:rPr>
            </w:pPr>
            <w:r w:rsidRPr="000B18F9">
              <w:fldChar w:fldCharType="begin">
                <w:ffData>
                  <w:name w:val=""/>
                  <w:enabled/>
                  <w:calcOnExit w:val="0"/>
                  <w:textInput>
                    <w:default w:val="Insert study design"/>
                  </w:textInput>
                </w:ffData>
              </w:fldChar>
            </w:r>
            <w:r w:rsidRPr="000B18F9">
              <w:instrText xml:space="preserve"> FORMTEXT </w:instrText>
            </w:r>
            <w:r w:rsidRPr="000B18F9">
              <w:fldChar w:fldCharType="separate"/>
            </w:r>
            <w:r w:rsidRPr="000B18F9">
              <w:rPr>
                <w:noProof/>
              </w:rPr>
              <w:t>Insert study design</w:t>
            </w:r>
            <w:r w:rsidRPr="000B18F9">
              <w:fldChar w:fldCharType="end"/>
            </w:r>
          </w:p>
        </w:tc>
        <w:tc>
          <w:tcPr>
            <w:tcW w:w="1125" w:type="pct"/>
          </w:tcPr>
          <w:p w14:paraId="52AFFACF" w14:textId="77777777" w:rsidR="000B18F9" w:rsidRPr="000B18F9" w:rsidRDefault="000B18F9" w:rsidP="000B18F9">
            <w:pPr>
              <w:rPr>
                <w:b/>
                <w:szCs w:val="20"/>
              </w:rPr>
            </w:pPr>
            <w:r w:rsidRPr="000B18F9">
              <w:fldChar w:fldCharType="begin">
                <w:ffData>
                  <w:name w:val=""/>
                  <w:enabled/>
                  <w:calcOnExit w:val="0"/>
                  <w:textInput>
                    <w:default w:val="Insert title of research"/>
                  </w:textInput>
                </w:ffData>
              </w:fldChar>
            </w:r>
            <w:r w:rsidRPr="000B18F9">
              <w:instrText xml:space="preserve"> FORMTEXT </w:instrText>
            </w:r>
            <w:r w:rsidRPr="000B18F9">
              <w:fldChar w:fldCharType="separate"/>
            </w:r>
            <w:r w:rsidRPr="000B18F9">
              <w:rPr>
                <w:noProof/>
              </w:rPr>
              <w:t>Insert title of research</w:t>
            </w:r>
            <w:r w:rsidRPr="000B18F9">
              <w:fldChar w:fldCharType="end"/>
            </w:r>
          </w:p>
        </w:tc>
        <w:tc>
          <w:tcPr>
            <w:tcW w:w="884" w:type="pct"/>
          </w:tcPr>
          <w:p w14:paraId="4435B4C9" w14:textId="77777777" w:rsidR="000B18F9" w:rsidRPr="000B18F9" w:rsidRDefault="000B18F9" w:rsidP="000B18F9">
            <w:pPr>
              <w:rPr>
                <w:b/>
                <w:szCs w:val="20"/>
              </w:rPr>
            </w:pPr>
            <w:r w:rsidRPr="000B18F9">
              <w:fldChar w:fldCharType="begin">
                <w:ffData>
                  <w:name w:val=""/>
                  <w:enabled/>
                  <w:calcOnExit w:val="0"/>
                  <w:textInput>
                    <w:default w:val="Insert description "/>
                  </w:textInput>
                </w:ffData>
              </w:fldChar>
            </w:r>
            <w:r w:rsidRPr="000B18F9">
              <w:instrText xml:space="preserve"> FORMTEXT </w:instrText>
            </w:r>
            <w:r w:rsidRPr="000B18F9">
              <w:fldChar w:fldCharType="separate"/>
            </w:r>
            <w:r w:rsidRPr="000B18F9">
              <w:rPr>
                <w:noProof/>
              </w:rPr>
              <w:t xml:space="preserve">Insert description </w:t>
            </w:r>
            <w:r w:rsidRPr="000B18F9">
              <w:fldChar w:fldCharType="end"/>
            </w:r>
          </w:p>
        </w:tc>
        <w:tc>
          <w:tcPr>
            <w:tcW w:w="1246" w:type="pct"/>
          </w:tcPr>
          <w:p w14:paraId="5B6557D6" w14:textId="77777777" w:rsidR="000B18F9" w:rsidRPr="000B18F9" w:rsidRDefault="000B18F9" w:rsidP="000B18F9">
            <w:pPr>
              <w:rPr>
                <w:b/>
                <w:szCs w:val="20"/>
              </w:rPr>
            </w:pPr>
            <w:r w:rsidRPr="000B18F9">
              <w:fldChar w:fldCharType="begin">
                <w:ffData>
                  <w:name w:val=""/>
                  <w:enabled/>
                  <w:calcOnExit w:val="0"/>
                  <w:textInput>
                    <w:default w:val="Insert website link"/>
                  </w:textInput>
                </w:ffData>
              </w:fldChar>
            </w:r>
            <w:r w:rsidRPr="000B18F9">
              <w:instrText xml:space="preserve"> FORMTEXT </w:instrText>
            </w:r>
            <w:r w:rsidRPr="000B18F9">
              <w:fldChar w:fldCharType="separate"/>
            </w:r>
            <w:r w:rsidRPr="000B18F9">
              <w:rPr>
                <w:noProof/>
              </w:rPr>
              <w:t>Insert website link</w:t>
            </w:r>
            <w:r w:rsidRPr="000B18F9">
              <w:fldChar w:fldCharType="end"/>
            </w:r>
          </w:p>
        </w:tc>
        <w:tc>
          <w:tcPr>
            <w:tcW w:w="524" w:type="pct"/>
          </w:tcPr>
          <w:p w14:paraId="59E79E42" w14:textId="77777777" w:rsidR="000B18F9" w:rsidRPr="000B18F9" w:rsidRDefault="000B18F9" w:rsidP="000B18F9">
            <w:pPr>
              <w:rPr>
                <w:b/>
                <w:szCs w:val="20"/>
              </w:rPr>
            </w:pPr>
            <w:r w:rsidRPr="000B18F9">
              <w:fldChar w:fldCharType="begin">
                <w:ffData>
                  <w:name w:val=""/>
                  <w:enabled/>
                  <w:calcOnExit w:val="0"/>
                  <w:textInput>
                    <w:default w:val="Insert date"/>
                  </w:textInput>
                </w:ffData>
              </w:fldChar>
            </w:r>
            <w:r w:rsidRPr="000B18F9">
              <w:instrText xml:space="preserve"> FORMTEXT </w:instrText>
            </w:r>
            <w:r w:rsidRPr="000B18F9">
              <w:fldChar w:fldCharType="separate"/>
            </w:r>
            <w:r w:rsidRPr="000B18F9">
              <w:rPr>
                <w:noProof/>
              </w:rPr>
              <w:t>Insert date</w:t>
            </w:r>
            <w:r w:rsidRPr="000B18F9">
              <w:fldChar w:fldCharType="end"/>
            </w:r>
          </w:p>
        </w:tc>
      </w:tr>
    </w:tbl>
    <w:p w14:paraId="4C0EEE50" w14:textId="77777777" w:rsidR="00DD308E" w:rsidRPr="000B18F9" w:rsidRDefault="00DD308E" w:rsidP="000B18F9">
      <w:pPr>
        <w:rPr>
          <w:sz w:val="32"/>
          <w:szCs w:val="32"/>
        </w:rPr>
        <w:sectPr w:rsidR="00DD308E" w:rsidRPr="000B18F9" w:rsidSect="00F97C41">
          <w:pgSz w:w="11906" w:h="16838"/>
          <w:pgMar w:top="1440" w:right="1440" w:bottom="1440" w:left="1440" w:header="709" w:footer="709" w:gutter="0"/>
          <w:cols w:space="708"/>
          <w:docGrid w:linePitch="360"/>
        </w:sectPr>
      </w:pPr>
    </w:p>
    <w:p w14:paraId="73D94495"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7128F9F1"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25D14D8D" w14:textId="1C4653E0" w:rsidR="000B18F9" w:rsidRDefault="000B18F9" w:rsidP="000B18F9">
      <w:pPr>
        <w:spacing w:before="0" w:after="0"/>
        <w:rPr>
          <w:szCs w:val="20"/>
        </w:rPr>
      </w:pPr>
      <w:r>
        <w:rPr>
          <w:szCs w:val="20"/>
        </w:rPr>
        <w:tab/>
        <w:t xml:space="preserve">The </w:t>
      </w:r>
      <w:r w:rsidRPr="000B18F9">
        <w:rPr>
          <w:szCs w:val="20"/>
        </w:rPr>
        <w:t xml:space="preserve">Royal College of Pathologists </w:t>
      </w:r>
      <w:r w:rsidR="005B21E7">
        <w:rPr>
          <w:szCs w:val="20"/>
        </w:rPr>
        <w:t xml:space="preserve">of </w:t>
      </w:r>
      <w:r w:rsidRPr="000B18F9">
        <w:rPr>
          <w:szCs w:val="20"/>
        </w:rPr>
        <w:t>Australasia</w:t>
      </w:r>
    </w:p>
    <w:p w14:paraId="6998F017" w14:textId="77777777" w:rsidR="000B18F9" w:rsidRPr="000B18F9" w:rsidRDefault="000B18F9" w:rsidP="000B18F9">
      <w:pPr>
        <w:spacing w:before="0" w:after="0"/>
        <w:rPr>
          <w:szCs w:val="20"/>
        </w:rPr>
      </w:pPr>
      <w:r>
        <w:rPr>
          <w:szCs w:val="20"/>
        </w:rPr>
        <w:tab/>
      </w:r>
      <w:r w:rsidRPr="000B18F9">
        <w:rPr>
          <w:szCs w:val="20"/>
        </w:rPr>
        <w:t>Pathology Australia</w:t>
      </w:r>
    </w:p>
    <w:p w14:paraId="2B3F8257" w14:textId="77777777" w:rsidR="000B18F9" w:rsidRPr="000B18F9" w:rsidRDefault="000B18F9" w:rsidP="000B18F9">
      <w:pPr>
        <w:spacing w:before="0" w:after="0"/>
        <w:rPr>
          <w:szCs w:val="20"/>
        </w:rPr>
      </w:pPr>
      <w:r>
        <w:rPr>
          <w:szCs w:val="20"/>
        </w:rPr>
        <w:tab/>
        <w:t xml:space="preserve">The </w:t>
      </w:r>
      <w:r w:rsidRPr="000B18F9">
        <w:rPr>
          <w:szCs w:val="20"/>
        </w:rPr>
        <w:t xml:space="preserve">Royal Australasian College of Physicians </w:t>
      </w:r>
    </w:p>
    <w:p w14:paraId="3E78113B" w14:textId="77777777" w:rsidR="000B18F9" w:rsidRPr="000B18F9" w:rsidRDefault="000B18F9" w:rsidP="000B18F9">
      <w:pPr>
        <w:spacing w:before="0" w:after="0"/>
        <w:rPr>
          <w:szCs w:val="20"/>
        </w:rPr>
      </w:pPr>
      <w:r>
        <w:rPr>
          <w:szCs w:val="20"/>
        </w:rPr>
        <w:tab/>
        <w:t xml:space="preserve">The </w:t>
      </w:r>
      <w:r w:rsidRPr="000B18F9">
        <w:rPr>
          <w:szCs w:val="20"/>
        </w:rPr>
        <w:t>Royal Australasian College of Surgeons</w:t>
      </w:r>
    </w:p>
    <w:p w14:paraId="1F39E52B" w14:textId="77777777" w:rsidR="000B18F9" w:rsidRDefault="000B18F9" w:rsidP="000B18F9">
      <w:pPr>
        <w:spacing w:before="0" w:after="0"/>
        <w:rPr>
          <w:szCs w:val="20"/>
        </w:rPr>
      </w:pPr>
      <w:r>
        <w:rPr>
          <w:szCs w:val="20"/>
        </w:rPr>
        <w:tab/>
      </w:r>
      <w:r w:rsidRPr="000B18F9">
        <w:rPr>
          <w:szCs w:val="20"/>
        </w:rPr>
        <w:t xml:space="preserve">Clinical Oncology Society of Australia (COSA) </w:t>
      </w:r>
    </w:p>
    <w:p w14:paraId="0B196935" w14:textId="77777777" w:rsidR="000B18F9" w:rsidRPr="00BF1F87" w:rsidRDefault="000B18F9" w:rsidP="000B18F9">
      <w:pPr>
        <w:spacing w:before="0" w:after="0"/>
        <w:rPr>
          <w:szCs w:val="20"/>
        </w:rPr>
      </w:pPr>
      <w:r>
        <w:rPr>
          <w:color w:val="FF0000"/>
          <w:szCs w:val="20"/>
        </w:rPr>
        <w:tab/>
      </w:r>
      <w:r w:rsidRPr="00BF1F87">
        <w:rPr>
          <w:szCs w:val="20"/>
        </w:rPr>
        <w:t>Human Genetics Society of Australia</w:t>
      </w:r>
    </w:p>
    <w:p w14:paraId="75A7CE0C" w14:textId="77777777" w:rsidR="00124807" w:rsidRDefault="000B18F9" w:rsidP="000B18F9">
      <w:pPr>
        <w:spacing w:before="0" w:after="0"/>
        <w:ind w:left="426"/>
        <w:rPr>
          <w:szCs w:val="20"/>
        </w:rPr>
      </w:pPr>
      <w:r>
        <w:rPr>
          <w:szCs w:val="20"/>
        </w:rPr>
        <w:tab/>
      </w:r>
      <w:r w:rsidRPr="000B18F9">
        <w:rPr>
          <w:szCs w:val="20"/>
        </w:rPr>
        <w:t>Clinical Oncol</w:t>
      </w:r>
      <w:r w:rsidR="00124807">
        <w:rPr>
          <w:szCs w:val="20"/>
        </w:rPr>
        <w:t>ogy Society of Australia (COSA)</w:t>
      </w:r>
    </w:p>
    <w:p w14:paraId="68E5CDC6" w14:textId="573DC0EC" w:rsidR="000B18F9" w:rsidRDefault="00124807" w:rsidP="000B18F9">
      <w:pPr>
        <w:spacing w:before="0" w:after="0"/>
        <w:ind w:left="426"/>
      </w:pPr>
      <w:r>
        <w:rPr>
          <w:szCs w:val="20"/>
        </w:rPr>
        <w:tab/>
      </w:r>
      <w:r w:rsidR="000B18F9" w:rsidRPr="000B18F9">
        <w:rPr>
          <w:szCs w:val="20"/>
        </w:rPr>
        <w:t>Rare Cancer Group</w:t>
      </w:r>
    </w:p>
    <w:p w14:paraId="5314159F" w14:textId="77777777" w:rsidR="000B18F9" w:rsidRDefault="000B18F9" w:rsidP="000B18F9">
      <w:pPr>
        <w:spacing w:before="0" w:after="0"/>
        <w:rPr>
          <w:szCs w:val="20"/>
        </w:rPr>
      </w:pPr>
    </w:p>
    <w:p w14:paraId="448E55CB"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335FE41D" w14:textId="30BD4D9D" w:rsidR="000B18F9" w:rsidRPr="000B18F9" w:rsidRDefault="000B18F9" w:rsidP="00124807">
      <w:pPr>
        <w:spacing w:before="0" w:after="0"/>
        <w:ind w:left="284"/>
      </w:pPr>
      <w:r>
        <w:rPr>
          <w:b/>
          <w:szCs w:val="20"/>
        </w:rPr>
        <w:tab/>
      </w:r>
      <w:r w:rsidRPr="000B18F9">
        <w:t>The RCPA provides the comparator service. Other relevant professional bodies are:</w:t>
      </w:r>
    </w:p>
    <w:p w14:paraId="00BEFEA9" w14:textId="77777777" w:rsidR="000B18F9" w:rsidRPr="000B18F9" w:rsidRDefault="000B18F9" w:rsidP="000B18F9">
      <w:pPr>
        <w:spacing w:before="0" w:after="0"/>
        <w:ind w:left="426"/>
      </w:pPr>
      <w:r>
        <w:tab/>
      </w:r>
      <w:r w:rsidR="005B21E7">
        <w:t xml:space="preserve">The </w:t>
      </w:r>
      <w:r w:rsidRPr="000B18F9">
        <w:t xml:space="preserve">Royal Australasian College of Physicians </w:t>
      </w:r>
    </w:p>
    <w:p w14:paraId="3A3C4FDE" w14:textId="77777777" w:rsidR="000B18F9" w:rsidRPr="000B18F9" w:rsidRDefault="000B18F9" w:rsidP="000B18F9">
      <w:pPr>
        <w:spacing w:before="0" w:after="0"/>
        <w:ind w:left="426"/>
      </w:pPr>
      <w:r>
        <w:tab/>
      </w:r>
      <w:r w:rsidR="005B21E7">
        <w:t xml:space="preserve">The </w:t>
      </w:r>
      <w:r w:rsidRPr="000B18F9">
        <w:t>Royal Australasian College of Surgeons</w:t>
      </w:r>
    </w:p>
    <w:p w14:paraId="36D0D383" w14:textId="66C8A263" w:rsidR="00EA173C" w:rsidRDefault="000B18F9" w:rsidP="005B21E7">
      <w:pPr>
        <w:spacing w:before="0" w:after="0"/>
        <w:ind w:left="426"/>
      </w:pPr>
      <w:r>
        <w:tab/>
      </w:r>
      <w:r w:rsidRPr="000B18F9">
        <w:t>Clinical Oncology Society of Australia (COSA)</w:t>
      </w:r>
    </w:p>
    <w:p w14:paraId="044F220F" w14:textId="77777777" w:rsidR="005B21E7" w:rsidRDefault="005B21E7" w:rsidP="005B21E7">
      <w:pPr>
        <w:spacing w:before="0" w:after="0"/>
        <w:ind w:left="426"/>
      </w:pPr>
    </w:p>
    <w:p w14:paraId="6ADA4847" w14:textId="77777777"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61183682" w14:textId="77777777" w:rsidR="00AD1F03" w:rsidRPr="00AD1F03" w:rsidRDefault="00AD1F03" w:rsidP="00AD1F03">
      <w:pPr>
        <w:spacing w:before="0" w:after="0"/>
        <w:ind w:left="425"/>
        <w:rPr>
          <w:szCs w:val="20"/>
        </w:rPr>
      </w:pPr>
      <w:r w:rsidRPr="00AD1F03">
        <w:rPr>
          <w:szCs w:val="20"/>
        </w:rPr>
        <w:t>Cancer Voices</w:t>
      </w:r>
    </w:p>
    <w:p w14:paraId="78F0153B" w14:textId="77777777" w:rsidR="00AD1F03" w:rsidRPr="00AD1F03" w:rsidRDefault="00AD1F03" w:rsidP="00AD1F03">
      <w:pPr>
        <w:spacing w:before="0" w:after="0"/>
        <w:ind w:left="425"/>
        <w:rPr>
          <w:szCs w:val="20"/>
        </w:rPr>
      </w:pPr>
      <w:r w:rsidRPr="00AD1F03">
        <w:rPr>
          <w:szCs w:val="20"/>
        </w:rPr>
        <w:t>Rare Cancers Australia</w:t>
      </w:r>
    </w:p>
    <w:p w14:paraId="2D6B69E0" w14:textId="77777777" w:rsidR="00AD1F03" w:rsidRPr="00AD1F03" w:rsidRDefault="00AD1F03" w:rsidP="00AD1F03">
      <w:pPr>
        <w:spacing w:before="0" w:after="0"/>
        <w:ind w:left="425"/>
        <w:rPr>
          <w:szCs w:val="20"/>
        </w:rPr>
      </w:pPr>
      <w:r w:rsidRPr="00AD1F03">
        <w:rPr>
          <w:szCs w:val="20"/>
        </w:rPr>
        <w:t>Leukaemia Foundation</w:t>
      </w:r>
    </w:p>
    <w:p w14:paraId="0CC99084" w14:textId="77777777" w:rsidR="00AD1F03" w:rsidRPr="00AD1F03" w:rsidRDefault="00AD1F03" w:rsidP="00AD1F03">
      <w:pPr>
        <w:spacing w:before="0" w:after="0"/>
        <w:ind w:left="425"/>
        <w:rPr>
          <w:szCs w:val="20"/>
        </w:rPr>
      </w:pPr>
      <w:r w:rsidRPr="00AD1F03">
        <w:rPr>
          <w:szCs w:val="20"/>
        </w:rPr>
        <w:t>Without a Ribbon</w:t>
      </w:r>
    </w:p>
    <w:p w14:paraId="5313B9C9" w14:textId="2BB9DF23" w:rsidR="00E82F54" w:rsidRDefault="00AD1F03" w:rsidP="00AD1F03">
      <w:pPr>
        <w:spacing w:before="0" w:after="0"/>
        <w:ind w:left="425"/>
        <w:rPr>
          <w:szCs w:val="20"/>
        </w:rPr>
      </w:pPr>
      <w:r w:rsidRPr="00AD1F03">
        <w:rPr>
          <w:szCs w:val="20"/>
        </w:rPr>
        <w:t>Unicorn Foundation</w:t>
      </w:r>
    </w:p>
    <w:p w14:paraId="36CB46BC"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2F6577A9" w14:textId="580132B8" w:rsidR="00EE6450" w:rsidRDefault="00AD1F03" w:rsidP="00EE6450">
      <w:pPr>
        <w:ind w:left="426"/>
        <w:rPr>
          <w:szCs w:val="20"/>
        </w:rPr>
      </w:pPr>
      <w:r>
        <w:fldChar w:fldCharType="begin">
          <w:ffData>
            <w:name w:val=""/>
            <w:enabled/>
            <w:calcOnExit w:val="0"/>
            <w:textInput>
              <w:default w:val="Not applicable"/>
            </w:textInput>
          </w:ffData>
        </w:fldChar>
      </w:r>
      <w:r>
        <w:instrText xml:space="preserve"> FORMTEXT </w:instrText>
      </w:r>
      <w:r>
        <w:fldChar w:fldCharType="separate"/>
      </w:r>
      <w:r>
        <w:rPr>
          <w:noProof/>
        </w:rPr>
        <w:t>Not applicable</w:t>
      </w:r>
      <w:r>
        <w:fldChar w:fldCharType="end"/>
      </w:r>
    </w:p>
    <w:p w14:paraId="62AC4E4E" w14:textId="77777777" w:rsidR="00E82F54" w:rsidRDefault="00E82F54" w:rsidP="00530204">
      <w:pPr>
        <w:pStyle w:val="Heading2"/>
      </w:pPr>
      <w:r w:rsidRPr="00154B00">
        <w:t>Nominate two experts who could be approached about the proposed medical service and the current clinical management of the service(s):</w:t>
      </w:r>
    </w:p>
    <w:p w14:paraId="07450438" w14:textId="77777777" w:rsidR="00A96329" w:rsidRPr="00A96329" w:rsidRDefault="00A96329" w:rsidP="00A96329"/>
    <w:p w14:paraId="7DBF91CF" w14:textId="2AEA1638" w:rsidR="00987ABE" w:rsidRPr="00987ABE" w:rsidRDefault="00987ABE" w:rsidP="00987ABE">
      <w:pPr>
        <w:ind w:left="426"/>
        <w:rPr>
          <w:szCs w:val="20"/>
        </w:rPr>
      </w:pPr>
      <w:r>
        <w:rPr>
          <w:szCs w:val="20"/>
        </w:rPr>
        <w:t xml:space="preserve">Name of expert 1: </w:t>
      </w:r>
      <w:r w:rsidR="00AD1F03">
        <w:fldChar w:fldCharType="begin">
          <w:ffData>
            <w:name w:val=""/>
            <w:enabled/>
            <w:calcOnExit w:val="0"/>
            <w:textInput>
              <w:default w:val="Redacted"/>
            </w:textInput>
          </w:ffData>
        </w:fldChar>
      </w:r>
      <w:r w:rsidR="00AD1F03">
        <w:instrText xml:space="preserve"> FORMTEXT </w:instrText>
      </w:r>
      <w:r w:rsidR="00AD1F03">
        <w:fldChar w:fldCharType="separate"/>
      </w:r>
      <w:r w:rsidR="00AD1F03">
        <w:rPr>
          <w:noProof/>
        </w:rPr>
        <w:t>Redacted</w:t>
      </w:r>
      <w:r w:rsidR="00AD1F03">
        <w:fldChar w:fldCharType="end"/>
      </w:r>
    </w:p>
    <w:p w14:paraId="3949BE9E" w14:textId="32551952" w:rsidR="00987ABE" w:rsidRPr="00987ABE" w:rsidRDefault="00987ABE" w:rsidP="00987ABE">
      <w:pPr>
        <w:ind w:left="426"/>
        <w:rPr>
          <w:szCs w:val="20"/>
        </w:rPr>
      </w:pPr>
      <w:r>
        <w:rPr>
          <w:szCs w:val="20"/>
        </w:rPr>
        <w:t xml:space="preserve">Telephone number(s): </w:t>
      </w:r>
      <w:r w:rsidR="00AD1F03">
        <w:fldChar w:fldCharType="begin">
          <w:ffData>
            <w:name w:val=""/>
            <w:enabled/>
            <w:calcOnExit w:val="0"/>
            <w:textInput>
              <w:default w:val="Redacted"/>
            </w:textInput>
          </w:ffData>
        </w:fldChar>
      </w:r>
      <w:r w:rsidR="00AD1F03">
        <w:instrText xml:space="preserve"> FORMTEXT </w:instrText>
      </w:r>
      <w:r w:rsidR="00AD1F03">
        <w:fldChar w:fldCharType="separate"/>
      </w:r>
      <w:r w:rsidR="00AD1F03">
        <w:rPr>
          <w:noProof/>
        </w:rPr>
        <w:t>Redacted</w:t>
      </w:r>
      <w:r w:rsidR="00AD1F03">
        <w:fldChar w:fldCharType="end"/>
      </w:r>
    </w:p>
    <w:p w14:paraId="5D227628" w14:textId="79F050EB" w:rsidR="00987ABE" w:rsidRPr="00987ABE" w:rsidRDefault="00987ABE" w:rsidP="00987ABE">
      <w:pPr>
        <w:ind w:left="426"/>
        <w:rPr>
          <w:szCs w:val="20"/>
        </w:rPr>
      </w:pPr>
      <w:r>
        <w:rPr>
          <w:szCs w:val="20"/>
        </w:rPr>
        <w:t xml:space="preserve">Email address: </w:t>
      </w:r>
      <w:r w:rsidR="00AD1F03">
        <w:fldChar w:fldCharType="begin">
          <w:ffData>
            <w:name w:val=""/>
            <w:enabled/>
            <w:calcOnExit w:val="0"/>
            <w:textInput>
              <w:default w:val="Redacted"/>
            </w:textInput>
          </w:ffData>
        </w:fldChar>
      </w:r>
      <w:r w:rsidR="00AD1F03">
        <w:instrText xml:space="preserve"> FORMTEXT </w:instrText>
      </w:r>
      <w:r w:rsidR="00AD1F03">
        <w:fldChar w:fldCharType="separate"/>
      </w:r>
      <w:r w:rsidR="00AD1F03">
        <w:rPr>
          <w:noProof/>
        </w:rPr>
        <w:t>Redacted</w:t>
      </w:r>
      <w:r w:rsidR="00AD1F03">
        <w:fldChar w:fldCharType="end"/>
      </w:r>
    </w:p>
    <w:p w14:paraId="0E1BD6AB" w14:textId="412135C9" w:rsidR="00987ABE" w:rsidRPr="00987ABE" w:rsidRDefault="00987ABE" w:rsidP="00987ABE">
      <w:pPr>
        <w:ind w:left="426"/>
        <w:rPr>
          <w:szCs w:val="20"/>
        </w:rPr>
      </w:pPr>
      <w:r>
        <w:rPr>
          <w:szCs w:val="20"/>
        </w:rPr>
        <w:t xml:space="preserve">Justification of expertise: </w:t>
      </w:r>
      <w:r w:rsidR="00AD1F03">
        <w:fldChar w:fldCharType="begin">
          <w:ffData>
            <w:name w:val=""/>
            <w:enabled/>
            <w:calcOnExit w:val="0"/>
            <w:textInput>
              <w:default w:val="Redacted"/>
            </w:textInput>
          </w:ffData>
        </w:fldChar>
      </w:r>
      <w:r w:rsidR="00AD1F03">
        <w:instrText xml:space="preserve"> FORMTEXT </w:instrText>
      </w:r>
      <w:r w:rsidR="00AD1F03">
        <w:fldChar w:fldCharType="separate"/>
      </w:r>
      <w:r w:rsidR="00AD1F03">
        <w:rPr>
          <w:noProof/>
        </w:rPr>
        <w:t>Redacted</w:t>
      </w:r>
      <w:r w:rsidR="00AD1F03">
        <w:fldChar w:fldCharType="end"/>
      </w:r>
    </w:p>
    <w:p w14:paraId="5D071471" w14:textId="77777777" w:rsidR="00987ABE" w:rsidRPr="00987ABE" w:rsidRDefault="00987ABE" w:rsidP="00987ABE">
      <w:pPr>
        <w:ind w:left="426"/>
        <w:rPr>
          <w:szCs w:val="20"/>
        </w:rPr>
      </w:pPr>
    </w:p>
    <w:p w14:paraId="73A82756" w14:textId="20ED52A5" w:rsidR="00987ABE" w:rsidRPr="00987ABE" w:rsidRDefault="00987ABE" w:rsidP="00987ABE">
      <w:pPr>
        <w:ind w:left="426"/>
        <w:rPr>
          <w:szCs w:val="20"/>
        </w:rPr>
      </w:pPr>
      <w:r>
        <w:rPr>
          <w:szCs w:val="20"/>
        </w:rPr>
        <w:t xml:space="preserve">Name of expert 2: </w:t>
      </w:r>
      <w:r w:rsidR="00AD1F03">
        <w:fldChar w:fldCharType="begin">
          <w:ffData>
            <w:name w:val=""/>
            <w:enabled/>
            <w:calcOnExit w:val="0"/>
            <w:textInput>
              <w:default w:val="Redacted"/>
            </w:textInput>
          </w:ffData>
        </w:fldChar>
      </w:r>
      <w:r w:rsidR="00AD1F03">
        <w:instrText xml:space="preserve"> FORMTEXT </w:instrText>
      </w:r>
      <w:r w:rsidR="00AD1F03">
        <w:fldChar w:fldCharType="separate"/>
      </w:r>
      <w:r w:rsidR="00AD1F03">
        <w:rPr>
          <w:noProof/>
        </w:rPr>
        <w:t>Redacted</w:t>
      </w:r>
      <w:r w:rsidR="00AD1F03">
        <w:fldChar w:fldCharType="end"/>
      </w:r>
    </w:p>
    <w:p w14:paraId="14FA0ADA" w14:textId="00D1074C" w:rsidR="00987ABE" w:rsidRPr="00987ABE" w:rsidRDefault="00987ABE" w:rsidP="00987ABE">
      <w:pPr>
        <w:ind w:left="426"/>
        <w:rPr>
          <w:szCs w:val="20"/>
        </w:rPr>
      </w:pPr>
      <w:r>
        <w:rPr>
          <w:szCs w:val="20"/>
        </w:rPr>
        <w:t xml:space="preserve">Telephone number(s): </w:t>
      </w:r>
      <w:r w:rsidR="00AD1F03">
        <w:fldChar w:fldCharType="begin">
          <w:ffData>
            <w:name w:val=""/>
            <w:enabled/>
            <w:calcOnExit w:val="0"/>
            <w:textInput>
              <w:default w:val="Redacted"/>
            </w:textInput>
          </w:ffData>
        </w:fldChar>
      </w:r>
      <w:r w:rsidR="00AD1F03">
        <w:instrText xml:space="preserve"> FORMTEXT </w:instrText>
      </w:r>
      <w:r w:rsidR="00AD1F03">
        <w:fldChar w:fldCharType="separate"/>
      </w:r>
      <w:r w:rsidR="00AD1F03">
        <w:rPr>
          <w:noProof/>
        </w:rPr>
        <w:t>Redacted</w:t>
      </w:r>
      <w:r w:rsidR="00AD1F03">
        <w:fldChar w:fldCharType="end"/>
      </w:r>
    </w:p>
    <w:p w14:paraId="577F035E" w14:textId="0466B671" w:rsidR="00987ABE" w:rsidRPr="00987ABE" w:rsidRDefault="00987ABE" w:rsidP="00987ABE">
      <w:pPr>
        <w:ind w:left="426"/>
        <w:rPr>
          <w:szCs w:val="20"/>
        </w:rPr>
      </w:pPr>
      <w:r>
        <w:rPr>
          <w:szCs w:val="20"/>
        </w:rPr>
        <w:t xml:space="preserve">Email address: </w:t>
      </w:r>
      <w:r w:rsidR="00AD1F03">
        <w:fldChar w:fldCharType="begin">
          <w:ffData>
            <w:name w:val=""/>
            <w:enabled/>
            <w:calcOnExit w:val="0"/>
            <w:textInput>
              <w:default w:val="Redacted"/>
            </w:textInput>
          </w:ffData>
        </w:fldChar>
      </w:r>
      <w:r w:rsidR="00AD1F03">
        <w:instrText xml:space="preserve"> FORMTEXT </w:instrText>
      </w:r>
      <w:r w:rsidR="00AD1F03">
        <w:fldChar w:fldCharType="separate"/>
      </w:r>
      <w:r w:rsidR="00AD1F03">
        <w:rPr>
          <w:noProof/>
        </w:rPr>
        <w:t>Redacted</w:t>
      </w:r>
      <w:r w:rsidR="00AD1F03">
        <w:fldChar w:fldCharType="end"/>
      </w:r>
    </w:p>
    <w:p w14:paraId="3EB11380" w14:textId="4B62C1CF" w:rsidR="00E82F54" w:rsidRPr="00154B00" w:rsidRDefault="00987ABE" w:rsidP="00987ABE">
      <w:pPr>
        <w:ind w:left="426"/>
        <w:rPr>
          <w:szCs w:val="20"/>
        </w:rPr>
      </w:pPr>
      <w:r>
        <w:rPr>
          <w:szCs w:val="20"/>
        </w:rPr>
        <w:t xml:space="preserve">Justification of expertise: </w:t>
      </w:r>
      <w:r w:rsidR="00AD1F03">
        <w:fldChar w:fldCharType="begin">
          <w:ffData>
            <w:name w:val=""/>
            <w:enabled/>
            <w:calcOnExit w:val="0"/>
            <w:textInput>
              <w:default w:val="Redacted"/>
            </w:textInput>
          </w:ffData>
        </w:fldChar>
      </w:r>
      <w:r w:rsidR="00AD1F03">
        <w:instrText xml:space="preserve"> FORMTEXT </w:instrText>
      </w:r>
      <w:r w:rsidR="00AD1F03">
        <w:fldChar w:fldCharType="separate"/>
      </w:r>
      <w:r w:rsidR="00AD1F03">
        <w:rPr>
          <w:noProof/>
        </w:rPr>
        <w:t>Redacted</w:t>
      </w:r>
      <w:r w:rsidR="00AD1F03">
        <w:fldChar w:fldCharType="end"/>
      </w:r>
    </w:p>
    <w:p w14:paraId="2A45F3FC" w14:textId="77777777" w:rsidR="00987ABE" w:rsidRDefault="00987ABE" w:rsidP="00E82F54">
      <w:pPr>
        <w:ind w:left="426"/>
        <w:rPr>
          <w:i/>
          <w:szCs w:val="20"/>
        </w:rPr>
      </w:pPr>
    </w:p>
    <w:p w14:paraId="58ADE642" w14:textId="77777777" w:rsidR="00E82F54" w:rsidRPr="00154B00" w:rsidRDefault="00E82F54" w:rsidP="00E82F54">
      <w:pPr>
        <w:ind w:left="426"/>
        <w:rPr>
          <w:i/>
          <w:szCs w:val="20"/>
        </w:rPr>
      </w:pPr>
      <w:r w:rsidRPr="00154B00">
        <w:rPr>
          <w:i/>
          <w:szCs w:val="20"/>
        </w:rPr>
        <w:lastRenderedPageBreak/>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14:paraId="22675868" w14:textId="77777777" w:rsidR="003433D1" w:rsidRDefault="003433D1">
      <w:pPr>
        <w:rPr>
          <w:b/>
          <w:sz w:val="32"/>
          <w:szCs w:val="32"/>
        </w:rPr>
      </w:pPr>
      <w:r>
        <w:rPr>
          <w:b/>
          <w:sz w:val="32"/>
          <w:szCs w:val="32"/>
        </w:rPr>
        <w:br w:type="page"/>
      </w:r>
    </w:p>
    <w:p w14:paraId="71B74CDE" w14:textId="77777777"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14:paraId="200CDE9B" w14:textId="77777777" w:rsidR="0021185D" w:rsidRPr="005C3AE7" w:rsidRDefault="005C3AE7" w:rsidP="005C3AE7">
      <w:pPr>
        <w:pStyle w:val="Subtitle"/>
      </w:pPr>
      <w:r w:rsidRPr="005C3AE7">
        <w:t xml:space="preserve">PART 6a – </w:t>
      </w:r>
      <w:r w:rsidR="0021185D" w:rsidRPr="005C3AE7">
        <w:t>INFORMATION ABOUT THE PROPOSED POPULATION</w:t>
      </w:r>
    </w:p>
    <w:p w14:paraId="28C4A0D3"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2F5484EC" w14:textId="77777777" w:rsidR="00E00AA9" w:rsidRPr="00E00AA9" w:rsidRDefault="00E00AA9" w:rsidP="00E00AA9">
      <w:pPr>
        <w:spacing w:before="0" w:after="0"/>
        <w:ind w:left="425"/>
        <w:rPr>
          <w:b/>
          <w:szCs w:val="20"/>
        </w:rPr>
      </w:pPr>
      <w:r w:rsidRPr="00E00AA9">
        <w:rPr>
          <w:b/>
          <w:szCs w:val="20"/>
        </w:rPr>
        <w:t xml:space="preserve">Diffuse Large B </w:t>
      </w:r>
      <w:proofErr w:type="gramStart"/>
      <w:r w:rsidRPr="00E00AA9">
        <w:rPr>
          <w:b/>
          <w:szCs w:val="20"/>
        </w:rPr>
        <w:t>Cell</w:t>
      </w:r>
      <w:proofErr w:type="gramEnd"/>
      <w:r w:rsidRPr="00E00AA9">
        <w:rPr>
          <w:b/>
          <w:szCs w:val="20"/>
        </w:rPr>
        <w:t xml:space="preserve"> Lymphoma</w:t>
      </w:r>
    </w:p>
    <w:p w14:paraId="5F8CB069" w14:textId="5DB71D17" w:rsidR="00AD1F03" w:rsidRPr="00AD1F03" w:rsidRDefault="00AD1F03" w:rsidP="00E00AA9">
      <w:pPr>
        <w:spacing w:before="0" w:after="0"/>
        <w:ind w:left="425"/>
        <w:rPr>
          <w:szCs w:val="20"/>
        </w:rPr>
      </w:pPr>
      <w:r w:rsidRPr="00AD1F03">
        <w:rPr>
          <w:szCs w:val="20"/>
        </w:rPr>
        <w:t xml:space="preserve">Specific gene rearrangements, mutations and/or copy number changes are seen in a range of neoplasms and detection of these changes in Diffuse Large B Cell Lymphoma (LBCL) has become best practice to determine definitive diagnosis/classification, prognosis and for the appropriate selection of treatment. </w:t>
      </w:r>
    </w:p>
    <w:p w14:paraId="33588CF4" w14:textId="38894435" w:rsidR="00AD1F03" w:rsidRDefault="00AD1F03" w:rsidP="00E00AA9">
      <w:pPr>
        <w:spacing w:before="0" w:after="0"/>
        <w:ind w:left="425"/>
        <w:rPr>
          <w:szCs w:val="20"/>
        </w:rPr>
      </w:pPr>
      <w:r w:rsidRPr="00AD1F03">
        <w:rPr>
          <w:szCs w:val="20"/>
        </w:rPr>
        <w:t>Effective and affordable health care depends on the availability of accurate, reliable and clinically valid tests. The absence of suitable tests can lead to misdiagnosis with patients potentially receiving insufficient or unnecessary treatment, experiencing delays in treatment or no treatment when treatment is needed.</w:t>
      </w:r>
    </w:p>
    <w:p w14:paraId="050A7103" w14:textId="77777777" w:rsidR="00E00AA9" w:rsidRPr="00AD1F03" w:rsidRDefault="00E00AA9" w:rsidP="00E00AA9">
      <w:pPr>
        <w:spacing w:before="0" w:after="0"/>
        <w:ind w:left="425"/>
        <w:rPr>
          <w:szCs w:val="20"/>
        </w:rPr>
      </w:pPr>
    </w:p>
    <w:p w14:paraId="67243A30" w14:textId="10E3918C" w:rsidR="00AD1F03" w:rsidRDefault="00AD1F03" w:rsidP="00E00AA9">
      <w:pPr>
        <w:spacing w:before="0" w:after="0"/>
        <w:ind w:left="425"/>
        <w:rPr>
          <w:szCs w:val="20"/>
        </w:rPr>
      </w:pPr>
      <w:r w:rsidRPr="00AD1F03">
        <w:rPr>
          <w:szCs w:val="20"/>
        </w:rPr>
        <w:t>Identification of pathognomonic gene changes is of particular utility when diagnosing tumours on limited biopsy material and can impart greater diagnostic certainty without the need for more invasive biopsy and attendant increased costs and risks to the patient. The use of such assays can also decrease the risk of misdiagnosis.</w:t>
      </w:r>
    </w:p>
    <w:p w14:paraId="05536D8C" w14:textId="77777777" w:rsidR="00E00AA9" w:rsidRPr="00AD1F03" w:rsidRDefault="00E00AA9" w:rsidP="00E00AA9">
      <w:pPr>
        <w:spacing w:before="0" w:after="0"/>
        <w:ind w:left="425"/>
        <w:rPr>
          <w:szCs w:val="20"/>
        </w:rPr>
      </w:pPr>
    </w:p>
    <w:p w14:paraId="73D94390" w14:textId="4C70DDB1" w:rsidR="00AD1F03" w:rsidRDefault="00AD1F03" w:rsidP="00E00AA9">
      <w:pPr>
        <w:spacing w:before="0" w:after="0"/>
        <w:ind w:left="425"/>
        <w:rPr>
          <w:szCs w:val="20"/>
        </w:rPr>
      </w:pPr>
      <w:r w:rsidRPr="00AD1F03">
        <w:rPr>
          <w:szCs w:val="20"/>
        </w:rPr>
        <w:t>In lymphoma diagnosis, identification of specific molecular aberrations provides important prognostic information i.e. the detection of a genetic ‘double hit’ with MYC gene rearrangements and another molecular change such as BCL2 or BCL6 gene rearrangement will influence the use of more aggressive chemotherapy due to the poor prognosis of these combined molecular aberrations. There were 4978 patients diagnosed with NHL and 1,522 deaths from NHL in 2013.  Diffuse large B-cell lymphoma (DLBCL) accounts for 30-40% of all NHL cases. Double hit lymphoma is an uncommon subtype accounting for approx. 5% of DLBCL cases (Leukaemia Foundation).</w:t>
      </w:r>
    </w:p>
    <w:p w14:paraId="20F5A2B3" w14:textId="77777777" w:rsidR="00E00AA9" w:rsidRPr="00AD1F03" w:rsidRDefault="00E00AA9" w:rsidP="00E00AA9">
      <w:pPr>
        <w:spacing w:before="0" w:after="0"/>
        <w:ind w:left="425"/>
        <w:rPr>
          <w:szCs w:val="20"/>
        </w:rPr>
      </w:pPr>
    </w:p>
    <w:p w14:paraId="7101DC60" w14:textId="2025DB99" w:rsidR="00AD1F03" w:rsidRDefault="00AD1F03" w:rsidP="00E00AA9">
      <w:pPr>
        <w:spacing w:before="0" w:after="0"/>
        <w:ind w:left="425"/>
        <w:rPr>
          <w:szCs w:val="20"/>
        </w:rPr>
      </w:pPr>
      <w:r w:rsidRPr="00AD1F03">
        <w:rPr>
          <w:szCs w:val="20"/>
        </w:rPr>
        <w:t>Currently patients are required to self-fund this testing, introducing inequity of access on financial grounds.</w:t>
      </w:r>
    </w:p>
    <w:p w14:paraId="67662DA8" w14:textId="77777777" w:rsidR="00E00AA9" w:rsidRPr="00AD1F03" w:rsidRDefault="00E00AA9" w:rsidP="00E00AA9">
      <w:pPr>
        <w:spacing w:before="0" w:after="0"/>
        <w:ind w:left="425"/>
        <w:rPr>
          <w:szCs w:val="20"/>
        </w:rPr>
      </w:pPr>
    </w:p>
    <w:p w14:paraId="2B3C5CC6" w14:textId="2741BFCF" w:rsidR="00E00AA9" w:rsidRPr="00E00AA9" w:rsidRDefault="00E00AA9" w:rsidP="00E00AA9">
      <w:pPr>
        <w:spacing w:before="0" w:after="0"/>
        <w:ind w:left="425"/>
        <w:rPr>
          <w:b/>
          <w:szCs w:val="20"/>
        </w:rPr>
      </w:pPr>
      <w:r w:rsidRPr="00E00AA9">
        <w:rPr>
          <w:b/>
          <w:szCs w:val="20"/>
        </w:rPr>
        <w:t>Multiple Myeloma</w:t>
      </w:r>
    </w:p>
    <w:p w14:paraId="215EC718" w14:textId="7F9A9E1A" w:rsidR="00E00AA9" w:rsidRDefault="00E00AA9" w:rsidP="00E00AA9">
      <w:pPr>
        <w:spacing w:before="0" w:after="0"/>
        <w:ind w:left="425"/>
        <w:rPr>
          <w:szCs w:val="20"/>
        </w:rPr>
      </w:pPr>
      <w:r w:rsidRPr="00E00AA9">
        <w:rPr>
          <w:szCs w:val="20"/>
        </w:rPr>
        <w:t>Specific gene rearrangements, mutations and/or copy number changes are seen in a range of neoplasms and detection of these changes has become best practice to determine diagnosis, prognosis and for the appropriate selection of treatment of plasma cell myeloma.</w:t>
      </w:r>
    </w:p>
    <w:p w14:paraId="69B03697" w14:textId="77777777" w:rsidR="00E00AA9" w:rsidRPr="00E00AA9" w:rsidRDefault="00E00AA9" w:rsidP="00E00AA9">
      <w:pPr>
        <w:spacing w:before="0" w:after="0"/>
        <w:ind w:left="425"/>
        <w:rPr>
          <w:szCs w:val="20"/>
        </w:rPr>
      </w:pPr>
    </w:p>
    <w:p w14:paraId="4C08A31C" w14:textId="0F1E48FA" w:rsidR="00E00AA9" w:rsidRDefault="00E00AA9" w:rsidP="00E00AA9">
      <w:pPr>
        <w:spacing w:before="0" w:after="0"/>
        <w:ind w:left="425"/>
        <w:rPr>
          <w:szCs w:val="20"/>
        </w:rPr>
      </w:pPr>
      <w:r w:rsidRPr="00E00AA9">
        <w:rPr>
          <w:szCs w:val="20"/>
        </w:rPr>
        <w:t>Effective and affordable health care depends on the availability of accurate, reliable and clinically valid tests. The absence of suitable tests can lead to misdiagnosis with patients potentially receiving unnecessary treatment, experiencing delays in treatment or no treatment when treatment is needed.</w:t>
      </w:r>
    </w:p>
    <w:p w14:paraId="17E24796" w14:textId="77777777" w:rsidR="00E00AA9" w:rsidRPr="00E00AA9" w:rsidRDefault="00E00AA9" w:rsidP="00E00AA9">
      <w:pPr>
        <w:spacing w:before="0" w:after="0"/>
        <w:ind w:left="425"/>
        <w:rPr>
          <w:szCs w:val="20"/>
        </w:rPr>
      </w:pPr>
    </w:p>
    <w:p w14:paraId="02663647" w14:textId="49B905DF" w:rsidR="00E00AA9" w:rsidRDefault="00E00AA9" w:rsidP="00E00AA9">
      <w:pPr>
        <w:spacing w:before="0" w:after="0"/>
        <w:ind w:left="425"/>
        <w:rPr>
          <w:szCs w:val="20"/>
        </w:rPr>
      </w:pPr>
      <w:r w:rsidRPr="00E00AA9">
        <w:rPr>
          <w:szCs w:val="20"/>
        </w:rPr>
        <w:t>Identification of pathognomonic gene changes is of particular use when diagnosing tumours on limited biopsy material and can impart greater diagnostic certainty without the need for more invasive biopsy and attendant increased costs and risks to the patient. The use of such assays can also decrease the risk of misdiagnosis.</w:t>
      </w:r>
    </w:p>
    <w:p w14:paraId="5A2327AF" w14:textId="77777777" w:rsidR="00E00AA9" w:rsidRPr="00E00AA9" w:rsidRDefault="00E00AA9" w:rsidP="00E00AA9">
      <w:pPr>
        <w:spacing w:before="0" w:after="0"/>
        <w:ind w:left="425"/>
        <w:rPr>
          <w:szCs w:val="20"/>
        </w:rPr>
      </w:pPr>
    </w:p>
    <w:p w14:paraId="263CF1C0" w14:textId="3D5711F9" w:rsidR="00E00AA9" w:rsidRDefault="00E00AA9" w:rsidP="00E00AA9">
      <w:pPr>
        <w:spacing w:before="0" w:after="0"/>
        <w:ind w:left="425"/>
        <w:rPr>
          <w:szCs w:val="20"/>
        </w:rPr>
      </w:pPr>
      <w:r w:rsidRPr="00E00AA9">
        <w:rPr>
          <w:szCs w:val="20"/>
        </w:rPr>
        <w:t xml:space="preserve">These molecular aberrations are particularly characteristic of “rare” and less common cancers which have disproportionately higher mortality rates compared to common cancers. Rare and less common cancers are the leading cause of death in children under 15 years of age, constitute the fourth most common cause of death in the 20-39 age group and as a group are the leading cause of death in 40-59 year olds accounting for 52% of all cancer deaths, more than double the impact of coronary heart disease alone.  In the 60-69 age </w:t>
      </w:r>
      <w:proofErr w:type="gramStart"/>
      <w:r w:rsidRPr="00E00AA9">
        <w:rPr>
          <w:szCs w:val="20"/>
        </w:rPr>
        <w:t>group</w:t>
      </w:r>
      <w:proofErr w:type="gramEnd"/>
      <w:r w:rsidRPr="00E00AA9">
        <w:rPr>
          <w:szCs w:val="20"/>
        </w:rPr>
        <w:t>, rare and less common cancers as a group are the leading cause of cancer death. As the Australian population continues to age, these numbers are set to increase.</w:t>
      </w:r>
    </w:p>
    <w:p w14:paraId="50594C22" w14:textId="77777777" w:rsidR="00E00AA9" w:rsidRPr="00E00AA9" w:rsidRDefault="00E00AA9" w:rsidP="00E00AA9">
      <w:pPr>
        <w:spacing w:before="0" w:after="0"/>
        <w:ind w:left="425"/>
        <w:rPr>
          <w:szCs w:val="20"/>
        </w:rPr>
      </w:pPr>
    </w:p>
    <w:p w14:paraId="0B130FD3" w14:textId="6EAEB6EF" w:rsidR="00E00AA9" w:rsidRDefault="00E00AA9" w:rsidP="00E00AA9">
      <w:pPr>
        <w:spacing w:before="0" w:after="0"/>
        <w:ind w:left="425"/>
        <w:rPr>
          <w:szCs w:val="20"/>
        </w:rPr>
      </w:pPr>
      <w:r w:rsidRPr="00E00AA9">
        <w:rPr>
          <w:szCs w:val="20"/>
        </w:rPr>
        <w:lastRenderedPageBreak/>
        <w:t xml:space="preserve">Research using molecular and genomic techniques has and continues to identify somatic changes in genes that are associated with specific types of tumours resulting in more accurate classification and diagnosis. With increasing numbers of tumour diagnoses made on small tissue and fine needle aspirate biopsies, the detection of a pathognomonic genetic aberration can provide critical information to make the correct diagnosis, without the need for repeat biopsy, more invasive surgical biopsy (and resultant increased risk of complication or morbidity) and ultimately ensure optimal management and the best outcome for patients. </w:t>
      </w:r>
    </w:p>
    <w:p w14:paraId="3FACF253" w14:textId="77777777" w:rsidR="00E00AA9" w:rsidRPr="00E00AA9" w:rsidRDefault="00E00AA9" w:rsidP="00E00AA9">
      <w:pPr>
        <w:spacing w:before="0" w:after="0"/>
        <w:ind w:left="425"/>
        <w:rPr>
          <w:szCs w:val="20"/>
        </w:rPr>
      </w:pPr>
    </w:p>
    <w:p w14:paraId="7552B730" w14:textId="2D26AF5A" w:rsidR="00E00AA9" w:rsidRDefault="00E00AA9" w:rsidP="00E00AA9">
      <w:pPr>
        <w:spacing w:before="0" w:after="0"/>
        <w:ind w:left="425"/>
        <w:rPr>
          <w:szCs w:val="20"/>
        </w:rPr>
      </w:pPr>
      <w:r w:rsidRPr="00E00AA9">
        <w:rPr>
          <w:szCs w:val="20"/>
        </w:rPr>
        <w:t xml:space="preserve">In plasma cell myeloma the genetic translocation </w:t>
      </w:r>
      <w:proofErr w:type="gramStart"/>
      <w:r w:rsidRPr="00E00AA9">
        <w:rPr>
          <w:szCs w:val="20"/>
        </w:rPr>
        <w:t>t(</w:t>
      </w:r>
      <w:proofErr w:type="gramEnd"/>
      <w:r w:rsidRPr="00E00AA9">
        <w:rPr>
          <w:szCs w:val="20"/>
        </w:rPr>
        <w:t xml:space="preserve">4;14)(p16;q32) is recognised as a marker of more aggressive disease. However, it has been demonstrated that the prognosis for these patients may be improved with therapies containing </w:t>
      </w:r>
      <w:proofErr w:type="spellStart"/>
      <w:r w:rsidRPr="00E00AA9">
        <w:rPr>
          <w:szCs w:val="20"/>
        </w:rPr>
        <w:t>bortezomib</w:t>
      </w:r>
      <w:proofErr w:type="spellEnd"/>
      <w:r w:rsidRPr="00E00AA9">
        <w:rPr>
          <w:szCs w:val="20"/>
        </w:rPr>
        <w:t>-based combinations (Fonseca, 2009).</w:t>
      </w:r>
    </w:p>
    <w:p w14:paraId="4021D202" w14:textId="77777777" w:rsidR="00E00AA9" w:rsidRPr="00E00AA9" w:rsidRDefault="00E00AA9" w:rsidP="00E00AA9">
      <w:pPr>
        <w:spacing w:before="0" w:after="0"/>
        <w:ind w:left="425"/>
        <w:rPr>
          <w:szCs w:val="20"/>
        </w:rPr>
      </w:pPr>
    </w:p>
    <w:p w14:paraId="27AE562C" w14:textId="297480AC" w:rsidR="00E00AA9" w:rsidRDefault="00E00AA9" w:rsidP="00E00AA9">
      <w:pPr>
        <w:spacing w:before="0" w:after="0"/>
        <w:ind w:left="425"/>
      </w:pPr>
      <w:r w:rsidRPr="00E00AA9">
        <w:rPr>
          <w:szCs w:val="20"/>
        </w:rPr>
        <w:t xml:space="preserve">Fonseca R, </w:t>
      </w:r>
      <w:proofErr w:type="spellStart"/>
      <w:r w:rsidRPr="00E00AA9">
        <w:rPr>
          <w:szCs w:val="20"/>
        </w:rPr>
        <w:t>Bergsagel</w:t>
      </w:r>
      <w:proofErr w:type="spellEnd"/>
      <w:r w:rsidRPr="00E00AA9">
        <w:rPr>
          <w:szCs w:val="20"/>
        </w:rPr>
        <w:t xml:space="preserve"> PL, </w:t>
      </w:r>
      <w:proofErr w:type="spellStart"/>
      <w:proofErr w:type="gramStart"/>
      <w:r w:rsidRPr="00E00AA9">
        <w:rPr>
          <w:szCs w:val="20"/>
        </w:rPr>
        <w:t>Drach</w:t>
      </w:r>
      <w:proofErr w:type="spellEnd"/>
      <w:proofErr w:type="gramEnd"/>
      <w:r w:rsidRPr="00E00AA9">
        <w:rPr>
          <w:szCs w:val="20"/>
        </w:rPr>
        <w:t xml:space="preserve"> J, et al. International Myeloma Working Group molecular classification of multiple myeloma: spotlight review. Leukemia</w:t>
      </w:r>
      <w:proofErr w:type="gramStart"/>
      <w:r w:rsidRPr="00E00AA9">
        <w:rPr>
          <w:szCs w:val="20"/>
        </w:rPr>
        <w:t>:2009</w:t>
      </w:r>
      <w:proofErr w:type="gramEnd"/>
      <w:r w:rsidRPr="00E00AA9">
        <w:rPr>
          <w:szCs w:val="20"/>
        </w:rPr>
        <w:t xml:space="preserve">;23(12):2210-21. </w:t>
      </w:r>
      <w:hyperlink r:id="rId32" w:history="1">
        <w:r w:rsidR="00254AB0">
          <w:rPr>
            <w:rStyle w:val="Hyperlink"/>
          </w:rPr>
          <w:t>International Myeloma Working Group molecular classification of multiple myeloma: spotlight review.</w:t>
        </w:r>
      </w:hyperlink>
    </w:p>
    <w:p w14:paraId="501D55FC" w14:textId="77777777" w:rsidR="00254AB0" w:rsidRDefault="00254AB0" w:rsidP="00E00AA9">
      <w:pPr>
        <w:spacing w:before="0" w:after="0"/>
        <w:ind w:left="425"/>
        <w:rPr>
          <w:szCs w:val="20"/>
        </w:rPr>
      </w:pPr>
    </w:p>
    <w:p w14:paraId="53319994" w14:textId="25B795C9" w:rsidR="00E00AA9" w:rsidRDefault="00E00AA9" w:rsidP="00E00AA9">
      <w:pPr>
        <w:spacing w:before="0" w:after="0"/>
        <w:ind w:left="425"/>
        <w:rPr>
          <w:szCs w:val="20"/>
        </w:rPr>
      </w:pPr>
    </w:p>
    <w:p w14:paraId="1A5A8131" w14:textId="45BFE255" w:rsidR="002A6753" w:rsidRPr="00E00AA9" w:rsidRDefault="00E00AA9" w:rsidP="00E00AA9">
      <w:pPr>
        <w:spacing w:before="0" w:after="0"/>
        <w:ind w:left="425"/>
        <w:rPr>
          <w:b/>
          <w:szCs w:val="20"/>
        </w:rPr>
      </w:pPr>
      <w:r w:rsidRPr="00E00AA9">
        <w:rPr>
          <w:b/>
          <w:szCs w:val="20"/>
        </w:rPr>
        <w:t>Non-Hodgkin Lymphoma</w:t>
      </w:r>
    </w:p>
    <w:p w14:paraId="13E16EBC" w14:textId="77777777" w:rsidR="00E00AA9" w:rsidRPr="00E00AA9" w:rsidRDefault="00E00AA9" w:rsidP="00E00AA9">
      <w:pPr>
        <w:spacing w:before="0" w:after="0"/>
        <w:ind w:left="425"/>
        <w:rPr>
          <w:szCs w:val="20"/>
        </w:rPr>
      </w:pPr>
      <w:r w:rsidRPr="00E00AA9">
        <w:rPr>
          <w:szCs w:val="20"/>
        </w:rPr>
        <w:t>Specific gene rearrangements, mutations and/or copy number changes are seen in a range of neoplasms and detection of these changes has become best practice to test NHL:</w:t>
      </w:r>
    </w:p>
    <w:p w14:paraId="4A61D2C6" w14:textId="5158BF15" w:rsidR="00E00AA9" w:rsidRPr="00E00AA9" w:rsidRDefault="00E00AA9" w:rsidP="00E00AA9">
      <w:pPr>
        <w:spacing w:before="0" w:after="0"/>
        <w:ind w:left="425"/>
        <w:rPr>
          <w:szCs w:val="20"/>
        </w:rPr>
      </w:pPr>
      <w:r w:rsidRPr="00E00AA9">
        <w:rPr>
          <w:szCs w:val="20"/>
        </w:rPr>
        <w:t>•</w:t>
      </w:r>
      <w:r w:rsidRPr="00E00AA9">
        <w:rPr>
          <w:szCs w:val="20"/>
        </w:rPr>
        <w:tab/>
        <w:t xml:space="preserve">MYC gene rearrangement for </w:t>
      </w:r>
      <w:proofErr w:type="spellStart"/>
      <w:r w:rsidRPr="00E00AA9">
        <w:rPr>
          <w:szCs w:val="20"/>
        </w:rPr>
        <w:t>for</w:t>
      </w:r>
      <w:proofErr w:type="spellEnd"/>
      <w:r w:rsidRPr="00E00AA9">
        <w:rPr>
          <w:szCs w:val="20"/>
        </w:rPr>
        <w:t xml:space="preserve"> diagnosis and appropriate selection of treatment of </w:t>
      </w:r>
      <w:proofErr w:type="spellStart"/>
      <w:r w:rsidRPr="00E00AA9">
        <w:rPr>
          <w:szCs w:val="20"/>
        </w:rPr>
        <w:t>Burkitt</w:t>
      </w:r>
      <w:proofErr w:type="spellEnd"/>
      <w:r w:rsidRPr="00E00AA9">
        <w:rPr>
          <w:szCs w:val="20"/>
        </w:rPr>
        <w:t xml:space="preserve"> </w:t>
      </w:r>
      <w:r>
        <w:rPr>
          <w:szCs w:val="20"/>
        </w:rPr>
        <w:tab/>
      </w:r>
      <w:r w:rsidRPr="00E00AA9">
        <w:rPr>
          <w:szCs w:val="20"/>
        </w:rPr>
        <w:t>lymphoma</w:t>
      </w:r>
    </w:p>
    <w:p w14:paraId="25DFE3C7" w14:textId="77777777" w:rsidR="00E00AA9" w:rsidRPr="00E00AA9" w:rsidRDefault="00E00AA9" w:rsidP="00E00AA9">
      <w:pPr>
        <w:spacing w:before="0" w:after="0"/>
        <w:ind w:left="425"/>
        <w:rPr>
          <w:szCs w:val="20"/>
        </w:rPr>
      </w:pPr>
      <w:r w:rsidRPr="00E00AA9">
        <w:rPr>
          <w:szCs w:val="20"/>
        </w:rPr>
        <w:t>•</w:t>
      </w:r>
      <w:r w:rsidRPr="00E00AA9">
        <w:rPr>
          <w:szCs w:val="20"/>
        </w:rPr>
        <w:tab/>
        <w:t>CCD1 and CCD2 characterisation for diagnosis and appropriate selection of treatment of MCL.</w:t>
      </w:r>
    </w:p>
    <w:p w14:paraId="193207B6" w14:textId="77777777" w:rsidR="00E00AA9" w:rsidRPr="00E00AA9" w:rsidRDefault="00E00AA9" w:rsidP="00E00AA9">
      <w:pPr>
        <w:spacing w:before="0" w:after="0"/>
        <w:ind w:left="425"/>
        <w:rPr>
          <w:szCs w:val="20"/>
        </w:rPr>
      </w:pPr>
      <w:r w:rsidRPr="00E00AA9">
        <w:rPr>
          <w:szCs w:val="20"/>
        </w:rPr>
        <w:t>•</w:t>
      </w:r>
      <w:r w:rsidRPr="00E00AA9">
        <w:rPr>
          <w:szCs w:val="20"/>
        </w:rPr>
        <w:tab/>
      </w:r>
      <w:proofErr w:type="spellStart"/>
      <w:proofErr w:type="gramStart"/>
      <w:r w:rsidRPr="00E00AA9">
        <w:rPr>
          <w:szCs w:val="20"/>
        </w:rPr>
        <w:t>i</w:t>
      </w:r>
      <w:proofErr w:type="spellEnd"/>
      <w:r w:rsidRPr="00E00AA9">
        <w:rPr>
          <w:szCs w:val="20"/>
        </w:rPr>
        <w:t>(</w:t>
      </w:r>
      <w:proofErr w:type="gramEnd"/>
      <w:r w:rsidRPr="00E00AA9">
        <w:rPr>
          <w:szCs w:val="20"/>
        </w:rPr>
        <w:t>7q) chromosomal aberration for diagnosis and appropriate selection of treatment of HSTCL.</w:t>
      </w:r>
    </w:p>
    <w:p w14:paraId="2F5E905C" w14:textId="72A665CF" w:rsidR="00E00AA9" w:rsidRPr="00E00AA9" w:rsidRDefault="00E00AA9" w:rsidP="00E00AA9">
      <w:pPr>
        <w:spacing w:before="0" w:after="0"/>
        <w:ind w:left="425"/>
        <w:rPr>
          <w:szCs w:val="20"/>
        </w:rPr>
      </w:pPr>
      <w:r w:rsidRPr="00E00AA9">
        <w:rPr>
          <w:szCs w:val="20"/>
        </w:rPr>
        <w:t>•</w:t>
      </w:r>
      <w:r w:rsidRPr="00E00AA9">
        <w:rPr>
          <w:szCs w:val="20"/>
        </w:rPr>
        <w:tab/>
        <w:t xml:space="preserve">DUSP22 and TP63 characterisation for diagnosis and appropriate selection of treatment of systemic </w:t>
      </w:r>
      <w:r>
        <w:rPr>
          <w:szCs w:val="20"/>
        </w:rPr>
        <w:tab/>
      </w:r>
      <w:r w:rsidRPr="00E00AA9">
        <w:rPr>
          <w:szCs w:val="20"/>
        </w:rPr>
        <w:t>ALK-negative ALCL.</w:t>
      </w:r>
    </w:p>
    <w:p w14:paraId="59D4D896" w14:textId="57A0A92D" w:rsidR="00E00AA9" w:rsidRDefault="00E00AA9" w:rsidP="00E00AA9">
      <w:pPr>
        <w:spacing w:before="0" w:after="0"/>
        <w:ind w:left="425"/>
        <w:rPr>
          <w:szCs w:val="20"/>
        </w:rPr>
      </w:pPr>
      <w:r w:rsidRPr="00E00AA9">
        <w:rPr>
          <w:szCs w:val="20"/>
        </w:rPr>
        <w:t>•</w:t>
      </w:r>
      <w:r w:rsidRPr="00E00AA9">
        <w:rPr>
          <w:szCs w:val="20"/>
        </w:rPr>
        <w:tab/>
        <w:t>TCL1A or MTCP1 gene rearrangements for diagnosis and appropriate selection of treatment of TCPL.</w:t>
      </w:r>
    </w:p>
    <w:p w14:paraId="4986F698" w14:textId="25B3F06F" w:rsidR="00E00AA9" w:rsidRDefault="00E00AA9" w:rsidP="00E00AA9">
      <w:pPr>
        <w:spacing w:before="0" w:after="0"/>
        <w:ind w:left="425"/>
        <w:rPr>
          <w:szCs w:val="20"/>
        </w:rPr>
      </w:pPr>
    </w:p>
    <w:p w14:paraId="5585D10D" w14:textId="77777777" w:rsidR="00E00AA9" w:rsidRPr="00E00AA9" w:rsidRDefault="00E00AA9" w:rsidP="00E00AA9">
      <w:pPr>
        <w:spacing w:before="0" w:after="0"/>
        <w:ind w:left="425"/>
        <w:rPr>
          <w:szCs w:val="20"/>
        </w:rPr>
      </w:pPr>
      <w:r w:rsidRPr="00E00AA9">
        <w:rPr>
          <w:szCs w:val="20"/>
        </w:rPr>
        <w:t>Effective and affordable health care depends on the availability of accurate, reliable and clinically valid tests. The absence of suitable tests can lead to misdiagnosis with patients potentially receiving unnecessary treatment, experiencing delays in treatment or no treatment when treatment is needed.</w:t>
      </w:r>
    </w:p>
    <w:p w14:paraId="09B1C268" w14:textId="286D189D" w:rsidR="00E00AA9" w:rsidRDefault="00E00AA9" w:rsidP="00E00AA9">
      <w:pPr>
        <w:spacing w:before="0" w:after="0"/>
        <w:ind w:left="425"/>
        <w:rPr>
          <w:szCs w:val="20"/>
        </w:rPr>
      </w:pPr>
      <w:r w:rsidRPr="00E00AA9">
        <w:rPr>
          <w:szCs w:val="20"/>
        </w:rPr>
        <w:t>Identification of pathognomonic gene changes is of particular use when diagnosing tumours on limited biopsy material and can impart greater diagnostic certainty without the need for more invasive biopsy and attendant increased costs and risks to the patient. The use of such assays can also decrease the risk of misdiagnosis.</w:t>
      </w:r>
    </w:p>
    <w:p w14:paraId="7C55F654" w14:textId="77777777" w:rsidR="00E00AA9" w:rsidRPr="00E00AA9" w:rsidRDefault="00E00AA9" w:rsidP="00E00AA9">
      <w:pPr>
        <w:spacing w:before="0" w:after="0"/>
        <w:ind w:left="425"/>
        <w:rPr>
          <w:szCs w:val="20"/>
        </w:rPr>
      </w:pPr>
    </w:p>
    <w:p w14:paraId="0E9E941A" w14:textId="5BE00274" w:rsidR="00AD1F03" w:rsidRDefault="00E00AA9" w:rsidP="00E00AA9">
      <w:pPr>
        <w:spacing w:before="0" w:after="0"/>
        <w:ind w:left="425"/>
        <w:rPr>
          <w:szCs w:val="20"/>
        </w:rPr>
      </w:pPr>
      <w:r w:rsidRPr="00E00AA9">
        <w:rPr>
          <w:szCs w:val="20"/>
        </w:rPr>
        <w:t xml:space="preserve">These molecular aberrations are particularly characteristic of “rare” and less common cancers, which have disproportionately higher mortality rates compared to common cancers. Rare and less common cancers are the leading cause of death in children under 15 years of age, constitute the fourth most common cause of death in the 20-39 age group and as a group are the leading cause of death in 40-59 year olds accounting for 52% of all cancer deaths, more than double the impact of coronary heart disease alone.  In the 60-69 age </w:t>
      </w:r>
      <w:proofErr w:type="gramStart"/>
      <w:r w:rsidRPr="00E00AA9">
        <w:rPr>
          <w:szCs w:val="20"/>
        </w:rPr>
        <w:t>group</w:t>
      </w:r>
      <w:proofErr w:type="gramEnd"/>
      <w:r w:rsidRPr="00E00AA9">
        <w:rPr>
          <w:szCs w:val="20"/>
        </w:rPr>
        <w:t>, rare and less common cancers as a group are the leading cause</w:t>
      </w:r>
      <w:r>
        <w:rPr>
          <w:szCs w:val="20"/>
        </w:rPr>
        <w:t xml:space="preserve"> </w:t>
      </w:r>
      <w:r w:rsidRPr="00E00AA9">
        <w:rPr>
          <w:szCs w:val="20"/>
        </w:rPr>
        <w:t>of cancer death. As the Australian population continues to age, these numbers are set to increase.</w:t>
      </w:r>
    </w:p>
    <w:p w14:paraId="1D1AF3AB"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2E02A9CF" w14:textId="0701E719" w:rsidR="00AA5FDA" w:rsidRPr="00E00AA9" w:rsidRDefault="00E00AA9" w:rsidP="00E00AA9">
      <w:pPr>
        <w:spacing w:before="0" w:after="0"/>
        <w:ind w:left="425"/>
        <w:rPr>
          <w:b/>
          <w:szCs w:val="20"/>
        </w:rPr>
      </w:pPr>
      <w:r w:rsidRPr="00E00AA9">
        <w:rPr>
          <w:b/>
          <w:szCs w:val="20"/>
        </w:rPr>
        <w:t xml:space="preserve">Diffuse Large B </w:t>
      </w:r>
      <w:proofErr w:type="gramStart"/>
      <w:r w:rsidRPr="00E00AA9">
        <w:rPr>
          <w:b/>
          <w:szCs w:val="20"/>
        </w:rPr>
        <w:t>Cell</w:t>
      </w:r>
      <w:proofErr w:type="gramEnd"/>
      <w:r w:rsidRPr="00E00AA9">
        <w:rPr>
          <w:b/>
          <w:szCs w:val="20"/>
        </w:rPr>
        <w:t xml:space="preserve"> Lymphoma</w:t>
      </w:r>
    </w:p>
    <w:p w14:paraId="2A5A135A" w14:textId="1A877227" w:rsidR="00E00AA9" w:rsidRDefault="00E00AA9" w:rsidP="00E00AA9">
      <w:pPr>
        <w:spacing w:before="0" w:after="0"/>
        <w:ind w:left="425"/>
        <w:rPr>
          <w:szCs w:val="20"/>
        </w:rPr>
      </w:pPr>
      <w:r w:rsidRPr="00E00AA9">
        <w:rPr>
          <w:szCs w:val="20"/>
        </w:rPr>
        <w:t>Patients diagnosed with DLBCL at the time of histopathological or morphological review of tumour material would be eligible for this service.</w:t>
      </w:r>
    </w:p>
    <w:p w14:paraId="5932F917" w14:textId="77777777" w:rsidR="00E00AA9" w:rsidRDefault="00E00AA9" w:rsidP="00E00AA9">
      <w:pPr>
        <w:spacing w:before="0" w:after="0"/>
        <w:ind w:left="425"/>
        <w:rPr>
          <w:szCs w:val="20"/>
        </w:rPr>
      </w:pPr>
    </w:p>
    <w:p w14:paraId="211BF60B" w14:textId="596E1A8D" w:rsidR="00E00AA9" w:rsidRPr="00E00AA9" w:rsidRDefault="00E00AA9" w:rsidP="00E00AA9">
      <w:pPr>
        <w:spacing w:before="0" w:after="0"/>
        <w:ind w:left="425"/>
        <w:rPr>
          <w:b/>
          <w:szCs w:val="20"/>
        </w:rPr>
      </w:pPr>
      <w:r w:rsidRPr="00E00AA9">
        <w:rPr>
          <w:b/>
          <w:szCs w:val="20"/>
        </w:rPr>
        <w:t>Multiple Myeloma</w:t>
      </w:r>
    </w:p>
    <w:p w14:paraId="6FFD6A83" w14:textId="7C95DA47" w:rsidR="00E00AA9" w:rsidRDefault="00E00AA9" w:rsidP="00E00AA9">
      <w:pPr>
        <w:spacing w:before="0" w:after="0"/>
        <w:ind w:left="425"/>
        <w:rPr>
          <w:szCs w:val="20"/>
        </w:rPr>
      </w:pPr>
      <w:r w:rsidRPr="00E00AA9">
        <w:rPr>
          <w:szCs w:val="20"/>
        </w:rPr>
        <w:t>Patients diagnosed with plasma cell myeloma at the time of histopathological or morphological review of tumour material would be eligible for this service.</w:t>
      </w:r>
    </w:p>
    <w:p w14:paraId="1BE3CC42" w14:textId="21C992D9" w:rsidR="00E00AA9" w:rsidRDefault="00E00AA9" w:rsidP="00E00AA9">
      <w:pPr>
        <w:spacing w:before="0" w:after="0"/>
        <w:ind w:left="425"/>
        <w:rPr>
          <w:szCs w:val="20"/>
        </w:rPr>
      </w:pPr>
    </w:p>
    <w:p w14:paraId="6BDE8B3C" w14:textId="794B4A88" w:rsidR="00E00AA9" w:rsidRPr="00E00AA9" w:rsidRDefault="00E00AA9" w:rsidP="00E00AA9">
      <w:pPr>
        <w:spacing w:before="0" w:after="0"/>
        <w:ind w:left="425"/>
        <w:rPr>
          <w:b/>
          <w:szCs w:val="20"/>
        </w:rPr>
      </w:pPr>
      <w:r w:rsidRPr="00E00AA9">
        <w:rPr>
          <w:b/>
          <w:szCs w:val="20"/>
        </w:rPr>
        <w:t>Non-Hodgkin Lymphoma</w:t>
      </w:r>
    </w:p>
    <w:p w14:paraId="4D1362AD" w14:textId="25F6105D" w:rsidR="00E00AA9" w:rsidRDefault="00E00AA9" w:rsidP="00E00AA9">
      <w:pPr>
        <w:spacing w:before="0" w:after="0"/>
        <w:ind w:left="425"/>
        <w:rPr>
          <w:szCs w:val="20"/>
        </w:rPr>
      </w:pPr>
      <w:r w:rsidRPr="00E00AA9">
        <w:rPr>
          <w:szCs w:val="20"/>
        </w:rPr>
        <w:lastRenderedPageBreak/>
        <w:t>Patients diagnosed with these diseases at the time of histopathological or morphological review of tumour material would be eligible for this service.</w:t>
      </w:r>
    </w:p>
    <w:p w14:paraId="37393700"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08864C65" w14:textId="3D18520A" w:rsidR="00E00AA9" w:rsidRDefault="00E00AA9" w:rsidP="00E00AA9">
      <w:pPr>
        <w:spacing w:before="0" w:after="0"/>
        <w:ind w:left="425"/>
      </w:pPr>
      <w:r>
        <w:t>The clinical management pathway would be identical to current lymphoma</w:t>
      </w:r>
      <w:r w:rsidR="00124807">
        <w:t xml:space="preserve"> or plasma cell </w:t>
      </w:r>
      <w:proofErr w:type="spellStart"/>
      <w:r w:rsidR="00124807">
        <w:t>myleoma</w:t>
      </w:r>
      <w:proofErr w:type="spellEnd"/>
      <w:r>
        <w:t xml:space="preserve"> investigation and treatment:</w:t>
      </w:r>
    </w:p>
    <w:p w14:paraId="232D6FD9" w14:textId="698B3B41" w:rsidR="00E00AA9" w:rsidRDefault="00E00AA9" w:rsidP="00E00AA9">
      <w:pPr>
        <w:spacing w:before="0" w:after="0"/>
        <w:ind w:left="425"/>
      </w:pPr>
      <w:r>
        <w:tab/>
      </w:r>
      <w:proofErr w:type="gramStart"/>
      <w:r>
        <w:t xml:space="preserve">Patient presentation to general or specialist medical practitioner with symptoms suggestive of </w:t>
      </w:r>
      <w:r>
        <w:tab/>
      </w:r>
      <w:r w:rsidR="00124807">
        <w:t>lymphoma or plasma cell myeloma.</w:t>
      </w:r>
      <w:proofErr w:type="gramEnd"/>
    </w:p>
    <w:p w14:paraId="2128914E" w14:textId="3EE11C7C" w:rsidR="00E00AA9" w:rsidRDefault="00E00AA9" w:rsidP="00E00AA9">
      <w:pPr>
        <w:spacing w:before="0" w:after="0"/>
        <w:ind w:left="425"/>
      </w:pPr>
      <w:r>
        <w:tab/>
        <w:t xml:space="preserve">Patient is referred for investigation including radiology and pathology. </w:t>
      </w:r>
    </w:p>
    <w:p w14:paraId="2C5B1D07" w14:textId="3DF1C27B" w:rsidR="00E00AA9" w:rsidRDefault="00E00AA9" w:rsidP="00E00AA9">
      <w:pPr>
        <w:spacing w:before="0" w:after="0"/>
        <w:ind w:left="425"/>
      </w:pPr>
      <w:r>
        <w:tab/>
      </w:r>
      <w:proofErr w:type="gramStart"/>
      <w:r>
        <w:t>Pathology investigation (FNAB, core or lymph node resection biopsy, tumour resection, etc.)</w:t>
      </w:r>
      <w:proofErr w:type="gramEnd"/>
    </w:p>
    <w:p w14:paraId="540983EF" w14:textId="77777777" w:rsidR="00E00AA9" w:rsidRDefault="00E00AA9" w:rsidP="00E00AA9">
      <w:pPr>
        <w:spacing w:before="0" w:after="0"/>
        <w:ind w:left="425"/>
      </w:pPr>
    </w:p>
    <w:p w14:paraId="28FFDBCF" w14:textId="3E755828" w:rsidR="00BC424B" w:rsidRPr="00BC424B" w:rsidRDefault="00E00AA9" w:rsidP="00E00AA9">
      <w:pPr>
        <w:spacing w:before="0" w:after="0"/>
        <w:ind w:left="425"/>
      </w:pPr>
      <w:r>
        <w:t xml:space="preserve">See Appendix </w:t>
      </w:r>
      <w:proofErr w:type="gramStart"/>
      <w:r>
        <w:t>A</w:t>
      </w:r>
      <w:proofErr w:type="gramEnd"/>
      <w:r>
        <w:t xml:space="preserve"> Flowcharts</w:t>
      </w:r>
    </w:p>
    <w:p w14:paraId="7AA061BF" w14:textId="77777777" w:rsidR="002A50FD" w:rsidRPr="00881F93" w:rsidRDefault="005C3AE7" w:rsidP="005C3AE7">
      <w:pPr>
        <w:pStyle w:val="Subtitle"/>
      </w:pPr>
      <w:r>
        <w:t xml:space="preserve">PART 6b – </w:t>
      </w:r>
      <w:r w:rsidR="002A50FD" w:rsidRPr="00881F93">
        <w:t>INFORMATION ABOUT THE INTERVENTION</w:t>
      </w:r>
    </w:p>
    <w:p w14:paraId="75D2DC83"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35627ECF" w14:textId="431CBD7B" w:rsidR="002A50FD" w:rsidRPr="0040149D" w:rsidRDefault="00E00AA9" w:rsidP="0040149D">
      <w:pPr>
        <w:spacing w:before="0" w:after="0"/>
        <w:ind w:left="425"/>
        <w:rPr>
          <w:b/>
          <w:szCs w:val="20"/>
        </w:rPr>
      </w:pPr>
      <w:r w:rsidRPr="0040149D">
        <w:rPr>
          <w:b/>
          <w:szCs w:val="20"/>
        </w:rPr>
        <w:t xml:space="preserve">Diffuse Large B </w:t>
      </w:r>
      <w:proofErr w:type="gramStart"/>
      <w:r w:rsidRPr="0040149D">
        <w:rPr>
          <w:b/>
          <w:szCs w:val="20"/>
        </w:rPr>
        <w:t>Cell</w:t>
      </w:r>
      <w:proofErr w:type="gramEnd"/>
      <w:r w:rsidRPr="0040149D">
        <w:rPr>
          <w:b/>
          <w:szCs w:val="20"/>
        </w:rPr>
        <w:t xml:space="preserve"> Lymphoma</w:t>
      </w:r>
    </w:p>
    <w:p w14:paraId="409DE0BE" w14:textId="313F0A00" w:rsidR="00E00AA9" w:rsidRDefault="0040149D" w:rsidP="0040149D">
      <w:pPr>
        <w:spacing w:before="0" w:after="0"/>
        <w:ind w:left="425"/>
        <w:rPr>
          <w:szCs w:val="20"/>
        </w:rPr>
      </w:pPr>
      <w:r w:rsidRPr="0040149D">
        <w:rPr>
          <w:szCs w:val="20"/>
        </w:rPr>
        <w:t>A test of tumour tissue (including bone marrow) from a patient diagnosed with DLBCL to detect structural gene rearrangements in MYC, BCL2 and BCL6 genes. Testing methods include in situ hybridization (ISH), polymerase chain reaction (PCR) and next generation sequencing (NGS) methodologies among others.</w:t>
      </w:r>
    </w:p>
    <w:p w14:paraId="5A6F77A4" w14:textId="1CA85BCB" w:rsidR="0040149D" w:rsidRDefault="0040149D" w:rsidP="0040149D">
      <w:pPr>
        <w:spacing w:before="0" w:after="0"/>
        <w:ind w:left="425"/>
        <w:rPr>
          <w:szCs w:val="20"/>
        </w:rPr>
      </w:pPr>
    </w:p>
    <w:p w14:paraId="01D64155" w14:textId="7DD8219B" w:rsidR="0040149D" w:rsidRPr="0040149D" w:rsidRDefault="0040149D" w:rsidP="0040149D">
      <w:pPr>
        <w:spacing w:before="0" w:after="0"/>
        <w:ind w:left="425"/>
        <w:rPr>
          <w:b/>
          <w:szCs w:val="20"/>
        </w:rPr>
      </w:pPr>
      <w:r w:rsidRPr="0040149D">
        <w:rPr>
          <w:b/>
          <w:szCs w:val="20"/>
        </w:rPr>
        <w:t>Multiple Myeloma</w:t>
      </w:r>
    </w:p>
    <w:p w14:paraId="566E7AC3" w14:textId="126AF041" w:rsidR="00E00AA9" w:rsidRDefault="0040149D" w:rsidP="0040149D">
      <w:pPr>
        <w:spacing w:before="0" w:after="0"/>
        <w:ind w:left="425"/>
        <w:rPr>
          <w:szCs w:val="20"/>
        </w:rPr>
      </w:pPr>
      <w:r w:rsidRPr="0040149D">
        <w:rPr>
          <w:szCs w:val="20"/>
        </w:rPr>
        <w:t>A test of tumour tissue from a patient diagnosed with plasma cell myeloma to detect mutations, changes in gene copy number or structural gene rearrangements in tumour tissue or bone marrow or blood. Testing methods include In situ hybridization (ISH), polymerase chain reaction (PCR) and next generation sequencing (NGS) methodologies among others.</w:t>
      </w:r>
    </w:p>
    <w:p w14:paraId="2B8F9939" w14:textId="77777777" w:rsidR="0040149D" w:rsidRDefault="0040149D" w:rsidP="0040149D">
      <w:pPr>
        <w:spacing w:before="0" w:after="0"/>
        <w:ind w:left="425"/>
        <w:rPr>
          <w:szCs w:val="20"/>
        </w:rPr>
      </w:pPr>
    </w:p>
    <w:p w14:paraId="79DF6E72" w14:textId="77777777" w:rsidR="00AE5CA7" w:rsidRDefault="00AE5CA7" w:rsidP="0040149D">
      <w:pPr>
        <w:spacing w:before="0" w:after="0"/>
        <w:ind w:left="425"/>
        <w:rPr>
          <w:b/>
          <w:szCs w:val="20"/>
        </w:rPr>
      </w:pPr>
      <w:r w:rsidRPr="00AE5CA7">
        <w:rPr>
          <w:b/>
          <w:szCs w:val="20"/>
        </w:rPr>
        <w:t>Non-Hodgkin Lymphoma</w:t>
      </w:r>
    </w:p>
    <w:p w14:paraId="186E8F70" w14:textId="2768C878" w:rsidR="0040149D" w:rsidRPr="0040149D" w:rsidRDefault="0040149D" w:rsidP="0040149D">
      <w:pPr>
        <w:spacing w:before="0" w:after="0"/>
        <w:ind w:left="425"/>
        <w:rPr>
          <w:szCs w:val="20"/>
        </w:rPr>
      </w:pPr>
      <w:r w:rsidRPr="0040149D">
        <w:rPr>
          <w:szCs w:val="20"/>
        </w:rPr>
        <w:t xml:space="preserve">A test of tumour tissue from a patient diagnosed with NHL for </w:t>
      </w:r>
      <w:proofErr w:type="spellStart"/>
      <w:proofErr w:type="gramStart"/>
      <w:r w:rsidRPr="0040149D">
        <w:rPr>
          <w:szCs w:val="20"/>
        </w:rPr>
        <w:t>i</w:t>
      </w:r>
      <w:proofErr w:type="spellEnd"/>
      <w:r w:rsidRPr="0040149D">
        <w:rPr>
          <w:szCs w:val="20"/>
        </w:rPr>
        <w:t>(</w:t>
      </w:r>
      <w:proofErr w:type="gramEnd"/>
      <w:r w:rsidRPr="0040149D">
        <w:rPr>
          <w:szCs w:val="20"/>
        </w:rPr>
        <w:t>7q), CCD1 and CCD2, DUSP22 and TP63.</w:t>
      </w:r>
    </w:p>
    <w:p w14:paraId="71E2707E" w14:textId="5555E722" w:rsidR="0040149D" w:rsidRPr="00154B00" w:rsidRDefault="0040149D" w:rsidP="0040149D">
      <w:pPr>
        <w:spacing w:before="0" w:after="0"/>
        <w:ind w:left="425"/>
        <w:rPr>
          <w:szCs w:val="20"/>
        </w:rPr>
      </w:pPr>
      <w:r w:rsidRPr="0040149D">
        <w:rPr>
          <w:szCs w:val="20"/>
        </w:rPr>
        <w:t>Testing methods include In situ hybridization (ISH), polymerase chain reaction (PCR) and next generation sequencing (NGS) methodologies among others.</w:t>
      </w:r>
    </w:p>
    <w:p w14:paraId="1EA7905C"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1D59E600" w14:textId="7EDD392A" w:rsidR="002A6753" w:rsidRPr="00154B00" w:rsidRDefault="0040149D" w:rsidP="00E357B9">
      <w:pPr>
        <w:ind w:left="426"/>
        <w:rPr>
          <w:szCs w:val="20"/>
        </w:rPr>
      </w:pPr>
      <w:r>
        <w:rPr>
          <w:szCs w:val="20"/>
        </w:rPr>
        <w:t>Not applicable</w:t>
      </w:r>
    </w:p>
    <w:p w14:paraId="1CD959E8" w14:textId="4EFE989F" w:rsidR="00C22AD8"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1831FE1B" w14:textId="6158E87B" w:rsidR="0040149D" w:rsidRDefault="0040149D" w:rsidP="0040149D">
      <w:pPr>
        <w:ind w:left="426"/>
      </w:pPr>
      <w:r w:rsidRPr="0040149D">
        <w:t>Not applicable</w:t>
      </w:r>
    </w:p>
    <w:p w14:paraId="0B70E006"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044EF517" w14:textId="408FF3EC" w:rsidR="00CC09D7" w:rsidRPr="00AE5CA7" w:rsidRDefault="00AE5CA7" w:rsidP="00AE5CA7">
      <w:pPr>
        <w:spacing w:before="0" w:after="0"/>
        <w:ind w:left="425"/>
        <w:rPr>
          <w:b/>
          <w:szCs w:val="20"/>
        </w:rPr>
      </w:pPr>
      <w:r w:rsidRPr="00AE5CA7">
        <w:rPr>
          <w:b/>
          <w:szCs w:val="20"/>
        </w:rPr>
        <w:t xml:space="preserve">Diffuse Large B </w:t>
      </w:r>
      <w:proofErr w:type="gramStart"/>
      <w:r w:rsidRPr="00AE5CA7">
        <w:rPr>
          <w:b/>
          <w:szCs w:val="20"/>
        </w:rPr>
        <w:t>Cell</w:t>
      </w:r>
      <w:proofErr w:type="gramEnd"/>
      <w:r w:rsidRPr="00AE5CA7">
        <w:rPr>
          <w:b/>
          <w:szCs w:val="20"/>
        </w:rPr>
        <w:t xml:space="preserve"> Lymphoma</w:t>
      </w:r>
    </w:p>
    <w:p w14:paraId="5FE10597" w14:textId="77777777" w:rsidR="00AE5CA7" w:rsidRPr="00AE5CA7" w:rsidRDefault="00AE5CA7" w:rsidP="00AE5CA7">
      <w:pPr>
        <w:spacing w:before="0" w:after="0"/>
        <w:ind w:left="425"/>
        <w:rPr>
          <w:szCs w:val="20"/>
        </w:rPr>
      </w:pPr>
      <w:r w:rsidRPr="00AE5CA7">
        <w:rPr>
          <w:szCs w:val="20"/>
        </w:rPr>
        <w:t>Testing should be pathologist determinable (able to be requested after a diagnosis of DLBCL is made) in order to provide definitive diagnosis/classification. Retrospective testing could also be requested by a treating clinician and performed on archival material.</w:t>
      </w:r>
    </w:p>
    <w:p w14:paraId="654D7827" w14:textId="56A06C36" w:rsidR="0040149D" w:rsidRDefault="00AE5CA7" w:rsidP="00AE5CA7">
      <w:pPr>
        <w:spacing w:before="0" w:after="0"/>
        <w:ind w:left="425"/>
        <w:rPr>
          <w:szCs w:val="20"/>
        </w:rPr>
      </w:pPr>
      <w:r w:rsidRPr="00AE5CA7">
        <w:rPr>
          <w:szCs w:val="20"/>
        </w:rPr>
        <w:t>There is no role for repeat testing to monitor disease.</w:t>
      </w:r>
    </w:p>
    <w:p w14:paraId="00DE118B" w14:textId="77777777" w:rsidR="00AE5CA7" w:rsidRDefault="00AE5CA7" w:rsidP="00AE5CA7">
      <w:pPr>
        <w:spacing w:before="0" w:after="0"/>
        <w:ind w:left="425"/>
        <w:rPr>
          <w:szCs w:val="20"/>
        </w:rPr>
      </w:pPr>
    </w:p>
    <w:p w14:paraId="28BD4005" w14:textId="03E84650" w:rsidR="0040149D" w:rsidRPr="00AE5CA7" w:rsidRDefault="00AE5CA7" w:rsidP="00AE5CA7">
      <w:pPr>
        <w:spacing w:before="0" w:after="0"/>
        <w:ind w:left="425"/>
        <w:rPr>
          <w:b/>
          <w:szCs w:val="20"/>
        </w:rPr>
      </w:pPr>
      <w:r w:rsidRPr="00AE5CA7">
        <w:rPr>
          <w:b/>
          <w:szCs w:val="20"/>
        </w:rPr>
        <w:t>Multiple Myeloma</w:t>
      </w:r>
    </w:p>
    <w:p w14:paraId="144E8F00" w14:textId="2B3F8DA4" w:rsidR="00AE5CA7" w:rsidRDefault="00AE5CA7" w:rsidP="00AE5CA7">
      <w:pPr>
        <w:spacing w:before="0" w:after="0"/>
        <w:ind w:left="425"/>
        <w:rPr>
          <w:szCs w:val="20"/>
        </w:rPr>
      </w:pPr>
      <w:r w:rsidRPr="00AE5CA7">
        <w:rPr>
          <w:szCs w:val="20"/>
        </w:rPr>
        <w:t>Testing would be provided as requested by the referring medical practitioner for patients with plasma cell myeloma requiring further classification after initial tissue pathology or haematological investigation. Further testing may be provided after therapy for monitoring of disease.</w:t>
      </w:r>
    </w:p>
    <w:p w14:paraId="0743D095" w14:textId="77777777" w:rsidR="00AE5CA7" w:rsidRDefault="00AE5CA7" w:rsidP="00AE5CA7">
      <w:pPr>
        <w:spacing w:before="0" w:after="0"/>
        <w:ind w:left="425"/>
        <w:rPr>
          <w:szCs w:val="20"/>
        </w:rPr>
      </w:pPr>
    </w:p>
    <w:p w14:paraId="40298E4B" w14:textId="33600F9D" w:rsidR="00AE5CA7" w:rsidRPr="00AE5CA7" w:rsidRDefault="00AE5CA7" w:rsidP="00AE5CA7">
      <w:pPr>
        <w:spacing w:before="0" w:after="0"/>
        <w:ind w:left="425"/>
        <w:rPr>
          <w:b/>
          <w:szCs w:val="20"/>
        </w:rPr>
      </w:pPr>
      <w:r w:rsidRPr="00AE5CA7">
        <w:rPr>
          <w:b/>
          <w:szCs w:val="20"/>
        </w:rPr>
        <w:lastRenderedPageBreak/>
        <w:t>Non-Hodgkin Lymphoma</w:t>
      </w:r>
    </w:p>
    <w:p w14:paraId="2A56C56D" w14:textId="477A37F0" w:rsidR="00AE5CA7" w:rsidRDefault="00AE5CA7" w:rsidP="00AE5CA7">
      <w:pPr>
        <w:spacing w:before="0" w:after="0"/>
        <w:ind w:left="425"/>
        <w:rPr>
          <w:szCs w:val="20"/>
        </w:rPr>
      </w:pPr>
      <w:r w:rsidRPr="00AE5CA7">
        <w:rPr>
          <w:szCs w:val="20"/>
        </w:rPr>
        <w:t>Testing would be provided as requested by the referring medical practitioner for patients with NHL requiring further classification after initial tissue pathology or haematological investigation. Further testing may be provided after therapy for monitoring of disease.</w:t>
      </w:r>
    </w:p>
    <w:p w14:paraId="641D1B97"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4BB85E73" w14:textId="1592C273" w:rsidR="00791C8D" w:rsidRPr="00154B00" w:rsidRDefault="00AE5CA7" w:rsidP="00884E69">
      <w:pPr>
        <w:ind w:left="426"/>
        <w:rPr>
          <w:szCs w:val="20"/>
        </w:rPr>
      </w:pPr>
      <w:r>
        <w:rPr>
          <w:szCs w:val="20"/>
        </w:rPr>
        <w:t>Not applicable</w:t>
      </w:r>
    </w:p>
    <w:p w14:paraId="7B0C3F82"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1FED6759" w14:textId="6BAF027F" w:rsidR="00B17E26" w:rsidRPr="00154B00" w:rsidRDefault="00AE5CA7" w:rsidP="00884E69">
      <w:pPr>
        <w:ind w:left="426"/>
        <w:rPr>
          <w:szCs w:val="20"/>
        </w:rPr>
      </w:pPr>
      <w:r w:rsidRPr="00AE5CA7">
        <w:rPr>
          <w:szCs w:val="20"/>
        </w:rPr>
        <w:t>Approved Pathologists in Accredited Pathology testing laboratories</w:t>
      </w:r>
    </w:p>
    <w:p w14:paraId="71A28464"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02BDDFFA" w14:textId="70B1B5CD" w:rsidR="00B17E26" w:rsidRPr="00154B00" w:rsidRDefault="00AE5CA7" w:rsidP="00884E69">
      <w:pPr>
        <w:ind w:left="426"/>
        <w:rPr>
          <w:szCs w:val="20"/>
        </w:rPr>
      </w:pPr>
      <w:r>
        <w:rPr>
          <w:szCs w:val="20"/>
        </w:rPr>
        <w:t>Not applicable</w:t>
      </w:r>
    </w:p>
    <w:p w14:paraId="49461FCF"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223F2590" w14:textId="4ED796FB" w:rsidR="00EA0E25" w:rsidRPr="00154B00" w:rsidRDefault="00AE5CA7" w:rsidP="00BC424B">
      <w:pPr>
        <w:ind w:left="426"/>
        <w:rPr>
          <w:szCs w:val="20"/>
        </w:rPr>
      </w:pPr>
      <w:r w:rsidRPr="00AE5CA7">
        <w:rPr>
          <w:szCs w:val="20"/>
        </w:rPr>
        <w:t>Approved Pathologists in Accredited Pathology testing laboratories</w:t>
      </w:r>
    </w:p>
    <w:p w14:paraId="6B90DC3A" w14:textId="77777777" w:rsidR="00EA0E25" w:rsidRPr="00154B00" w:rsidRDefault="00EA0E25" w:rsidP="00530204">
      <w:pPr>
        <w:pStyle w:val="Heading2"/>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2F5D91E3" w14:textId="6826EC5A" w:rsidR="00EA0E25" w:rsidRDefault="00AE5CA7" w:rsidP="0073597B">
      <w:pPr>
        <w:ind w:left="426"/>
        <w:rPr>
          <w:szCs w:val="20"/>
        </w:rPr>
      </w:pPr>
      <w:r w:rsidRPr="00AE5CA7">
        <w:rPr>
          <w:szCs w:val="20"/>
        </w:rPr>
        <w:t>Approved Pathology Practitioners as defined in the MBS for Pathology Items</w:t>
      </w:r>
    </w:p>
    <w:p w14:paraId="33B26BD6" w14:textId="77777777" w:rsidR="005F3F07" w:rsidRDefault="005C3AE7" w:rsidP="00530204">
      <w:pPr>
        <w:pStyle w:val="Heading2"/>
      </w:pPr>
      <w:r>
        <w:t>(</w:t>
      </w:r>
      <w:proofErr w:type="gramStart"/>
      <w:r>
        <w:t>a</w:t>
      </w:r>
      <w:proofErr w:type="gramEnd"/>
      <w:r>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5EDFB75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46A08">
        <w:rPr>
          <w:szCs w:val="20"/>
        </w:rPr>
      </w:r>
      <w:r w:rsidR="00746A08">
        <w:rPr>
          <w:szCs w:val="20"/>
        </w:rPr>
        <w:fldChar w:fldCharType="separate"/>
      </w:r>
      <w:r w:rsidRPr="000A5B32">
        <w:rPr>
          <w:szCs w:val="20"/>
        </w:rPr>
        <w:fldChar w:fldCharType="end"/>
      </w:r>
      <w:r>
        <w:rPr>
          <w:szCs w:val="20"/>
        </w:rPr>
        <w:t xml:space="preserve"> </w:t>
      </w:r>
      <w:r>
        <w:t>Inpatient private hospital</w:t>
      </w:r>
    </w:p>
    <w:p w14:paraId="4788C90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46A08">
        <w:rPr>
          <w:szCs w:val="20"/>
        </w:rPr>
      </w:r>
      <w:r w:rsidR="00746A08">
        <w:rPr>
          <w:szCs w:val="20"/>
        </w:rPr>
        <w:fldChar w:fldCharType="separate"/>
      </w:r>
      <w:r w:rsidRPr="000A5B32">
        <w:rPr>
          <w:szCs w:val="20"/>
        </w:rPr>
        <w:fldChar w:fldCharType="end"/>
      </w:r>
      <w:r>
        <w:rPr>
          <w:szCs w:val="20"/>
        </w:rPr>
        <w:t xml:space="preserve"> </w:t>
      </w:r>
      <w:r>
        <w:t>Inpatient public hospital</w:t>
      </w:r>
    </w:p>
    <w:p w14:paraId="65954EF6"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46A08">
        <w:rPr>
          <w:szCs w:val="20"/>
        </w:rPr>
      </w:r>
      <w:r w:rsidR="00746A08">
        <w:rPr>
          <w:szCs w:val="20"/>
        </w:rPr>
        <w:fldChar w:fldCharType="separate"/>
      </w:r>
      <w:r w:rsidRPr="000A5B32">
        <w:rPr>
          <w:szCs w:val="20"/>
        </w:rPr>
        <w:fldChar w:fldCharType="end"/>
      </w:r>
      <w:r>
        <w:rPr>
          <w:szCs w:val="20"/>
        </w:rPr>
        <w:t xml:space="preserve"> </w:t>
      </w:r>
      <w:r>
        <w:t>Outpatient clinic</w:t>
      </w:r>
    </w:p>
    <w:p w14:paraId="2C031467"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46A08">
        <w:rPr>
          <w:szCs w:val="20"/>
        </w:rPr>
      </w:r>
      <w:r w:rsidR="00746A08">
        <w:rPr>
          <w:szCs w:val="20"/>
        </w:rPr>
        <w:fldChar w:fldCharType="separate"/>
      </w:r>
      <w:r w:rsidRPr="000A5B32">
        <w:rPr>
          <w:szCs w:val="20"/>
        </w:rPr>
        <w:fldChar w:fldCharType="end"/>
      </w:r>
      <w:r>
        <w:rPr>
          <w:szCs w:val="20"/>
        </w:rPr>
        <w:t xml:space="preserve"> </w:t>
      </w:r>
      <w:r>
        <w:t>Emergency Department</w:t>
      </w:r>
    </w:p>
    <w:p w14:paraId="0D326F84"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46A08">
        <w:rPr>
          <w:szCs w:val="20"/>
        </w:rPr>
      </w:r>
      <w:r w:rsidR="00746A08">
        <w:rPr>
          <w:szCs w:val="20"/>
        </w:rPr>
        <w:fldChar w:fldCharType="separate"/>
      </w:r>
      <w:r w:rsidRPr="000A5B32">
        <w:rPr>
          <w:szCs w:val="20"/>
        </w:rPr>
        <w:fldChar w:fldCharType="end"/>
      </w:r>
      <w:r>
        <w:rPr>
          <w:szCs w:val="20"/>
        </w:rPr>
        <w:t xml:space="preserve"> </w:t>
      </w:r>
      <w:r>
        <w:t>Consulting rooms</w:t>
      </w:r>
    </w:p>
    <w:p w14:paraId="62ECC1F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46A08">
        <w:rPr>
          <w:szCs w:val="20"/>
        </w:rPr>
      </w:r>
      <w:r w:rsidR="00746A08">
        <w:rPr>
          <w:szCs w:val="20"/>
        </w:rPr>
        <w:fldChar w:fldCharType="separate"/>
      </w:r>
      <w:r w:rsidRPr="000A5B32">
        <w:rPr>
          <w:szCs w:val="20"/>
        </w:rPr>
        <w:fldChar w:fldCharType="end"/>
      </w:r>
      <w:r>
        <w:rPr>
          <w:szCs w:val="20"/>
        </w:rPr>
        <w:t xml:space="preserve"> </w:t>
      </w:r>
      <w:r>
        <w:t>Day surgery centre</w:t>
      </w:r>
    </w:p>
    <w:p w14:paraId="2FDAF91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46A08">
        <w:rPr>
          <w:szCs w:val="20"/>
        </w:rPr>
      </w:r>
      <w:r w:rsidR="00746A08">
        <w:rPr>
          <w:szCs w:val="20"/>
        </w:rPr>
        <w:fldChar w:fldCharType="separate"/>
      </w:r>
      <w:r w:rsidRPr="000A5B32">
        <w:rPr>
          <w:szCs w:val="20"/>
        </w:rPr>
        <w:fldChar w:fldCharType="end"/>
      </w:r>
      <w:r>
        <w:rPr>
          <w:szCs w:val="20"/>
        </w:rPr>
        <w:t xml:space="preserve"> </w:t>
      </w:r>
      <w:r>
        <w:t>Residential aged care facility</w:t>
      </w:r>
    </w:p>
    <w:p w14:paraId="7E932D6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46A08">
        <w:rPr>
          <w:szCs w:val="20"/>
        </w:rPr>
      </w:r>
      <w:r w:rsidR="00746A08">
        <w:rPr>
          <w:szCs w:val="20"/>
        </w:rPr>
        <w:fldChar w:fldCharType="separate"/>
      </w:r>
      <w:r w:rsidRPr="000A5B32">
        <w:rPr>
          <w:szCs w:val="20"/>
        </w:rPr>
        <w:fldChar w:fldCharType="end"/>
      </w:r>
      <w:r>
        <w:rPr>
          <w:szCs w:val="20"/>
        </w:rPr>
        <w:t xml:space="preserve"> </w:t>
      </w:r>
      <w:r>
        <w:t>Patient’s home</w:t>
      </w:r>
    </w:p>
    <w:p w14:paraId="6F413216" w14:textId="0B96770D" w:rsidR="000A478F" w:rsidRDefault="00AE5CA7"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746A08">
        <w:rPr>
          <w:szCs w:val="20"/>
        </w:rPr>
      </w:r>
      <w:r w:rsidR="00746A08">
        <w:rPr>
          <w:szCs w:val="20"/>
        </w:rPr>
        <w:fldChar w:fldCharType="separate"/>
      </w:r>
      <w:r>
        <w:rPr>
          <w:szCs w:val="20"/>
        </w:rPr>
        <w:fldChar w:fldCharType="end"/>
      </w:r>
      <w:r w:rsidR="000A478F">
        <w:rPr>
          <w:szCs w:val="20"/>
        </w:rPr>
        <w:t xml:space="preserve"> </w:t>
      </w:r>
      <w:r w:rsidR="000A478F">
        <w:t>Laboratory</w:t>
      </w:r>
    </w:p>
    <w:p w14:paraId="332B7166"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46A08">
        <w:rPr>
          <w:szCs w:val="20"/>
        </w:rPr>
      </w:r>
      <w:r w:rsidR="00746A08">
        <w:rPr>
          <w:szCs w:val="20"/>
        </w:rPr>
        <w:fldChar w:fldCharType="separate"/>
      </w:r>
      <w:r w:rsidRPr="000A5B32">
        <w:rPr>
          <w:szCs w:val="20"/>
        </w:rPr>
        <w:fldChar w:fldCharType="end"/>
      </w:r>
      <w:r>
        <w:rPr>
          <w:szCs w:val="20"/>
        </w:rPr>
        <w:t xml:space="preserve"> </w:t>
      </w:r>
      <w:r>
        <w:t>Other – please specify below</w:t>
      </w:r>
    </w:p>
    <w:p w14:paraId="24AA3631" w14:textId="77777777" w:rsidR="005F3F07" w:rsidRDefault="001B29A1" w:rsidP="0073597B">
      <w:pPr>
        <w:ind w:left="426"/>
        <w:rPr>
          <w:b/>
          <w:szCs w:val="20"/>
        </w:rPr>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14:paraId="30EDAB00"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28C5F77E" w14:textId="54F0D15F" w:rsidR="0073597B" w:rsidRPr="00AE5CA7" w:rsidRDefault="00AE5CA7" w:rsidP="0073597B">
      <w:pPr>
        <w:ind w:left="426"/>
        <w:rPr>
          <w:szCs w:val="20"/>
        </w:rPr>
      </w:pPr>
      <w:r w:rsidRPr="00AE5CA7">
        <w:rPr>
          <w:szCs w:val="20"/>
        </w:rPr>
        <w:t>Not applicable</w:t>
      </w:r>
    </w:p>
    <w:p w14:paraId="4DB4641B" w14:textId="77777777" w:rsidR="003E30FB" w:rsidRDefault="003E30FB" w:rsidP="00530204">
      <w:pPr>
        <w:pStyle w:val="Heading2"/>
      </w:pPr>
      <w:r>
        <w:t xml:space="preserve">Is the </w:t>
      </w:r>
      <w:r w:rsidRPr="001B29A1">
        <w:t>proposed</w:t>
      </w:r>
      <w:r>
        <w:t xml:space="preserve"> medical service intended to be entirely rendered in Australia?</w:t>
      </w:r>
    </w:p>
    <w:p w14:paraId="1C7136A7" w14:textId="319F99D5" w:rsidR="000A478F" w:rsidRDefault="00021FF3"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46A08">
        <w:rPr>
          <w:szCs w:val="20"/>
        </w:rPr>
      </w:r>
      <w:r w:rsidR="00746A08">
        <w:rPr>
          <w:szCs w:val="20"/>
        </w:rPr>
        <w:fldChar w:fldCharType="separate"/>
      </w:r>
      <w:r>
        <w:rPr>
          <w:szCs w:val="20"/>
        </w:rPr>
        <w:fldChar w:fldCharType="end"/>
      </w:r>
      <w:r w:rsidR="000A478F">
        <w:rPr>
          <w:szCs w:val="20"/>
        </w:rPr>
        <w:t xml:space="preserve"> Yes</w:t>
      </w:r>
    </w:p>
    <w:p w14:paraId="3E4A6C26"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746A08">
        <w:rPr>
          <w:szCs w:val="20"/>
        </w:rPr>
      </w:r>
      <w:r w:rsidR="00746A08">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4823D295" w14:textId="77777777" w:rsidR="003E30FB" w:rsidRPr="000A478F" w:rsidRDefault="001B29A1" w:rsidP="000A478F">
      <w:pPr>
        <w:ind w:left="426"/>
      </w:pPr>
      <w:r>
        <w:fldChar w:fldCharType="begin">
          <w:ffData>
            <w:name w:val="Text1"/>
            <w:enabled/>
            <w:calcOnExit w:val="0"/>
            <w:textInput>
              <w:default w:val="Specify further details here"/>
            </w:textInput>
          </w:ffData>
        </w:fldChar>
      </w:r>
      <w:bookmarkStart w:id="7" w:name="Text1"/>
      <w:r>
        <w:instrText xml:space="preserve"> FORMTEXT </w:instrText>
      </w:r>
      <w:r>
        <w:fldChar w:fldCharType="separate"/>
      </w:r>
      <w:r>
        <w:rPr>
          <w:noProof/>
        </w:rPr>
        <w:t>Specify further details here</w:t>
      </w:r>
      <w:r>
        <w:fldChar w:fldCharType="end"/>
      </w:r>
      <w:bookmarkEnd w:id="7"/>
    </w:p>
    <w:p w14:paraId="215283BC" w14:textId="77777777" w:rsidR="000A478F" w:rsidRDefault="000A478F" w:rsidP="00881F93">
      <w:pPr>
        <w:rPr>
          <w:b/>
          <w:i/>
          <w:szCs w:val="20"/>
          <w:u w:val="single"/>
        </w:rPr>
      </w:pPr>
      <w:r>
        <w:rPr>
          <w:b/>
          <w:i/>
          <w:szCs w:val="20"/>
          <w:u w:val="single"/>
        </w:rPr>
        <w:br w:type="page"/>
      </w:r>
    </w:p>
    <w:p w14:paraId="75948275"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5D5DC76D"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71B8836D" w14:textId="013D3D46" w:rsidR="00E60529" w:rsidRPr="00FD3BE4" w:rsidRDefault="00021FF3" w:rsidP="00FD3BE4">
      <w:pPr>
        <w:spacing w:before="0" w:after="0"/>
        <w:ind w:left="425"/>
        <w:rPr>
          <w:b/>
          <w:szCs w:val="20"/>
        </w:rPr>
      </w:pPr>
      <w:r w:rsidRPr="00FD3BE4">
        <w:rPr>
          <w:b/>
          <w:szCs w:val="20"/>
        </w:rPr>
        <w:t xml:space="preserve">Diffuse Large B </w:t>
      </w:r>
      <w:proofErr w:type="gramStart"/>
      <w:r w:rsidRPr="00FD3BE4">
        <w:rPr>
          <w:b/>
          <w:szCs w:val="20"/>
        </w:rPr>
        <w:t>Cell</w:t>
      </w:r>
      <w:proofErr w:type="gramEnd"/>
      <w:r w:rsidRPr="00FD3BE4">
        <w:rPr>
          <w:b/>
          <w:szCs w:val="20"/>
        </w:rPr>
        <w:t xml:space="preserve"> Lymphoma</w:t>
      </w:r>
    </w:p>
    <w:p w14:paraId="256468E5" w14:textId="597CE59B" w:rsidR="00021FF3" w:rsidRDefault="00FD3BE4" w:rsidP="00FD3BE4">
      <w:pPr>
        <w:spacing w:before="0" w:after="0"/>
        <w:ind w:left="425"/>
        <w:rPr>
          <w:color w:val="FF0000"/>
          <w:szCs w:val="20"/>
        </w:rPr>
      </w:pPr>
      <w:r w:rsidRPr="00FD3BE4">
        <w:rPr>
          <w:szCs w:val="20"/>
        </w:rPr>
        <w:t xml:space="preserve">There are no current MBS services for this service. The comparator is therefore tissue pathology without complete classification (i.e. incomplete diagnosis and prognostic assessment of disease).  </w:t>
      </w:r>
      <w:r w:rsidRPr="00124807">
        <w:rPr>
          <w:szCs w:val="20"/>
        </w:rPr>
        <w:t>Assessment by immunohistochemistry (IHC) may be partially informative, but cannot provide accurate identification of double-hit lymphomas (</w:t>
      </w:r>
      <w:proofErr w:type="spellStart"/>
      <w:r w:rsidRPr="00124807">
        <w:rPr>
          <w:szCs w:val="20"/>
        </w:rPr>
        <w:t>Argarwal</w:t>
      </w:r>
      <w:proofErr w:type="spellEnd"/>
      <w:r w:rsidRPr="00124807">
        <w:rPr>
          <w:szCs w:val="20"/>
        </w:rPr>
        <w:t>, 2015)</w:t>
      </w:r>
    </w:p>
    <w:p w14:paraId="0A7C52F6" w14:textId="77777777" w:rsidR="00FD3BE4" w:rsidRDefault="00FD3BE4" w:rsidP="00FD3BE4">
      <w:pPr>
        <w:spacing w:before="0" w:after="0"/>
        <w:ind w:left="425"/>
        <w:rPr>
          <w:color w:val="FF0000"/>
          <w:szCs w:val="20"/>
        </w:rPr>
      </w:pPr>
    </w:p>
    <w:p w14:paraId="27814F44" w14:textId="4534826C" w:rsidR="00FD3BE4" w:rsidRPr="00FD3BE4" w:rsidRDefault="00FD3BE4" w:rsidP="00FD3BE4">
      <w:pPr>
        <w:spacing w:before="0" w:after="0"/>
        <w:ind w:left="425"/>
        <w:rPr>
          <w:b/>
          <w:szCs w:val="20"/>
        </w:rPr>
      </w:pPr>
      <w:r w:rsidRPr="00FD3BE4">
        <w:rPr>
          <w:b/>
          <w:szCs w:val="20"/>
        </w:rPr>
        <w:t>Multiple Myeloma</w:t>
      </w:r>
    </w:p>
    <w:p w14:paraId="3D43E721" w14:textId="163CA7A4" w:rsidR="00FD3BE4" w:rsidRDefault="00FD3BE4" w:rsidP="00FD3BE4">
      <w:pPr>
        <w:spacing w:before="0" w:after="0"/>
        <w:ind w:left="425"/>
        <w:rPr>
          <w:color w:val="FF0000"/>
          <w:szCs w:val="20"/>
        </w:rPr>
      </w:pPr>
      <w:r w:rsidRPr="00FD3BE4">
        <w:rPr>
          <w:szCs w:val="20"/>
        </w:rPr>
        <w:t>There are no current MBS services for this service. The comparator is therefore tissue pathology or haematological investigation without complete classification (i.e. incomplete diagnosis and prognostic assessment of disease and ineffective assessment of minimal residual disease). Detection of somatic gene rearrangements, copy number aberrations and/or mutations would be required in addition to tissue pathology and/or haematological investigations but without further health care resources for obtaining the tumour tissue (i.e. on the same specimen).</w:t>
      </w:r>
    </w:p>
    <w:p w14:paraId="19C356A1" w14:textId="77777777" w:rsidR="00FD3BE4" w:rsidRDefault="00FD3BE4" w:rsidP="00FD3BE4">
      <w:pPr>
        <w:spacing w:before="0" w:after="0"/>
        <w:ind w:left="425"/>
        <w:rPr>
          <w:szCs w:val="20"/>
        </w:rPr>
      </w:pPr>
    </w:p>
    <w:p w14:paraId="32C3A8CB" w14:textId="17EDD2F9" w:rsidR="00FD3BE4" w:rsidRPr="00FD3BE4" w:rsidRDefault="00FD3BE4" w:rsidP="00FD3BE4">
      <w:pPr>
        <w:spacing w:before="0" w:after="0"/>
        <w:ind w:left="425"/>
        <w:rPr>
          <w:b/>
          <w:szCs w:val="20"/>
        </w:rPr>
      </w:pPr>
      <w:r w:rsidRPr="00FD3BE4">
        <w:rPr>
          <w:b/>
          <w:szCs w:val="20"/>
        </w:rPr>
        <w:t>Non-Hodgkin Lymphoma</w:t>
      </w:r>
    </w:p>
    <w:p w14:paraId="5AFE3373" w14:textId="29D3DF28" w:rsidR="00FD3BE4" w:rsidRDefault="00FD3BE4" w:rsidP="00FD3BE4">
      <w:pPr>
        <w:spacing w:before="0" w:after="0"/>
        <w:ind w:left="425"/>
        <w:rPr>
          <w:szCs w:val="20"/>
        </w:rPr>
      </w:pPr>
      <w:r w:rsidRPr="00D12288">
        <w:rPr>
          <w:szCs w:val="20"/>
        </w:rPr>
        <w:t>There are no current MBS services for this service. The comparator is therefore</w:t>
      </w:r>
      <w:r>
        <w:rPr>
          <w:szCs w:val="20"/>
        </w:rPr>
        <w:t xml:space="preserve"> tissue pathology or haematological investigation without complete classification (i.e.</w:t>
      </w:r>
      <w:r w:rsidRPr="00D12288">
        <w:rPr>
          <w:szCs w:val="20"/>
        </w:rPr>
        <w:t xml:space="preserve"> incomplete diagnosis and prognostic assessment of disease and ineffective assessment of minimal residual disease</w:t>
      </w:r>
      <w:r>
        <w:rPr>
          <w:szCs w:val="20"/>
        </w:rPr>
        <w:t>)</w:t>
      </w:r>
      <w:r w:rsidRPr="00D12288">
        <w:rPr>
          <w:szCs w:val="20"/>
        </w:rPr>
        <w:t>.</w:t>
      </w:r>
      <w:r>
        <w:rPr>
          <w:szCs w:val="20"/>
        </w:rPr>
        <w:t xml:space="preserve"> </w:t>
      </w:r>
      <w:r w:rsidRPr="00D01EA6">
        <w:rPr>
          <w:szCs w:val="20"/>
        </w:rPr>
        <w:t>Detection of somatic gene rearrangements, copy number aberrations and/or mutations</w:t>
      </w:r>
      <w:r>
        <w:rPr>
          <w:szCs w:val="20"/>
        </w:rPr>
        <w:t xml:space="preserve"> would be required in addition to tissue pathology and/or haematological investigations but without further health care resources for obtaining the tumour tissue (i.e. on the same specimen).</w:t>
      </w:r>
    </w:p>
    <w:p w14:paraId="4E9CE4B4" w14:textId="77777777" w:rsidR="00FD3BE4" w:rsidRPr="00154B00" w:rsidRDefault="00FD3BE4" w:rsidP="00FD3BE4">
      <w:pPr>
        <w:spacing w:before="0" w:after="0"/>
        <w:ind w:left="425"/>
        <w:rPr>
          <w:szCs w:val="20"/>
        </w:rPr>
      </w:pPr>
    </w:p>
    <w:p w14:paraId="4E96DCD7" w14:textId="4A55328C"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14:paraId="0CA301D8" w14:textId="7BD702F7" w:rsidR="006A1038" w:rsidRDefault="00FD3BE4"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46A08">
        <w:rPr>
          <w:szCs w:val="20"/>
        </w:rPr>
      </w:r>
      <w:r w:rsidR="00746A08">
        <w:rPr>
          <w:szCs w:val="20"/>
        </w:rPr>
        <w:fldChar w:fldCharType="separate"/>
      </w:r>
      <w:r>
        <w:rPr>
          <w:szCs w:val="20"/>
        </w:rPr>
        <w:fldChar w:fldCharType="end"/>
      </w:r>
      <w:r w:rsidR="006A1038">
        <w:rPr>
          <w:szCs w:val="20"/>
        </w:rPr>
        <w:t xml:space="preserve"> Yes (please provide all relevant MBS item numbers below)</w:t>
      </w:r>
    </w:p>
    <w:p w14:paraId="0886A9D5" w14:textId="39A35CA7" w:rsidR="00FD3BE4" w:rsidRDefault="006A1038" w:rsidP="00BE2CF9">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746A08">
        <w:rPr>
          <w:szCs w:val="20"/>
        </w:rPr>
      </w:r>
      <w:r w:rsidR="00746A08">
        <w:rPr>
          <w:szCs w:val="20"/>
        </w:rPr>
        <w:fldChar w:fldCharType="separate"/>
      </w:r>
      <w:r w:rsidRPr="00753C44">
        <w:rPr>
          <w:szCs w:val="20"/>
        </w:rPr>
        <w:fldChar w:fldCharType="end"/>
      </w:r>
      <w:r>
        <w:rPr>
          <w:szCs w:val="20"/>
        </w:rPr>
        <w:t xml:space="preserve"> No  </w:t>
      </w:r>
    </w:p>
    <w:p w14:paraId="18C51DDA" w14:textId="72B36247" w:rsidR="00FD3BE4" w:rsidRPr="00FD3BE4" w:rsidRDefault="00FD3BE4" w:rsidP="00FD3BE4">
      <w:pPr>
        <w:spacing w:before="0" w:after="0"/>
        <w:ind w:left="426"/>
        <w:rPr>
          <w:b/>
          <w:szCs w:val="20"/>
        </w:rPr>
      </w:pPr>
      <w:r w:rsidRPr="00FD3BE4">
        <w:rPr>
          <w:b/>
          <w:szCs w:val="20"/>
        </w:rPr>
        <w:t xml:space="preserve">Diffuse Large B </w:t>
      </w:r>
      <w:proofErr w:type="gramStart"/>
      <w:r w:rsidRPr="00FD3BE4">
        <w:rPr>
          <w:b/>
          <w:szCs w:val="20"/>
        </w:rPr>
        <w:t>Cell</w:t>
      </w:r>
      <w:proofErr w:type="gramEnd"/>
      <w:r w:rsidRPr="00FD3BE4">
        <w:rPr>
          <w:b/>
          <w:szCs w:val="20"/>
        </w:rPr>
        <w:t xml:space="preserve"> Lymphoma</w:t>
      </w:r>
    </w:p>
    <w:p w14:paraId="10FA96F9" w14:textId="4FF2309E" w:rsidR="00FD3BE4" w:rsidRPr="00FD3BE4" w:rsidRDefault="00FD3BE4" w:rsidP="00FD3BE4">
      <w:pPr>
        <w:tabs>
          <w:tab w:val="left" w:pos="426"/>
        </w:tabs>
        <w:spacing w:before="0" w:after="0"/>
        <w:rPr>
          <w:szCs w:val="20"/>
        </w:rPr>
      </w:pPr>
      <w:r>
        <w:rPr>
          <w:szCs w:val="20"/>
        </w:rPr>
        <w:tab/>
      </w:r>
      <w:r w:rsidRPr="00FD3BE4">
        <w:rPr>
          <w:szCs w:val="20"/>
        </w:rPr>
        <w:t>65084; 65087; 72830; 72846-72850; 73049; 73059; 73062; 73063; 73066; 73067</w:t>
      </w:r>
    </w:p>
    <w:p w14:paraId="3362EDCF" w14:textId="787E88D3" w:rsidR="00FD3BE4" w:rsidRDefault="00FD3BE4" w:rsidP="00FD3BE4">
      <w:pPr>
        <w:spacing w:before="0" w:after="0"/>
        <w:ind w:left="426"/>
        <w:rPr>
          <w:szCs w:val="20"/>
        </w:rPr>
      </w:pPr>
      <w:r w:rsidRPr="00FD3BE4">
        <w:rPr>
          <w:szCs w:val="20"/>
        </w:rPr>
        <w:t>These codes encompass bone marrow biopsy, tissue biopsy (level 5) and cytology fine needle aspiration biopsies.</w:t>
      </w:r>
    </w:p>
    <w:p w14:paraId="4355019B" w14:textId="37735B07" w:rsidR="00FD3BE4" w:rsidRDefault="00FD3BE4" w:rsidP="00FD3BE4">
      <w:pPr>
        <w:spacing w:before="0" w:after="0"/>
        <w:ind w:left="426"/>
        <w:rPr>
          <w:szCs w:val="20"/>
        </w:rPr>
      </w:pPr>
    </w:p>
    <w:p w14:paraId="651A697D" w14:textId="21DA3A9D" w:rsidR="00FD3BE4" w:rsidRDefault="00FD3BE4" w:rsidP="00FD3BE4">
      <w:pPr>
        <w:spacing w:before="0" w:after="0"/>
        <w:ind w:left="425"/>
        <w:rPr>
          <w:b/>
          <w:szCs w:val="20"/>
        </w:rPr>
      </w:pPr>
      <w:r w:rsidRPr="00FD3BE4">
        <w:rPr>
          <w:b/>
          <w:szCs w:val="20"/>
        </w:rPr>
        <w:t>Multiple Myeloma</w:t>
      </w:r>
    </w:p>
    <w:p w14:paraId="35DFE2BE" w14:textId="435E4258" w:rsidR="00FD3BE4" w:rsidRDefault="00FD3BE4" w:rsidP="00FD3BE4">
      <w:pPr>
        <w:spacing w:before="0" w:after="0"/>
        <w:ind w:left="425"/>
        <w:rPr>
          <w:b/>
          <w:szCs w:val="20"/>
        </w:rPr>
      </w:pPr>
      <w:r w:rsidRPr="00FD3BE4">
        <w:rPr>
          <w:b/>
          <w:szCs w:val="20"/>
        </w:rPr>
        <w:t>Non-Hodgkin Lymphoma</w:t>
      </w:r>
    </w:p>
    <w:p w14:paraId="12241498" w14:textId="54D91F43" w:rsidR="00FD3BE4" w:rsidRDefault="00FD3BE4" w:rsidP="00FD3BE4">
      <w:pPr>
        <w:spacing w:before="0" w:after="0"/>
        <w:ind w:left="425"/>
        <w:rPr>
          <w:b/>
          <w:szCs w:val="20"/>
        </w:rPr>
      </w:pPr>
      <w:r w:rsidRPr="00FD3BE4">
        <w:rPr>
          <w:szCs w:val="20"/>
        </w:rPr>
        <w:t>65084; 65087; 72813; 72816; 72817; 72818; 72823; 72824; 72825; 72826; 72827; 72828; 72830; 72836; 72838;</w:t>
      </w:r>
    </w:p>
    <w:p w14:paraId="5F77E38C" w14:textId="77777777" w:rsidR="00FD3BE4" w:rsidRDefault="00FD3BE4" w:rsidP="006A1038">
      <w:pPr>
        <w:spacing w:before="0" w:after="0"/>
        <w:ind w:left="426"/>
        <w:rPr>
          <w:szCs w:val="20"/>
        </w:rPr>
      </w:pPr>
    </w:p>
    <w:p w14:paraId="3DB78BDF"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21C81B6C" w14:textId="5570772C" w:rsidR="00FD3BE4" w:rsidRDefault="00FD3BE4" w:rsidP="001F004E">
      <w:pPr>
        <w:spacing w:before="0" w:after="0"/>
        <w:ind w:left="425"/>
        <w:rPr>
          <w:b/>
          <w:szCs w:val="20"/>
        </w:rPr>
      </w:pPr>
      <w:r w:rsidRPr="00FD3BE4">
        <w:rPr>
          <w:b/>
          <w:szCs w:val="20"/>
        </w:rPr>
        <w:t xml:space="preserve">Diffuse Large B </w:t>
      </w:r>
      <w:proofErr w:type="gramStart"/>
      <w:r w:rsidRPr="00FD3BE4">
        <w:rPr>
          <w:b/>
          <w:szCs w:val="20"/>
        </w:rPr>
        <w:t>Cell</w:t>
      </w:r>
      <w:proofErr w:type="gramEnd"/>
      <w:r w:rsidRPr="00FD3BE4">
        <w:rPr>
          <w:b/>
          <w:szCs w:val="20"/>
        </w:rPr>
        <w:t xml:space="preserve"> Lymphoma</w:t>
      </w:r>
    </w:p>
    <w:p w14:paraId="1ABEC64A" w14:textId="77777777" w:rsidR="007A45BA" w:rsidRPr="001F004E" w:rsidRDefault="007A45BA" w:rsidP="001F004E">
      <w:pPr>
        <w:spacing w:before="0" w:after="0"/>
        <w:ind w:left="425"/>
        <w:rPr>
          <w:szCs w:val="20"/>
        </w:rPr>
      </w:pPr>
      <w:r w:rsidRPr="001F004E">
        <w:rPr>
          <w:szCs w:val="20"/>
        </w:rPr>
        <w:t xml:space="preserve">The clinical management pathway after the comparator is the selection of DLBCL therapy based on histological diagnosis using current methods (routine histology and IHC). </w:t>
      </w:r>
    </w:p>
    <w:p w14:paraId="0A2B67F9" w14:textId="23C9C061" w:rsidR="00FD3BE4" w:rsidRPr="001F004E" w:rsidRDefault="007A45BA" w:rsidP="001F004E">
      <w:pPr>
        <w:spacing w:before="0" w:after="0"/>
        <w:ind w:left="425"/>
        <w:rPr>
          <w:szCs w:val="20"/>
        </w:rPr>
      </w:pPr>
      <w:r w:rsidRPr="001F004E">
        <w:rPr>
          <w:szCs w:val="20"/>
        </w:rPr>
        <w:t>Double hit DLBCL is not identified accurately by IHC. Selection of therapy is made on incomplete information. This may result in inappropriate therapy and patient harm.</w:t>
      </w:r>
    </w:p>
    <w:p w14:paraId="01CC91F3" w14:textId="77777777" w:rsidR="001F004E" w:rsidRDefault="001F004E" w:rsidP="001F004E">
      <w:pPr>
        <w:spacing w:before="0" w:after="0"/>
        <w:ind w:left="425"/>
        <w:rPr>
          <w:b/>
          <w:szCs w:val="20"/>
        </w:rPr>
      </w:pPr>
    </w:p>
    <w:p w14:paraId="767D1E0F" w14:textId="5CD8BCB7" w:rsidR="007A45BA" w:rsidRDefault="007A45BA" w:rsidP="001F004E">
      <w:pPr>
        <w:spacing w:before="0" w:after="0"/>
        <w:ind w:left="425"/>
        <w:rPr>
          <w:b/>
          <w:szCs w:val="20"/>
        </w:rPr>
      </w:pPr>
      <w:r w:rsidRPr="007A45BA">
        <w:rPr>
          <w:b/>
          <w:szCs w:val="20"/>
        </w:rPr>
        <w:t>Multiple Myeloma</w:t>
      </w:r>
    </w:p>
    <w:p w14:paraId="0F023B5F" w14:textId="77777777" w:rsidR="001F004E" w:rsidRPr="001F004E" w:rsidRDefault="001F004E" w:rsidP="001F004E">
      <w:pPr>
        <w:spacing w:before="0" w:after="0"/>
        <w:ind w:left="425"/>
        <w:rPr>
          <w:szCs w:val="20"/>
        </w:rPr>
      </w:pPr>
      <w:r w:rsidRPr="001F004E">
        <w:rPr>
          <w:szCs w:val="20"/>
        </w:rPr>
        <w:lastRenderedPageBreak/>
        <w:t xml:space="preserve">The clinical management pathway after the comparator is the selection of plasma cell myeloma therapy based on histological diagnosis using current methods. </w:t>
      </w:r>
    </w:p>
    <w:p w14:paraId="743BC5FC" w14:textId="37118A39" w:rsidR="007A45BA" w:rsidRPr="001F004E" w:rsidRDefault="001F004E" w:rsidP="001F004E">
      <w:pPr>
        <w:spacing w:before="0" w:after="0"/>
        <w:ind w:left="425"/>
        <w:rPr>
          <w:szCs w:val="20"/>
        </w:rPr>
      </w:pPr>
      <w:r w:rsidRPr="001F004E">
        <w:rPr>
          <w:szCs w:val="20"/>
        </w:rPr>
        <w:t>Molecular subtypes are not identified completely. Selection of therapy is made on incomplete information. Inappropriate treatment may be selection resulting in ineffective therapy or patient harm</w:t>
      </w:r>
      <w:r>
        <w:rPr>
          <w:szCs w:val="20"/>
        </w:rPr>
        <w:t>.</w:t>
      </w:r>
    </w:p>
    <w:p w14:paraId="0241314F" w14:textId="77777777" w:rsidR="007A45BA" w:rsidRPr="007A45BA" w:rsidRDefault="007A45BA" w:rsidP="001F004E">
      <w:pPr>
        <w:spacing w:before="0" w:after="0"/>
        <w:ind w:left="425"/>
        <w:rPr>
          <w:b/>
          <w:szCs w:val="20"/>
        </w:rPr>
      </w:pPr>
    </w:p>
    <w:p w14:paraId="2E4E8EFA" w14:textId="38F719AA" w:rsidR="00FD3BE4" w:rsidRDefault="007A45BA" w:rsidP="001F004E">
      <w:pPr>
        <w:spacing w:before="0" w:after="0"/>
        <w:ind w:left="425"/>
        <w:rPr>
          <w:b/>
          <w:szCs w:val="20"/>
        </w:rPr>
      </w:pPr>
      <w:r w:rsidRPr="007A45BA">
        <w:rPr>
          <w:b/>
          <w:szCs w:val="20"/>
        </w:rPr>
        <w:t>Non-Hodgkin Lymphoma</w:t>
      </w:r>
    </w:p>
    <w:p w14:paraId="4E46F089" w14:textId="77777777" w:rsidR="001F004E" w:rsidRPr="001F004E" w:rsidRDefault="001F004E" w:rsidP="001F004E">
      <w:pPr>
        <w:spacing w:before="0" w:after="0"/>
        <w:ind w:left="425"/>
        <w:rPr>
          <w:szCs w:val="20"/>
        </w:rPr>
      </w:pPr>
      <w:r w:rsidRPr="001F004E">
        <w:rPr>
          <w:szCs w:val="20"/>
        </w:rPr>
        <w:t xml:space="preserve">The clinical management pathway after the comparator is the selection of cancer therapy based on histological diagnosis using current methods. </w:t>
      </w:r>
    </w:p>
    <w:p w14:paraId="1286A565" w14:textId="77777777" w:rsidR="001F004E" w:rsidRPr="001F004E" w:rsidRDefault="001F004E" w:rsidP="001F004E">
      <w:pPr>
        <w:spacing w:before="0" w:after="0"/>
        <w:ind w:left="425"/>
        <w:rPr>
          <w:szCs w:val="20"/>
        </w:rPr>
      </w:pPr>
      <w:r w:rsidRPr="001F004E">
        <w:rPr>
          <w:szCs w:val="20"/>
        </w:rPr>
        <w:t>Molecular subtypes are not identified completely. Selection of therapy is made on incomplete information. Inappropriate treatment may be selection resulting in ineffective therapy or patient harm.</w:t>
      </w:r>
    </w:p>
    <w:p w14:paraId="14772472" w14:textId="77777777" w:rsidR="001F004E" w:rsidRDefault="001F004E" w:rsidP="001F004E">
      <w:pPr>
        <w:spacing w:before="0" w:after="0"/>
        <w:ind w:left="425"/>
        <w:rPr>
          <w:szCs w:val="20"/>
        </w:rPr>
      </w:pPr>
    </w:p>
    <w:p w14:paraId="5B0FFD2C" w14:textId="53C05484" w:rsidR="00FD3BE4" w:rsidRPr="001F004E" w:rsidRDefault="001F004E" w:rsidP="001F004E">
      <w:pPr>
        <w:spacing w:before="0" w:after="0"/>
        <w:ind w:left="425"/>
        <w:rPr>
          <w:szCs w:val="20"/>
        </w:rPr>
      </w:pPr>
      <w:r w:rsidRPr="001F004E">
        <w:rPr>
          <w:szCs w:val="20"/>
        </w:rPr>
        <w:t xml:space="preserve">See Appendix </w:t>
      </w:r>
      <w:proofErr w:type="gramStart"/>
      <w:r w:rsidRPr="001F004E">
        <w:rPr>
          <w:szCs w:val="20"/>
        </w:rPr>
        <w:t>A</w:t>
      </w:r>
      <w:proofErr w:type="gramEnd"/>
      <w:r w:rsidRPr="001F004E">
        <w:rPr>
          <w:szCs w:val="20"/>
        </w:rPr>
        <w:t xml:space="preserve"> Flowcharts</w:t>
      </w:r>
    </w:p>
    <w:p w14:paraId="04005D2F"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1D037CEA" w14:textId="4AF7D3A1" w:rsidR="001B29A1" w:rsidRDefault="001F004E"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46A08">
        <w:rPr>
          <w:szCs w:val="20"/>
        </w:rPr>
      </w:r>
      <w:r w:rsidR="00746A08">
        <w:rPr>
          <w:szCs w:val="20"/>
        </w:rPr>
        <w:fldChar w:fldCharType="separate"/>
      </w:r>
      <w:r>
        <w:rPr>
          <w:szCs w:val="20"/>
        </w:rPr>
        <w:fldChar w:fldCharType="end"/>
      </w:r>
      <w:r w:rsidR="001B29A1">
        <w:rPr>
          <w:szCs w:val="20"/>
        </w:rPr>
        <w:t xml:space="preserve"> Yes </w:t>
      </w:r>
    </w:p>
    <w:p w14:paraId="29DBD043" w14:textId="77777777"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746A08">
        <w:rPr>
          <w:szCs w:val="20"/>
        </w:rPr>
      </w:r>
      <w:r w:rsidR="00746A08">
        <w:rPr>
          <w:szCs w:val="20"/>
        </w:rPr>
        <w:fldChar w:fldCharType="separate"/>
      </w:r>
      <w:r w:rsidRPr="00753C44">
        <w:rPr>
          <w:szCs w:val="20"/>
        </w:rPr>
        <w:fldChar w:fldCharType="end"/>
      </w:r>
      <w:r>
        <w:rPr>
          <w:szCs w:val="20"/>
        </w:rPr>
        <w:t xml:space="preserve"> No  </w:t>
      </w:r>
    </w:p>
    <w:p w14:paraId="70D1571B" w14:textId="77777777"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2A078C90" w14:textId="5AAFA888" w:rsidR="003433D1" w:rsidRPr="001F004E" w:rsidRDefault="001F004E" w:rsidP="001F004E">
      <w:pPr>
        <w:spacing w:before="0" w:after="0"/>
        <w:ind w:left="425"/>
        <w:rPr>
          <w:b/>
          <w:szCs w:val="20"/>
        </w:rPr>
      </w:pPr>
      <w:r w:rsidRPr="001F004E">
        <w:rPr>
          <w:b/>
          <w:szCs w:val="20"/>
        </w:rPr>
        <w:t xml:space="preserve">Diffuse Large B </w:t>
      </w:r>
      <w:proofErr w:type="gramStart"/>
      <w:r w:rsidRPr="001F004E">
        <w:rPr>
          <w:b/>
          <w:szCs w:val="20"/>
        </w:rPr>
        <w:t>Cell</w:t>
      </w:r>
      <w:proofErr w:type="gramEnd"/>
      <w:r w:rsidRPr="001F004E">
        <w:rPr>
          <w:b/>
          <w:szCs w:val="20"/>
        </w:rPr>
        <w:t xml:space="preserve"> Lymphoma</w:t>
      </w:r>
    </w:p>
    <w:p w14:paraId="1FE15EE5" w14:textId="65044551" w:rsidR="001F004E" w:rsidRDefault="001F004E" w:rsidP="001F004E">
      <w:pPr>
        <w:spacing w:before="0" w:after="0"/>
        <w:ind w:left="425"/>
        <w:rPr>
          <w:szCs w:val="20"/>
        </w:rPr>
      </w:pPr>
      <w:r w:rsidRPr="001F004E">
        <w:rPr>
          <w:szCs w:val="20"/>
        </w:rPr>
        <w:t>Detection of gene rearrangements in MYC, BCL2 and BCL6 would be required in addition to current service/comparator (tissue histology and immunohistochemistry) for the diagnosis of double-hit DLBCL.</w:t>
      </w:r>
    </w:p>
    <w:p w14:paraId="60C97003" w14:textId="77777777" w:rsidR="001F004E" w:rsidRDefault="001F004E" w:rsidP="001F004E">
      <w:pPr>
        <w:spacing w:before="0" w:after="0"/>
        <w:ind w:left="425"/>
        <w:rPr>
          <w:szCs w:val="20"/>
        </w:rPr>
      </w:pPr>
    </w:p>
    <w:p w14:paraId="4E8C6BF2" w14:textId="03D6C17C" w:rsidR="001F004E" w:rsidRPr="001F004E" w:rsidRDefault="001F004E" w:rsidP="001F004E">
      <w:pPr>
        <w:spacing w:before="0" w:after="0"/>
        <w:ind w:left="425"/>
        <w:rPr>
          <w:b/>
          <w:szCs w:val="20"/>
        </w:rPr>
      </w:pPr>
      <w:r w:rsidRPr="001F004E">
        <w:rPr>
          <w:b/>
          <w:szCs w:val="20"/>
        </w:rPr>
        <w:t>Multiple Myeloma</w:t>
      </w:r>
    </w:p>
    <w:p w14:paraId="2B417272" w14:textId="7C160B5C" w:rsidR="001F004E" w:rsidRPr="001F004E" w:rsidRDefault="001F004E" w:rsidP="001F004E">
      <w:pPr>
        <w:spacing w:before="0" w:after="0"/>
        <w:ind w:left="425"/>
        <w:rPr>
          <w:b/>
          <w:szCs w:val="20"/>
        </w:rPr>
      </w:pPr>
      <w:r w:rsidRPr="001F004E">
        <w:rPr>
          <w:b/>
          <w:szCs w:val="20"/>
        </w:rPr>
        <w:t>Non-Hodgkin Lymphoma</w:t>
      </w:r>
    </w:p>
    <w:p w14:paraId="5CCC8D09" w14:textId="6DBD74BF" w:rsidR="001F004E" w:rsidRDefault="001F004E" w:rsidP="001F004E">
      <w:pPr>
        <w:spacing w:before="0" w:after="0"/>
        <w:ind w:left="425"/>
        <w:rPr>
          <w:szCs w:val="20"/>
        </w:rPr>
      </w:pPr>
      <w:r w:rsidRPr="001F004E">
        <w:rPr>
          <w:szCs w:val="20"/>
        </w:rPr>
        <w:t>Detection of somatic gene rearrangements, copy number aberrations and/or mutations would be required in addition to current service/comparator.</w:t>
      </w:r>
    </w:p>
    <w:p w14:paraId="7EA83D8F"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174EA192" w14:textId="1A3D39C1" w:rsidR="0054594B" w:rsidRDefault="001F004E" w:rsidP="001F004E">
      <w:pPr>
        <w:pStyle w:val="ListParagraph"/>
        <w:spacing w:before="0" w:after="0"/>
        <w:ind w:left="360"/>
        <w:rPr>
          <w:b/>
          <w:szCs w:val="20"/>
        </w:rPr>
      </w:pPr>
      <w:r w:rsidRPr="001F004E">
        <w:rPr>
          <w:b/>
          <w:szCs w:val="20"/>
        </w:rPr>
        <w:t xml:space="preserve">Diffuse Large B </w:t>
      </w:r>
      <w:proofErr w:type="gramStart"/>
      <w:r w:rsidRPr="001F004E">
        <w:rPr>
          <w:b/>
          <w:szCs w:val="20"/>
        </w:rPr>
        <w:t>Cell</w:t>
      </w:r>
      <w:proofErr w:type="gramEnd"/>
      <w:r w:rsidRPr="001F004E">
        <w:rPr>
          <w:b/>
          <w:szCs w:val="20"/>
        </w:rPr>
        <w:t xml:space="preserve"> Lymphoma</w:t>
      </w:r>
    </w:p>
    <w:p w14:paraId="6863A995" w14:textId="6189E357" w:rsidR="001F004E" w:rsidRDefault="001F004E" w:rsidP="001F004E">
      <w:pPr>
        <w:pStyle w:val="ListParagraph"/>
        <w:spacing w:before="0" w:after="0"/>
        <w:ind w:left="360"/>
        <w:rPr>
          <w:szCs w:val="20"/>
        </w:rPr>
      </w:pPr>
      <w:r w:rsidRPr="00DD0C6C">
        <w:rPr>
          <w:szCs w:val="20"/>
        </w:rPr>
        <w:t>Pathological investigation of lymphoma diagnosed as DLBCL will be extended to assess whether there is a “double hit” rearrangement of MYC gene plus BCL2 or BCL6. Decisions on the most appropriate chemotherapy will be informed by this information.</w:t>
      </w:r>
    </w:p>
    <w:p w14:paraId="01E369A9" w14:textId="429074F9" w:rsidR="001F004E" w:rsidRDefault="001F004E" w:rsidP="001F004E">
      <w:pPr>
        <w:pStyle w:val="ListParagraph"/>
        <w:spacing w:before="0" w:after="0"/>
        <w:ind w:left="360"/>
        <w:rPr>
          <w:szCs w:val="20"/>
        </w:rPr>
      </w:pPr>
    </w:p>
    <w:p w14:paraId="59C4ACBF" w14:textId="77777777" w:rsidR="001F004E" w:rsidRPr="001F004E" w:rsidRDefault="001F004E" w:rsidP="001F004E">
      <w:pPr>
        <w:spacing w:before="0" w:after="0"/>
        <w:ind w:left="425"/>
        <w:rPr>
          <w:b/>
          <w:szCs w:val="20"/>
        </w:rPr>
      </w:pPr>
      <w:r w:rsidRPr="001F004E">
        <w:rPr>
          <w:b/>
          <w:szCs w:val="20"/>
        </w:rPr>
        <w:t>Multiple Myeloma</w:t>
      </w:r>
    </w:p>
    <w:p w14:paraId="3AE43A85" w14:textId="75D1D2BD" w:rsidR="001F004E" w:rsidRDefault="001F004E" w:rsidP="001F004E">
      <w:pPr>
        <w:pStyle w:val="ListParagraph"/>
        <w:spacing w:before="0" w:after="0"/>
        <w:ind w:left="360"/>
        <w:rPr>
          <w:szCs w:val="20"/>
        </w:rPr>
      </w:pPr>
      <w:r>
        <w:rPr>
          <w:szCs w:val="20"/>
        </w:rPr>
        <w:t xml:space="preserve">Pathological investigation of tumour tissue will be extended to provide further diagnostic and prognostic information. Therapeutic interventions for </w:t>
      </w:r>
      <w:r w:rsidRPr="00B20048">
        <w:rPr>
          <w:szCs w:val="20"/>
        </w:rPr>
        <w:t>plasma cell myeloma</w:t>
      </w:r>
      <w:r>
        <w:rPr>
          <w:szCs w:val="20"/>
        </w:rPr>
        <w:t xml:space="preserve"> the patient by surgery, chemotherapy and/or radiotherapy may be affected by this information.</w:t>
      </w:r>
    </w:p>
    <w:p w14:paraId="0D8E868A" w14:textId="5B8D0345" w:rsidR="001F004E" w:rsidRDefault="001F004E" w:rsidP="001F004E">
      <w:pPr>
        <w:pStyle w:val="ListParagraph"/>
        <w:spacing w:before="0" w:after="0"/>
        <w:ind w:left="360"/>
        <w:rPr>
          <w:szCs w:val="20"/>
        </w:rPr>
      </w:pPr>
    </w:p>
    <w:p w14:paraId="2E9072B2" w14:textId="77777777" w:rsidR="001F004E" w:rsidRPr="001F004E" w:rsidRDefault="001F004E" w:rsidP="001F004E">
      <w:pPr>
        <w:spacing w:before="0" w:after="0"/>
        <w:ind w:left="425"/>
        <w:rPr>
          <w:b/>
          <w:szCs w:val="20"/>
        </w:rPr>
      </w:pPr>
      <w:r w:rsidRPr="001F004E">
        <w:rPr>
          <w:b/>
          <w:szCs w:val="20"/>
        </w:rPr>
        <w:t>Non-Hodgkin Lymphoma</w:t>
      </w:r>
    </w:p>
    <w:p w14:paraId="4BC35E62" w14:textId="1F9F1CE2" w:rsidR="001F004E" w:rsidRPr="00154B00" w:rsidRDefault="001F004E" w:rsidP="001F004E">
      <w:pPr>
        <w:pStyle w:val="ListParagraph"/>
        <w:spacing w:before="0" w:after="0"/>
        <w:ind w:left="360"/>
        <w:rPr>
          <w:b/>
          <w:szCs w:val="20"/>
        </w:rPr>
      </w:pPr>
      <w:r>
        <w:rPr>
          <w:szCs w:val="20"/>
        </w:rPr>
        <w:t>Pathological investigation of tumour tissue will be extended to provide further diagnostic and prognostic information. Therapeutic interventions for the patient with subtypes of NHL by chemotherapy and/or radiotherapy may be affected by this information.</w:t>
      </w:r>
    </w:p>
    <w:p w14:paraId="117B440B" w14:textId="77777777" w:rsidR="001B29A1" w:rsidRDefault="001B29A1" w:rsidP="00881F93">
      <w:pPr>
        <w:rPr>
          <w:b/>
          <w:i/>
          <w:szCs w:val="20"/>
          <w:u w:val="single"/>
        </w:rPr>
      </w:pPr>
      <w:r>
        <w:rPr>
          <w:b/>
          <w:i/>
          <w:szCs w:val="20"/>
          <w:u w:val="single"/>
        </w:rPr>
        <w:br w:type="page"/>
      </w:r>
    </w:p>
    <w:p w14:paraId="40EE0754"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069BF73D"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28688AD8" w14:textId="6AFB54CA" w:rsidR="004E3CC7" w:rsidRDefault="001F004E" w:rsidP="00C00C3F">
      <w:pPr>
        <w:spacing w:before="0" w:after="0"/>
        <w:ind w:left="425"/>
        <w:rPr>
          <w:szCs w:val="20"/>
        </w:rPr>
      </w:pPr>
      <w:r w:rsidRPr="001F004E">
        <w:rPr>
          <w:b/>
          <w:szCs w:val="20"/>
        </w:rPr>
        <w:t xml:space="preserve">Diffuse Large B </w:t>
      </w:r>
      <w:proofErr w:type="gramStart"/>
      <w:r w:rsidRPr="001F004E">
        <w:rPr>
          <w:b/>
          <w:szCs w:val="20"/>
        </w:rPr>
        <w:t>Cell</w:t>
      </w:r>
      <w:proofErr w:type="gramEnd"/>
      <w:r w:rsidRPr="001F004E">
        <w:rPr>
          <w:b/>
          <w:szCs w:val="20"/>
        </w:rPr>
        <w:t xml:space="preserve"> Lymphoma</w:t>
      </w:r>
    </w:p>
    <w:p w14:paraId="6EFA44F1" w14:textId="77777777" w:rsidR="001F004E" w:rsidRPr="001F004E" w:rsidRDefault="001F004E" w:rsidP="00C00C3F">
      <w:pPr>
        <w:spacing w:before="0" w:after="0"/>
        <w:ind w:left="425"/>
        <w:rPr>
          <w:szCs w:val="20"/>
        </w:rPr>
      </w:pPr>
      <w:r w:rsidRPr="001F004E">
        <w:rPr>
          <w:szCs w:val="20"/>
        </w:rPr>
        <w:t xml:space="preserve">Currently, there is no MBS, other public funding or private health insurance for this medical service. </w:t>
      </w:r>
    </w:p>
    <w:p w14:paraId="332E7FC4" w14:textId="1233D38E" w:rsidR="001F004E" w:rsidRDefault="001F004E" w:rsidP="00C00C3F">
      <w:pPr>
        <w:spacing w:before="0" w:after="0"/>
        <w:ind w:left="425"/>
        <w:rPr>
          <w:szCs w:val="20"/>
        </w:rPr>
      </w:pPr>
      <w:r w:rsidRPr="001F004E">
        <w:rPr>
          <w:szCs w:val="20"/>
        </w:rPr>
        <w:t>The identification of gene rearrangements involving MYC and/or BCL2 and BCL6 in diffuse large B cell lymphomas is necessary for accurate classification and critically informs the choice of appropriate chemotherapy.</w:t>
      </w:r>
    </w:p>
    <w:p w14:paraId="3EB2B7A2" w14:textId="77777777" w:rsidR="00C00C3F" w:rsidRPr="00C00C3F" w:rsidRDefault="00C00C3F" w:rsidP="00C00C3F">
      <w:pPr>
        <w:spacing w:before="0" w:after="0"/>
        <w:ind w:left="425"/>
        <w:rPr>
          <w:b/>
          <w:szCs w:val="20"/>
        </w:rPr>
      </w:pPr>
    </w:p>
    <w:p w14:paraId="34D23B79" w14:textId="42B1EBE0" w:rsidR="001F004E" w:rsidRPr="00C00C3F" w:rsidRDefault="001F004E" w:rsidP="00C00C3F">
      <w:pPr>
        <w:spacing w:before="0" w:after="0"/>
        <w:ind w:left="425"/>
        <w:rPr>
          <w:b/>
          <w:szCs w:val="20"/>
        </w:rPr>
      </w:pPr>
      <w:r w:rsidRPr="00C00C3F">
        <w:rPr>
          <w:b/>
          <w:szCs w:val="20"/>
        </w:rPr>
        <w:t>Multiple Myeloma</w:t>
      </w:r>
    </w:p>
    <w:p w14:paraId="474CCB7E" w14:textId="00404F9A" w:rsidR="001F004E" w:rsidRPr="00C00C3F" w:rsidRDefault="001F004E" w:rsidP="00C00C3F">
      <w:pPr>
        <w:spacing w:before="0" w:after="0"/>
        <w:ind w:left="425"/>
        <w:rPr>
          <w:b/>
          <w:szCs w:val="20"/>
        </w:rPr>
      </w:pPr>
      <w:r w:rsidRPr="00C00C3F">
        <w:rPr>
          <w:b/>
          <w:szCs w:val="20"/>
        </w:rPr>
        <w:t>Non-Hodgkin Lymphoma</w:t>
      </w:r>
    </w:p>
    <w:p w14:paraId="32A82BB0" w14:textId="14CDD9A9" w:rsidR="001F004E" w:rsidRPr="001F004E" w:rsidRDefault="001F004E" w:rsidP="00C00C3F">
      <w:pPr>
        <w:spacing w:before="0" w:after="0"/>
        <w:ind w:left="425"/>
        <w:rPr>
          <w:szCs w:val="20"/>
        </w:rPr>
      </w:pPr>
      <w:r w:rsidRPr="001F004E">
        <w:rPr>
          <w:szCs w:val="20"/>
        </w:rPr>
        <w:t>Currently, there is no MBS, other public funding or private health insurance for this medical service. Tissue pathology (H&amp;E and IHC) and standard haematology testing often require additional molecular investigations for a range of rare and difficult to diagnose cancers. Detection of somatic gene rearrangements, copy number aberrations and/or mutations are recommended locally and internationally as best practice for the diagnosis of plasma cell myeloma</w:t>
      </w:r>
      <w:r w:rsidR="00C00C3F">
        <w:rPr>
          <w:szCs w:val="20"/>
        </w:rPr>
        <w:t>/NHL</w:t>
      </w:r>
      <w:r w:rsidRPr="001F004E">
        <w:rPr>
          <w:szCs w:val="20"/>
        </w:rPr>
        <w:t xml:space="preserve">, the appropriate selection of treatment, indicating disease prognosis and monitoring therapeutic outcomes. </w:t>
      </w:r>
    </w:p>
    <w:p w14:paraId="07D3BBBA" w14:textId="77777777" w:rsidR="00C00C3F" w:rsidRDefault="00C00C3F" w:rsidP="00C00C3F">
      <w:pPr>
        <w:spacing w:before="0" w:after="0"/>
        <w:ind w:left="425"/>
        <w:rPr>
          <w:szCs w:val="20"/>
        </w:rPr>
      </w:pPr>
    </w:p>
    <w:p w14:paraId="5DAD525C" w14:textId="3D65DCC8" w:rsidR="001F004E" w:rsidRDefault="001F004E" w:rsidP="00C00C3F">
      <w:pPr>
        <w:spacing w:before="0" w:after="0"/>
        <w:ind w:left="425"/>
        <w:rPr>
          <w:szCs w:val="20"/>
        </w:rPr>
      </w:pPr>
      <w:r w:rsidRPr="001F004E">
        <w:rPr>
          <w:szCs w:val="20"/>
        </w:rPr>
        <w:t>The identification of pathognomonic gene changes is of particular use when diagnosing tumours on limited biopsy material and can impart greater diagnostic certainty without the need for more invasive biopsy and other investigation and/or staging tests which may be invasive (e.g. endoscopy</w:t>
      </w:r>
      <w:r w:rsidR="00C00C3F">
        <w:rPr>
          <w:szCs w:val="20"/>
        </w:rPr>
        <w:t>/bone marrow trephine</w:t>
      </w:r>
      <w:r w:rsidRPr="001F004E">
        <w:rPr>
          <w:szCs w:val="20"/>
        </w:rPr>
        <w:t>) and attendant increased costs and risks to the patient. The use of such assays can also decrease the risk of misdiagnosis and subsequent negative outcomes for the patient undergoing inappropriate treatment.</w:t>
      </w:r>
    </w:p>
    <w:p w14:paraId="4DA35656"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0E34013B" w14:textId="72CE2495" w:rsidR="001B29A1" w:rsidRPr="001B29A1" w:rsidRDefault="00C00C3F"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46A08">
        <w:rPr>
          <w:szCs w:val="20"/>
        </w:rPr>
      </w:r>
      <w:r w:rsidR="00746A08">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7C1FDBB1"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746A08">
        <w:rPr>
          <w:szCs w:val="20"/>
        </w:rPr>
      </w:r>
      <w:r w:rsidR="00746A08">
        <w:rPr>
          <w:szCs w:val="20"/>
        </w:rPr>
        <w:fldChar w:fldCharType="separate"/>
      </w:r>
      <w:r w:rsidRPr="001B29A1">
        <w:rPr>
          <w:szCs w:val="20"/>
        </w:rPr>
        <w:fldChar w:fldCharType="end"/>
      </w:r>
      <w:r w:rsidRPr="001B29A1">
        <w:rPr>
          <w:szCs w:val="20"/>
        </w:rPr>
        <w:t xml:space="preserve"> Non-inferiority</w:t>
      </w:r>
      <w:r w:rsidRPr="001B29A1">
        <w:rPr>
          <w:szCs w:val="20"/>
        </w:rPr>
        <w:tab/>
      </w:r>
    </w:p>
    <w:p w14:paraId="6D3C1C65"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361A3BB7" w14:textId="78738654" w:rsidR="001B29A1" w:rsidRPr="00C00C3F" w:rsidRDefault="001B29A1" w:rsidP="001B29A1">
      <w:pPr>
        <w:pBdr>
          <w:top w:val="single" w:sz="4" w:space="1" w:color="auto"/>
          <w:left w:val="single" w:sz="4" w:space="4" w:color="auto"/>
          <w:bottom w:val="single" w:sz="4" w:space="1" w:color="auto"/>
          <w:right w:val="single" w:sz="4" w:space="4" w:color="auto"/>
        </w:pBdr>
        <w:rPr>
          <w:b/>
          <w:i/>
          <w:szCs w:val="20"/>
        </w:rPr>
      </w:pPr>
      <w:r w:rsidRPr="00C00C3F">
        <w:rPr>
          <w:b/>
          <w:i/>
          <w:szCs w:val="20"/>
        </w:rPr>
        <w:t xml:space="preserve">Safety Outcomes: </w:t>
      </w:r>
    </w:p>
    <w:p w14:paraId="02F54971" w14:textId="59A4AAFD" w:rsidR="00C00C3F" w:rsidRDefault="00C00C3F" w:rsidP="00C00C3F">
      <w:pPr>
        <w:pBdr>
          <w:top w:val="single" w:sz="4" w:space="1" w:color="auto"/>
          <w:left w:val="single" w:sz="4" w:space="4" w:color="auto"/>
          <w:bottom w:val="single" w:sz="4" w:space="1" w:color="auto"/>
          <w:right w:val="single" w:sz="4" w:space="4" w:color="auto"/>
        </w:pBdr>
        <w:spacing w:before="0" w:after="0"/>
        <w:rPr>
          <w:b/>
          <w:szCs w:val="20"/>
        </w:rPr>
      </w:pPr>
      <w:r w:rsidRPr="00C00C3F">
        <w:rPr>
          <w:b/>
          <w:szCs w:val="20"/>
        </w:rPr>
        <w:t xml:space="preserve">Diffuse Large B </w:t>
      </w:r>
      <w:proofErr w:type="gramStart"/>
      <w:r w:rsidRPr="00C00C3F">
        <w:rPr>
          <w:b/>
          <w:szCs w:val="20"/>
        </w:rPr>
        <w:t>Cell</w:t>
      </w:r>
      <w:proofErr w:type="gramEnd"/>
      <w:r w:rsidRPr="00C00C3F">
        <w:rPr>
          <w:b/>
          <w:szCs w:val="20"/>
        </w:rPr>
        <w:t xml:space="preserve"> Lymphoma</w:t>
      </w:r>
    </w:p>
    <w:p w14:paraId="61ED71D2" w14:textId="77777777" w:rsidR="00C00C3F" w:rsidRPr="00C00C3F" w:rsidRDefault="00C00C3F" w:rsidP="00C00C3F">
      <w:pPr>
        <w:pBdr>
          <w:top w:val="single" w:sz="4" w:space="1" w:color="auto"/>
          <w:left w:val="single" w:sz="4" w:space="4" w:color="auto"/>
          <w:bottom w:val="single" w:sz="4" w:space="1" w:color="auto"/>
          <w:right w:val="single" w:sz="4" w:space="4" w:color="auto"/>
        </w:pBdr>
        <w:spacing w:before="0" w:after="0"/>
        <w:rPr>
          <w:szCs w:val="20"/>
        </w:rPr>
      </w:pPr>
      <w:r w:rsidRPr="00C00C3F">
        <w:rPr>
          <w:szCs w:val="20"/>
        </w:rPr>
        <w:t>The proposed test involves equivalent safety issues to current tissue pathology and haematology investigations.</w:t>
      </w:r>
    </w:p>
    <w:p w14:paraId="0A9603C2" w14:textId="6D346545" w:rsidR="00C00C3F" w:rsidRPr="00C00C3F" w:rsidRDefault="00C00C3F" w:rsidP="00C00C3F">
      <w:pPr>
        <w:pBdr>
          <w:top w:val="single" w:sz="4" w:space="1" w:color="auto"/>
          <w:left w:val="single" w:sz="4" w:space="4" w:color="auto"/>
          <w:bottom w:val="single" w:sz="4" w:space="1" w:color="auto"/>
          <w:right w:val="single" w:sz="4" w:space="4" w:color="auto"/>
        </w:pBdr>
        <w:spacing w:before="0" w:after="0"/>
        <w:rPr>
          <w:szCs w:val="20"/>
        </w:rPr>
      </w:pPr>
      <w:r w:rsidRPr="00C00C3F">
        <w:rPr>
          <w:szCs w:val="20"/>
        </w:rPr>
        <w:t>The absence of suitable tests can lead to inappropriate classification of the lymphoma, with the patient potentially receiving either inadequate or inappropriate treatment with poorer outcome.</w:t>
      </w:r>
    </w:p>
    <w:p w14:paraId="4EA0AE1C" w14:textId="77777777" w:rsidR="00C00C3F" w:rsidRDefault="00C00C3F" w:rsidP="00C00C3F">
      <w:pPr>
        <w:pBdr>
          <w:top w:val="single" w:sz="4" w:space="1" w:color="auto"/>
          <w:left w:val="single" w:sz="4" w:space="4" w:color="auto"/>
          <w:bottom w:val="single" w:sz="4" w:space="1" w:color="auto"/>
          <w:right w:val="single" w:sz="4" w:space="4" w:color="auto"/>
        </w:pBdr>
        <w:spacing w:before="0" w:after="0"/>
        <w:rPr>
          <w:b/>
          <w:szCs w:val="20"/>
        </w:rPr>
      </w:pPr>
    </w:p>
    <w:p w14:paraId="06BE2EF9" w14:textId="4CB81F96" w:rsidR="00C00C3F" w:rsidRPr="00C00C3F" w:rsidRDefault="00C00C3F" w:rsidP="00C00C3F">
      <w:pPr>
        <w:pBdr>
          <w:top w:val="single" w:sz="4" w:space="1" w:color="auto"/>
          <w:left w:val="single" w:sz="4" w:space="4" w:color="auto"/>
          <w:bottom w:val="single" w:sz="4" w:space="1" w:color="auto"/>
          <w:right w:val="single" w:sz="4" w:space="4" w:color="auto"/>
        </w:pBdr>
        <w:spacing w:before="0" w:after="0"/>
        <w:rPr>
          <w:b/>
          <w:szCs w:val="20"/>
        </w:rPr>
      </w:pPr>
      <w:r w:rsidRPr="00C00C3F">
        <w:rPr>
          <w:b/>
          <w:szCs w:val="20"/>
        </w:rPr>
        <w:t>Multiple Myeloma</w:t>
      </w:r>
    </w:p>
    <w:p w14:paraId="27719A0C" w14:textId="491CABFF" w:rsidR="001B29A1" w:rsidRDefault="00C00C3F" w:rsidP="00C00C3F">
      <w:pPr>
        <w:pBdr>
          <w:top w:val="single" w:sz="4" w:space="1" w:color="auto"/>
          <w:left w:val="single" w:sz="4" w:space="4" w:color="auto"/>
          <w:bottom w:val="single" w:sz="4" w:space="1" w:color="auto"/>
          <w:right w:val="single" w:sz="4" w:space="4" w:color="auto"/>
        </w:pBdr>
        <w:spacing w:before="0" w:after="0"/>
        <w:rPr>
          <w:b/>
          <w:szCs w:val="20"/>
        </w:rPr>
      </w:pPr>
      <w:r w:rsidRPr="00C00C3F">
        <w:rPr>
          <w:b/>
          <w:szCs w:val="20"/>
        </w:rPr>
        <w:t>Non-Hodgkin Lymphoma</w:t>
      </w:r>
    </w:p>
    <w:p w14:paraId="3AA55ACB" w14:textId="77777777" w:rsidR="00C00C3F" w:rsidRPr="00C00C3F" w:rsidRDefault="00C00C3F" w:rsidP="00C00C3F">
      <w:pPr>
        <w:pBdr>
          <w:top w:val="single" w:sz="4" w:space="1" w:color="auto"/>
          <w:left w:val="single" w:sz="4" w:space="4" w:color="auto"/>
          <w:bottom w:val="single" w:sz="4" w:space="1" w:color="auto"/>
          <w:right w:val="single" w:sz="4" w:space="4" w:color="auto"/>
        </w:pBdr>
        <w:spacing w:before="0" w:after="0"/>
        <w:rPr>
          <w:szCs w:val="20"/>
        </w:rPr>
      </w:pPr>
      <w:r w:rsidRPr="00C00C3F">
        <w:rPr>
          <w:szCs w:val="20"/>
        </w:rPr>
        <w:t>The proposed test involves equivalent safety issues to current tissue pathology and haematology investigations.</w:t>
      </w:r>
    </w:p>
    <w:p w14:paraId="56E59428" w14:textId="7498FEC6" w:rsidR="00C00C3F" w:rsidRPr="00C00C3F" w:rsidRDefault="00C00C3F" w:rsidP="00C00C3F">
      <w:pPr>
        <w:pBdr>
          <w:top w:val="single" w:sz="4" w:space="1" w:color="auto"/>
          <w:left w:val="single" w:sz="4" w:space="4" w:color="auto"/>
          <w:bottom w:val="single" w:sz="4" w:space="1" w:color="auto"/>
          <w:right w:val="single" w:sz="4" w:space="4" w:color="auto"/>
        </w:pBdr>
        <w:spacing w:before="0" w:after="0"/>
        <w:rPr>
          <w:szCs w:val="20"/>
        </w:rPr>
      </w:pPr>
      <w:r w:rsidRPr="00C00C3F">
        <w:rPr>
          <w:szCs w:val="20"/>
        </w:rPr>
        <w:t>The absence of suitable tests can lead to misdiagnosis with patients potentially receiving unnecessary treatment, experiencing delays in treatment or no treatment when treatment is needed.</w:t>
      </w:r>
    </w:p>
    <w:p w14:paraId="4C2F8B89" w14:textId="536DD310" w:rsidR="00B25D20" w:rsidRPr="00C00C3F" w:rsidRDefault="001B29A1" w:rsidP="001B29A1">
      <w:pPr>
        <w:pBdr>
          <w:top w:val="single" w:sz="4" w:space="1" w:color="auto"/>
          <w:left w:val="single" w:sz="4" w:space="4" w:color="auto"/>
          <w:bottom w:val="single" w:sz="4" w:space="1" w:color="auto"/>
          <w:right w:val="single" w:sz="4" w:space="4" w:color="auto"/>
        </w:pBdr>
        <w:rPr>
          <w:i/>
          <w:szCs w:val="20"/>
        </w:rPr>
      </w:pPr>
      <w:r w:rsidRPr="00C00C3F">
        <w:rPr>
          <w:i/>
          <w:szCs w:val="20"/>
        </w:rPr>
        <w:t xml:space="preserve">Clinical Effectiveness Outcomes: </w:t>
      </w:r>
    </w:p>
    <w:p w14:paraId="598C80E5" w14:textId="77777777" w:rsidR="00C00C3F" w:rsidRPr="000C5CC8" w:rsidRDefault="00C00C3F" w:rsidP="000C5CC8">
      <w:pPr>
        <w:pBdr>
          <w:top w:val="single" w:sz="4" w:space="1" w:color="auto"/>
          <w:left w:val="single" w:sz="4" w:space="4" w:color="auto"/>
          <w:bottom w:val="single" w:sz="4" w:space="1" w:color="auto"/>
          <w:right w:val="single" w:sz="4" w:space="4" w:color="auto"/>
        </w:pBdr>
        <w:spacing w:before="0" w:after="0"/>
        <w:rPr>
          <w:szCs w:val="20"/>
        </w:rPr>
      </w:pPr>
      <w:r w:rsidRPr="000C5CC8">
        <w:rPr>
          <w:szCs w:val="20"/>
        </w:rPr>
        <w:t xml:space="preserve">Effective and affordable health care depends on the availability of accurate, reliable and clinically valid tests. </w:t>
      </w:r>
    </w:p>
    <w:p w14:paraId="11BB02DE" w14:textId="77777777" w:rsidR="000C5CC8" w:rsidRDefault="000C5CC8" w:rsidP="000C5CC8">
      <w:pPr>
        <w:pBdr>
          <w:top w:val="single" w:sz="4" w:space="1" w:color="auto"/>
          <w:left w:val="single" w:sz="4" w:space="4" w:color="auto"/>
          <w:bottom w:val="single" w:sz="4" w:space="1" w:color="auto"/>
          <w:right w:val="single" w:sz="4" w:space="4" w:color="auto"/>
        </w:pBdr>
        <w:spacing w:before="0" w:after="0"/>
        <w:rPr>
          <w:szCs w:val="20"/>
        </w:rPr>
      </w:pPr>
    </w:p>
    <w:p w14:paraId="5708E40E" w14:textId="61A58114" w:rsidR="001B29A1" w:rsidRDefault="00C00C3F" w:rsidP="000C5CC8">
      <w:pPr>
        <w:pBdr>
          <w:top w:val="single" w:sz="4" w:space="1" w:color="auto"/>
          <w:left w:val="single" w:sz="4" w:space="4" w:color="auto"/>
          <w:bottom w:val="single" w:sz="4" w:space="1" w:color="auto"/>
          <w:right w:val="single" w:sz="4" w:space="4" w:color="auto"/>
        </w:pBdr>
        <w:spacing w:before="0" w:after="0"/>
        <w:rPr>
          <w:szCs w:val="20"/>
        </w:rPr>
      </w:pPr>
      <w:r w:rsidRPr="000C5CC8">
        <w:rPr>
          <w:szCs w:val="20"/>
        </w:rPr>
        <w:t>Providing the right treatment to the right patient at the right time depends on meaningful tests proven to impact clinical decisions, integrated with the most current data relevant to the practice of medicine, and recognized as medically necessary to tailor treatment for the unique biology of a disease.</w:t>
      </w:r>
    </w:p>
    <w:p w14:paraId="2555D354" w14:textId="77777777" w:rsidR="000C5CC8" w:rsidRPr="000C5CC8" w:rsidRDefault="000C5CC8" w:rsidP="000C5CC8">
      <w:pPr>
        <w:pBdr>
          <w:top w:val="single" w:sz="4" w:space="1" w:color="auto"/>
          <w:left w:val="single" w:sz="4" w:space="4" w:color="auto"/>
          <w:bottom w:val="single" w:sz="4" w:space="1" w:color="auto"/>
          <w:right w:val="single" w:sz="4" w:space="4" w:color="auto"/>
        </w:pBdr>
        <w:spacing w:before="0" w:after="0"/>
        <w:rPr>
          <w:szCs w:val="20"/>
        </w:rPr>
      </w:pPr>
    </w:p>
    <w:p w14:paraId="4372718D" w14:textId="62526152" w:rsidR="00C00C3F" w:rsidRPr="000C5CC8" w:rsidRDefault="00C00C3F" w:rsidP="000C5CC8">
      <w:pPr>
        <w:pBdr>
          <w:top w:val="single" w:sz="4" w:space="1" w:color="auto"/>
          <w:left w:val="single" w:sz="4" w:space="4" w:color="auto"/>
          <w:bottom w:val="single" w:sz="4" w:space="1" w:color="auto"/>
          <w:right w:val="single" w:sz="4" w:space="4" w:color="auto"/>
        </w:pBdr>
        <w:spacing w:before="0" w:after="0"/>
        <w:rPr>
          <w:b/>
          <w:szCs w:val="20"/>
        </w:rPr>
      </w:pPr>
      <w:r w:rsidRPr="000C5CC8">
        <w:rPr>
          <w:b/>
          <w:szCs w:val="20"/>
        </w:rPr>
        <w:t xml:space="preserve">Diffuse Large B </w:t>
      </w:r>
      <w:proofErr w:type="gramStart"/>
      <w:r w:rsidRPr="000C5CC8">
        <w:rPr>
          <w:b/>
          <w:szCs w:val="20"/>
        </w:rPr>
        <w:t>Cell</w:t>
      </w:r>
      <w:proofErr w:type="gramEnd"/>
      <w:r w:rsidRPr="000C5CC8">
        <w:rPr>
          <w:b/>
          <w:szCs w:val="20"/>
        </w:rPr>
        <w:t xml:space="preserve"> Lymphoma</w:t>
      </w:r>
    </w:p>
    <w:p w14:paraId="1898060C" w14:textId="77777777" w:rsidR="000C5CC8" w:rsidRDefault="00C00C3F" w:rsidP="000C5CC8">
      <w:pPr>
        <w:pBdr>
          <w:top w:val="single" w:sz="4" w:space="1" w:color="auto"/>
          <w:left w:val="single" w:sz="4" w:space="4" w:color="auto"/>
          <w:bottom w:val="single" w:sz="4" w:space="1" w:color="auto"/>
          <w:right w:val="single" w:sz="4" w:space="4" w:color="auto"/>
        </w:pBdr>
        <w:spacing w:before="0" w:after="0"/>
        <w:rPr>
          <w:szCs w:val="20"/>
        </w:rPr>
      </w:pPr>
      <w:r w:rsidRPr="000C5CC8">
        <w:rPr>
          <w:szCs w:val="20"/>
        </w:rPr>
        <w:lastRenderedPageBreak/>
        <w:t>In lymphoma diagnosis, identification of specific molecular aberrations provides important prognostic information by the detection of a genetic “double hit” with MYC gene rearrangements and another molecular change such as BCL2 or BCL6 gene rearrangement will influence the use of more aggressive chemotherapy due to the poor prognosis of lymphoma with these combined molecular aberrations.</w:t>
      </w:r>
    </w:p>
    <w:p w14:paraId="4ECF314B" w14:textId="63679A51" w:rsidR="00C00C3F" w:rsidRPr="000C5CC8" w:rsidRDefault="00C00C3F" w:rsidP="000C5CC8">
      <w:pPr>
        <w:pBdr>
          <w:top w:val="single" w:sz="4" w:space="1" w:color="auto"/>
          <w:left w:val="single" w:sz="4" w:space="4" w:color="auto"/>
          <w:bottom w:val="single" w:sz="4" w:space="1" w:color="auto"/>
          <w:right w:val="single" w:sz="4" w:space="4" w:color="auto"/>
        </w:pBdr>
        <w:spacing w:before="0" w:after="0"/>
        <w:rPr>
          <w:szCs w:val="20"/>
        </w:rPr>
      </w:pPr>
      <w:r w:rsidRPr="000C5CC8">
        <w:rPr>
          <w:szCs w:val="20"/>
        </w:rPr>
        <w:t xml:space="preserve"> </w:t>
      </w:r>
    </w:p>
    <w:p w14:paraId="7DA2F65D" w14:textId="5478FA54" w:rsidR="00C00C3F" w:rsidRDefault="00C00C3F" w:rsidP="000C5CC8">
      <w:pPr>
        <w:pBdr>
          <w:top w:val="single" w:sz="4" w:space="1" w:color="auto"/>
          <w:left w:val="single" w:sz="4" w:space="4" w:color="auto"/>
          <w:bottom w:val="single" w:sz="4" w:space="1" w:color="auto"/>
          <w:right w:val="single" w:sz="4" w:space="4" w:color="auto"/>
        </w:pBdr>
        <w:spacing w:before="0" w:after="0"/>
        <w:rPr>
          <w:szCs w:val="20"/>
        </w:rPr>
      </w:pPr>
      <w:r w:rsidRPr="000C5CC8">
        <w:rPr>
          <w:szCs w:val="20"/>
        </w:rPr>
        <w:t xml:space="preserve">Failure to accurately determine the DLBCL status may lead to </w:t>
      </w:r>
      <w:proofErr w:type="spellStart"/>
      <w:r w:rsidRPr="000C5CC8">
        <w:rPr>
          <w:szCs w:val="20"/>
        </w:rPr>
        <w:t>undertreatment</w:t>
      </w:r>
      <w:proofErr w:type="spellEnd"/>
      <w:r w:rsidRPr="000C5CC8">
        <w:rPr>
          <w:szCs w:val="20"/>
        </w:rPr>
        <w:t xml:space="preserve"> and poorer clinical outcome. Conversely, inappropriate treatment overtreatment of a patient with DLBCL which lacks the double-hit pattern could lead to unnecessary morbidity.</w:t>
      </w:r>
    </w:p>
    <w:p w14:paraId="40285BFB" w14:textId="77777777" w:rsidR="000C5CC8" w:rsidRPr="000C5CC8" w:rsidRDefault="000C5CC8" w:rsidP="000C5CC8">
      <w:pPr>
        <w:pBdr>
          <w:top w:val="single" w:sz="4" w:space="1" w:color="auto"/>
          <w:left w:val="single" w:sz="4" w:space="4" w:color="auto"/>
          <w:bottom w:val="single" w:sz="4" w:space="1" w:color="auto"/>
          <w:right w:val="single" w:sz="4" w:space="4" w:color="auto"/>
        </w:pBdr>
        <w:spacing w:before="0" w:after="0"/>
        <w:rPr>
          <w:szCs w:val="20"/>
        </w:rPr>
      </w:pPr>
    </w:p>
    <w:p w14:paraId="533EF9D4" w14:textId="4F728F70" w:rsidR="00C00C3F" w:rsidRDefault="00C00C3F" w:rsidP="000C5CC8">
      <w:pPr>
        <w:pBdr>
          <w:top w:val="single" w:sz="4" w:space="1" w:color="auto"/>
          <w:left w:val="single" w:sz="4" w:space="4" w:color="auto"/>
          <w:bottom w:val="single" w:sz="4" w:space="1" w:color="auto"/>
          <w:right w:val="single" w:sz="4" w:space="4" w:color="auto"/>
        </w:pBdr>
        <w:spacing w:before="0" w:after="0"/>
        <w:rPr>
          <w:szCs w:val="20"/>
        </w:rPr>
      </w:pPr>
      <w:r w:rsidRPr="000C5CC8">
        <w:rPr>
          <w:szCs w:val="20"/>
        </w:rPr>
        <w:t>Assessment of the presence of gene rearrangements in MYC, BCL2 and BCL6 requires molecular testing on the tissue sample.</w:t>
      </w:r>
    </w:p>
    <w:p w14:paraId="78F59393" w14:textId="77777777" w:rsidR="000C5CC8" w:rsidRPr="000C5CC8" w:rsidRDefault="000C5CC8" w:rsidP="000C5CC8">
      <w:pPr>
        <w:pBdr>
          <w:top w:val="single" w:sz="4" w:space="1" w:color="auto"/>
          <w:left w:val="single" w:sz="4" w:space="4" w:color="auto"/>
          <w:bottom w:val="single" w:sz="4" w:space="1" w:color="auto"/>
          <w:right w:val="single" w:sz="4" w:space="4" w:color="auto"/>
        </w:pBdr>
        <w:spacing w:before="0" w:after="0"/>
        <w:rPr>
          <w:szCs w:val="20"/>
        </w:rPr>
      </w:pPr>
    </w:p>
    <w:p w14:paraId="39EDD294" w14:textId="697EE4A4" w:rsidR="00C00C3F" w:rsidRPr="000C5CC8" w:rsidRDefault="00C00C3F" w:rsidP="000C5CC8">
      <w:pPr>
        <w:pBdr>
          <w:top w:val="single" w:sz="4" w:space="1" w:color="auto"/>
          <w:left w:val="single" w:sz="4" w:space="4" w:color="auto"/>
          <w:bottom w:val="single" w:sz="4" w:space="1" w:color="auto"/>
          <w:right w:val="single" w:sz="4" w:space="4" w:color="auto"/>
        </w:pBdr>
        <w:spacing w:before="0" w:after="0"/>
        <w:rPr>
          <w:b/>
          <w:szCs w:val="20"/>
        </w:rPr>
      </w:pPr>
      <w:r w:rsidRPr="000C5CC8">
        <w:rPr>
          <w:b/>
          <w:szCs w:val="20"/>
        </w:rPr>
        <w:t>Multiple Myeloma</w:t>
      </w:r>
    </w:p>
    <w:p w14:paraId="302F488F" w14:textId="3F661792" w:rsidR="000C5CC8" w:rsidRDefault="000C5CC8" w:rsidP="000C5CC8">
      <w:pPr>
        <w:pBdr>
          <w:top w:val="single" w:sz="4" w:space="1" w:color="auto"/>
          <w:left w:val="single" w:sz="4" w:space="4" w:color="auto"/>
          <w:bottom w:val="single" w:sz="4" w:space="1" w:color="auto"/>
          <w:right w:val="single" w:sz="4" w:space="4" w:color="auto"/>
        </w:pBdr>
        <w:spacing w:before="0" w:after="0"/>
        <w:rPr>
          <w:szCs w:val="20"/>
        </w:rPr>
      </w:pPr>
      <w:r w:rsidRPr="000C5CC8">
        <w:rPr>
          <w:szCs w:val="20"/>
        </w:rPr>
        <w:t xml:space="preserve">These molecular aberrations are particularly characteristic of rare and less common cancers, which have disproportionately higher mortality rates compared to common cancers. Many of these rare cancers occur in younger patients who account for 95% of cancer deaths reported in children </w:t>
      </w:r>
      <w:proofErr w:type="gramStart"/>
      <w:r w:rsidRPr="000C5CC8">
        <w:rPr>
          <w:szCs w:val="20"/>
        </w:rPr>
        <w:t>under</w:t>
      </w:r>
      <w:proofErr w:type="gramEnd"/>
      <w:r w:rsidRPr="000C5CC8">
        <w:rPr>
          <w:szCs w:val="20"/>
        </w:rPr>
        <w:t xml:space="preserve"> 15 years. Accurate diagnosis of rare cancers is difficult for nonspecialised pathologists and can result in inappropriate medical management.  Second opinions are recommended to ensure diagnostic accuracy but can introduce delays in the reporting process. Characterisation of pathognomonic genetic abnormalities would expedite the diagnostic process for many rare cancers.</w:t>
      </w:r>
    </w:p>
    <w:p w14:paraId="4AA2FF66" w14:textId="77777777" w:rsidR="000C5CC8" w:rsidRPr="000C5CC8" w:rsidRDefault="000C5CC8" w:rsidP="000C5CC8">
      <w:pPr>
        <w:pBdr>
          <w:top w:val="single" w:sz="4" w:space="1" w:color="auto"/>
          <w:left w:val="single" w:sz="4" w:space="4" w:color="auto"/>
          <w:bottom w:val="single" w:sz="4" w:space="1" w:color="auto"/>
          <w:right w:val="single" w:sz="4" w:space="4" w:color="auto"/>
        </w:pBdr>
        <w:spacing w:before="0" w:after="0"/>
        <w:rPr>
          <w:szCs w:val="20"/>
        </w:rPr>
      </w:pPr>
    </w:p>
    <w:p w14:paraId="774B412B" w14:textId="19582F1F" w:rsidR="00C00C3F" w:rsidRDefault="000C5CC8" w:rsidP="000C5CC8">
      <w:pPr>
        <w:pBdr>
          <w:top w:val="single" w:sz="4" w:space="1" w:color="auto"/>
          <w:left w:val="single" w:sz="4" w:space="4" w:color="auto"/>
          <w:bottom w:val="single" w:sz="4" w:space="1" w:color="auto"/>
          <w:right w:val="single" w:sz="4" w:space="4" w:color="auto"/>
        </w:pBdr>
        <w:spacing w:before="0" w:after="0"/>
        <w:rPr>
          <w:szCs w:val="20"/>
        </w:rPr>
      </w:pPr>
      <w:r w:rsidRPr="000C5CC8">
        <w:rPr>
          <w:szCs w:val="20"/>
        </w:rPr>
        <w:t xml:space="preserve">It has been demonstrated that the prognosis for plasma cell myeloma patients with the genetic translocation </w:t>
      </w:r>
      <w:proofErr w:type="gramStart"/>
      <w:r w:rsidRPr="000C5CC8">
        <w:rPr>
          <w:szCs w:val="20"/>
        </w:rPr>
        <w:t>t(</w:t>
      </w:r>
      <w:proofErr w:type="gramEnd"/>
      <w:r w:rsidRPr="000C5CC8">
        <w:rPr>
          <w:szCs w:val="20"/>
        </w:rPr>
        <w:t xml:space="preserve">4;14)(p16;q32) have a more aggressive disease. Prognosis may be improved with appropriate therapies e.g. </w:t>
      </w:r>
      <w:proofErr w:type="spellStart"/>
      <w:r w:rsidRPr="000C5CC8">
        <w:rPr>
          <w:szCs w:val="20"/>
        </w:rPr>
        <w:t>bortezomib</w:t>
      </w:r>
      <w:proofErr w:type="spellEnd"/>
      <w:r w:rsidRPr="000C5CC8">
        <w:rPr>
          <w:szCs w:val="20"/>
        </w:rPr>
        <w:t>-based combinations.</w:t>
      </w:r>
    </w:p>
    <w:p w14:paraId="67146AD6" w14:textId="77777777" w:rsidR="000C5CC8" w:rsidRPr="000C5CC8" w:rsidRDefault="000C5CC8" w:rsidP="000C5CC8">
      <w:pPr>
        <w:pBdr>
          <w:top w:val="single" w:sz="4" w:space="1" w:color="auto"/>
          <w:left w:val="single" w:sz="4" w:space="4" w:color="auto"/>
          <w:bottom w:val="single" w:sz="4" w:space="1" w:color="auto"/>
          <w:right w:val="single" w:sz="4" w:space="4" w:color="auto"/>
        </w:pBdr>
        <w:spacing w:before="0" w:after="0"/>
        <w:rPr>
          <w:szCs w:val="20"/>
        </w:rPr>
      </w:pPr>
    </w:p>
    <w:p w14:paraId="53FD3963" w14:textId="04A0F0D5" w:rsidR="000C5CC8" w:rsidRPr="000C5CC8" w:rsidRDefault="000C5CC8" w:rsidP="000C5CC8">
      <w:pPr>
        <w:pBdr>
          <w:top w:val="single" w:sz="4" w:space="1" w:color="auto"/>
          <w:left w:val="single" w:sz="4" w:space="4" w:color="auto"/>
          <w:bottom w:val="single" w:sz="4" w:space="1" w:color="auto"/>
          <w:right w:val="single" w:sz="4" w:space="4" w:color="auto"/>
        </w:pBdr>
        <w:spacing w:before="0" w:after="0"/>
        <w:rPr>
          <w:b/>
          <w:szCs w:val="20"/>
        </w:rPr>
      </w:pPr>
      <w:r w:rsidRPr="000C5CC8">
        <w:rPr>
          <w:b/>
          <w:szCs w:val="20"/>
        </w:rPr>
        <w:t>Non-Hodgkin Lymphoma</w:t>
      </w:r>
    </w:p>
    <w:p w14:paraId="78244E6E" w14:textId="7E716FD3" w:rsidR="000C5CC8" w:rsidRDefault="000C5CC8" w:rsidP="000C5CC8">
      <w:pPr>
        <w:pBdr>
          <w:top w:val="single" w:sz="4" w:space="1" w:color="auto"/>
          <w:left w:val="single" w:sz="4" w:space="4" w:color="auto"/>
          <w:bottom w:val="single" w:sz="4" w:space="1" w:color="auto"/>
          <w:right w:val="single" w:sz="4" w:space="4" w:color="auto"/>
        </w:pBdr>
        <w:spacing w:before="0" w:after="0"/>
        <w:rPr>
          <w:szCs w:val="20"/>
        </w:rPr>
      </w:pPr>
      <w:r w:rsidRPr="000C5CC8">
        <w:rPr>
          <w:szCs w:val="20"/>
        </w:rPr>
        <w:t xml:space="preserve">These molecular aberrations are particularly characteristic of rare and less common cancers, which have disproportionately higher mortality rates compared to common cancers. Many of these rare cancers occur in younger patients who account for 95% of cancer deaths reported in children </w:t>
      </w:r>
      <w:proofErr w:type="gramStart"/>
      <w:r w:rsidRPr="000C5CC8">
        <w:rPr>
          <w:szCs w:val="20"/>
        </w:rPr>
        <w:t>under</w:t>
      </w:r>
      <w:proofErr w:type="gramEnd"/>
      <w:r w:rsidRPr="000C5CC8">
        <w:rPr>
          <w:szCs w:val="20"/>
        </w:rPr>
        <w:t xml:space="preserve"> 15 years. Accurate diagnosis of rare cancers is difficult for nonspecialised pathologists and can result in inappropriate medical management.  Second opinions are recommended to ensure diagnostic accuracy but can introduce delays in the reporting process. Characterisation of pathognomonic genetic abnormalities would expedite the diagnostic process for many rare cancers.</w:t>
      </w:r>
    </w:p>
    <w:p w14:paraId="60DBE1BE" w14:textId="77777777" w:rsidR="000C5CC8" w:rsidRPr="000C5CC8" w:rsidRDefault="000C5CC8" w:rsidP="000C5CC8">
      <w:pPr>
        <w:pBdr>
          <w:top w:val="single" w:sz="4" w:space="1" w:color="auto"/>
          <w:left w:val="single" w:sz="4" w:space="4" w:color="auto"/>
          <w:bottom w:val="single" w:sz="4" w:space="1" w:color="auto"/>
          <w:right w:val="single" w:sz="4" w:space="4" w:color="auto"/>
        </w:pBdr>
        <w:spacing w:before="0" w:after="0"/>
        <w:rPr>
          <w:szCs w:val="20"/>
        </w:rPr>
      </w:pPr>
    </w:p>
    <w:p w14:paraId="79A36BDB" w14:textId="23E1BA90" w:rsidR="000C5CC8" w:rsidRPr="000C5CC8" w:rsidRDefault="000C5CC8" w:rsidP="000C5CC8">
      <w:pPr>
        <w:pBdr>
          <w:top w:val="single" w:sz="4" w:space="1" w:color="auto"/>
          <w:left w:val="single" w:sz="4" w:space="4" w:color="auto"/>
          <w:bottom w:val="single" w:sz="4" w:space="1" w:color="auto"/>
          <w:right w:val="single" w:sz="4" w:space="4" w:color="auto"/>
        </w:pBdr>
        <w:spacing w:before="0" w:after="0"/>
        <w:rPr>
          <w:szCs w:val="20"/>
        </w:rPr>
      </w:pPr>
      <w:proofErr w:type="spellStart"/>
      <w:r w:rsidRPr="000C5CC8">
        <w:rPr>
          <w:szCs w:val="20"/>
        </w:rPr>
        <w:t>Burkitt</w:t>
      </w:r>
      <w:proofErr w:type="spellEnd"/>
      <w:r w:rsidRPr="000C5CC8">
        <w:rPr>
          <w:szCs w:val="20"/>
        </w:rPr>
        <w:t xml:space="preserve">, MCL, HSTCL, ALK negative ALCL and </w:t>
      </w:r>
      <w:proofErr w:type="spellStart"/>
      <w:r w:rsidRPr="000C5CC8">
        <w:rPr>
          <w:szCs w:val="20"/>
        </w:rPr>
        <w:t>and</w:t>
      </w:r>
      <w:proofErr w:type="spellEnd"/>
      <w:r w:rsidRPr="000C5CC8">
        <w:rPr>
          <w:szCs w:val="20"/>
        </w:rPr>
        <w:t xml:space="preserve"> TCPL are rare subtypes of NHL with poorer prognosis with conventional chemotherapies. Differential identification allows for allocation of appropriate intensive therapy for each subtype.</w:t>
      </w:r>
    </w:p>
    <w:p w14:paraId="0B21CC66" w14:textId="77777777"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011DE7FA" w14:textId="05FDF9BC" w:rsidR="006C74B1" w:rsidRDefault="00BE0FDE" w:rsidP="000C5CC8">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3E78A5DD" w14:textId="77777777" w:rsidR="000C5CC8" w:rsidRPr="000C5CC8" w:rsidRDefault="000C5CC8" w:rsidP="000C5CC8">
      <w:pPr>
        <w:spacing w:before="0" w:after="0"/>
        <w:ind w:firstLine="426"/>
        <w:rPr>
          <w:b/>
        </w:rPr>
      </w:pPr>
      <w:r w:rsidRPr="000C5CC8">
        <w:rPr>
          <w:b/>
        </w:rPr>
        <w:t xml:space="preserve">Diffuse Large B </w:t>
      </w:r>
      <w:proofErr w:type="gramStart"/>
      <w:r w:rsidRPr="000C5CC8">
        <w:rPr>
          <w:b/>
        </w:rPr>
        <w:t>Cell</w:t>
      </w:r>
      <w:proofErr w:type="gramEnd"/>
      <w:r w:rsidRPr="000C5CC8">
        <w:rPr>
          <w:b/>
        </w:rPr>
        <w:t xml:space="preserve"> Lymphoma</w:t>
      </w:r>
    </w:p>
    <w:p w14:paraId="27421656" w14:textId="3EDAEE46" w:rsidR="000C5CC8" w:rsidRDefault="000C5CC8" w:rsidP="000C5CC8">
      <w:pPr>
        <w:tabs>
          <w:tab w:val="left" w:pos="426"/>
        </w:tabs>
        <w:spacing w:before="0" w:after="0"/>
        <w:ind w:firstLine="426"/>
      </w:pPr>
      <w:r>
        <w:t xml:space="preserve">The incidence of Non-Hodgkin Lymphoma (NHL) in Australia in 2017 is 21.5 per 100,000 people with </w:t>
      </w:r>
      <w:r>
        <w:tab/>
        <w:t xml:space="preserve">4,978 diagnoses of NHL in 2013. (AIHW 2017 Australian Cancer Incidence and Mortality (ACIM) book for </w:t>
      </w:r>
      <w:r>
        <w:tab/>
        <w:t>Non-Hodgkin Lymphoma).</w:t>
      </w:r>
    </w:p>
    <w:p w14:paraId="6FF3BE95" w14:textId="77777777" w:rsidR="000C5CC8" w:rsidRDefault="000C5CC8" w:rsidP="000C5CC8">
      <w:pPr>
        <w:tabs>
          <w:tab w:val="left" w:pos="426"/>
        </w:tabs>
        <w:spacing w:before="0" w:after="0"/>
        <w:ind w:firstLine="426"/>
      </w:pPr>
    </w:p>
    <w:p w14:paraId="33C179BC" w14:textId="7E6DD944" w:rsidR="000C5CC8" w:rsidRDefault="000C5CC8" w:rsidP="000C5CC8">
      <w:pPr>
        <w:tabs>
          <w:tab w:val="left" w:pos="426"/>
        </w:tabs>
        <w:spacing w:before="0" w:after="0"/>
      </w:pPr>
      <w:r>
        <w:tab/>
        <w:t xml:space="preserve">DLBCL accounts for 30-40% of these cancers (Leukaemia Foundation) therefore the population is </w:t>
      </w:r>
      <w:r>
        <w:tab/>
        <w:t>between 1493 and 1991, a median of 1742 patients.</w:t>
      </w:r>
    </w:p>
    <w:p w14:paraId="573506CE" w14:textId="77777777" w:rsidR="000C5CC8" w:rsidRDefault="000C5CC8" w:rsidP="000C5CC8">
      <w:pPr>
        <w:tabs>
          <w:tab w:val="left" w:pos="426"/>
        </w:tabs>
        <w:spacing w:before="0" w:after="0"/>
      </w:pPr>
    </w:p>
    <w:p w14:paraId="2CF29603" w14:textId="6A65A05B" w:rsidR="000C5CC8" w:rsidRPr="000C5CC8" w:rsidRDefault="000C5CC8" w:rsidP="000C5CC8">
      <w:pPr>
        <w:tabs>
          <w:tab w:val="left" w:pos="426"/>
        </w:tabs>
        <w:spacing w:before="0" w:after="0"/>
        <w:rPr>
          <w:b/>
        </w:rPr>
      </w:pPr>
      <w:r>
        <w:tab/>
      </w:r>
      <w:r w:rsidRPr="000C5CC8">
        <w:rPr>
          <w:b/>
        </w:rPr>
        <w:t>Multiple Myeloma</w:t>
      </w:r>
    </w:p>
    <w:p w14:paraId="36CE1259" w14:textId="06C90230" w:rsidR="000C5CC8" w:rsidRDefault="000C5CC8" w:rsidP="000C5CC8">
      <w:pPr>
        <w:tabs>
          <w:tab w:val="left" w:pos="426"/>
        </w:tabs>
        <w:spacing w:before="0" w:after="0"/>
      </w:pPr>
      <w:r>
        <w:tab/>
        <w:t xml:space="preserve">The prevalence of plasma cell myeloma in Australia is 7.1 per 100,000 people with 1637 new cases </w:t>
      </w:r>
      <w:r>
        <w:tab/>
        <w:t>diagnosed in 2013 (AIHW).</w:t>
      </w:r>
    </w:p>
    <w:p w14:paraId="68659612" w14:textId="77777777" w:rsidR="000C5CC8" w:rsidRDefault="000C5CC8" w:rsidP="000C5CC8">
      <w:pPr>
        <w:tabs>
          <w:tab w:val="left" w:pos="426"/>
        </w:tabs>
        <w:spacing w:before="0" w:after="0"/>
      </w:pPr>
    </w:p>
    <w:p w14:paraId="57C5B59F" w14:textId="771CEA8F" w:rsidR="000C5CC8" w:rsidRDefault="000C5CC8" w:rsidP="000C5CC8">
      <w:pPr>
        <w:tabs>
          <w:tab w:val="left" w:pos="426"/>
        </w:tabs>
        <w:spacing w:before="0" w:after="0"/>
      </w:pPr>
      <w:r>
        <w:tab/>
        <w:t xml:space="preserve">Australian Institute of Health and Welfare 2017 Australian Cancer Incidence and Mortality (ACIM) book </w:t>
      </w:r>
      <w:r>
        <w:tab/>
        <w:t>for Multiple Myeloma.</w:t>
      </w:r>
    </w:p>
    <w:p w14:paraId="2B5F7420" w14:textId="77777777" w:rsidR="000C5CC8" w:rsidRDefault="000C5CC8" w:rsidP="000C5CC8">
      <w:pPr>
        <w:tabs>
          <w:tab w:val="left" w:pos="426"/>
        </w:tabs>
        <w:spacing w:before="0" w:after="0"/>
      </w:pPr>
    </w:p>
    <w:p w14:paraId="6EA309EA" w14:textId="41225D8D" w:rsidR="000C5CC8" w:rsidRPr="000C5CC8" w:rsidRDefault="000C5CC8" w:rsidP="000C5CC8">
      <w:pPr>
        <w:tabs>
          <w:tab w:val="left" w:pos="426"/>
        </w:tabs>
        <w:spacing w:before="0" w:after="0"/>
        <w:rPr>
          <w:b/>
        </w:rPr>
      </w:pPr>
      <w:r>
        <w:tab/>
      </w:r>
      <w:r w:rsidRPr="000C5CC8">
        <w:rPr>
          <w:b/>
        </w:rPr>
        <w:t>Non-Hodgkin Lymphoma</w:t>
      </w:r>
    </w:p>
    <w:p w14:paraId="26274A16" w14:textId="24CAF620" w:rsidR="000C5CC8" w:rsidRDefault="000C5CC8" w:rsidP="000C5CC8">
      <w:pPr>
        <w:spacing w:before="0" w:after="0"/>
        <w:ind w:left="426"/>
        <w:rPr>
          <w:color w:val="000000" w:themeColor="text1"/>
          <w:szCs w:val="20"/>
        </w:rPr>
      </w:pPr>
      <w:r w:rsidRPr="000C5CC8">
        <w:rPr>
          <w:szCs w:val="20"/>
        </w:rPr>
        <w:t>The incidence of Non-Hodgkin Lymphoma (NHL) in Australia in 2017 is 21.5 per 100,000 people with 4,978 diagnoses of NHL in 2013. (</w:t>
      </w:r>
      <w:r w:rsidRPr="000C5CC8">
        <w:rPr>
          <w:color w:val="000000" w:themeColor="text1"/>
          <w:szCs w:val="20"/>
        </w:rPr>
        <w:t>AIHW 2017 Australian Cancer Incidence and Mortality (ACIM) book for Non-Hodgkin Lymphoma).</w:t>
      </w:r>
    </w:p>
    <w:p w14:paraId="1950DFA7" w14:textId="77777777" w:rsidR="000C5CC8" w:rsidRPr="000C5CC8" w:rsidRDefault="000C5CC8" w:rsidP="000C5CC8">
      <w:pPr>
        <w:spacing w:before="0" w:after="0"/>
        <w:ind w:left="426"/>
        <w:rPr>
          <w:rFonts w:ascii="Segoe UI" w:hAnsi="Segoe UI" w:cs="Segoe UI"/>
          <w:sz w:val="18"/>
          <w:szCs w:val="18"/>
        </w:rPr>
      </w:pPr>
    </w:p>
    <w:p w14:paraId="4C51FA92" w14:textId="0BFA0A0F" w:rsidR="000C5CC8" w:rsidRPr="000C5CC8" w:rsidRDefault="000C5CC8" w:rsidP="000C5CC8">
      <w:pPr>
        <w:tabs>
          <w:tab w:val="left" w:pos="426"/>
        </w:tabs>
        <w:spacing w:before="0" w:after="0"/>
        <w:rPr>
          <w:rFonts w:ascii="Segoe UI" w:hAnsi="Segoe UI" w:cs="Segoe UI"/>
          <w:sz w:val="18"/>
          <w:szCs w:val="18"/>
        </w:rPr>
      </w:pPr>
      <w:r>
        <w:rPr>
          <w:color w:val="000000" w:themeColor="text1"/>
          <w:szCs w:val="20"/>
        </w:rPr>
        <w:tab/>
      </w:r>
      <w:r w:rsidRPr="000C5CC8">
        <w:rPr>
          <w:color w:val="000000" w:themeColor="text1"/>
          <w:szCs w:val="20"/>
        </w:rPr>
        <w:t xml:space="preserve">Most would not require further subtyping but it is estimated that 15% would require somatic tumour </w:t>
      </w:r>
      <w:r>
        <w:rPr>
          <w:color w:val="000000" w:themeColor="text1"/>
          <w:szCs w:val="20"/>
        </w:rPr>
        <w:tab/>
      </w:r>
      <w:r w:rsidRPr="000C5CC8">
        <w:rPr>
          <w:color w:val="000000" w:themeColor="text1"/>
          <w:szCs w:val="20"/>
        </w:rPr>
        <w:t>gene characterisations (</w:t>
      </w:r>
      <w:proofErr w:type="spellStart"/>
      <w:r w:rsidRPr="000C5CC8">
        <w:rPr>
          <w:color w:val="000000" w:themeColor="text1"/>
          <w:szCs w:val="20"/>
        </w:rPr>
        <w:t>Burkitt</w:t>
      </w:r>
      <w:proofErr w:type="spellEnd"/>
      <w:r w:rsidRPr="000C5CC8">
        <w:rPr>
          <w:color w:val="000000" w:themeColor="text1"/>
          <w:szCs w:val="20"/>
        </w:rPr>
        <w:t xml:space="preserve"> 2%, </w:t>
      </w:r>
      <w:r w:rsidRPr="000C5CC8">
        <w:rPr>
          <w:rFonts w:ascii="Segoe UI" w:hAnsi="Segoe UI" w:cs="Segoe UI"/>
          <w:sz w:val="18"/>
          <w:szCs w:val="18"/>
        </w:rPr>
        <w:t xml:space="preserve">MCL 6%, PTCL 7% and ALCL 1%). </w:t>
      </w:r>
      <w:r w:rsidRPr="000C5CC8">
        <w:rPr>
          <w:szCs w:val="20"/>
        </w:rPr>
        <w:t xml:space="preserve">The incidence of T cell lymphocytic </w:t>
      </w:r>
      <w:r>
        <w:rPr>
          <w:szCs w:val="20"/>
        </w:rPr>
        <w:tab/>
      </w:r>
      <w:r w:rsidRPr="000C5CC8">
        <w:rPr>
          <w:szCs w:val="20"/>
        </w:rPr>
        <w:t xml:space="preserve">leukaemia is rare, approx. 2% of mature lymphocytic </w:t>
      </w:r>
      <w:proofErr w:type="spellStart"/>
      <w:r w:rsidRPr="000C5CC8">
        <w:rPr>
          <w:szCs w:val="20"/>
        </w:rPr>
        <w:t>leukemias</w:t>
      </w:r>
      <w:proofErr w:type="spellEnd"/>
      <w:r w:rsidRPr="000C5CC8">
        <w:rPr>
          <w:szCs w:val="20"/>
        </w:rPr>
        <w:t xml:space="preserve"> in adults. An estimated population would </w:t>
      </w:r>
      <w:r>
        <w:rPr>
          <w:szCs w:val="20"/>
        </w:rPr>
        <w:tab/>
      </w:r>
      <w:r w:rsidRPr="000C5CC8">
        <w:rPr>
          <w:szCs w:val="20"/>
        </w:rPr>
        <w:t>be less than 25.</w:t>
      </w:r>
    </w:p>
    <w:p w14:paraId="00067EF2" w14:textId="77777777" w:rsidR="000C5CC8" w:rsidRPr="000C5CC8" w:rsidRDefault="000C5CC8" w:rsidP="000C5CC8">
      <w:pPr>
        <w:spacing w:before="0" w:after="0"/>
        <w:rPr>
          <w:rFonts w:ascii="Segoe UI" w:hAnsi="Segoe UI" w:cs="Segoe UI"/>
          <w:sz w:val="18"/>
          <w:szCs w:val="18"/>
        </w:rPr>
      </w:pPr>
    </w:p>
    <w:p w14:paraId="0D8086DC" w14:textId="4DDBC5A3" w:rsidR="000C5CC8" w:rsidRDefault="000C5CC8" w:rsidP="000C5CC8">
      <w:pPr>
        <w:tabs>
          <w:tab w:val="left" w:pos="426"/>
        </w:tabs>
        <w:spacing w:before="0" w:after="0"/>
      </w:pPr>
      <w:r>
        <w:rPr>
          <w:rFonts w:ascii="Segoe UI" w:hAnsi="Segoe UI" w:cs="Segoe UI"/>
          <w:sz w:val="18"/>
          <w:szCs w:val="18"/>
        </w:rPr>
        <w:tab/>
      </w:r>
      <w:r w:rsidRPr="000C5CC8">
        <w:rPr>
          <w:rFonts w:ascii="Segoe UI" w:hAnsi="Segoe UI" w:cs="Segoe UI"/>
          <w:sz w:val="18"/>
          <w:szCs w:val="18"/>
        </w:rPr>
        <w:t>Therefore, the proposed population is 800 per annum.</w:t>
      </w:r>
    </w:p>
    <w:p w14:paraId="174857C9" w14:textId="1F11AE84" w:rsidR="000C5CC8" w:rsidRPr="000C5CC8" w:rsidRDefault="000C5CC8" w:rsidP="000C5CC8">
      <w:pPr>
        <w:spacing w:before="0" w:after="0"/>
      </w:pPr>
      <w:r>
        <w:tab/>
      </w:r>
    </w:p>
    <w:p w14:paraId="73592507"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3DEE7B20" w14:textId="0509EE1E" w:rsidR="00382407" w:rsidRPr="000C5CC8" w:rsidRDefault="000C5CC8" w:rsidP="000C5CC8">
      <w:pPr>
        <w:spacing w:before="0" w:after="0"/>
        <w:ind w:left="425"/>
        <w:rPr>
          <w:b/>
          <w:szCs w:val="20"/>
        </w:rPr>
      </w:pPr>
      <w:r w:rsidRPr="000C5CC8">
        <w:rPr>
          <w:b/>
          <w:szCs w:val="20"/>
        </w:rPr>
        <w:t xml:space="preserve">Diffuse Large B </w:t>
      </w:r>
      <w:proofErr w:type="gramStart"/>
      <w:r w:rsidRPr="000C5CC8">
        <w:rPr>
          <w:b/>
          <w:szCs w:val="20"/>
        </w:rPr>
        <w:t>Cell</w:t>
      </w:r>
      <w:proofErr w:type="gramEnd"/>
      <w:r w:rsidRPr="000C5CC8">
        <w:rPr>
          <w:b/>
          <w:szCs w:val="20"/>
        </w:rPr>
        <w:t xml:space="preserve"> Lymphoma</w:t>
      </w:r>
    </w:p>
    <w:p w14:paraId="491F4384" w14:textId="77777777" w:rsidR="000C5CC8" w:rsidRPr="000C5CC8" w:rsidRDefault="000C5CC8" w:rsidP="000C5CC8">
      <w:pPr>
        <w:spacing w:before="0" w:after="0"/>
        <w:ind w:left="425"/>
        <w:rPr>
          <w:szCs w:val="20"/>
        </w:rPr>
      </w:pPr>
      <w:r w:rsidRPr="000C5CC8">
        <w:rPr>
          <w:szCs w:val="20"/>
        </w:rPr>
        <w:t>Once</w:t>
      </w:r>
    </w:p>
    <w:p w14:paraId="4D5760F9" w14:textId="4F6DF558" w:rsidR="000C5CC8" w:rsidRDefault="000C5CC8" w:rsidP="000C5CC8">
      <w:pPr>
        <w:spacing w:before="0" w:after="0"/>
        <w:ind w:left="425"/>
        <w:rPr>
          <w:szCs w:val="20"/>
        </w:rPr>
      </w:pPr>
      <w:r w:rsidRPr="000C5CC8">
        <w:rPr>
          <w:szCs w:val="20"/>
        </w:rPr>
        <w:t>Once for diagnosis/classification, either at time of initial diagnosis (pathologist determinable) or upon retrospective clinician request of not previously performed.</w:t>
      </w:r>
    </w:p>
    <w:p w14:paraId="5847D2AA" w14:textId="77777777" w:rsidR="000C5CC8" w:rsidRDefault="000C5CC8" w:rsidP="000C5CC8">
      <w:pPr>
        <w:spacing w:before="0" w:after="0"/>
        <w:ind w:left="425"/>
        <w:rPr>
          <w:b/>
          <w:szCs w:val="20"/>
        </w:rPr>
      </w:pPr>
    </w:p>
    <w:p w14:paraId="6618E6DA" w14:textId="6F95937B" w:rsidR="000C5CC8" w:rsidRDefault="000C5CC8" w:rsidP="000C5CC8">
      <w:pPr>
        <w:spacing w:before="0" w:after="0"/>
        <w:ind w:left="425"/>
        <w:rPr>
          <w:b/>
          <w:szCs w:val="20"/>
        </w:rPr>
      </w:pPr>
      <w:r w:rsidRPr="000C5CC8">
        <w:rPr>
          <w:b/>
          <w:szCs w:val="20"/>
        </w:rPr>
        <w:t>Multiple Myeloma</w:t>
      </w:r>
    </w:p>
    <w:p w14:paraId="4CEFD1B7" w14:textId="77777777" w:rsidR="000C5CC8" w:rsidRPr="000C5CC8" w:rsidRDefault="000C5CC8" w:rsidP="000C5CC8">
      <w:pPr>
        <w:spacing w:before="0" w:after="0"/>
        <w:ind w:left="425"/>
        <w:rPr>
          <w:szCs w:val="20"/>
        </w:rPr>
      </w:pPr>
      <w:r w:rsidRPr="000C5CC8">
        <w:rPr>
          <w:szCs w:val="20"/>
        </w:rPr>
        <w:t xml:space="preserve">Once </w:t>
      </w:r>
    </w:p>
    <w:p w14:paraId="274D4621" w14:textId="77777777" w:rsidR="000C5CC8" w:rsidRPr="000C5CC8" w:rsidRDefault="000C5CC8" w:rsidP="000C5CC8">
      <w:pPr>
        <w:spacing w:before="0" w:after="0"/>
        <w:ind w:left="425"/>
        <w:rPr>
          <w:szCs w:val="20"/>
        </w:rPr>
      </w:pPr>
      <w:proofErr w:type="gramStart"/>
      <w:r w:rsidRPr="000C5CC8">
        <w:rPr>
          <w:szCs w:val="20"/>
        </w:rPr>
        <w:t>On average once for diagnosis and once per year for minimal residual disease assessment.</w:t>
      </w:r>
      <w:proofErr w:type="gramEnd"/>
    </w:p>
    <w:p w14:paraId="6878136A" w14:textId="5A882200" w:rsidR="000C5CC8" w:rsidRPr="000C5CC8" w:rsidRDefault="000C5CC8" w:rsidP="000C5CC8">
      <w:pPr>
        <w:spacing w:before="0" w:after="0"/>
        <w:ind w:left="425"/>
        <w:rPr>
          <w:szCs w:val="20"/>
        </w:rPr>
      </w:pPr>
      <w:r w:rsidRPr="000C5CC8">
        <w:rPr>
          <w:szCs w:val="20"/>
        </w:rPr>
        <w:t>Note: not all cancer patients are treated with surgery, some may have multiple surgeries, but most would not have surgery once per year and only a minority of patients may require minimal residual disease using genetic investigations, therefore once per year is a reasonable average estimate.</w:t>
      </w:r>
    </w:p>
    <w:p w14:paraId="3BCAB3C4" w14:textId="77777777" w:rsidR="000C5CC8" w:rsidRDefault="000C5CC8" w:rsidP="000C5CC8">
      <w:pPr>
        <w:spacing w:before="0" w:after="0"/>
        <w:ind w:left="425"/>
        <w:rPr>
          <w:b/>
          <w:szCs w:val="20"/>
        </w:rPr>
      </w:pPr>
    </w:p>
    <w:p w14:paraId="71F050C3" w14:textId="1145BF5B" w:rsidR="000C5CC8" w:rsidRPr="000C5CC8" w:rsidRDefault="000C5CC8" w:rsidP="000C5CC8">
      <w:pPr>
        <w:spacing w:before="0" w:after="0"/>
        <w:ind w:left="425"/>
        <w:rPr>
          <w:b/>
          <w:szCs w:val="20"/>
        </w:rPr>
      </w:pPr>
      <w:r w:rsidRPr="000C5CC8">
        <w:rPr>
          <w:b/>
          <w:szCs w:val="20"/>
        </w:rPr>
        <w:t>Non-Hodgkin Lymphoma</w:t>
      </w:r>
    </w:p>
    <w:p w14:paraId="2F8507AD" w14:textId="77777777" w:rsidR="000C5CC8" w:rsidRPr="000C5CC8" w:rsidRDefault="000C5CC8" w:rsidP="000C5CC8">
      <w:pPr>
        <w:spacing w:before="0" w:after="0"/>
        <w:ind w:left="425"/>
        <w:rPr>
          <w:szCs w:val="20"/>
        </w:rPr>
      </w:pPr>
      <w:r w:rsidRPr="000C5CC8">
        <w:rPr>
          <w:szCs w:val="20"/>
        </w:rPr>
        <w:t>Once for diagnosis</w:t>
      </w:r>
    </w:p>
    <w:p w14:paraId="1D84464D" w14:textId="77777777" w:rsidR="000C5CC8" w:rsidRPr="000C5CC8" w:rsidRDefault="000C5CC8" w:rsidP="000C5CC8">
      <w:pPr>
        <w:spacing w:before="0" w:after="0"/>
        <w:ind w:left="425"/>
        <w:rPr>
          <w:szCs w:val="20"/>
        </w:rPr>
      </w:pPr>
      <w:proofErr w:type="gramStart"/>
      <w:r w:rsidRPr="000C5CC8">
        <w:rPr>
          <w:szCs w:val="20"/>
        </w:rPr>
        <w:t>On average once per year expected for minimal residual disease assessment (pathologist-determinable).</w:t>
      </w:r>
      <w:proofErr w:type="gramEnd"/>
    </w:p>
    <w:p w14:paraId="01EC99A4" w14:textId="7689B244" w:rsidR="000C5CC8" w:rsidRDefault="000C5CC8" w:rsidP="000C5CC8">
      <w:pPr>
        <w:spacing w:before="0" w:after="0"/>
        <w:ind w:left="425"/>
        <w:rPr>
          <w:szCs w:val="20"/>
        </w:rPr>
      </w:pPr>
      <w:r w:rsidRPr="000C5CC8">
        <w:rPr>
          <w:szCs w:val="20"/>
        </w:rPr>
        <w:t>Note: Only a minority of patients with lymphoma may require minimal residual disease using genetic investigations, therefore once per year is a reasonable average estimate.</w:t>
      </w:r>
    </w:p>
    <w:p w14:paraId="00F64A21"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4B8F0298" w14:textId="77777777" w:rsidR="00724974" w:rsidRPr="00724974" w:rsidRDefault="00724974" w:rsidP="00724974">
      <w:pPr>
        <w:spacing w:before="0" w:after="0"/>
        <w:ind w:left="425"/>
        <w:rPr>
          <w:b/>
          <w:szCs w:val="20"/>
        </w:rPr>
      </w:pPr>
      <w:r w:rsidRPr="00724974">
        <w:rPr>
          <w:b/>
          <w:szCs w:val="20"/>
        </w:rPr>
        <w:t xml:space="preserve">Diffuse Large B </w:t>
      </w:r>
      <w:proofErr w:type="gramStart"/>
      <w:r w:rsidRPr="00724974">
        <w:rPr>
          <w:b/>
          <w:szCs w:val="20"/>
        </w:rPr>
        <w:t>Cell</w:t>
      </w:r>
      <w:proofErr w:type="gramEnd"/>
      <w:r w:rsidRPr="00724974">
        <w:rPr>
          <w:b/>
          <w:szCs w:val="20"/>
        </w:rPr>
        <w:t xml:space="preserve"> Lymphoma</w:t>
      </w:r>
    </w:p>
    <w:p w14:paraId="4E05C83F" w14:textId="77777777" w:rsidR="00724974" w:rsidRPr="00724974" w:rsidRDefault="00724974" w:rsidP="00724974">
      <w:pPr>
        <w:spacing w:before="0" w:after="0"/>
        <w:ind w:left="426"/>
        <w:rPr>
          <w:szCs w:val="20"/>
        </w:rPr>
      </w:pPr>
      <w:r w:rsidRPr="00724974">
        <w:rPr>
          <w:szCs w:val="20"/>
        </w:rPr>
        <w:t xml:space="preserve">Once </w:t>
      </w:r>
    </w:p>
    <w:p w14:paraId="4EDFE5FD" w14:textId="77777777" w:rsidR="00724974" w:rsidRPr="00724974" w:rsidRDefault="00724974" w:rsidP="00724974">
      <w:pPr>
        <w:spacing w:before="0" w:after="0"/>
        <w:ind w:left="426"/>
        <w:rPr>
          <w:szCs w:val="20"/>
        </w:rPr>
      </w:pPr>
      <w:r w:rsidRPr="00724974">
        <w:rPr>
          <w:szCs w:val="20"/>
        </w:rPr>
        <w:lastRenderedPageBreak/>
        <w:t>One test per DLBC lymphoma diagnosis</w:t>
      </w:r>
    </w:p>
    <w:p w14:paraId="2D0302AF" w14:textId="77777777" w:rsidR="00724974" w:rsidRDefault="00724974" w:rsidP="00724974">
      <w:pPr>
        <w:spacing w:before="0" w:after="0"/>
        <w:ind w:left="426"/>
        <w:rPr>
          <w:b/>
          <w:szCs w:val="20"/>
        </w:rPr>
      </w:pPr>
    </w:p>
    <w:p w14:paraId="7BB4B902" w14:textId="6364CC6B" w:rsidR="00724974" w:rsidRPr="00724974" w:rsidRDefault="00724974" w:rsidP="00724974">
      <w:pPr>
        <w:spacing w:before="0" w:after="0"/>
        <w:ind w:left="426"/>
        <w:rPr>
          <w:b/>
          <w:szCs w:val="20"/>
        </w:rPr>
      </w:pPr>
      <w:r w:rsidRPr="00724974">
        <w:rPr>
          <w:b/>
          <w:szCs w:val="20"/>
        </w:rPr>
        <w:t>Multiple Myeloma</w:t>
      </w:r>
    </w:p>
    <w:p w14:paraId="59C49E6A" w14:textId="77777777" w:rsidR="00724974" w:rsidRPr="00724974" w:rsidRDefault="00724974" w:rsidP="00724974">
      <w:pPr>
        <w:spacing w:before="0" w:after="0"/>
        <w:ind w:left="426"/>
        <w:rPr>
          <w:szCs w:val="20"/>
        </w:rPr>
      </w:pPr>
      <w:r w:rsidRPr="00724974">
        <w:rPr>
          <w:szCs w:val="20"/>
        </w:rPr>
        <w:t>Five</w:t>
      </w:r>
    </w:p>
    <w:p w14:paraId="03867CC1" w14:textId="66DBD6B9" w:rsidR="00382407" w:rsidRPr="00724974" w:rsidRDefault="00724974" w:rsidP="00724974">
      <w:pPr>
        <w:spacing w:before="0" w:after="0"/>
        <w:ind w:left="426"/>
        <w:rPr>
          <w:szCs w:val="20"/>
        </w:rPr>
      </w:pPr>
      <w:r w:rsidRPr="00724974">
        <w:rPr>
          <w:szCs w:val="20"/>
        </w:rPr>
        <w:t>Note: not all cancer patients are treated with surgery, some may have multiple surgeries, but most would not have surgery every year for five years therefore five years is a reasonable maximum estimate.</w:t>
      </w:r>
    </w:p>
    <w:p w14:paraId="0DD008B9" w14:textId="77777777" w:rsidR="00724974" w:rsidRDefault="00724974" w:rsidP="00724974">
      <w:pPr>
        <w:spacing w:before="0" w:after="0"/>
        <w:ind w:left="426"/>
        <w:rPr>
          <w:b/>
          <w:szCs w:val="20"/>
        </w:rPr>
      </w:pPr>
    </w:p>
    <w:p w14:paraId="1AC9564B" w14:textId="29070824" w:rsidR="00724974" w:rsidRPr="00724974" w:rsidRDefault="00724974" w:rsidP="00724974">
      <w:pPr>
        <w:spacing w:before="0" w:after="0"/>
        <w:ind w:left="426"/>
        <w:rPr>
          <w:b/>
          <w:szCs w:val="20"/>
        </w:rPr>
      </w:pPr>
      <w:r w:rsidRPr="00724974">
        <w:rPr>
          <w:b/>
          <w:szCs w:val="20"/>
        </w:rPr>
        <w:t>Non-Hodgkin Lymphoma</w:t>
      </w:r>
    </w:p>
    <w:p w14:paraId="3D487A49" w14:textId="5484E69A" w:rsidR="00724974" w:rsidRPr="00724974" w:rsidRDefault="00724974" w:rsidP="00724974">
      <w:pPr>
        <w:spacing w:before="0" w:after="0"/>
        <w:ind w:left="426"/>
        <w:rPr>
          <w:szCs w:val="20"/>
        </w:rPr>
      </w:pPr>
      <w:r w:rsidRPr="00724974">
        <w:rPr>
          <w:szCs w:val="20"/>
        </w:rPr>
        <w:t>Five</w:t>
      </w:r>
    </w:p>
    <w:p w14:paraId="596CA465"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37EBA971" w14:textId="62ADC268" w:rsidR="00AE1188" w:rsidRPr="00724974" w:rsidRDefault="00724974" w:rsidP="00724974">
      <w:pPr>
        <w:spacing w:before="0" w:after="0"/>
        <w:ind w:left="426"/>
        <w:rPr>
          <w:b/>
          <w:szCs w:val="20"/>
        </w:rPr>
      </w:pPr>
      <w:r w:rsidRPr="00724974">
        <w:rPr>
          <w:b/>
          <w:szCs w:val="20"/>
        </w:rPr>
        <w:t xml:space="preserve">Diffuse Large B </w:t>
      </w:r>
      <w:proofErr w:type="gramStart"/>
      <w:r w:rsidRPr="00724974">
        <w:rPr>
          <w:b/>
          <w:szCs w:val="20"/>
        </w:rPr>
        <w:t>Cell</w:t>
      </w:r>
      <w:proofErr w:type="gramEnd"/>
      <w:r w:rsidRPr="00724974">
        <w:rPr>
          <w:b/>
          <w:szCs w:val="20"/>
        </w:rPr>
        <w:t xml:space="preserve"> Lymphoma</w:t>
      </w:r>
    </w:p>
    <w:p w14:paraId="1AFE9575" w14:textId="0E756AB0" w:rsidR="00724974" w:rsidRDefault="00724974" w:rsidP="00724974">
      <w:pPr>
        <w:tabs>
          <w:tab w:val="left" w:pos="426"/>
        </w:tabs>
        <w:spacing w:before="0" w:after="0"/>
        <w:rPr>
          <w:szCs w:val="20"/>
        </w:rPr>
      </w:pPr>
      <w:r>
        <w:rPr>
          <w:szCs w:val="20"/>
        </w:rPr>
        <w:tab/>
      </w:r>
      <w:r w:rsidRPr="00724974">
        <w:rPr>
          <w:szCs w:val="20"/>
        </w:rPr>
        <w:t>1700</w:t>
      </w:r>
    </w:p>
    <w:p w14:paraId="498A956A" w14:textId="17CB8411" w:rsidR="00724974" w:rsidRDefault="00724974" w:rsidP="00724974">
      <w:pPr>
        <w:tabs>
          <w:tab w:val="left" w:pos="426"/>
        </w:tabs>
        <w:spacing w:before="0" w:after="0"/>
        <w:rPr>
          <w:szCs w:val="20"/>
        </w:rPr>
      </w:pPr>
    </w:p>
    <w:p w14:paraId="759630A7" w14:textId="77E5D4DC" w:rsidR="00724974" w:rsidRDefault="00724974" w:rsidP="00724974">
      <w:pPr>
        <w:tabs>
          <w:tab w:val="left" w:pos="426"/>
        </w:tabs>
        <w:spacing w:before="0" w:after="0"/>
        <w:rPr>
          <w:szCs w:val="20"/>
        </w:rPr>
      </w:pPr>
      <w:r>
        <w:rPr>
          <w:szCs w:val="20"/>
        </w:rPr>
        <w:tab/>
      </w:r>
      <w:r w:rsidRPr="00724974">
        <w:rPr>
          <w:szCs w:val="20"/>
        </w:rPr>
        <w:t xml:space="preserve">The median number of DLBCL diagnoses is a reasonable estimate of patients who will utilise the proposed </w:t>
      </w:r>
      <w:r>
        <w:rPr>
          <w:szCs w:val="20"/>
        </w:rPr>
        <w:tab/>
      </w:r>
      <w:r w:rsidRPr="00724974">
        <w:rPr>
          <w:szCs w:val="20"/>
        </w:rPr>
        <w:t>medical service for the first full year.</w:t>
      </w:r>
    </w:p>
    <w:p w14:paraId="4723F920" w14:textId="77777777" w:rsidR="00724974" w:rsidRPr="00724974" w:rsidRDefault="00724974" w:rsidP="00724974">
      <w:pPr>
        <w:tabs>
          <w:tab w:val="left" w:pos="426"/>
        </w:tabs>
        <w:spacing w:before="0" w:after="0"/>
        <w:rPr>
          <w:szCs w:val="20"/>
        </w:rPr>
      </w:pPr>
    </w:p>
    <w:p w14:paraId="33B87329" w14:textId="7104A3D9" w:rsidR="00724974" w:rsidRPr="00724974" w:rsidRDefault="00724974" w:rsidP="00724974">
      <w:pPr>
        <w:spacing w:before="0" w:after="0"/>
        <w:ind w:left="142" w:firstLine="284"/>
        <w:rPr>
          <w:b/>
          <w:szCs w:val="20"/>
        </w:rPr>
      </w:pPr>
      <w:r w:rsidRPr="00724974">
        <w:rPr>
          <w:b/>
          <w:szCs w:val="20"/>
        </w:rPr>
        <w:t>Multiple Myeloma</w:t>
      </w:r>
    </w:p>
    <w:p w14:paraId="5A0EA182" w14:textId="0C10D36B" w:rsidR="00724974" w:rsidRDefault="00724974" w:rsidP="00724974">
      <w:pPr>
        <w:spacing w:before="0" w:after="0"/>
        <w:ind w:left="142" w:firstLine="284"/>
        <w:rPr>
          <w:szCs w:val="20"/>
        </w:rPr>
      </w:pPr>
      <w:r w:rsidRPr="00724974">
        <w:rPr>
          <w:szCs w:val="20"/>
        </w:rPr>
        <w:t>1800</w:t>
      </w:r>
    </w:p>
    <w:p w14:paraId="7C8B599A" w14:textId="77777777" w:rsidR="00724974" w:rsidRDefault="00724974" w:rsidP="00724974">
      <w:pPr>
        <w:spacing w:before="0" w:after="0"/>
        <w:ind w:left="142" w:firstLine="284"/>
        <w:rPr>
          <w:szCs w:val="20"/>
        </w:rPr>
      </w:pPr>
    </w:p>
    <w:p w14:paraId="18F32857" w14:textId="62861E35" w:rsidR="00724974" w:rsidRPr="00724974" w:rsidRDefault="00724974" w:rsidP="00724974">
      <w:pPr>
        <w:spacing w:before="0" w:after="0"/>
        <w:ind w:left="142" w:firstLine="284"/>
        <w:rPr>
          <w:b/>
          <w:szCs w:val="20"/>
        </w:rPr>
      </w:pPr>
      <w:r w:rsidRPr="00724974">
        <w:rPr>
          <w:b/>
          <w:szCs w:val="20"/>
        </w:rPr>
        <w:t>Non-Hodgkin Lymphoma</w:t>
      </w:r>
    </w:p>
    <w:p w14:paraId="10B18694" w14:textId="1CE80B12" w:rsidR="00724974" w:rsidRPr="00724974" w:rsidRDefault="00724974" w:rsidP="00724974">
      <w:pPr>
        <w:spacing w:before="0" w:after="0"/>
        <w:ind w:left="142" w:firstLine="284"/>
        <w:rPr>
          <w:szCs w:val="20"/>
        </w:rPr>
      </w:pPr>
      <w:r w:rsidRPr="00724974">
        <w:rPr>
          <w:szCs w:val="20"/>
        </w:rPr>
        <w:t>800</w:t>
      </w:r>
    </w:p>
    <w:p w14:paraId="66D01A1B"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11E9DBB4" w14:textId="77777777" w:rsidR="00724974" w:rsidRPr="00724974" w:rsidRDefault="00724974" w:rsidP="00724974">
      <w:pPr>
        <w:spacing w:before="0" w:after="0"/>
        <w:ind w:left="426"/>
        <w:rPr>
          <w:b/>
          <w:szCs w:val="20"/>
        </w:rPr>
      </w:pPr>
      <w:r w:rsidRPr="00724974">
        <w:rPr>
          <w:b/>
          <w:szCs w:val="20"/>
        </w:rPr>
        <w:t xml:space="preserve">Diffuse Large B </w:t>
      </w:r>
      <w:proofErr w:type="gramStart"/>
      <w:r w:rsidRPr="00724974">
        <w:rPr>
          <w:b/>
          <w:szCs w:val="20"/>
        </w:rPr>
        <w:t>Cell</w:t>
      </w:r>
      <w:proofErr w:type="gramEnd"/>
      <w:r w:rsidRPr="00724974">
        <w:rPr>
          <w:b/>
          <w:szCs w:val="20"/>
        </w:rPr>
        <w:t xml:space="preserve"> Lymphoma</w:t>
      </w:r>
    </w:p>
    <w:p w14:paraId="75FF5C40" w14:textId="77777777" w:rsidR="00724974" w:rsidRPr="00724974" w:rsidRDefault="00724974" w:rsidP="00724974">
      <w:pPr>
        <w:spacing w:before="0" w:after="0"/>
        <w:ind w:left="426"/>
        <w:rPr>
          <w:szCs w:val="20"/>
        </w:rPr>
      </w:pPr>
      <w:r w:rsidRPr="00724974">
        <w:rPr>
          <w:szCs w:val="20"/>
        </w:rPr>
        <w:t xml:space="preserve">Uptake in the next three years will result in all of the at-risk population (patients with DLBCL) receiving testing as part of the initial diagnosis/classification process. </w:t>
      </w:r>
    </w:p>
    <w:p w14:paraId="60459CF6" w14:textId="77777777" w:rsidR="00724974" w:rsidRDefault="00724974" w:rsidP="00724974">
      <w:pPr>
        <w:spacing w:before="0" w:after="0"/>
        <w:ind w:left="426"/>
        <w:rPr>
          <w:szCs w:val="20"/>
        </w:rPr>
      </w:pPr>
    </w:p>
    <w:p w14:paraId="60830AB8" w14:textId="32F79CC2" w:rsidR="00724974" w:rsidRPr="00724974" w:rsidRDefault="00724974" w:rsidP="00724974">
      <w:pPr>
        <w:spacing w:before="0" w:after="0"/>
        <w:ind w:left="426"/>
        <w:rPr>
          <w:szCs w:val="20"/>
        </w:rPr>
      </w:pPr>
      <w:r w:rsidRPr="00724974">
        <w:rPr>
          <w:szCs w:val="20"/>
        </w:rPr>
        <w:t>This testing is already being performed in a subset of patients on a self-funded basis. A small number of patients who have relapsed who were not tested at the time of NHL diagnosis may require testing. In some circumstances, this may be possible using retrospective testing on archival material. This is estimated to represent &lt;10% of the total number of patients tested.</w:t>
      </w:r>
    </w:p>
    <w:p w14:paraId="144C479A" w14:textId="77777777" w:rsidR="00724974" w:rsidRDefault="00724974" w:rsidP="00724974">
      <w:pPr>
        <w:spacing w:before="0" w:after="0"/>
        <w:ind w:left="426"/>
        <w:rPr>
          <w:szCs w:val="20"/>
        </w:rPr>
      </w:pPr>
    </w:p>
    <w:p w14:paraId="1E3F1E45" w14:textId="51BB2A22" w:rsidR="00724974" w:rsidRPr="00724974" w:rsidRDefault="00724974" w:rsidP="00724974">
      <w:pPr>
        <w:spacing w:before="0" w:after="0"/>
        <w:ind w:left="426"/>
        <w:rPr>
          <w:szCs w:val="20"/>
        </w:rPr>
      </w:pPr>
      <w:r w:rsidRPr="00724974">
        <w:rPr>
          <w:szCs w:val="20"/>
        </w:rPr>
        <w:t>AIHW statistics indicate that rate of NHL is relatively stable. Therefore, the projected number of patients will remain at less than 2000 per year for the next three years.</w:t>
      </w:r>
    </w:p>
    <w:p w14:paraId="1DB84AF2" w14:textId="77777777" w:rsidR="00724974" w:rsidRDefault="00724974" w:rsidP="00724974">
      <w:pPr>
        <w:spacing w:before="0" w:after="0"/>
        <w:ind w:left="426"/>
        <w:rPr>
          <w:szCs w:val="20"/>
        </w:rPr>
      </w:pPr>
    </w:p>
    <w:p w14:paraId="5A28409C" w14:textId="5D26347B" w:rsidR="00724974" w:rsidRDefault="00724974" w:rsidP="00724974">
      <w:pPr>
        <w:spacing w:before="0" w:after="0"/>
        <w:ind w:left="426"/>
        <w:rPr>
          <w:szCs w:val="20"/>
        </w:rPr>
      </w:pPr>
      <w:r w:rsidRPr="00724974">
        <w:rPr>
          <w:szCs w:val="20"/>
        </w:rPr>
        <w:t>Leakage to populations not targeted by the service will be constrained by the MBS item number descriptors to ensure testing is applied only where clinically indicated.</w:t>
      </w:r>
    </w:p>
    <w:p w14:paraId="51B9B65A" w14:textId="77777777" w:rsidR="00724974" w:rsidRDefault="00724974" w:rsidP="00724974">
      <w:pPr>
        <w:spacing w:before="0" w:after="0"/>
        <w:ind w:left="142" w:firstLine="284"/>
        <w:rPr>
          <w:b/>
          <w:szCs w:val="20"/>
        </w:rPr>
      </w:pPr>
    </w:p>
    <w:p w14:paraId="21C2EFF8" w14:textId="69468719" w:rsidR="00724974" w:rsidRPr="00724974" w:rsidRDefault="00724974" w:rsidP="00724974">
      <w:pPr>
        <w:spacing w:before="0" w:after="0"/>
        <w:ind w:left="142" w:firstLine="284"/>
        <w:rPr>
          <w:b/>
          <w:szCs w:val="20"/>
        </w:rPr>
      </w:pPr>
      <w:r w:rsidRPr="00724974">
        <w:rPr>
          <w:b/>
          <w:szCs w:val="20"/>
        </w:rPr>
        <w:t>Multiple Myeloma</w:t>
      </w:r>
    </w:p>
    <w:p w14:paraId="565745BE" w14:textId="707C282E" w:rsidR="00724974" w:rsidRPr="00724974" w:rsidRDefault="00724974" w:rsidP="00724974">
      <w:pPr>
        <w:spacing w:before="0" w:after="0"/>
        <w:ind w:left="426"/>
        <w:rPr>
          <w:szCs w:val="20"/>
        </w:rPr>
      </w:pPr>
      <w:r w:rsidRPr="00724974">
        <w:rPr>
          <w:szCs w:val="20"/>
        </w:rPr>
        <w:t>Uptake in the next three years will result in all of the at risk population using the test in diagnosis.</w:t>
      </w:r>
    </w:p>
    <w:p w14:paraId="07FF5A32" w14:textId="77777777" w:rsidR="00A1422C" w:rsidRDefault="00A1422C" w:rsidP="00724974">
      <w:pPr>
        <w:spacing w:before="0" w:after="0"/>
        <w:ind w:left="426"/>
        <w:rPr>
          <w:szCs w:val="20"/>
        </w:rPr>
      </w:pPr>
    </w:p>
    <w:p w14:paraId="6D1B6E46" w14:textId="43ED771D" w:rsidR="00724974" w:rsidRPr="00724974" w:rsidRDefault="00724974" w:rsidP="00724974">
      <w:pPr>
        <w:spacing w:before="0" w:after="0"/>
        <w:ind w:left="426"/>
        <w:rPr>
          <w:szCs w:val="20"/>
        </w:rPr>
      </w:pPr>
      <w:r w:rsidRPr="00724974">
        <w:rPr>
          <w:szCs w:val="20"/>
        </w:rPr>
        <w:t>AIHW statistics indicate that incidence of plasma cell myeloma is likely to rise to 1816 in 2017 and 1876 in 2018. Therefore, the projected number of patients is likely to remain at less than 2000 per year for the next three years.</w:t>
      </w:r>
    </w:p>
    <w:p w14:paraId="008BB014" w14:textId="77777777" w:rsidR="00A1422C" w:rsidRDefault="00A1422C" w:rsidP="00724974">
      <w:pPr>
        <w:spacing w:before="0" w:after="0"/>
        <w:ind w:left="426"/>
        <w:rPr>
          <w:szCs w:val="20"/>
        </w:rPr>
      </w:pPr>
    </w:p>
    <w:p w14:paraId="37EB0630" w14:textId="7693009E" w:rsidR="00724974" w:rsidRDefault="00724974" w:rsidP="00724974">
      <w:pPr>
        <w:spacing w:before="0" w:after="0"/>
        <w:ind w:left="426"/>
        <w:rPr>
          <w:szCs w:val="20"/>
        </w:rPr>
      </w:pPr>
      <w:r w:rsidRPr="00724974">
        <w:rPr>
          <w:szCs w:val="20"/>
        </w:rPr>
        <w:t>Leakage to populations not targeted by the service would be restricted by the item descriptor.</w:t>
      </w:r>
    </w:p>
    <w:p w14:paraId="2CC13142" w14:textId="77777777" w:rsidR="00A1422C" w:rsidRDefault="00A1422C" w:rsidP="00724974">
      <w:pPr>
        <w:spacing w:before="0" w:after="0"/>
        <w:ind w:left="142" w:firstLine="284"/>
        <w:rPr>
          <w:b/>
          <w:szCs w:val="20"/>
        </w:rPr>
      </w:pPr>
    </w:p>
    <w:p w14:paraId="77BD76AE" w14:textId="3973DBBA" w:rsidR="00724974" w:rsidRPr="00724974" w:rsidRDefault="00724974" w:rsidP="00724974">
      <w:pPr>
        <w:spacing w:before="0" w:after="0"/>
        <w:ind w:left="142" w:firstLine="284"/>
        <w:rPr>
          <w:b/>
          <w:szCs w:val="20"/>
        </w:rPr>
      </w:pPr>
      <w:r w:rsidRPr="00724974">
        <w:rPr>
          <w:b/>
          <w:szCs w:val="20"/>
        </w:rPr>
        <w:t>Non-Hodgkin Lymphoma</w:t>
      </w:r>
    </w:p>
    <w:p w14:paraId="694DE910" w14:textId="77777777" w:rsidR="00724974" w:rsidRPr="00724974" w:rsidRDefault="00724974" w:rsidP="00724974">
      <w:pPr>
        <w:spacing w:before="0" w:after="0"/>
        <w:ind w:left="426"/>
        <w:rPr>
          <w:szCs w:val="20"/>
        </w:rPr>
      </w:pPr>
      <w:r w:rsidRPr="00724974">
        <w:rPr>
          <w:szCs w:val="20"/>
        </w:rPr>
        <w:t xml:space="preserve">Uptake in the next three years will result in all of the at-risk population receiving testing as part of the initial diagnosis/classification process. </w:t>
      </w:r>
    </w:p>
    <w:p w14:paraId="26BC14AA" w14:textId="77777777" w:rsidR="00A1422C" w:rsidRDefault="00A1422C" w:rsidP="00724974">
      <w:pPr>
        <w:spacing w:before="0" w:after="0"/>
        <w:ind w:left="426"/>
        <w:rPr>
          <w:szCs w:val="20"/>
        </w:rPr>
      </w:pPr>
    </w:p>
    <w:p w14:paraId="6CF30B76" w14:textId="02D4548B" w:rsidR="00724974" w:rsidRPr="00724974" w:rsidRDefault="00724974" w:rsidP="00724974">
      <w:pPr>
        <w:spacing w:before="0" w:after="0"/>
        <w:ind w:left="426"/>
        <w:rPr>
          <w:szCs w:val="20"/>
        </w:rPr>
      </w:pPr>
      <w:r w:rsidRPr="00724974">
        <w:rPr>
          <w:szCs w:val="20"/>
        </w:rPr>
        <w:lastRenderedPageBreak/>
        <w:t>AIHW statistics indicate that rate of NHL is relatively stable. Therefore, the projected number of patients will remain at less than 850 per year for the next three years.</w:t>
      </w:r>
    </w:p>
    <w:p w14:paraId="688B3076" w14:textId="77777777" w:rsidR="00A1422C" w:rsidRDefault="00A1422C" w:rsidP="00724974">
      <w:pPr>
        <w:spacing w:before="0" w:after="0"/>
        <w:ind w:left="426"/>
        <w:rPr>
          <w:szCs w:val="20"/>
        </w:rPr>
      </w:pPr>
    </w:p>
    <w:p w14:paraId="636FA288" w14:textId="7B257F22" w:rsidR="00724974" w:rsidRDefault="00724974" w:rsidP="00724974">
      <w:pPr>
        <w:spacing w:before="0" w:after="0"/>
        <w:ind w:left="426"/>
        <w:rPr>
          <w:b/>
          <w:sz w:val="32"/>
          <w:szCs w:val="32"/>
        </w:rPr>
      </w:pPr>
      <w:r w:rsidRPr="00724974">
        <w:rPr>
          <w:szCs w:val="20"/>
        </w:rPr>
        <w:t>Leakage to populations not targeted by the service will be constrained by the MBS item number descriptors to ensure testing is applied only where clinically indicated.</w:t>
      </w:r>
    </w:p>
    <w:p w14:paraId="39A8B5C1" w14:textId="6C70A15B" w:rsidR="003433D1" w:rsidRDefault="003433D1" w:rsidP="00724974">
      <w:pPr>
        <w:spacing w:before="0" w:after="0"/>
        <w:ind w:left="426"/>
        <w:rPr>
          <w:b/>
          <w:sz w:val="32"/>
          <w:szCs w:val="32"/>
        </w:rPr>
      </w:pPr>
      <w:r>
        <w:rPr>
          <w:b/>
          <w:sz w:val="32"/>
          <w:szCs w:val="32"/>
        </w:rPr>
        <w:br w:type="page"/>
      </w:r>
    </w:p>
    <w:p w14:paraId="18518B87"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0B62686D"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594CE1C8" w14:textId="0C71A8A0" w:rsidR="00951933" w:rsidRDefault="00951933" w:rsidP="00AE1188">
      <w:pPr>
        <w:ind w:left="426"/>
        <w:rPr>
          <w:szCs w:val="20"/>
        </w:rPr>
      </w:pPr>
    </w:p>
    <w:tbl>
      <w:tblPr>
        <w:tblStyle w:val="TableGrid"/>
        <w:tblW w:w="0" w:type="auto"/>
        <w:tblLook w:val="04A0" w:firstRow="1" w:lastRow="0" w:firstColumn="1" w:lastColumn="0" w:noHBand="0" w:noVBand="1"/>
        <w:tblCaption w:val="Cost Information"/>
        <w:tblDescription w:val="Cost Information"/>
      </w:tblPr>
      <w:tblGrid>
        <w:gridCol w:w="3710"/>
        <w:gridCol w:w="2100"/>
        <w:gridCol w:w="1603"/>
        <w:gridCol w:w="1603"/>
      </w:tblGrid>
      <w:tr w:rsidR="00A1422C" w:rsidRPr="00A1422C" w14:paraId="47961669" w14:textId="57AA9C3C" w:rsidTr="00746A08">
        <w:trPr>
          <w:tblHeader/>
        </w:trPr>
        <w:tc>
          <w:tcPr>
            <w:tcW w:w="3710" w:type="dxa"/>
            <w:tcBorders>
              <w:top w:val="single" w:sz="4" w:space="0" w:color="auto"/>
              <w:left w:val="single" w:sz="4" w:space="0" w:color="auto"/>
              <w:bottom w:val="single" w:sz="4" w:space="0" w:color="auto"/>
              <w:right w:val="single" w:sz="4" w:space="0" w:color="auto"/>
            </w:tcBorders>
          </w:tcPr>
          <w:p w14:paraId="45CA52CD" w14:textId="77777777" w:rsidR="00A1422C" w:rsidRPr="00A1422C" w:rsidRDefault="00A1422C" w:rsidP="00A1422C">
            <w:pPr>
              <w:spacing w:before="0" w:after="0"/>
              <w:ind w:left="426"/>
              <w:rPr>
                <w:szCs w:val="20"/>
              </w:rPr>
            </w:pPr>
            <w:bookmarkStart w:id="8" w:name="_GoBack" w:colFirst="0" w:colLast="4"/>
            <w:r w:rsidRPr="00A1422C">
              <w:rPr>
                <w:b/>
                <w:szCs w:val="20"/>
              </w:rPr>
              <w:t>Equipment and resources</w:t>
            </w:r>
          </w:p>
        </w:tc>
        <w:tc>
          <w:tcPr>
            <w:tcW w:w="2100" w:type="dxa"/>
            <w:tcBorders>
              <w:top w:val="single" w:sz="4" w:space="0" w:color="auto"/>
              <w:left w:val="single" w:sz="4" w:space="0" w:color="auto"/>
              <w:bottom w:val="single" w:sz="4" w:space="0" w:color="auto"/>
              <w:right w:val="single" w:sz="4" w:space="0" w:color="auto"/>
            </w:tcBorders>
          </w:tcPr>
          <w:p w14:paraId="7DD74C46" w14:textId="7137F26F" w:rsidR="00A1422C" w:rsidRPr="00A1422C" w:rsidRDefault="00A1422C" w:rsidP="00A1422C">
            <w:pPr>
              <w:spacing w:before="0" w:after="0"/>
              <w:ind w:left="426"/>
              <w:rPr>
                <w:szCs w:val="20"/>
              </w:rPr>
            </w:pPr>
            <w:r w:rsidRPr="00A1422C">
              <w:rPr>
                <w:b/>
                <w:szCs w:val="20"/>
              </w:rPr>
              <w:t>Diffuse Large B Cell Lymphoma</w:t>
            </w:r>
          </w:p>
        </w:tc>
        <w:tc>
          <w:tcPr>
            <w:tcW w:w="1603" w:type="dxa"/>
            <w:tcBorders>
              <w:top w:val="single" w:sz="4" w:space="0" w:color="auto"/>
              <w:left w:val="single" w:sz="4" w:space="0" w:color="auto"/>
              <w:bottom w:val="single" w:sz="4" w:space="0" w:color="auto"/>
              <w:right w:val="single" w:sz="4" w:space="0" w:color="auto"/>
            </w:tcBorders>
          </w:tcPr>
          <w:p w14:paraId="47389C5D" w14:textId="51050A16" w:rsidR="00A1422C" w:rsidRPr="00A1422C" w:rsidRDefault="00A1422C" w:rsidP="00A1422C">
            <w:pPr>
              <w:spacing w:before="0" w:after="0"/>
              <w:ind w:left="426"/>
              <w:rPr>
                <w:b/>
                <w:szCs w:val="20"/>
              </w:rPr>
            </w:pPr>
            <w:r w:rsidRPr="00A1422C">
              <w:rPr>
                <w:b/>
                <w:szCs w:val="20"/>
              </w:rPr>
              <w:t>Multiple Myeloma</w:t>
            </w:r>
          </w:p>
        </w:tc>
        <w:tc>
          <w:tcPr>
            <w:tcW w:w="1603" w:type="dxa"/>
            <w:tcBorders>
              <w:top w:val="single" w:sz="4" w:space="0" w:color="auto"/>
              <w:left w:val="single" w:sz="4" w:space="0" w:color="auto"/>
              <w:bottom w:val="single" w:sz="4" w:space="0" w:color="auto"/>
              <w:right w:val="single" w:sz="4" w:space="0" w:color="auto"/>
            </w:tcBorders>
          </w:tcPr>
          <w:p w14:paraId="61D36B35" w14:textId="76BC061B" w:rsidR="00A1422C" w:rsidRPr="00A1422C" w:rsidRDefault="00A1422C" w:rsidP="00A1422C">
            <w:pPr>
              <w:spacing w:before="0" w:after="0"/>
              <w:ind w:left="142" w:firstLine="284"/>
              <w:rPr>
                <w:b/>
                <w:szCs w:val="20"/>
              </w:rPr>
            </w:pPr>
            <w:r w:rsidRPr="00724974">
              <w:rPr>
                <w:b/>
                <w:szCs w:val="20"/>
              </w:rPr>
              <w:t>Non-Hodgkin Lymphoma</w:t>
            </w:r>
          </w:p>
        </w:tc>
      </w:tr>
      <w:bookmarkEnd w:id="8"/>
      <w:tr w:rsidR="00A1422C" w:rsidRPr="00A1422C" w14:paraId="2AD6D30C" w14:textId="06C4BEC7" w:rsidTr="00A1422C">
        <w:tc>
          <w:tcPr>
            <w:tcW w:w="3710" w:type="dxa"/>
            <w:tcBorders>
              <w:top w:val="single" w:sz="4" w:space="0" w:color="auto"/>
              <w:left w:val="single" w:sz="4" w:space="0" w:color="auto"/>
              <w:bottom w:val="single" w:sz="4" w:space="0" w:color="auto"/>
              <w:right w:val="single" w:sz="4" w:space="0" w:color="auto"/>
            </w:tcBorders>
          </w:tcPr>
          <w:p w14:paraId="3DE5B2AC" w14:textId="77777777" w:rsidR="00A1422C" w:rsidRDefault="00A1422C" w:rsidP="00A1422C">
            <w:pPr>
              <w:spacing w:before="0" w:after="0"/>
              <w:ind w:left="426"/>
              <w:rPr>
                <w:szCs w:val="20"/>
              </w:rPr>
            </w:pPr>
            <w:r w:rsidRPr="00A1422C">
              <w:rPr>
                <w:szCs w:val="20"/>
              </w:rPr>
              <w:t>FISH kit, probes, reagents, ancillary reagents</w:t>
            </w:r>
          </w:p>
          <w:p w14:paraId="63E69315" w14:textId="41002705" w:rsidR="00A1422C" w:rsidRPr="00A1422C" w:rsidRDefault="00A1422C" w:rsidP="00A1422C">
            <w:pPr>
              <w:spacing w:before="0" w:after="0"/>
              <w:ind w:left="426"/>
              <w:rPr>
                <w:b/>
                <w:szCs w:val="20"/>
              </w:rPr>
            </w:pPr>
          </w:p>
        </w:tc>
        <w:tc>
          <w:tcPr>
            <w:tcW w:w="2100" w:type="dxa"/>
            <w:tcBorders>
              <w:top w:val="single" w:sz="4" w:space="0" w:color="auto"/>
              <w:left w:val="single" w:sz="4" w:space="0" w:color="auto"/>
              <w:bottom w:val="single" w:sz="4" w:space="0" w:color="auto"/>
              <w:right w:val="single" w:sz="4" w:space="0" w:color="auto"/>
            </w:tcBorders>
          </w:tcPr>
          <w:p w14:paraId="1FA57DC6" w14:textId="77777777" w:rsidR="00A1422C" w:rsidRPr="00A1422C" w:rsidRDefault="00A1422C" w:rsidP="00A1422C">
            <w:pPr>
              <w:spacing w:before="0" w:after="0"/>
              <w:ind w:left="426"/>
              <w:rPr>
                <w:b/>
                <w:szCs w:val="20"/>
              </w:rPr>
            </w:pPr>
            <w:r w:rsidRPr="00A1422C">
              <w:rPr>
                <w:szCs w:val="20"/>
              </w:rPr>
              <w:t>$350.00</w:t>
            </w:r>
          </w:p>
        </w:tc>
        <w:tc>
          <w:tcPr>
            <w:tcW w:w="1603" w:type="dxa"/>
            <w:tcBorders>
              <w:top w:val="single" w:sz="4" w:space="0" w:color="auto"/>
              <w:left w:val="single" w:sz="4" w:space="0" w:color="auto"/>
              <w:bottom w:val="single" w:sz="4" w:space="0" w:color="auto"/>
              <w:right w:val="single" w:sz="4" w:space="0" w:color="auto"/>
            </w:tcBorders>
          </w:tcPr>
          <w:p w14:paraId="44D788B2" w14:textId="5138540B" w:rsidR="00A1422C" w:rsidRPr="00A1422C" w:rsidRDefault="00A1422C" w:rsidP="00A1422C">
            <w:pPr>
              <w:spacing w:before="0" w:after="0"/>
              <w:ind w:left="426"/>
              <w:rPr>
                <w:szCs w:val="20"/>
              </w:rPr>
            </w:pPr>
            <w:r w:rsidRPr="008C6480">
              <w:t>$</w:t>
            </w:r>
            <w:r>
              <w:t>45</w:t>
            </w:r>
            <w:r w:rsidRPr="008C6480">
              <w:t>0.00</w:t>
            </w:r>
          </w:p>
        </w:tc>
        <w:tc>
          <w:tcPr>
            <w:tcW w:w="1603" w:type="dxa"/>
            <w:tcBorders>
              <w:top w:val="single" w:sz="4" w:space="0" w:color="auto"/>
              <w:left w:val="single" w:sz="4" w:space="0" w:color="auto"/>
              <w:bottom w:val="single" w:sz="4" w:space="0" w:color="auto"/>
              <w:right w:val="single" w:sz="4" w:space="0" w:color="auto"/>
            </w:tcBorders>
          </w:tcPr>
          <w:p w14:paraId="1BA3FB8B" w14:textId="2B1F613D" w:rsidR="00A1422C" w:rsidRPr="00A1422C" w:rsidRDefault="00A1422C" w:rsidP="00A1422C">
            <w:pPr>
              <w:spacing w:before="0" w:after="0"/>
              <w:ind w:left="426"/>
              <w:rPr>
                <w:szCs w:val="20"/>
              </w:rPr>
            </w:pPr>
            <w:r>
              <w:t>$350.00</w:t>
            </w:r>
          </w:p>
        </w:tc>
      </w:tr>
      <w:tr w:rsidR="00A1422C" w:rsidRPr="00A1422C" w14:paraId="5AFCE26C" w14:textId="7CF5C607" w:rsidTr="00A1422C">
        <w:tc>
          <w:tcPr>
            <w:tcW w:w="3710" w:type="dxa"/>
            <w:tcBorders>
              <w:top w:val="single" w:sz="4" w:space="0" w:color="auto"/>
              <w:left w:val="single" w:sz="4" w:space="0" w:color="auto"/>
              <w:bottom w:val="single" w:sz="4" w:space="0" w:color="auto"/>
              <w:right w:val="single" w:sz="4" w:space="0" w:color="auto"/>
            </w:tcBorders>
          </w:tcPr>
          <w:p w14:paraId="031960E7" w14:textId="77777777" w:rsidR="00A1422C" w:rsidRDefault="00A1422C" w:rsidP="00A1422C">
            <w:pPr>
              <w:spacing w:before="0" w:after="0"/>
              <w:ind w:left="426"/>
              <w:rPr>
                <w:szCs w:val="20"/>
              </w:rPr>
            </w:pPr>
            <w:r w:rsidRPr="00A1422C">
              <w:rPr>
                <w:szCs w:val="20"/>
              </w:rPr>
              <w:t>Labour medical (consultant pathologist)</w:t>
            </w:r>
          </w:p>
          <w:p w14:paraId="0E6B3D18" w14:textId="177BCAA2" w:rsidR="00A1422C" w:rsidRPr="00A1422C" w:rsidRDefault="00A1422C" w:rsidP="00A1422C">
            <w:pPr>
              <w:spacing w:before="0" w:after="0"/>
              <w:ind w:left="426"/>
              <w:rPr>
                <w:szCs w:val="20"/>
              </w:rPr>
            </w:pPr>
          </w:p>
        </w:tc>
        <w:tc>
          <w:tcPr>
            <w:tcW w:w="2100" w:type="dxa"/>
            <w:tcBorders>
              <w:top w:val="single" w:sz="4" w:space="0" w:color="auto"/>
              <w:left w:val="single" w:sz="4" w:space="0" w:color="auto"/>
              <w:bottom w:val="single" w:sz="4" w:space="0" w:color="auto"/>
              <w:right w:val="single" w:sz="4" w:space="0" w:color="auto"/>
            </w:tcBorders>
          </w:tcPr>
          <w:p w14:paraId="43136B01" w14:textId="77777777" w:rsidR="00A1422C" w:rsidRPr="00A1422C" w:rsidRDefault="00A1422C" w:rsidP="00A1422C">
            <w:pPr>
              <w:spacing w:before="0" w:after="0"/>
              <w:ind w:left="426"/>
              <w:rPr>
                <w:szCs w:val="20"/>
              </w:rPr>
            </w:pPr>
            <w:r w:rsidRPr="00A1422C">
              <w:rPr>
                <w:szCs w:val="20"/>
              </w:rPr>
              <w:t>$50.00</w:t>
            </w:r>
          </w:p>
        </w:tc>
        <w:tc>
          <w:tcPr>
            <w:tcW w:w="1603" w:type="dxa"/>
            <w:tcBorders>
              <w:top w:val="single" w:sz="4" w:space="0" w:color="auto"/>
              <w:left w:val="single" w:sz="4" w:space="0" w:color="auto"/>
              <w:bottom w:val="single" w:sz="4" w:space="0" w:color="auto"/>
              <w:right w:val="single" w:sz="4" w:space="0" w:color="auto"/>
            </w:tcBorders>
          </w:tcPr>
          <w:p w14:paraId="7BBB0622" w14:textId="78FD03D5" w:rsidR="00A1422C" w:rsidRPr="00A1422C" w:rsidRDefault="00A1422C" w:rsidP="00A1422C">
            <w:pPr>
              <w:spacing w:before="0" w:after="0"/>
              <w:ind w:left="426"/>
              <w:rPr>
                <w:szCs w:val="20"/>
              </w:rPr>
            </w:pPr>
            <w:r w:rsidRPr="008C6480">
              <w:t>$</w:t>
            </w:r>
            <w:r>
              <w:t>75</w:t>
            </w:r>
            <w:r w:rsidRPr="008C6480">
              <w:t>.00</w:t>
            </w:r>
          </w:p>
        </w:tc>
        <w:tc>
          <w:tcPr>
            <w:tcW w:w="1603" w:type="dxa"/>
            <w:tcBorders>
              <w:top w:val="single" w:sz="4" w:space="0" w:color="auto"/>
              <w:left w:val="single" w:sz="4" w:space="0" w:color="auto"/>
              <w:bottom w:val="single" w:sz="4" w:space="0" w:color="auto"/>
              <w:right w:val="single" w:sz="4" w:space="0" w:color="auto"/>
            </w:tcBorders>
          </w:tcPr>
          <w:p w14:paraId="50E72F7A" w14:textId="6DE23D52" w:rsidR="00A1422C" w:rsidRPr="00A1422C" w:rsidRDefault="00A1422C" w:rsidP="00A1422C">
            <w:pPr>
              <w:spacing w:before="0" w:after="0"/>
              <w:ind w:left="426"/>
              <w:rPr>
                <w:szCs w:val="20"/>
              </w:rPr>
            </w:pPr>
            <w:r>
              <w:t>$50.00</w:t>
            </w:r>
          </w:p>
        </w:tc>
      </w:tr>
      <w:tr w:rsidR="00A1422C" w:rsidRPr="00A1422C" w14:paraId="212BB056" w14:textId="50152F2A" w:rsidTr="00A1422C">
        <w:tc>
          <w:tcPr>
            <w:tcW w:w="3710" w:type="dxa"/>
            <w:tcBorders>
              <w:top w:val="single" w:sz="4" w:space="0" w:color="auto"/>
              <w:left w:val="single" w:sz="4" w:space="0" w:color="auto"/>
              <w:bottom w:val="single" w:sz="4" w:space="0" w:color="auto"/>
              <w:right w:val="single" w:sz="4" w:space="0" w:color="auto"/>
            </w:tcBorders>
          </w:tcPr>
          <w:p w14:paraId="34AA862C" w14:textId="77777777" w:rsidR="00A1422C" w:rsidRDefault="00A1422C" w:rsidP="00A1422C">
            <w:pPr>
              <w:spacing w:before="0" w:after="0"/>
              <w:ind w:left="426"/>
              <w:rPr>
                <w:szCs w:val="20"/>
              </w:rPr>
            </w:pPr>
            <w:r w:rsidRPr="00A1422C">
              <w:rPr>
                <w:szCs w:val="20"/>
              </w:rPr>
              <w:t>Labour scientific</w:t>
            </w:r>
          </w:p>
          <w:p w14:paraId="32873A01" w14:textId="506B04F8" w:rsidR="00A1422C" w:rsidRPr="00A1422C" w:rsidRDefault="00A1422C" w:rsidP="00A1422C">
            <w:pPr>
              <w:spacing w:before="0" w:after="0"/>
              <w:ind w:left="426"/>
              <w:rPr>
                <w:szCs w:val="20"/>
              </w:rPr>
            </w:pPr>
          </w:p>
        </w:tc>
        <w:tc>
          <w:tcPr>
            <w:tcW w:w="2100" w:type="dxa"/>
            <w:tcBorders>
              <w:top w:val="single" w:sz="4" w:space="0" w:color="auto"/>
              <w:left w:val="single" w:sz="4" w:space="0" w:color="auto"/>
              <w:bottom w:val="single" w:sz="4" w:space="0" w:color="auto"/>
              <w:right w:val="single" w:sz="4" w:space="0" w:color="auto"/>
            </w:tcBorders>
          </w:tcPr>
          <w:p w14:paraId="08C8FA01" w14:textId="77777777" w:rsidR="00A1422C" w:rsidRPr="00A1422C" w:rsidRDefault="00A1422C" w:rsidP="00A1422C">
            <w:pPr>
              <w:spacing w:before="0" w:after="0"/>
              <w:ind w:left="426"/>
              <w:rPr>
                <w:szCs w:val="20"/>
              </w:rPr>
            </w:pPr>
            <w:r w:rsidRPr="00A1422C">
              <w:rPr>
                <w:szCs w:val="20"/>
              </w:rPr>
              <w:t>$40.00</w:t>
            </w:r>
          </w:p>
        </w:tc>
        <w:tc>
          <w:tcPr>
            <w:tcW w:w="1603" w:type="dxa"/>
            <w:tcBorders>
              <w:top w:val="single" w:sz="4" w:space="0" w:color="auto"/>
              <w:left w:val="single" w:sz="4" w:space="0" w:color="auto"/>
              <w:bottom w:val="single" w:sz="4" w:space="0" w:color="auto"/>
              <w:right w:val="single" w:sz="4" w:space="0" w:color="auto"/>
            </w:tcBorders>
          </w:tcPr>
          <w:p w14:paraId="57BF41E9" w14:textId="1D88FA6B" w:rsidR="00A1422C" w:rsidRPr="00A1422C" w:rsidRDefault="00A1422C" w:rsidP="00A1422C">
            <w:pPr>
              <w:spacing w:before="0" w:after="0"/>
              <w:ind w:left="426"/>
              <w:rPr>
                <w:szCs w:val="20"/>
              </w:rPr>
            </w:pPr>
            <w:r w:rsidRPr="008C6480">
              <w:t>$</w:t>
            </w:r>
            <w:r>
              <w:t>6</w:t>
            </w:r>
            <w:r w:rsidRPr="008C6480">
              <w:t>0.00</w:t>
            </w:r>
          </w:p>
        </w:tc>
        <w:tc>
          <w:tcPr>
            <w:tcW w:w="1603" w:type="dxa"/>
            <w:tcBorders>
              <w:top w:val="single" w:sz="4" w:space="0" w:color="auto"/>
              <w:left w:val="single" w:sz="4" w:space="0" w:color="auto"/>
              <w:bottom w:val="single" w:sz="4" w:space="0" w:color="auto"/>
              <w:right w:val="single" w:sz="4" w:space="0" w:color="auto"/>
            </w:tcBorders>
          </w:tcPr>
          <w:p w14:paraId="5F5077D0" w14:textId="1B575CAA" w:rsidR="00A1422C" w:rsidRPr="00A1422C" w:rsidRDefault="00A1422C" w:rsidP="00A1422C">
            <w:pPr>
              <w:spacing w:before="0" w:after="0"/>
              <w:ind w:left="426"/>
              <w:rPr>
                <w:szCs w:val="20"/>
              </w:rPr>
            </w:pPr>
            <w:r>
              <w:t>$40.00</w:t>
            </w:r>
          </w:p>
        </w:tc>
      </w:tr>
      <w:tr w:rsidR="00A1422C" w:rsidRPr="00A1422C" w14:paraId="165F5AF8" w14:textId="2D113D2E" w:rsidTr="00A1422C">
        <w:tc>
          <w:tcPr>
            <w:tcW w:w="3710" w:type="dxa"/>
            <w:tcBorders>
              <w:top w:val="single" w:sz="4" w:space="0" w:color="auto"/>
              <w:left w:val="single" w:sz="4" w:space="0" w:color="auto"/>
              <w:bottom w:val="single" w:sz="4" w:space="0" w:color="auto"/>
              <w:right w:val="single" w:sz="4" w:space="0" w:color="auto"/>
            </w:tcBorders>
          </w:tcPr>
          <w:p w14:paraId="215A4A57" w14:textId="77777777" w:rsidR="00A1422C" w:rsidRDefault="00A1422C" w:rsidP="00A1422C">
            <w:pPr>
              <w:spacing w:before="0" w:after="0"/>
              <w:ind w:left="426"/>
              <w:rPr>
                <w:szCs w:val="20"/>
              </w:rPr>
            </w:pPr>
            <w:r w:rsidRPr="00A1422C">
              <w:rPr>
                <w:szCs w:val="20"/>
              </w:rPr>
              <w:t>Labour on costs</w:t>
            </w:r>
          </w:p>
          <w:p w14:paraId="2418A105" w14:textId="286E0FA1" w:rsidR="00A1422C" w:rsidRPr="00A1422C" w:rsidRDefault="00A1422C" w:rsidP="00A1422C">
            <w:pPr>
              <w:spacing w:before="0" w:after="0"/>
              <w:ind w:left="426"/>
              <w:rPr>
                <w:szCs w:val="20"/>
              </w:rPr>
            </w:pPr>
          </w:p>
        </w:tc>
        <w:tc>
          <w:tcPr>
            <w:tcW w:w="2100" w:type="dxa"/>
            <w:tcBorders>
              <w:top w:val="single" w:sz="4" w:space="0" w:color="auto"/>
              <w:left w:val="single" w:sz="4" w:space="0" w:color="auto"/>
              <w:bottom w:val="single" w:sz="4" w:space="0" w:color="auto"/>
              <w:right w:val="single" w:sz="4" w:space="0" w:color="auto"/>
            </w:tcBorders>
          </w:tcPr>
          <w:p w14:paraId="5FE6051F" w14:textId="77777777" w:rsidR="00A1422C" w:rsidRPr="00A1422C" w:rsidRDefault="00A1422C" w:rsidP="00A1422C">
            <w:pPr>
              <w:spacing w:before="0" w:after="0"/>
              <w:ind w:left="426"/>
              <w:rPr>
                <w:szCs w:val="20"/>
              </w:rPr>
            </w:pPr>
            <w:r w:rsidRPr="00A1422C">
              <w:rPr>
                <w:szCs w:val="20"/>
              </w:rPr>
              <w:t>$14.00</w:t>
            </w:r>
          </w:p>
        </w:tc>
        <w:tc>
          <w:tcPr>
            <w:tcW w:w="1603" w:type="dxa"/>
            <w:tcBorders>
              <w:top w:val="single" w:sz="4" w:space="0" w:color="auto"/>
              <w:left w:val="single" w:sz="4" w:space="0" w:color="auto"/>
              <w:bottom w:val="single" w:sz="4" w:space="0" w:color="auto"/>
              <w:right w:val="single" w:sz="4" w:space="0" w:color="auto"/>
            </w:tcBorders>
          </w:tcPr>
          <w:p w14:paraId="0964E6A8" w14:textId="2AFB8E0C" w:rsidR="00A1422C" w:rsidRPr="00A1422C" w:rsidRDefault="00A1422C" w:rsidP="00A1422C">
            <w:pPr>
              <w:spacing w:before="0" w:after="0"/>
              <w:ind w:left="426"/>
              <w:rPr>
                <w:szCs w:val="20"/>
              </w:rPr>
            </w:pPr>
            <w:r w:rsidRPr="008C6480">
              <w:t>$1</w:t>
            </w:r>
            <w:r>
              <w:t>5</w:t>
            </w:r>
            <w:r w:rsidRPr="008C6480">
              <w:t>.00</w:t>
            </w:r>
          </w:p>
        </w:tc>
        <w:tc>
          <w:tcPr>
            <w:tcW w:w="1603" w:type="dxa"/>
            <w:tcBorders>
              <w:top w:val="single" w:sz="4" w:space="0" w:color="auto"/>
              <w:left w:val="single" w:sz="4" w:space="0" w:color="auto"/>
              <w:bottom w:val="single" w:sz="4" w:space="0" w:color="auto"/>
              <w:right w:val="single" w:sz="4" w:space="0" w:color="auto"/>
            </w:tcBorders>
          </w:tcPr>
          <w:p w14:paraId="7EF15F71" w14:textId="018AB290" w:rsidR="00A1422C" w:rsidRPr="00A1422C" w:rsidRDefault="00A1422C" w:rsidP="00A1422C">
            <w:pPr>
              <w:spacing w:before="0" w:after="0"/>
              <w:ind w:left="426"/>
              <w:rPr>
                <w:szCs w:val="20"/>
              </w:rPr>
            </w:pPr>
            <w:r>
              <w:t>$14.00</w:t>
            </w:r>
          </w:p>
        </w:tc>
      </w:tr>
      <w:tr w:rsidR="00A1422C" w:rsidRPr="00A1422C" w14:paraId="58458982" w14:textId="0CE77CE5" w:rsidTr="00A1422C">
        <w:tc>
          <w:tcPr>
            <w:tcW w:w="3710" w:type="dxa"/>
            <w:tcBorders>
              <w:top w:val="single" w:sz="4" w:space="0" w:color="auto"/>
              <w:left w:val="single" w:sz="4" w:space="0" w:color="auto"/>
              <w:bottom w:val="single" w:sz="4" w:space="0" w:color="auto"/>
              <w:right w:val="single" w:sz="4" w:space="0" w:color="auto"/>
            </w:tcBorders>
          </w:tcPr>
          <w:p w14:paraId="5BD0ABC4" w14:textId="77777777" w:rsidR="00A1422C" w:rsidRDefault="00A1422C" w:rsidP="00A1422C">
            <w:pPr>
              <w:spacing w:before="0" w:after="0"/>
              <w:ind w:left="426"/>
              <w:rPr>
                <w:b/>
                <w:szCs w:val="20"/>
              </w:rPr>
            </w:pPr>
            <w:r w:rsidRPr="00A1422C">
              <w:rPr>
                <w:b/>
                <w:szCs w:val="20"/>
              </w:rPr>
              <w:t>Total</w:t>
            </w:r>
            <w:r>
              <w:rPr>
                <w:b/>
                <w:szCs w:val="20"/>
              </w:rPr>
              <w:t xml:space="preserve"> per test</w:t>
            </w:r>
          </w:p>
          <w:p w14:paraId="6331945D" w14:textId="0F4B6E3C" w:rsidR="00A1422C" w:rsidRPr="00A1422C" w:rsidRDefault="00A1422C" w:rsidP="00A1422C">
            <w:pPr>
              <w:spacing w:before="0" w:after="0"/>
              <w:ind w:left="426"/>
              <w:rPr>
                <w:szCs w:val="20"/>
              </w:rPr>
            </w:pPr>
          </w:p>
        </w:tc>
        <w:tc>
          <w:tcPr>
            <w:tcW w:w="2100" w:type="dxa"/>
            <w:tcBorders>
              <w:top w:val="single" w:sz="4" w:space="0" w:color="auto"/>
              <w:left w:val="single" w:sz="4" w:space="0" w:color="auto"/>
              <w:bottom w:val="single" w:sz="4" w:space="0" w:color="auto"/>
              <w:right w:val="single" w:sz="4" w:space="0" w:color="auto"/>
            </w:tcBorders>
          </w:tcPr>
          <w:p w14:paraId="00159D70" w14:textId="77777777" w:rsidR="00A1422C" w:rsidRPr="00A1422C" w:rsidRDefault="00A1422C" w:rsidP="00A1422C">
            <w:pPr>
              <w:spacing w:before="0" w:after="0"/>
              <w:ind w:left="426"/>
              <w:rPr>
                <w:szCs w:val="20"/>
              </w:rPr>
            </w:pPr>
            <w:r w:rsidRPr="00A1422C">
              <w:rPr>
                <w:b/>
                <w:szCs w:val="20"/>
              </w:rPr>
              <w:t>$454.00</w:t>
            </w:r>
          </w:p>
        </w:tc>
        <w:tc>
          <w:tcPr>
            <w:tcW w:w="1603" w:type="dxa"/>
            <w:tcBorders>
              <w:top w:val="single" w:sz="4" w:space="0" w:color="auto"/>
              <w:left w:val="single" w:sz="4" w:space="0" w:color="auto"/>
              <w:bottom w:val="single" w:sz="4" w:space="0" w:color="auto"/>
              <w:right w:val="single" w:sz="4" w:space="0" w:color="auto"/>
            </w:tcBorders>
          </w:tcPr>
          <w:p w14:paraId="27AF26FF" w14:textId="0F853E86" w:rsidR="00A1422C" w:rsidRPr="00A1422C" w:rsidRDefault="00A1422C" w:rsidP="00A1422C">
            <w:pPr>
              <w:spacing w:before="0" w:after="0"/>
              <w:ind w:left="426"/>
              <w:rPr>
                <w:b/>
                <w:szCs w:val="20"/>
              </w:rPr>
            </w:pPr>
            <w:r w:rsidRPr="008C6480">
              <w:rPr>
                <w:b/>
              </w:rPr>
              <w:t>$</w:t>
            </w:r>
            <w:r>
              <w:rPr>
                <w:b/>
              </w:rPr>
              <w:t>600</w:t>
            </w:r>
            <w:r w:rsidRPr="008C6480">
              <w:rPr>
                <w:b/>
              </w:rPr>
              <w:t>.00</w:t>
            </w:r>
          </w:p>
        </w:tc>
        <w:tc>
          <w:tcPr>
            <w:tcW w:w="1603" w:type="dxa"/>
            <w:tcBorders>
              <w:top w:val="single" w:sz="4" w:space="0" w:color="auto"/>
              <w:left w:val="single" w:sz="4" w:space="0" w:color="auto"/>
              <w:bottom w:val="single" w:sz="4" w:space="0" w:color="auto"/>
              <w:right w:val="single" w:sz="4" w:space="0" w:color="auto"/>
            </w:tcBorders>
          </w:tcPr>
          <w:p w14:paraId="0577DB42" w14:textId="40F0F8C2" w:rsidR="00A1422C" w:rsidRPr="00A1422C" w:rsidRDefault="00A1422C" w:rsidP="00A1422C">
            <w:pPr>
              <w:spacing w:before="0" w:after="0"/>
              <w:ind w:left="426"/>
              <w:rPr>
                <w:b/>
                <w:szCs w:val="20"/>
              </w:rPr>
            </w:pPr>
            <w:r>
              <w:rPr>
                <w:b/>
              </w:rPr>
              <w:t>$454.00</w:t>
            </w:r>
          </w:p>
        </w:tc>
      </w:tr>
    </w:tbl>
    <w:p w14:paraId="3EF80018" w14:textId="77777777" w:rsidR="00A1422C" w:rsidRPr="00154B00" w:rsidRDefault="00A1422C" w:rsidP="00AE1188">
      <w:pPr>
        <w:ind w:left="426"/>
        <w:rPr>
          <w:szCs w:val="20"/>
        </w:rPr>
      </w:pPr>
    </w:p>
    <w:p w14:paraId="757E9ABB"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1502F96A" w14:textId="660CDEBC" w:rsidR="00951933" w:rsidRDefault="00A1422C" w:rsidP="00AE1188">
      <w:pPr>
        <w:ind w:left="426"/>
        <w:rPr>
          <w:b/>
          <w:szCs w:val="20"/>
        </w:rPr>
      </w:pPr>
      <w:r w:rsidRPr="00DD0C6C">
        <w:rPr>
          <w:szCs w:val="20"/>
        </w:rPr>
        <w:t>7 -10 working days</w:t>
      </w:r>
    </w:p>
    <w:p w14:paraId="2E270631" w14:textId="3F9942EC"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75A8B832" w14:textId="48779D8A" w:rsidR="00085156" w:rsidRDefault="00085156" w:rsidP="00085156">
      <w:pPr>
        <w:tabs>
          <w:tab w:val="left" w:pos="426"/>
        </w:tabs>
        <w:spacing w:before="0" w:after="0"/>
        <w:ind w:left="360"/>
      </w:pPr>
    </w:p>
    <w:tbl>
      <w:tblPr>
        <w:tblW w:w="0" w:type="auto"/>
        <w:tblInd w:w="392" w:type="dxa"/>
        <w:tblCellMar>
          <w:left w:w="0" w:type="dxa"/>
          <w:right w:w="0" w:type="dxa"/>
        </w:tblCellMar>
        <w:tblLook w:val="04A0" w:firstRow="1" w:lastRow="0" w:firstColumn="1" w:lastColumn="0" w:noHBand="0" w:noVBand="1"/>
      </w:tblPr>
      <w:tblGrid>
        <w:gridCol w:w="8850"/>
      </w:tblGrid>
      <w:tr w:rsidR="00085156" w:rsidRPr="00085156" w14:paraId="0EA941BF" w14:textId="77777777" w:rsidTr="00BF1F87">
        <w:tc>
          <w:tcPr>
            <w:tcW w:w="8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BE53FF" w14:textId="77777777" w:rsidR="00085156" w:rsidRPr="00085156" w:rsidRDefault="00085156" w:rsidP="00085156">
            <w:pPr>
              <w:spacing w:before="0" w:after="0"/>
              <w:rPr>
                <w:rFonts w:ascii="Calibri" w:hAnsi="Calibri" w:cs="Calibri"/>
                <w:szCs w:val="20"/>
              </w:rPr>
            </w:pPr>
            <w:r w:rsidRPr="00085156">
              <w:rPr>
                <w:rFonts w:ascii="Calibri" w:hAnsi="Calibri" w:cs="Calibri"/>
                <w:szCs w:val="20"/>
              </w:rPr>
              <w:t>Category 6 –Genetics P7</w:t>
            </w:r>
          </w:p>
        </w:tc>
      </w:tr>
      <w:tr w:rsidR="00085156" w:rsidRPr="00085156" w14:paraId="6A42B35C" w14:textId="77777777" w:rsidTr="00BF1F87">
        <w:tc>
          <w:tcPr>
            <w:tcW w:w="88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4BE347" w14:textId="77777777" w:rsidR="00085156" w:rsidRPr="00085156" w:rsidRDefault="00085156" w:rsidP="00085156">
            <w:pPr>
              <w:spacing w:before="0" w:after="0"/>
              <w:rPr>
                <w:rFonts w:ascii="Calibri" w:hAnsi="Calibri" w:cs="Calibri"/>
                <w:szCs w:val="20"/>
              </w:rPr>
            </w:pPr>
            <w:r w:rsidRPr="00085156">
              <w:rPr>
                <w:rFonts w:ascii="Calibri" w:hAnsi="Calibri" w:cs="Calibri"/>
                <w:szCs w:val="20"/>
              </w:rPr>
              <w:t>Proposed item descriptor</w:t>
            </w:r>
          </w:p>
          <w:p w14:paraId="105AD8B0" w14:textId="77777777" w:rsidR="00085156" w:rsidRPr="00085156" w:rsidRDefault="00085156" w:rsidP="00085156">
            <w:pPr>
              <w:spacing w:before="0" w:after="0"/>
              <w:rPr>
                <w:rFonts w:ascii="Calibri" w:hAnsi="Calibri" w:cs="Calibri"/>
                <w:szCs w:val="20"/>
              </w:rPr>
            </w:pPr>
          </w:p>
          <w:p w14:paraId="08378CC4" w14:textId="77777777" w:rsidR="00085156" w:rsidRPr="00085156" w:rsidRDefault="00085156" w:rsidP="00085156">
            <w:pPr>
              <w:spacing w:before="0" w:after="0"/>
              <w:rPr>
                <w:rFonts w:ascii="Calibri" w:hAnsi="Calibri" w:cs="Calibri"/>
                <w:szCs w:val="20"/>
              </w:rPr>
            </w:pPr>
            <w:r w:rsidRPr="00085156">
              <w:rPr>
                <w:rFonts w:ascii="Calibri" w:hAnsi="Calibri" w:cs="Calibri"/>
                <w:szCs w:val="20"/>
              </w:rPr>
              <w:t>Detection of gene rearrangements in MYC, BCL2 and BCL6 in a patient with Diffuse Large B Cell Lymphoma</w:t>
            </w:r>
          </w:p>
          <w:p w14:paraId="561FF0DA" w14:textId="77777777" w:rsidR="00085156" w:rsidRPr="00085156" w:rsidRDefault="00085156" w:rsidP="00085156">
            <w:pPr>
              <w:spacing w:before="0" w:after="0"/>
              <w:rPr>
                <w:rFonts w:ascii="Calibri" w:hAnsi="Calibri" w:cs="Calibri"/>
                <w:b/>
                <w:szCs w:val="20"/>
              </w:rPr>
            </w:pPr>
            <w:r w:rsidRPr="00085156">
              <w:rPr>
                <w:rFonts w:ascii="Calibri" w:hAnsi="Calibri" w:cs="Calibri"/>
                <w:b/>
                <w:szCs w:val="20"/>
              </w:rPr>
              <w:t>OR</w:t>
            </w:r>
          </w:p>
          <w:p w14:paraId="2267B722" w14:textId="77777777" w:rsidR="00085156" w:rsidRPr="00085156" w:rsidRDefault="00085156" w:rsidP="00085156">
            <w:pPr>
              <w:spacing w:before="0" w:after="0"/>
              <w:rPr>
                <w:rFonts w:ascii="Calibri" w:hAnsi="Calibri" w:cs="Calibri"/>
                <w:szCs w:val="20"/>
              </w:rPr>
            </w:pPr>
            <w:r w:rsidRPr="00085156">
              <w:rPr>
                <w:rFonts w:ascii="Calibri" w:hAnsi="Calibri" w:cs="Calibri"/>
                <w:szCs w:val="20"/>
              </w:rPr>
              <w:t>Identification of the following genetic abnormalities in Non-Hodgkin Lymphoma:</w:t>
            </w:r>
          </w:p>
          <w:p w14:paraId="7FE96851" w14:textId="77777777" w:rsidR="00085156" w:rsidRPr="00085156" w:rsidRDefault="00085156" w:rsidP="00085156">
            <w:pPr>
              <w:numPr>
                <w:ilvl w:val="0"/>
                <w:numId w:val="37"/>
              </w:numPr>
              <w:spacing w:before="0" w:after="0"/>
              <w:contextualSpacing/>
              <w:rPr>
                <w:rFonts w:ascii="Calibri" w:hAnsi="Calibri" w:cs="Calibri"/>
                <w:b/>
                <w:szCs w:val="20"/>
              </w:rPr>
            </w:pPr>
            <w:r w:rsidRPr="00085156">
              <w:rPr>
                <w:rFonts w:ascii="Calibri" w:hAnsi="Calibri" w:cs="Calibri"/>
                <w:szCs w:val="20"/>
              </w:rPr>
              <w:t xml:space="preserve">MYC gene rearrangement for the diagnosis of </w:t>
            </w:r>
            <w:proofErr w:type="spellStart"/>
            <w:r w:rsidRPr="00085156">
              <w:rPr>
                <w:rFonts w:ascii="Calibri" w:hAnsi="Calibri" w:cs="Calibri"/>
                <w:szCs w:val="20"/>
              </w:rPr>
              <w:t>Burkitt</w:t>
            </w:r>
            <w:proofErr w:type="spellEnd"/>
            <w:r w:rsidRPr="00085156">
              <w:rPr>
                <w:rFonts w:ascii="Calibri" w:hAnsi="Calibri" w:cs="Calibri"/>
                <w:szCs w:val="20"/>
              </w:rPr>
              <w:t xml:space="preserve"> Lymphoma, </w:t>
            </w:r>
            <w:r w:rsidRPr="00085156">
              <w:rPr>
                <w:rFonts w:ascii="Calibri" w:hAnsi="Calibri" w:cs="Calibri"/>
                <w:b/>
                <w:szCs w:val="20"/>
              </w:rPr>
              <w:t>AND/OR</w:t>
            </w:r>
          </w:p>
          <w:p w14:paraId="3853EAE1" w14:textId="77777777" w:rsidR="00085156" w:rsidRPr="00085156" w:rsidRDefault="00085156" w:rsidP="00085156">
            <w:pPr>
              <w:numPr>
                <w:ilvl w:val="0"/>
                <w:numId w:val="37"/>
              </w:numPr>
              <w:spacing w:before="0" w:after="0"/>
              <w:contextualSpacing/>
              <w:rPr>
                <w:rFonts w:ascii="Calibri" w:hAnsi="Calibri" w:cs="Calibri"/>
                <w:szCs w:val="20"/>
              </w:rPr>
            </w:pPr>
            <w:r w:rsidRPr="00085156">
              <w:rPr>
                <w:rFonts w:ascii="Calibri" w:hAnsi="Calibri" w:cs="Calibri"/>
                <w:szCs w:val="20"/>
              </w:rPr>
              <w:t xml:space="preserve">one or more of CCND1 and CCND2 gene rearrangements for the diagnosis of Mantle Cell Lymphoma, </w:t>
            </w:r>
            <w:r w:rsidRPr="00085156">
              <w:rPr>
                <w:rFonts w:ascii="Calibri" w:hAnsi="Calibri" w:cs="Calibri"/>
                <w:b/>
                <w:szCs w:val="20"/>
              </w:rPr>
              <w:t>AND/OR</w:t>
            </w:r>
          </w:p>
          <w:p w14:paraId="06669288" w14:textId="77777777" w:rsidR="00085156" w:rsidRPr="00085156" w:rsidRDefault="00085156" w:rsidP="00085156">
            <w:pPr>
              <w:numPr>
                <w:ilvl w:val="0"/>
                <w:numId w:val="37"/>
              </w:numPr>
              <w:spacing w:before="0" w:after="0"/>
              <w:contextualSpacing/>
              <w:rPr>
                <w:rFonts w:ascii="Calibri" w:hAnsi="Calibri" w:cs="Calibri"/>
                <w:szCs w:val="20"/>
              </w:rPr>
            </w:pPr>
            <w:proofErr w:type="spellStart"/>
            <w:r w:rsidRPr="00085156">
              <w:rPr>
                <w:rFonts w:ascii="Calibri" w:hAnsi="Calibri" w:cs="Calibri"/>
                <w:szCs w:val="20"/>
              </w:rPr>
              <w:t>i</w:t>
            </w:r>
            <w:proofErr w:type="spellEnd"/>
            <w:r w:rsidRPr="00085156">
              <w:rPr>
                <w:rFonts w:ascii="Calibri" w:hAnsi="Calibri" w:cs="Calibri"/>
                <w:szCs w:val="20"/>
              </w:rPr>
              <w:t xml:space="preserve">(q7) for the diagnosis of </w:t>
            </w:r>
            <w:proofErr w:type="spellStart"/>
            <w:r w:rsidRPr="00085156">
              <w:rPr>
                <w:rFonts w:ascii="Calibri" w:hAnsi="Calibri" w:cs="Calibri"/>
                <w:szCs w:val="20"/>
              </w:rPr>
              <w:t>Hepatosplenic</w:t>
            </w:r>
            <w:proofErr w:type="spellEnd"/>
            <w:r w:rsidRPr="00085156">
              <w:rPr>
                <w:rFonts w:ascii="Calibri" w:hAnsi="Calibri" w:cs="Calibri"/>
                <w:szCs w:val="20"/>
              </w:rPr>
              <w:t xml:space="preserve"> T-cell Lymphoma (Peripheral T-cell NHL)</w:t>
            </w:r>
          </w:p>
          <w:p w14:paraId="28102840" w14:textId="77777777" w:rsidR="00085156" w:rsidRPr="00085156" w:rsidRDefault="00085156" w:rsidP="00085156">
            <w:pPr>
              <w:numPr>
                <w:ilvl w:val="0"/>
                <w:numId w:val="37"/>
              </w:numPr>
              <w:spacing w:before="0" w:after="0"/>
              <w:contextualSpacing/>
              <w:rPr>
                <w:rFonts w:ascii="Calibri" w:hAnsi="Calibri" w:cs="Calibri"/>
                <w:b/>
                <w:szCs w:val="20"/>
              </w:rPr>
            </w:pPr>
            <w:r w:rsidRPr="00085156">
              <w:rPr>
                <w:rFonts w:ascii="Calibri" w:hAnsi="Calibri" w:cs="Calibri"/>
                <w:szCs w:val="20"/>
              </w:rPr>
              <w:t xml:space="preserve">DUSP22 and TP63 gene rearrangements for the diagnosis of ALK negative Anaplastic Large Cell Lymphoma, </w:t>
            </w:r>
            <w:r w:rsidRPr="00085156">
              <w:rPr>
                <w:rFonts w:ascii="Calibri" w:hAnsi="Calibri" w:cs="Calibri"/>
                <w:b/>
                <w:szCs w:val="20"/>
              </w:rPr>
              <w:t>AND/OR</w:t>
            </w:r>
          </w:p>
          <w:p w14:paraId="0EE4E59C" w14:textId="77777777" w:rsidR="00085156" w:rsidRPr="00085156" w:rsidRDefault="00085156" w:rsidP="00085156">
            <w:pPr>
              <w:numPr>
                <w:ilvl w:val="0"/>
                <w:numId w:val="37"/>
              </w:numPr>
              <w:spacing w:before="0" w:after="0"/>
              <w:contextualSpacing/>
              <w:rPr>
                <w:rFonts w:ascii="Calibri" w:hAnsi="Calibri" w:cs="Calibri"/>
                <w:szCs w:val="20"/>
              </w:rPr>
            </w:pPr>
            <w:proofErr w:type="gramStart"/>
            <w:r w:rsidRPr="00085156">
              <w:rPr>
                <w:rFonts w:ascii="Calibri" w:hAnsi="Calibri" w:cs="Calibri"/>
                <w:szCs w:val="20"/>
              </w:rPr>
              <w:t>one</w:t>
            </w:r>
            <w:proofErr w:type="gramEnd"/>
            <w:r w:rsidRPr="00085156">
              <w:rPr>
                <w:rFonts w:ascii="Calibri" w:hAnsi="Calibri" w:cs="Calibri"/>
                <w:szCs w:val="20"/>
              </w:rPr>
              <w:t xml:space="preserve"> or more TCL1A or MTCP1 gene rearrangements in a patient with T-cell Prolymphocytic Leukaemia.</w:t>
            </w:r>
          </w:p>
          <w:p w14:paraId="7E495AA6" w14:textId="77777777" w:rsidR="00085156" w:rsidRPr="00085156" w:rsidRDefault="00085156" w:rsidP="00085156">
            <w:pPr>
              <w:spacing w:before="0" w:after="0"/>
              <w:rPr>
                <w:rFonts w:ascii="Calibri" w:hAnsi="Calibri" w:cs="Calibri"/>
                <w:szCs w:val="20"/>
              </w:rPr>
            </w:pPr>
          </w:p>
          <w:p w14:paraId="5F278F5C" w14:textId="77777777" w:rsidR="00085156" w:rsidRPr="00085156" w:rsidRDefault="00085156" w:rsidP="00085156">
            <w:pPr>
              <w:spacing w:before="0" w:after="0"/>
              <w:rPr>
                <w:rFonts w:ascii="Calibri" w:hAnsi="Calibri" w:cs="Calibri"/>
                <w:szCs w:val="20"/>
              </w:rPr>
            </w:pPr>
            <w:r w:rsidRPr="00085156">
              <w:rPr>
                <w:rFonts w:ascii="Calibri" w:hAnsi="Calibri" w:cs="Calibri"/>
                <w:szCs w:val="20"/>
              </w:rPr>
              <w:t>Fee:  $454 (for each)</w:t>
            </w:r>
          </w:p>
          <w:p w14:paraId="0BB39C69" w14:textId="77777777" w:rsidR="00085156" w:rsidRPr="00085156" w:rsidRDefault="00085156" w:rsidP="00085156">
            <w:pPr>
              <w:spacing w:before="0" w:after="0"/>
              <w:rPr>
                <w:rFonts w:ascii="Calibri" w:hAnsi="Calibri" w:cs="Calibri"/>
                <w:b/>
                <w:szCs w:val="20"/>
              </w:rPr>
            </w:pPr>
            <w:r w:rsidRPr="00085156">
              <w:rPr>
                <w:rFonts w:ascii="Calibri" w:hAnsi="Calibri" w:cs="Calibri"/>
                <w:b/>
                <w:szCs w:val="20"/>
              </w:rPr>
              <w:t>OR</w:t>
            </w:r>
          </w:p>
          <w:p w14:paraId="04840F69" w14:textId="77777777" w:rsidR="00085156" w:rsidRPr="00085156" w:rsidRDefault="00085156" w:rsidP="00085156">
            <w:pPr>
              <w:spacing w:before="0" w:after="0"/>
              <w:rPr>
                <w:rFonts w:ascii="Calibri" w:hAnsi="Calibri" w:cs="Calibri"/>
                <w:szCs w:val="20"/>
              </w:rPr>
            </w:pPr>
            <w:r w:rsidRPr="00085156">
              <w:rPr>
                <w:rFonts w:ascii="Calibri" w:hAnsi="Calibri" w:cs="Calibri"/>
                <w:szCs w:val="20"/>
              </w:rPr>
              <w:t xml:space="preserve">Detection of chromosome translocations </w:t>
            </w:r>
            <w:proofErr w:type="gramStart"/>
            <w:r w:rsidRPr="00085156">
              <w:rPr>
                <w:rFonts w:ascii="Calibri" w:hAnsi="Calibri" w:cs="Calibri"/>
                <w:szCs w:val="20"/>
              </w:rPr>
              <w:t>t(</w:t>
            </w:r>
            <w:proofErr w:type="gramEnd"/>
            <w:r w:rsidRPr="00085156">
              <w:rPr>
                <w:rFonts w:ascii="Calibri" w:hAnsi="Calibri" w:cs="Calibri"/>
                <w:szCs w:val="20"/>
              </w:rPr>
              <w:t xml:space="preserve">4;14), t(14;16), t(14;20) copy number changes 1q gain and 17p deletion in in the assessment of plasma cell myeloma. </w:t>
            </w:r>
          </w:p>
          <w:p w14:paraId="594FE983" w14:textId="77777777" w:rsidR="00085156" w:rsidRPr="00085156" w:rsidRDefault="00085156" w:rsidP="00085156">
            <w:pPr>
              <w:spacing w:before="0" w:after="0"/>
              <w:rPr>
                <w:rFonts w:ascii="Calibri" w:hAnsi="Calibri" w:cs="Calibri"/>
                <w:szCs w:val="20"/>
              </w:rPr>
            </w:pPr>
          </w:p>
          <w:p w14:paraId="69BE3389" w14:textId="77777777" w:rsidR="00085156" w:rsidRPr="00085156" w:rsidRDefault="00085156" w:rsidP="00085156">
            <w:pPr>
              <w:spacing w:before="0" w:after="0"/>
              <w:rPr>
                <w:rFonts w:ascii="Calibri" w:hAnsi="Calibri" w:cs="Calibri"/>
                <w:szCs w:val="20"/>
              </w:rPr>
            </w:pPr>
            <w:r w:rsidRPr="00085156">
              <w:rPr>
                <w:rFonts w:ascii="Calibri" w:hAnsi="Calibri" w:cs="Calibri"/>
                <w:szCs w:val="20"/>
              </w:rPr>
              <w:t>Fee:  $600</w:t>
            </w:r>
          </w:p>
          <w:p w14:paraId="40CBECA8" w14:textId="77777777" w:rsidR="00085156" w:rsidRPr="00085156" w:rsidRDefault="00085156" w:rsidP="00085156">
            <w:pPr>
              <w:spacing w:before="0" w:after="0"/>
              <w:rPr>
                <w:rFonts w:ascii="Calibri" w:hAnsi="Calibri" w:cs="Calibri"/>
                <w:szCs w:val="20"/>
              </w:rPr>
            </w:pPr>
          </w:p>
        </w:tc>
      </w:tr>
    </w:tbl>
    <w:p w14:paraId="1EC24118" w14:textId="77777777" w:rsidR="00085156" w:rsidRDefault="00085156" w:rsidP="00A1422C">
      <w:pPr>
        <w:tabs>
          <w:tab w:val="left" w:pos="426"/>
        </w:tabs>
        <w:spacing w:before="0" w:after="0"/>
      </w:pPr>
    </w:p>
    <w:p w14:paraId="6E6305D1" w14:textId="418D8D8A" w:rsidR="00085156" w:rsidRDefault="00085156" w:rsidP="00A1422C">
      <w:pPr>
        <w:tabs>
          <w:tab w:val="left" w:pos="426"/>
        </w:tabs>
        <w:spacing w:before="0" w:after="0"/>
      </w:pPr>
    </w:p>
    <w:p w14:paraId="264BD0F9" w14:textId="77777777" w:rsidR="00E058F2" w:rsidRPr="00C776B1" w:rsidRDefault="001B5169" w:rsidP="00AE1188">
      <w:pPr>
        <w:pStyle w:val="Heading1"/>
      </w:pPr>
      <w:r>
        <w:lastRenderedPageBreak/>
        <w:t>PART 9</w:t>
      </w:r>
      <w:r w:rsidR="00F93784">
        <w:t xml:space="preserve"> – </w:t>
      </w:r>
      <w:r w:rsidR="00E058F2" w:rsidRPr="00C776B1">
        <w:t>FEEDBACK</w:t>
      </w:r>
    </w:p>
    <w:p w14:paraId="459C9D00" w14:textId="77777777" w:rsidR="00E058F2" w:rsidRPr="00154B00" w:rsidRDefault="00E058F2" w:rsidP="00E058F2">
      <w:pPr>
        <w:rPr>
          <w:szCs w:val="20"/>
        </w:rPr>
      </w:pPr>
      <w:r w:rsidRPr="00154B00">
        <w:rPr>
          <w:szCs w:val="20"/>
        </w:rPr>
        <w:t>The Department</w:t>
      </w:r>
      <w:r w:rsidR="005A58BA">
        <w:rPr>
          <w:szCs w:val="20"/>
        </w:rPr>
        <w:t xml:space="preserve"> is interested in your feedback.</w:t>
      </w:r>
    </w:p>
    <w:p w14:paraId="243FD9DA" w14:textId="77777777" w:rsidR="00E058F2" w:rsidRPr="00AE1188" w:rsidRDefault="00E058F2" w:rsidP="001B5169">
      <w:pPr>
        <w:pStyle w:val="Heading2"/>
      </w:pPr>
      <w:r w:rsidRPr="00AE1188">
        <w:t>How long did it take to complete the Application Form?</w:t>
      </w:r>
    </w:p>
    <w:p w14:paraId="4095334C" w14:textId="77777777" w:rsidR="00E058F2" w:rsidRPr="00154B00" w:rsidRDefault="00603D04" w:rsidP="00603D04">
      <w:pPr>
        <w:ind w:left="426"/>
        <w:rPr>
          <w:szCs w:val="20"/>
        </w:rPr>
      </w:pPr>
      <w:r>
        <w:fldChar w:fldCharType="begin">
          <w:ffData>
            <w:name w:val=""/>
            <w:enabled/>
            <w:calcOnExit w:val="0"/>
            <w:textInput>
              <w:default w:val="Insert approximate duration here"/>
            </w:textInput>
          </w:ffData>
        </w:fldChar>
      </w:r>
      <w:r>
        <w:instrText xml:space="preserve"> FORMTEXT </w:instrText>
      </w:r>
      <w:r>
        <w:fldChar w:fldCharType="separate"/>
      </w:r>
      <w:r>
        <w:rPr>
          <w:noProof/>
        </w:rPr>
        <w:t>Insert approximate duration here</w:t>
      </w:r>
      <w:r>
        <w:fldChar w:fldCharType="end"/>
      </w:r>
    </w:p>
    <w:p w14:paraId="36DDBFCE" w14:textId="77777777"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14:paraId="74140977"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746A08">
        <w:rPr>
          <w:szCs w:val="20"/>
        </w:rPr>
      </w:r>
      <w:r w:rsidR="00746A08">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3FBC0CF2"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746A08">
        <w:rPr>
          <w:szCs w:val="20"/>
        </w:rPr>
      </w:r>
      <w:r w:rsidR="00746A08">
        <w:rPr>
          <w:szCs w:val="20"/>
        </w:rPr>
        <w:fldChar w:fldCharType="separate"/>
      </w:r>
      <w:r w:rsidRPr="001B29A1">
        <w:rPr>
          <w:szCs w:val="20"/>
        </w:rPr>
        <w:fldChar w:fldCharType="end"/>
      </w:r>
      <w:r w:rsidRPr="001B29A1">
        <w:rPr>
          <w:szCs w:val="20"/>
        </w:rPr>
        <w:t xml:space="preserve"> </w:t>
      </w:r>
      <w:r>
        <w:rPr>
          <w:szCs w:val="20"/>
        </w:rPr>
        <w:t>No</w:t>
      </w:r>
    </w:p>
    <w:p w14:paraId="2C497D5A" w14:textId="77777777" w:rsidR="003D6DE1" w:rsidRPr="00154B00" w:rsidRDefault="00603D04" w:rsidP="001B5169">
      <w:pPr>
        <w:pStyle w:val="Heading2"/>
        <w:numPr>
          <w:ilvl w:val="0"/>
          <w:numId w:val="31"/>
        </w:numPr>
      </w:pPr>
      <w:r>
        <w:t>If no, provide areas of concern:</w:t>
      </w:r>
    </w:p>
    <w:p w14:paraId="1A5AAC95" w14:textId="77777777" w:rsidR="003D6DE1" w:rsidRPr="00154B00" w:rsidRDefault="00603D04" w:rsidP="00603D04">
      <w:pPr>
        <w:ind w:left="426"/>
        <w:rPr>
          <w:szCs w:val="20"/>
        </w:rPr>
      </w:pPr>
      <w:r>
        <w:fldChar w:fldCharType="begin">
          <w:ffData>
            <w:name w:val=""/>
            <w:enabled/>
            <w:calcOnExit w:val="0"/>
            <w:textInput>
              <w:default w:val="Describe areas of concern here"/>
            </w:textInput>
          </w:ffData>
        </w:fldChar>
      </w:r>
      <w:r>
        <w:instrText xml:space="preserve"> FORMTEXT </w:instrText>
      </w:r>
      <w:r>
        <w:fldChar w:fldCharType="separate"/>
      </w:r>
      <w:r>
        <w:rPr>
          <w:noProof/>
        </w:rPr>
        <w:t>Describe areas of concern here</w:t>
      </w:r>
      <w:r>
        <w:fldChar w:fldCharType="end"/>
      </w:r>
    </w:p>
    <w:p w14:paraId="239B7D2A" w14:textId="77777777"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14:paraId="1F1D6E1B"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746A08">
        <w:rPr>
          <w:szCs w:val="20"/>
        </w:rPr>
      </w:r>
      <w:r w:rsidR="00746A08">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4715BDFA"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746A08">
        <w:rPr>
          <w:szCs w:val="20"/>
        </w:rPr>
      </w:r>
      <w:r w:rsidR="00746A08">
        <w:rPr>
          <w:szCs w:val="20"/>
        </w:rPr>
        <w:fldChar w:fldCharType="separate"/>
      </w:r>
      <w:r w:rsidRPr="001B29A1">
        <w:rPr>
          <w:szCs w:val="20"/>
        </w:rPr>
        <w:fldChar w:fldCharType="end"/>
      </w:r>
      <w:r w:rsidRPr="001B29A1">
        <w:rPr>
          <w:szCs w:val="20"/>
        </w:rPr>
        <w:t xml:space="preserve"> </w:t>
      </w:r>
      <w:r>
        <w:rPr>
          <w:szCs w:val="20"/>
        </w:rPr>
        <w:t>No</w:t>
      </w:r>
    </w:p>
    <w:p w14:paraId="2825F431" w14:textId="77777777" w:rsidR="003D6DE1" w:rsidRPr="00154B00" w:rsidRDefault="003D6DE1" w:rsidP="001B5169">
      <w:pPr>
        <w:pStyle w:val="Heading2"/>
        <w:numPr>
          <w:ilvl w:val="0"/>
          <w:numId w:val="32"/>
        </w:numPr>
      </w:pPr>
      <w:r>
        <w:t>If no, what areas did you find not to be useful?</w:t>
      </w:r>
    </w:p>
    <w:p w14:paraId="5315C382" w14:textId="77777777" w:rsidR="003D6DE1" w:rsidRPr="00154B0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14:paraId="04FA258D" w14:textId="77777777"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14:paraId="0B7F451A"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746A08">
        <w:rPr>
          <w:szCs w:val="20"/>
        </w:rPr>
      </w:r>
      <w:r w:rsidR="00746A08">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2C8AB6BC"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746A08">
        <w:rPr>
          <w:szCs w:val="20"/>
        </w:rPr>
      </w:r>
      <w:r w:rsidR="00746A08">
        <w:rPr>
          <w:szCs w:val="20"/>
        </w:rPr>
        <w:fldChar w:fldCharType="separate"/>
      </w:r>
      <w:r w:rsidRPr="001B29A1">
        <w:rPr>
          <w:szCs w:val="20"/>
        </w:rPr>
        <w:fldChar w:fldCharType="end"/>
      </w:r>
      <w:r w:rsidRPr="001B29A1">
        <w:rPr>
          <w:szCs w:val="20"/>
        </w:rPr>
        <w:t xml:space="preserve"> </w:t>
      </w:r>
      <w:r>
        <w:rPr>
          <w:szCs w:val="20"/>
        </w:rPr>
        <w:t>No</w:t>
      </w:r>
    </w:p>
    <w:p w14:paraId="60911E4A" w14:textId="77777777" w:rsidR="001845D9" w:rsidRPr="00154B00" w:rsidRDefault="001845D9" w:rsidP="001B5169">
      <w:pPr>
        <w:pStyle w:val="Heading2"/>
        <w:numPr>
          <w:ilvl w:val="0"/>
          <w:numId w:val="33"/>
        </w:numPr>
      </w:pPr>
      <w:r w:rsidRPr="00154B00">
        <w:t xml:space="preserve">If yes, please </w:t>
      </w:r>
      <w:proofErr w:type="gramStart"/>
      <w:r w:rsidRPr="00154B00">
        <w:t>advise</w:t>
      </w:r>
      <w:proofErr w:type="gramEnd"/>
      <w:r w:rsidRPr="00154B00">
        <w:t>:</w:t>
      </w:r>
    </w:p>
    <w:p w14:paraId="6AB4451B" w14:textId="77777777" w:rsidR="00B84469" w:rsidRDefault="00603D04" w:rsidP="00603D04">
      <w:pPr>
        <w:ind w:left="426"/>
        <w:sectPr w:rsidR="00B84469" w:rsidSect="00DD308E">
          <w:pgSz w:w="11906" w:h="16838"/>
          <w:pgMar w:top="1440" w:right="1440" w:bottom="1440" w:left="1440" w:header="708" w:footer="708" w:gutter="0"/>
          <w:cols w:space="708"/>
          <w:docGrid w:linePitch="360"/>
        </w:sect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14:paraId="1504BD0B" w14:textId="77777777" w:rsidR="00B84469" w:rsidRPr="00B84469" w:rsidRDefault="00B84469" w:rsidP="00B84469">
      <w:pPr>
        <w:ind w:left="426"/>
        <w:rPr>
          <w:szCs w:val="20"/>
        </w:rPr>
      </w:pPr>
      <w:r w:rsidRPr="00B84469">
        <w:rPr>
          <w:szCs w:val="20"/>
        </w:rPr>
        <w:lastRenderedPageBreak/>
        <w:t xml:space="preserve">Appendix </w:t>
      </w:r>
      <w:proofErr w:type="gramStart"/>
      <w:r w:rsidRPr="00B84469">
        <w:rPr>
          <w:szCs w:val="20"/>
        </w:rPr>
        <w:t>A</w:t>
      </w:r>
      <w:proofErr w:type="gramEnd"/>
      <w:r w:rsidRPr="00B84469">
        <w:rPr>
          <w:szCs w:val="20"/>
        </w:rPr>
        <w:t xml:space="preserve"> Flowcharts</w:t>
      </w:r>
    </w:p>
    <w:p w14:paraId="71D517C0" w14:textId="051642AD" w:rsidR="00B84469" w:rsidRDefault="00B84469" w:rsidP="00B84469">
      <w:pPr>
        <w:ind w:left="426"/>
        <w:rPr>
          <w:szCs w:val="20"/>
        </w:rPr>
      </w:pPr>
      <w:r w:rsidRPr="00B84469">
        <w:rPr>
          <w:szCs w:val="20"/>
        </w:rPr>
        <w:t>Q26 Current clinical pathway before proposed medical service</w:t>
      </w:r>
    </w:p>
    <w:p w14:paraId="101530B2" w14:textId="77777777" w:rsidR="00B84469" w:rsidRPr="00B84469" w:rsidRDefault="00B84469" w:rsidP="00B84469">
      <w:pPr>
        <w:ind w:left="426"/>
        <w:rPr>
          <w:szCs w:val="20"/>
        </w:rPr>
      </w:pPr>
    </w:p>
    <w:p w14:paraId="02D1D8E1" w14:textId="29E1CAC5" w:rsidR="00B84469" w:rsidRPr="00B84469" w:rsidRDefault="00116560" w:rsidP="00B84469">
      <w:pPr>
        <w:ind w:left="426"/>
        <w:rPr>
          <w:szCs w:val="20"/>
        </w:rPr>
      </w:pPr>
      <w:r>
        <w:rPr>
          <w:noProof/>
          <w:szCs w:val="20"/>
          <w:lang w:eastAsia="en-AU"/>
        </w:rPr>
        <w:drawing>
          <wp:inline distT="0" distB="0" distL="0" distR="0" wp14:anchorId="45D8A487" wp14:editId="1084C9ED">
            <wp:extent cx="5467350" cy="3019425"/>
            <wp:effectExtent l="0" t="0" r="0" b="9525"/>
            <wp:docPr id="19" name="Picture 19" descr="Current clinical pathway before proposed medical service" title="Current clinical pathway before proposed medical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67350" cy="3019425"/>
                    </a:xfrm>
                    <a:prstGeom prst="rect">
                      <a:avLst/>
                    </a:prstGeom>
                    <a:noFill/>
                    <a:ln>
                      <a:noFill/>
                    </a:ln>
                  </pic:spPr>
                </pic:pic>
              </a:graphicData>
            </a:graphic>
          </wp:inline>
        </w:drawing>
      </w:r>
    </w:p>
    <w:p w14:paraId="1DEC4E80" w14:textId="77777777" w:rsidR="00B84469" w:rsidRDefault="00B84469" w:rsidP="00603D04">
      <w:pPr>
        <w:ind w:left="426"/>
        <w:rPr>
          <w:szCs w:val="20"/>
        </w:rPr>
        <w:sectPr w:rsidR="00B84469" w:rsidSect="00B84469">
          <w:pgSz w:w="16838" w:h="11906" w:orient="landscape"/>
          <w:pgMar w:top="1440" w:right="1440" w:bottom="1440" w:left="1440" w:header="708" w:footer="708" w:gutter="0"/>
          <w:cols w:space="708"/>
          <w:docGrid w:linePitch="360"/>
        </w:sectPr>
      </w:pPr>
    </w:p>
    <w:p w14:paraId="035CF5FB" w14:textId="77777777" w:rsidR="00B84469" w:rsidRPr="00B84469" w:rsidRDefault="00B84469" w:rsidP="00B84469">
      <w:pPr>
        <w:ind w:left="426"/>
        <w:rPr>
          <w:szCs w:val="20"/>
        </w:rPr>
      </w:pPr>
      <w:r w:rsidRPr="00B84469">
        <w:rPr>
          <w:szCs w:val="20"/>
        </w:rPr>
        <w:lastRenderedPageBreak/>
        <w:t xml:space="preserve">Appendix </w:t>
      </w:r>
      <w:proofErr w:type="gramStart"/>
      <w:r w:rsidRPr="00B84469">
        <w:rPr>
          <w:szCs w:val="20"/>
        </w:rPr>
        <w:t>A</w:t>
      </w:r>
      <w:proofErr w:type="gramEnd"/>
      <w:r w:rsidRPr="00B84469">
        <w:rPr>
          <w:szCs w:val="20"/>
        </w:rPr>
        <w:t xml:space="preserve"> Flowcharts</w:t>
      </w:r>
    </w:p>
    <w:p w14:paraId="2055479F" w14:textId="38874F0D" w:rsidR="00B84469" w:rsidRDefault="00B84469" w:rsidP="00B84469">
      <w:pPr>
        <w:ind w:left="426"/>
        <w:rPr>
          <w:szCs w:val="20"/>
        </w:rPr>
      </w:pPr>
      <w:r w:rsidRPr="00B84469">
        <w:rPr>
          <w:szCs w:val="20"/>
        </w:rPr>
        <w:t>Q26 Clinical pathway before intervention</w:t>
      </w:r>
    </w:p>
    <w:p w14:paraId="34BB8492" w14:textId="77777777" w:rsidR="00B84469" w:rsidRPr="00B84469" w:rsidRDefault="00B84469" w:rsidP="00B84469">
      <w:pPr>
        <w:ind w:left="426"/>
        <w:rPr>
          <w:szCs w:val="20"/>
        </w:rPr>
      </w:pPr>
    </w:p>
    <w:p w14:paraId="53D67A4B" w14:textId="74D41C8E" w:rsidR="00B84469" w:rsidRPr="00B84469" w:rsidRDefault="00116560" w:rsidP="00B84469">
      <w:pPr>
        <w:ind w:left="426"/>
        <w:rPr>
          <w:szCs w:val="20"/>
        </w:rPr>
      </w:pPr>
      <w:r>
        <w:rPr>
          <w:noProof/>
          <w:szCs w:val="20"/>
          <w:lang w:eastAsia="en-AU"/>
        </w:rPr>
        <w:drawing>
          <wp:inline distT="0" distB="0" distL="0" distR="0" wp14:anchorId="76D37021" wp14:editId="3C09F894">
            <wp:extent cx="5991225" cy="3829050"/>
            <wp:effectExtent l="0" t="0" r="9525" b="0"/>
            <wp:docPr id="22" name="Picture 22" descr="Clinical pathway before intervention" title="Clinical pathway before inter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91225" cy="3829050"/>
                    </a:xfrm>
                    <a:prstGeom prst="rect">
                      <a:avLst/>
                    </a:prstGeom>
                    <a:noFill/>
                    <a:ln>
                      <a:noFill/>
                    </a:ln>
                  </pic:spPr>
                </pic:pic>
              </a:graphicData>
            </a:graphic>
          </wp:inline>
        </w:drawing>
      </w:r>
    </w:p>
    <w:p w14:paraId="5EF6CA32" w14:textId="77777777" w:rsidR="00B84469" w:rsidRDefault="00B84469" w:rsidP="00603D04">
      <w:pPr>
        <w:ind w:left="426"/>
        <w:rPr>
          <w:szCs w:val="20"/>
        </w:rPr>
        <w:sectPr w:rsidR="00B84469" w:rsidSect="00B84469">
          <w:pgSz w:w="16838" w:h="11906" w:orient="landscape"/>
          <w:pgMar w:top="1440" w:right="1440" w:bottom="1440" w:left="1440" w:header="708" w:footer="708" w:gutter="0"/>
          <w:cols w:space="708"/>
          <w:docGrid w:linePitch="360"/>
        </w:sectPr>
      </w:pPr>
    </w:p>
    <w:p w14:paraId="5EFEE5A6" w14:textId="04ABA62B" w:rsidR="00B84469" w:rsidRDefault="00B84469" w:rsidP="00B84469">
      <w:pPr>
        <w:spacing w:before="0" w:after="200" w:line="276" w:lineRule="auto"/>
        <w:rPr>
          <w:sz w:val="22"/>
        </w:rPr>
      </w:pPr>
      <w:r w:rsidRPr="00B84469">
        <w:rPr>
          <w:sz w:val="22"/>
        </w:rPr>
        <w:lastRenderedPageBreak/>
        <w:t>Q40 Current clinical pathway after comparator</w:t>
      </w:r>
    </w:p>
    <w:p w14:paraId="481269CE" w14:textId="4A6B9049" w:rsidR="00433E24" w:rsidRPr="00B84469" w:rsidRDefault="00433E24" w:rsidP="00B84469">
      <w:pPr>
        <w:spacing w:before="0" w:after="200" w:line="276" w:lineRule="auto"/>
        <w:rPr>
          <w:sz w:val="22"/>
        </w:rPr>
      </w:pPr>
      <w:r>
        <w:rPr>
          <w:noProof/>
          <w:sz w:val="22"/>
          <w:lang w:eastAsia="en-AU"/>
        </w:rPr>
        <w:drawing>
          <wp:inline distT="0" distB="0" distL="0" distR="0" wp14:anchorId="37F0A897" wp14:editId="62BAFD90">
            <wp:extent cx="8448675" cy="5257800"/>
            <wp:effectExtent l="0" t="0" r="9525" b="0"/>
            <wp:docPr id="31" name="Picture 31" descr="Current clinical pathway after comparator" title="Current clinical pathway after com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448675" cy="5257800"/>
                    </a:xfrm>
                    <a:prstGeom prst="rect">
                      <a:avLst/>
                    </a:prstGeom>
                    <a:noFill/>
                    <a:ln>
                      <a:noFill/>
                    </a:ln>
                  </pic:spPr>
                </pic:pic>
              </a:graphicData>
            </a:graphic>
          </wp:inline>
        </w:drawing>
      </w:r>
    </w:p>
    <w:p w14:paraId="60022CAD" w14:textId="77777777" w:rsidR="00B84469" w:rsidRDefault="00B84469" w:rsidP="00603D04">
      <w:pPr>
        <w:ind w:left="426"/>
        <w:rPr>
          <w:szCs w:val="20"/>
        </w:rPr>
        <w:sectPr w:rsidR="00B84469" w:rsidSect="00BF1F87">
          <w:pgSz w:w="16838" w:h="11906" w:orient="landscape"/>
          <w:pgMar w:top="1440" w:right="1440" w:bottom="1440" w:left="1440" w:header="708" w:footer="708" w:gutter="0"/>
          <w:cols w:space="708"/>
          <w:docGrid w:linePitch="360"/>
        </w:sectPr>
      </w:pPr>
    </w:p>
    <w:p w14:paraId="14D0E93F" w14:textId="54F53A0C" w:rsidR="00B84469" w:rsidRDefault="00B84469" w:rsidP="00B84469">
      <w:pPr>
        <w:spacing w:before="0" w:after="200" w:line="276" w:lineRule="auto"/>
        <w:rPr>
          <w:sz w:val="22"/>
        </w:rPr>
      </w:pPr>
      <w:r w:rsidRPr="00B84469">
        <w:rPr>
          <w:sz w:val="22"/>
        </w:rPr>
        <w:lastRenderedPageBreak/>
        <w:t xml:space="preserve">40 Clinical </w:t>
      </w:r>
      <w:proofErr w:type="gramStart"/>
      <w:r w:rsidRPr="00B84469">
        <w:rPr>
          <w:sz w:val="22"/>
        </w:rPr>
        <w:t>pathway</w:t>
      </w:r>
      <w:proofErr w:type="gramEnd"/>
      <w:r w:rsidRPr="00B84469">
        <w:rPr>
          <w:sz w:val="22"/>
        </w:rPr>
        <w:t xml:space="preserve"> after comparator (current)</w:t>
      </w:r>
    </w:p>
    <w:p w14:paraId="25421534" w14:textId="63EB0A06" w:rsidR="00B84469" w:rsidRPr="00B84469" w:rsidRDefault="00BE2CF9" w:rsidP="00B84469">
      <w:pPr>
        <w:spacing w:before="0" w:after="200" w:line="276" w:lineRule="auto"/>
        <w:rPr>
          <w:szCs w:val="20"/>
        </w:rPr>
      </w:pPr>
      <w:r>
        <w:rPr>
          <w:noProof/>
          <w:szCs w:val="20"/>
          <w:lang w:eastAsia="en-AU"/>
        </w:rPr>
        <w:drawing>
          <wp:inline distT="0" distB="0" distL="0" distR="0" wp14:anchorId="418DE41D" wp14:editId="329C3986">
            <wp:extent cx="4210050" cy="5278827"/>
            <wp:effectExtent l="0" t="0" r="0" b="0"/>
            <wp:docPr id="320" name="Picture 320" descr="Clinical pathway after comparator (current)" title="Clinical pathway after comparator (cur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19396" cy="5290546"/>
                    </a:xfrm>
                    <a:prstGeom prst="rect">
                      <a:avLst/>
                    </a:prstGeom>
                    <a:noFill/>
                    <a:ln>
                      <a:noFill/>
                    </a:ln>
                  </pic:spPr>
                </pic:pic>
              </a:graphicData>
            </a:graphic>
          </wp:inline>
        </w:drawing>
      </w:r>
    </w:p>
    <w:sectPr w:rsidR="00B84469" w:rsidRPr="00B84469" w:rsidSect="00BF1F8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87B1A" w14:textId="77777777" w:rsidR="00433E24" w:rsidRDefault="00433E24" w:rsidP="00CF2DFA">
      <w:pPr>
        <w:spacing w:after="0"/>
      </w:pPr>
      <w:r>
        <w:separator/>
      </w:r>
    </w:p>
  </w:endnote>
  <w:endnote w:type="continuationSeparator" w:id="0">
    <w:p w14:paraId="27C1A277" w14:textId="77777777" w:rsidR="00433E24" w:rsidRDefault="00433E24"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0C7B0D18" w14:textId="78DDDB6E" w:rsidR="00433E24" w:rsidRDefault="00433E24">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746A08" w:rsidRPr="00746A08">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67B20D49" w14:textId="77777777" w:rsidR="00433E24" w:rsidRPr="003F7CB9" w:rsidRDefault="00433E24"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59AED" w14:textId="77777777" w:rsidR="00433E24" w:rsidRDefault="00433E24" w:rsidP="00CF2DFA">
      <w:pPr>
        <w:spacing w:after="0"/>
      </w:pPr>
      <w:r>
        <w:separator/>
      </w:r>
    </w:p>
  </w:footnote>
  <w:footnote w:type="continuationSeparator" w:id="0">
    <w:p w14:paraId="55566B23" w14:textId="77777777" w:rsidR="00433E24" w:rsidRDefault="00433E24" w:rsidP="00CF2D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E43438"/>
    <w:multiLevelType w:val="hybridMultilevel"/>
    <w:tmpl w:val="F59C1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9"/>
  </w:num>
  <w:num w:numId="4">
    <w:abstractNumId w:val="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
  </w:num>
  <w:num w:numId="25">
    <w:abstractNumId w:val="17"/>
  </w:num>
  <w:num w:numId="26">
    <w:abstractNumId w:val="4"/>
  </w:num>
  <w:num w:numId="27">
    <w:abstractNumId w:val="14"/>
  </w:num>
  <w:num w:numId="28">
    <w:abstractNumId w:val="10"/>
  </w:num>
  <w:num w:numId="29">
    <w:abstractNumId w:val="18"/>
  </w:num>
  <w:num w:numId="30">
    <w:abstractNumId w:val="3"/>
  </w:num>
  <w:num w:numId="31">
    <w:abstractNumId w:val="16"/>
  </w:num>
  <w:num w:numId="32">
    <w:abstractNumId w:val="7"/>
  </w:num>
  <w:num w:numId="33">
    <w:abstractNumId w:val="15"/>
  </w:num>
  <w:num w:numId="34">
    <w:abstractNumId w:val="6"/>
  </w:num>
  <w:num w:numId="35">
    <w:abstractNumId w:val="11"/>
  </w:num>
  <w:num w:numId="36">
    <w:abstractNumId w:val="0"/>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110DC"/>
    <w:rsid w:val="000158AA"/>
    <w:rsid w:val="000159B9"/>
    <w:rsid w:val="00016B6E"/>
    <w:rsid w:val="00021FF3"/>
    <w:rsid w:val="00023E21"/>
    <w:rsid w:val="00025ABC"/>
    <w:rsid w:val="00026412"/>
    <w:rsid w:val="00031F6F"/>
    <w:rsid w:val="00034D6E"/>
    <w:rsid w:val="0005089D"/>
    <w:rsid w:val="000525BC"/>
    <w:rsid w:val="00073222"/>
    <w:rsid w:val="000770BA"/>
    <w:rsid w:val="00085156"/>
    <w:rsid w:val="00092580"/>
    <w:rsid w:val="000955E7"/>
    <w:rsid w:val="000A110D"/>
    <w:rsid w:val="000A478F"/>
    <w:rsid w:val="000A5B32"/>
    <w:rsid w:val="000B18F9"/>
    <w:rsid w:val="000B3CD0"/>
    <w:rsid w:val="000C5CC8"/>
    <w:rsid w:val="000D066E"/>
    <w:rsid w:val="000D0831"/>
    <w:rsid w:val="000E47E7"/>
    <w:rsid w:val="000E5439"/>
    <w:rsid w:val="00102686"/>
    <w:rsid w:val="0011036E"/>
    <w:rsid w:val="001130B0"/>
    <w:rsid w:val="0011369B"/>
    <w:rsid w:val="00116560"/>
    <w:rsid w:val="0011742E"/>
    <w:rsid w:val="00123D10"/>
    <w:rsid w:val="00124807"/>
    <w:rsid w:val="00126B33"/>
    <w:rsid w:val="00154B00"/>
    <w:rsid w:val="001644E9"/>
    <w:rsid w:val="001845D9"/>
    <w:rsid w:val="0018630F"/>
    <w:rsid w:val="001906CD"/>
    <w:rsid w:val="00191B99"/>
    <w:rsid w:val="0019694B"/>
    <w:rsid w:val="00197D29"/>
    <w:rsid w:val="001A02E3"/>
    <w:rsid w:val="001A1ADF"/>
    <w:rsid w:val="001A365C"/>
    <w:rsid w:val="001B171D"/>
    <w:rsid w:val="001B29A1"/>
    <w:rsid w:val="001B5169"/>
    <w:rsid w:val="001B6164"/>
    <w:rsid w:val="001D77ED"/>
    <w:rsid w:val="001E1180"/>
    <w:rsid w:val="001E23EA"/>
    <w:rsid w:val="001E6919"/>
    <w:rsid w:val="001E6958"/>
    <w:rsid w:val="001F004E"/>
    <w:rsid w:val="00201924"/>
    <w:rsid w:val="00202473"/>
    <w:rsid w:val="002053F2"/>
    <w:rsid w:val="00206D63"/>
    <w:rsid w:val="0021185D"/>
    <w:rsid w:val="00226777"/>
    <w:rsid w:val="00235BD1"/>
    <w:rsid w:val="00242B0E"/>
    <w:rsid w:val="00247DF0"/>
    <w:rsid w:val="00254813"/>
    <w:rsid w:val="00254AB0"/>
    <w:rsid w:val="00257FF2"/>
    <w:rsid w:val="00265822"/>
    <w:rsid w:val="0027105F"/>
    <w:rsid w:val="002711FB"/>
    <w:rsid w:val="00283318"/>
    <w:rsid w:val="00283406"/>
    <w:rsid w:val="00285525"/>
    <w:rsid w:val="00294CD8"/>
    <w:rsid w:val="002A270B"/>
    <w:rsid w:val="002A50FD"/>
    <w:rsid w:val="002A6753"/>
    <w:rsid w:val="002B28D7"/>
    <w:rsid w:val="002B7EB6"/>
    <w:rsid w:val="002C0B61"/>
    <w:rsid w:val="002C15E6"/>
    <w:rsid w:val="002C247D"/>
    <w:rsid w:val="002C3345"/>
    <w:rsid w:val="002C4D03"/>
    <w:rsid w:val="002D409A"/>
    <w:rsid w:val="002F30E7"/>
    <w:rsid w:val="00300EEB"/>
    <w:rsid w:val="003013A9"/>
    <w:rsid w:val="003020B5"/>
    <w:rsid w:val="003027BB"/>
    <w:rsid w:val="00310A10"/>
    <w:rsid w:val="0031399F"/>
    <w:rsid w:val="00327D25"/>
    <w:rsid w:val="003319A7"/>
    <w:rsid w:val="00334FE3"/>
    <w:rsid w:val="003421AE"/>
    <w:rsid w:val="003433D1"/>
    <w:rsid w:val="00344B24"/>
    <w:rsid w:val="003456B9"/>
    <w:rsid w:val="00347B9D"/>
    <w:rsid w:val="0035067D"/>
    <w:rsid w:val="00353A16"/>
    <w:rsid w:val="0035776D"/>
    <w:rsid w:val="00364FD9"/>
    <w:rsid w:val="00365144"/>
    <w:rsid w:val="00367C1B"/>
    <w:rsid w:val="00376B61"/>
    <w:rsid w:val="00382407"/>
    <w:rsid w:val="00386A64"/>
    <w:rsid w:val="00386FA1"/>
    <w:rsid w:val="00390142"/>
    <w:rsid w:val="00392F00"/>
    <w:rsid w:val="00397377"/>
    <w:rsid w:val="003A22DE"/>
    <w:rsid w:val="003A2860"/>
    <w:rsid w:val="003A3C35"/>
    <w:rsid w:val="003A7D30"/>
    <w:rsid w:val="003B3C5C"/>
    <w:rsid w:val="003C47CA"/>
    <w:rsid w:val="003D6DE1"/>
    <w:rsid w:val="003D795C"/>
    <w:rsid w:val="003E30FB"/>
    <w:rsid w:val="003F0E81"/>
    <w:rsid w:val="003F2711"/>
    <w:rsid w:val="003F6C70"/>
    <w:rsid w:val="003F7CB9"/>
    <w:rsid w:val="0040149D"/>
    <w:rsid w:val="00403333"/>
    <w:rsid w:val="00411735"/>
    <w:rsid w:val="00415C74"/>
    <w:rsid w:val="00423481"/>
    <w:rsid w:val="00433E24"/>
    <w:rsid w:val="0043654D"/>
    <w:rsid w:val="00451840"/>
    <w:rsid w:val="00460C9A"/>
    <w:rsid w:val="00464924"/>
    <w:rsid w:val="0047581D"/>
    <w:rsid w:val="00480289"/>
    <w:rsid w:val="00481279"/>
    <w:rsid w:val="00483368"/>
    <w:rsid w:val="00494011"/>
    <w:rsid w:val="004A0BF4"/>
    <w:rsid w:val="004A263B"/>
    <w:rsid w:val="004B68AE"/>
    <w:rsid w:val="004C35B0"/>
    <w:rsid w:val="004C49EF"/>
    <w:rsid w:val="004C4A19"/>
    <w:rsid w:val="004C5570"/>
    <w:rsid w:val="004D00C9"/>
    <w:rsid w:val="004E16F5"/>
    <w:rsid w:val="004E3CC7"/>
    <w:rsid w:val="004E5B69"/>
    <w:rsid w:val="004F2A87"/>
    <w:rsid w:val="00507C56"/>
    <w:rsid w:val="0052344E"/>
    <w:rsid w:val="00526478"/>
    <w:rsid w:val="00530204"/>
    <w:rsid w:val="00534C5F"/>
    <w:rsid w:val="00540257"/>
    <w:rsid w:val="0054192F"/>
    <w:rsid w:val="00544EB3"/>
    <w:rsid w:val="0054594B"/>
    <w:rsid w:val="0054749B"/>
    <w:rsid w:val="00551CC6"/>
    <w:rsid w:val="00560541"/>
    <w:rsid w:val="005672D0"/>
    <w:rsid w:val="00572CEB"/>
    <w:rsid w:val="005834C9"/>
    <w:rsid w:val="005A58BA"/>
    <w:rsid w:val="005A5D30"/>
    <w:rsid w:val="005A6AB9"/>
    <w:rsid w:val="005B21E7"/>
    <w:rsid w:val="005C333E"/>
    <w:rsid w:val="005C3AE7"/>
    <w:rsid w:val="005D0677"/>
    <w:rsid w:val="005E294C"/>
    <w:rsid w:val="005E2CE3"/>
    <w:rsid w:val="005F3F07"/>
    <w:rsid w:val="00603D04"/>
    <w:rsid w:val="00606857"/>
    <w:rsid w:val="00615F42"/>
    <w:rsid w:val="006258C2"/>
    <w:rsid w:val="00626365"/>
    <w:rsid w:val="00630E22"/>
    <w:rsid w:val="0064168C"/>
    <w:rsid w:val="00657B46"/>
    <w:rsid w:val="006764EC"/>
    <w:rsid w:val="006835FE"/>
    <w:rsid w:val="00693BFD"/>
    <w:rsid w:val="00695065"/>
    <w:rsid w:val="006A1038"/>
    <w:rsid w:val="006A649A"/>
    <w:rsid w:val="006B1B49"/>
    <w:rsid w:val="006B6390"/>
    <w:rsid w:val="006C0356"/>
    <w:rsid w:val="006C0843"/>
    <w:rsid w:val="006C74B1"/>
    <w:rsid w:val="006E57AA"/>
    <w:rsid w:val="006F20CF"/>
    <w:rsid w:val="006F38ED"/>
    <w:rsid w:val="00707D4D"/>
    <w:rsid w:val="00723503"/>
    <w:rsid w:val="00724974"/>
    <w:rsid w:val="00730C04"/>
    <w:rsid w:val="0073597B"/>
    <w:rsid w:val="007378F6"/>
    <w:rsid w:val="0074545D"/>
    <w:rsid w:val="00746A08"/>
    <w:rsid w:val="007522E3"/>
    <w:rsid w:val="0075335B"/>
    <w:rsid w:val="00753C44"/>
    <w:rsid w:val="00754383"/>
    <w:rsid w:val="007564D1"/>
    <w:rsid w:val="00757232"/>
    <w:rsid w:val="00760679"/>
    <w:rsid w:val="00763628"/>
    <w:rsid w:val="00767E99"/>
    <w:rsid w:val="00772E62"/>
    <w:rsid w:val="0077789B"/>
    <w:rsid w:val="00780D29"/>
    <w:rsid w:val="00791C8D"/>
    <w:rsid w:val="0079379E"/>
    <w:rsid w:val="00794181"/>
    <w:rsid w:val="007A45BA"/>
    <w:rsid w:val="007A7F6F"/>
    <w:rsid w:val="007B4C76"/>
    <w:rsid w:val="007C2260"/>
    <w:rsid w:val="007D1E52"/>
    <w:rsid w:val="007D2358"/>
    <w:rsid w:val="007E39E4"/>
    <w:rsid w:val="007E58CB"/>
    <w:rsid w:val="007E6FB3"/>
    <w:rsid w:val="007F21B4"/>
    <w:rsid w:val="00802553"/>
    <w:rsid w:val="00803EAB"/>
    <w:rsid w:val="008046B5"/>
    <w:rsid w:val="008127C0"/>
    <w:rsid w:val="00812EDD"/>
    <w:rsid w:val="008139C5"/>
    <w:rsid w:val="0081650F"/>
    <w:rsid w:val="00832B31"/>
    <w:rsid w:val="008403E0"/>
    <w:rsid w:val="0084657B"/>
    <w:rsid w:val="00855944"/>
    <w:rsid w:val="00864A18"/>
    <w:rsid w:val="00870833"/>
    <w:rsid w:val="00874571"/>
    <w:rsid w:val="00881F93"/>
    <w:rsid w:val="00882CB5"/>
    <w:rsid w:val="00883641"/>
    <w:rsid w:val="00884E69"/>
    <w:rsid w:val="00890082"/>
    <w:rsid w:val="008A48D2"/>
    <w:rsid w:val="008B2610"/>
    <w:rsid w:val="008B471D"/>
    <w:rsid w:val="008B49E4"/>
    <w:rsid w:val="008B729C"/>
    <w:rsid w:val="008C4A93"/>
    <w:rsid w:val="008E0E49"/>
    <w:rsid w:val="008E35FD"/>
    <w:rsid w:val="008E6227"/>
    <w:rsid w:val="008E78B9"/>
    <w:rsid w:val="0090543D"/>
    <w:rsid w:val="009056C5"/>
    <w:rsid w:val="009220BF"/>
    <w:rsid w:val="009262F2"/>
    <w:rsid w:val="00937791"/>
    <w:rsid w:val="00941C8C"/>
    <w:rsid w:val="00951933"/>
    <w:rsid w:val="00954343"/>
    <w:rsid w:val="00955271"/>
    <w:rsid w:val="00963C9C"/>
    <w:rsid w:val="00965B6B"/>
    <w:rsid w:val="00971EDB"/>
    <w:rsid w:val="00974D50"/>
    <w:rsid w:val="00987ABE"/>
    <w:rsid w:val="00991EE4"/>
    <w:rsid w:val="009939DC"/>
    <w:rsid w:val="00993B9C"/>
    <w:rsid w:val="009A4F3E"/>
    <w:rsid w:val="009B4E1E"/>
    <w:rsid w:val="009C03FB"/>
    <w:rsid w:val="009C4B4F"/>
    <w:rsid w:val="009F0C02"/>
    <w:rsid w:val="009F5758"/>
    <w:rsid w:val="00A0283F"/>
    <w:rsid w:val="00A04F4A"/>
    <w:rsid w:val="00A1422C"/>
    <w:rsid w:val="00A26343"/>
    <w:rsid w:val="00A408B5"/>
    <w:rsid w:val="00A529E2"/>
    <w:rsid w:val="00A539F8"/>
    <w:rsid w:val="00A6491A"/>
    <w:rsid w:val="00A6594E"/>
    <w:rsid w:val="00A727B6"/>
    <w:rsid w:val="00A81CC6"/>
    <w:rsid w:val="00A83EC6"/>
    <w:rsid w:val="00A8732C"/>
    <w:rsid w:val="00A9062D"/>
    <w:rsid w:val="00A93F58"/>
    <w:rsid w:val="00A96329"/>
    <w:rsid w:val="00AA134B"/>
    <w:rsid w:val="00AA2CFE"/>
    <w:rsid w:val="00AA5FDA"/>
    <w:rsid w:val="00AA6291"/>
    <w:rsid w:val="00AC0C91"/>
    <w:rsid w:val="00AD1F03"/>
    <w:rsid w:val="00AD37D4"/>
    <w:rsid w:val="00AD4B19"/>
    <w:rsid w:val="00AD7986"/>
    <w:rsid w:val="00AE1188"/>
    <w:rsid w:val="00AE5CA7"/>
    <w:rsid w:val="00AE738C"/>
    <w:rsid w:val="00AF1046"/>
    <w:rsid w:val="00AF4466"/>
    <w:rsid w:val="00AF5D1E"/>
    <w:rsid w:val="00B040A9"/>
    <w:rsid w:val="00B1711E"/>
    <w:rsid w:val="00B17CBE"/>
    <w:rsid w:val="00B17E26"/>
    <w:rsid w:val="00B231A4"/>
    <w:rsid w:val="00B25D20"/>
    <w:rsid w:val="00B31C99"/>
    <w:rsid w:val="00B33629"/>
    <w:rsid w:val="00B53BA6"/>
    <w:rsid w:val="00B5731D"/>
    <w:rsid w:val="00B6378B"/>
    <w:rsid w:val="00B63E3A"/>
    <w:rsid w:val="00B72E40"/>
    <w:rsid w:val="00B75965"/>
    <w:rsid w:val="00B771AD"/>
    <w:rsid w:val="00B814CB"/>
    <w:rsid w:val="00B84469"/>
    <w:rsid w:val="00BA0CF8"/>
    <w:rsid w:val="00BA1ADF"/>
    <w:rsid w:val="00BA51FC"/>
    <w:rsid w:val="00BB003A"/>
    <w:rsid w:val="00BB3358"/>
    <w:rsid w:val="00BB3382"/>
    <w:rsid w:val="00BB3643"/>
    <w:rsid w:val="00BC3DA0"/>
    <w:rsid w:val="00BC424B"/>
    <w:rsid w:val="00BE0FDE"/>
    <w:rsid w:val="00BE2CF9"/>
    <w:rsid w:val="00BF1F87"/>
    <w:rsid w:val="00BF6AC5"/>
    <w:rsid w:val="00C00C3F"/>
    <w:rsid w:val="00C01121"/>
    <w:rsid w:val="00C030A5"/>
    <w:rsid w:val="00C05A45"/>
    <w:rsid w:val="00C0796F"/>
    <w:rsid w:val="00C11B34"/>
    <w:rsid w:val="00C12C5C"/>
    <w:rsid w:val="00C171FB"/>
    <w:rsid w:val="00C209C2"/>
    <w:rsid w:val="00C2267F"/>
    <w:rsid w:val="00C22AD8"/>
    <w:rsid w:val="00C3557E"/>
    <w:rsid w:val="00C3594B"/>
    <w:rsid w:val="00C43102"/>
    <w:rsid w:val="00C4696B"/>
    <w:rsid w:val="00C50513"/>
    <w:rsid w:val="00C54503"/>
    <w:rsid w:val="00C63055"/>
    <w:rsid w:val="00C73B62"/>
    <w:rsid w:val="00C776B1"/>
    <w:rsid w:val="00C815FE"/>
    <w:rsid w:val="00C847AE"/>
    <w:rsid w:val="00CA04C6"/>
    <w:rsid w:val="00CA26DD"/>
    <w:rsid w:val="00CB12EC"/>
    <w:rsid w:val="00CB4D28"/>
    <w:rsid w:val="00CC09D7"/>
    <w:rsid w:val="00CC12B8"/>
    <w:rsid w:val="00CD22E3"/>
    <w:rsid w:val="00CD4E44"/>
    <w:rsid w:val="00CD5AE4"/>
    <w:rsid w:val="00CD7A7D"/>
    <w:rsid w:val="00CF2D8E"/>
    <w:rsid w:val="00CF2DFA"/>
    <w:rsid w:val="00CF5AD8"/>
    <w:rsid w:val="00D00122"/>
    <w:rsid w:val="00D01D2A"/>
    <w:rsid w:val="00D10B47"/>
    <w:rsid w:val="00D11EB1"/>
    <w:rsid w:val="00D17F17"/>
    <w:rsid w:val="00D23597"/>
    <w:rsid w:val="00D30BDC"/>
    <w:rsid w:val="00D57F88"/>
    <w:rsid w:val="00D7105C"/>
    <w:rsid w:val="00D73646"/>
    <w:rsid w:val="00D777B4"/>
    <w:rsid w:val="00D77A90"/>
    <w:rsid w:val="00D8360B"/>
    <w:rsid w:val="00D85676"/>
    <w:rsid w:val="00D96ADA"/>
    <w:rsid w:val="00DA2886"/>
    <w:rsid w:val="00DA5E50"/>
    <w:rsid w:val="00DA7D0C"/>
    <w:rsid w:val="00DB311C"/>
    <w:rsid w:val="00DB432D"/>
    <w:rsid w:val="00DB519B"/>
    <w:rsid w:val="00DC7694"/>
    <w:rsid w:val="00DC7FBE"/>
    <w:rsid w:val="00DD130E"/>
    <w:rsid w:val="00DD308E"/>
    <w:rsid w:val="00DF0C51"/>
    <w:rsid w:val="00DF0D47"/>
    <w:rsid w:val="00DF1652"/>
    <w:rsid w:val="00DF6D37"/>
    <w:rsid w:val="00E00AA9"/>
    <w:rsid w:val="00E048ED"/>
    <w:rsid w:val="00E04FB3"/>
    <w:rsid w:val="00E0569E"/>
    <w:rsid w:val="00E058F2"/>
    <w:rsid w:val="00E05D9C"/>
    <w:rsid w:val="00E06102"/>
    <w:rsid w:val="00E23E71"/>
    <w:rsid w:val="00E30F19"/>
    <w:rsid w:val="00E33C4A"/>
    <w:rsid w:val="00E357B9"/>
    <w:rsid w:val="00E4321E"/>
    <w:rsid w:val="00E44B80"/>
    <w:rsid w:val="00E47623"/>
    <w:rsid w:val="00E60529"/>
    <w:rsid w:val="00E70D86"/>
    <w:rsid w:val="00E7628E"/>
    <w:rsid w:val="00E82F54"/>
    <w:rsid w:val="00E8649B"/>
    <w:rsid w:val="00E871CD"/>
    <w:rsid w:val="00E90990"/>
    <w:rsid w:val="00E95D3D"/>
    <w:rsid w:val="00E97646"/>
    <w:rsid w:val="00EA0E25"/>
    <w:rsid w:val="00EA173C"/>
    <w:rsid w:val="00EC127A"/>
    <w:rsid w:val="00EC1FF9"/>
    <w:rsid w:val="00EC2737"/>
    <w:rsid w:val="00EE2716"/>
    <w:rsid w:val="00EE6450"/>
    <w:rsid w:val="00F01C2C"/>
    <w:rsid w:val="00F10ED8"/>
    <w:rsid w:val="00F222BE"/>
    <w:rsid w:val="00F24179"/>
    <w:rsid w:val="00F301F1"/>
    <w:rsid w:val="00F30C22"/>
    <w:rsid w:val="00F33F1A"/>
    <w:rsid w:val="00F349ED"/>
    <w:rsid w:val="00F547F7"/>
    <w:rsid w:val="00F54CCF"/>
    <w:rsid w:val="00F61D7A"/>
    <w:rsid w:val="00F637B3"/>
    <w:rsid w:val="00F66CF7"/>
    <w:rsid w:val="00F67BCB"/>
    <w:rsid w:val="00F77C57"/>
    <w:rsid w:val="00F813C7"/>
    <w:rsid w:val="00F83566"/>
    <w:rsid w:val="00F83A9D"/>
    <w:rsid w:val="00F906B5"/>
    <w:rsid w:val="00F93784"/>
    <w:rsid w:val="00F971CC"/>
    <w:rsid w:val="00F97C41"/>
    <w:rsid w:val="00FA2CAA"/>
    <w:rsid w:val="00FA3DA1"/>
    <w:rsid w:val="00FA6554"/>
    <w:rsid w:val="00FC3699"/>
    <w:rsid w:val="00FD3BE4"/>
    <w:rsid w:val="00FE16C1"/>
    <w:rsid w:val="00FE19FF"/>
    <w:rsid w:val="00FE33A6"/>
    <w:rsid w:val="00FE5452"/>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95A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22C"/>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table" w:customStyle="1" w:styleId="TableGrid2">
    <w:name w:val="Table Grid2"/>
    <w:basedOn w:val="TableNormal"/>
    <w:next w:val="TableGrid"/>
    <w:uiPriority w:val="59"/>
    <w:rsid w:val="00B72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E5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E5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E5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00AA9"/>
    <w:rPr>
      <w:color w:val="808080"/>
      <w:shd w:val="clear" w:color="auto" w:fill="E6E6E6"/>
    </w:rPr>
  </w:style>
  <w:style w:type="table" w:customStyle="1" w:styleId="TableGrid11">
    <w:name w:val="Table Grid11"/>
    <w:basedOn w:val="TableNormal"/>
    <w:next w:val="TableGrid"/>
    <w:uiPriority w:val="59"/>
    <w:rsid w:val="00A1422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1422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1422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937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22C"/>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table" w:customStyle="1" w:styleId="TableGrid2">
    <w:name w:val="Table Grid2"/>
    <w:basedOn w:val="TableNormal"/>
    <w:next w:val="TableGrid"/>
    <w:uiPriority w:val="59"/>
    <w:rsid w:val="00B72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E5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E5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E5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00AA9"/>
    <w:rPr>
      <w:color w:val="808080"/>
      <w:shd w:val="clear" w:color="auto" w:fill="E6E6E6"/>
    </w:rPr>
  </w:style>
  <w:style w:type="table" w:customStyle="1" w:styleId="TableGrid11">
    <w:name w:val="Table Grid11"/>
    <w:basedOn w:val="TableNormal"/>
    <w:next w:val="TableGrid"/>
    <w:uiPriority w:val="59"/>
    <w:rsid w:val="00A1422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1422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1422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937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hmrc.gov.au/_files_nhmrc/publications/attachments/cp107.pdf" TargetMode="External"/><Relationship Id="rId18" Type="http://schemas.openxmlformats.org/officeDocument/2006/relationships/hyperlink" Target="http://www.ncbi.nlm.nih.gov/pubmed/?term=Joshua%20D%5BAuthor%5D&amp;cauthor=true&amp;cauthor_uid=25582938" TargetMode="External"/><Relationship Id="rId26" Type="http://schemas.openxmlformats.org/officeDocument/2006/relationships/hyperlink" Target="https://academic.oup.com/annonc/article-abstract/28/7/1554/3101164/Characteristics-outcomes-prognostic-factors-and?redirectedFrom=fulltext" TargetMode="External"/><Relationship Id="rId3" Type="http://schemas.openxmlformats.org/officeDocument/2006/relationships/styles" Target="styles.xml"/><Relationship Id="rId21" Type="http://schemas.openxmlformats.org/officeDocument/2006/relationships/hyperlink" Target="http://www.sciencedirect.com/science/article/pii/S1525157816000532" TargetMode="External"/><Relationship Id="rId34"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jcp.bmj.com/content/early/2015/08/25/jclinpath-2015-203002.long" TargetMode="External"/><Relationship Id="rId25" Type="http://schemas.openxmlformats.org/officeDocument/2006/relationships/hyperlink" Target="http://www.sciencedirect.com/science/article/pii/S0889858816301782?via%3Dihub" TargetMode="External"/><Relationship Id="rId33" Type="http://schemas.openxmlformats.org/officeDocument/2006/relationships/image" Target="media/image2.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loodjournal.org/content/121/12/2253.long" TargetMode="External"/><Relationship Id="rId20" Type="http://schemas.openxmlformats.org/officeDocument/2006/relationships/hyperlink" Target="https://engonetrca2.blob.core.windows.net/assets/uploads/files/JALMT%202016%20Update%20Report_electronic%20FINAL.pdf" TargetMode="External"/><Relationship Id="rId29" Type="http://schemas.openxmlformats.org/officeDocument/2006/relationships/hyperlink" Target="http://www.nature.com/leu/journal/v14/n6/full/2401784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24" Type="http://schemas.openxmlformats.org/officeDocument/2006/relationships/hyperlink" Target="http://www.bloodjournal.org/content/130/16/1819.long?sso-checked=true" TargetMode="External"/><Relationship Id="rId32" Type="http://schemas.openxmlformats.org/officeDocument/2006/relationships/hyperlink" Target="https://www.ncbi.nlm.nih.gov/pubmed/19798094"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thelancet.com/journals/lanonc/article/PIIS1470-2045(15)00005-4/abstract" TargetMode="External"/><Relationship Id="rId23" Type="http://schemas.openxmlformats.org/officeDocument/2006/relationships/hyperlink" Target="https://pdfs.semanticscholar.org/7657/679a5a67fba7bd71a5ed3df71ecfe6bb9d5b.pdf" TargetMode="External"/><Relationship Id="rId28" Type="http://schemas.openxmlformats.org/officeDocument/2006/relationships/hyperlink" Target="http://www.bloodjournal.org/content/121/8/1249.abstract" TargetMode="External"/><Relationship Id="rId36" Type="http://schemas.openxmlformats.org/officeDocument/2006/relationships/image" Target="media/image5.png"/><Relationship Id="rId10" Type="http://schemas.openxmlformats.org/officeDocument/2006/relationships/hyperlink" Target="mailto:hta@health.gov.au" TargetMode="External"/><Relationship Id="rId19" Type="http://schemas.openxmlformats.org/officeDocument/2006/relationships/hyperlink" Target="https://www.ncbi.nlm.nih.gov/pubmed/25735577" TargetMode="External"/><Relationship Id="rId31" Type="http://schemas.openxmlformats.org/officeDocument/2006/relationships/hyperlink" Target="https://engonetrca2.blob.core.windows.net/assets/uploads/files/JALMT%202016%20Update%20Report_electronic%20FINAL.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dfs.semanticscholar.org/7657/679a5a67fba7bd71a5ed3df71ecfe6bb9d5b.pdf" TargetMode="External"/><Relationship Id="rId22" Type="http://schemas.openxmlformats.org/officeDocument/2006/relationships/hyperlink" Target="http://www.nhmrc.gov.au/_files_nhmrc/publications/attachments/cp107.pdf" TargetMode="External"/><Relationship Id="rId27" Type="http://schemas.openxmlformats.org/officeDocument/2006/relationships/hyperlink" Target="http://www.ncbi.nlm.nih.gov/pmc/articles/PMC4732699/" TargetMode="External"/><Relationship Id="rId30" Type="http://schemas.openxmlformats.org/officeDocument/2006/relationships/hyperlink" Target="http://www.sciencedirect.com/science/article/pii/S1525157816000532" TargetMode="External"/><Relationship Id="rId3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03ADF-BD12-4420-BC82-16890326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34</Pages>
  <Words>9418</Words>
  <Characters>53687</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62980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lastModifiedBy>Faraz Ghazi</cp:lastModifiedBy>
  <cp:revision>19</cp:revision>
  <cp:lastPrinted>2018-01-11T01:08:00Z</cp:lastPrinted>
  <dcterms:created xsi:type="dcterms:W3CDTF">2018-01-10T03:21:00Z</dcterms:created>
  <dcterms:modified xsi:type="dcterms:W3CDTF">2018-02-06T00:42:00Z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